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14:paraId="21B9DBF5" w14:textId="77777777">
        <w:trPr>
          <w:cantSplit/>
        </w:trPr>
        <w:tc>
          <w:tcPr>
            <w:tcW w:w="6912" w:type="dxa"/>
          </w:tcPr>
          <w:p w14:paraId="5C79EBEE" w14:textId="77777777" w:rsidR="00520F36" w:rsidRPr="0092392D" w:rsidRDefault="00520F36" w:rsidP="00116A63">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14:paraId="4C5CDDE8" w14:textId="77777777" w:rsidR="00520F36" w:rsidRPr="0092392D" w:rsidRDefault="00520F36" w:rsidP="00116A63">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0D6405A2" wp14:editId="5138D79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14:paraId="428148FE" w14:textId="77777777" w:rsidTr="00EF41DD">
        <w:trPr>
          <w:cantSplit/>
          <w:trHeight w:val="20"/>
        </w:trPr>
        <w:tc>
          <w:tcPr>
            <w:tcW w:w="6912" w:type="dxa"/>
            <w:tcBorders>
              <w:bottom w:val="single" w:sz="12" w:space="0" w:color="auto"/>
            </w:tcBorders>
            <w:vAlign w:val="center"/>
          </w:tcPr>
          <w:p w14:paraId="72381533" w14:textId="77777777" w:rsidR="00520F36" w:rsidRPr="00361350" w:rsidRDefault="00520F36" w:rsidP="00116A63">
            <w:pPr>
              <w:spacing w:before="0"/>
              <w:rPr>
                <w:b/>
                <w:bCs/>
                <w:sz w:val="26"/>
                <w:szCs w:val="26"/>
                <w:lang w:val="fr-CH"/>
              </w:rPr>
            </w:pPr>
          </w:p>
        </w:tc>
        <w:tc>
          <w:tcPr>
            <w:tcW w:w="3261" w:type="dxa"/>
            <w:tcBorders>
              <w:bottom w:val="single" w:sz="12" w:space="0" w:color="auto"/>
            </w:tcBorders>
          </w:tcPr>
          <w:p w14:paraId="6C924581" w14:textId="77777777" w:rsidR="00520F36" w:rsidRPr="0092392D" w:rsidRDefault="00520F36" w:rsidP="00116A63">
            <w:pPr>
              <w:spacing w:before="0"/>
              <w:rPr>
                <w:b/>
                <w:bCs/>
              </w:rPr>
            </w:pPr>
          </w:p>
        </w:tc>
      </w:tr>
      <w:tr w:rsidR="00520F36" w:rsidRPr="0092392D" w14:paraId="15115D4D" w14:textId="77777777">
        <w:trPr>
          <w:cantSplit/>
          <w:trHeight w:val="20"/>
        </w:trPr>
        <w:tc>
          <w:tcPr>
            <w:tcW w:w="6912" w:type="dxa"/>
            <w:tcBorders>
              <w:top w:val="single" w:sz="12" w:space="0" w:color="auto"/>
            </w:tcBorders>
          </w:tcPr>
          <w:p w14:paraId="74DA1E19" w14:textId="77777777" w:rsidR="00520F36" w:rsidRPr="0092392D" w:rsidRDefault="00520F36" w:rsidP="00116A63">
            <w:pPr>
              <w:spacing w:before="0"/>
              <w:rPr>
                <w:smallCaps/>
                <w:sz w:val="22"/>
                <w:lang w:val="fr-CH"/>
              </w:rPr>
            </w:pPr>
          </w:p>
        </w:tc>
        <w:tc>
          <w:tcPr>
            <w:tcW w:w="3261" w:type="dxa"/>
            <w:tcBorders>
              <w:top w:val="single" w:sz="12" w:space="0" w:color="auto"/>
            </w:tcBorders>
          </w:tcPr>
          <w:p w14:paraId="6EC19F83" w14:textId="77777777" w:rsidR="00520F36" w:rsidRPr="0092392D" w:rsidRDefault="00520F36" w:rsidP="00116A63">
            <w:pPr>
              <w:spacing w:before="0"/>
              <w:rPr>
                <w:b/>
                <w:bCs/>
              </w:rPr>
            </w:pPr>
          </w:p>
        </w:tc>
      </w:tr>
      <w:tr w:rsidR="00520F36" w:rsidRPr="0092392D" w14:paraId="120AE12F" w14:textId="77777777">
        <w:trPr>
          <w:cantSplit/>
          <w:trHeight w:val="20"/>
        </w:trPr>
        <w:tc>
          <w:tcPr>
            <w:tcW w:w="6912" w:type="dxa"/>
            <w:vMerge w:val="restart"/>
          </w:tcPr>
          <w:p w14:paraId="56351E6D" w14:textId="77777777" w:rsidR="00520F36" w:rsidRPr="00520F36" w:rsidRDefault="00AB45CB" w:rsidP="00116A63">
            <w:pPr>
              <w:spacing w:before="0"/>
              <w:rPr>
                <w:rFonts w:cs="Times"/>
                <w:b/>
                <w:bCs/>
                <w:szCs w:val="24"/>
                <w:lang w:val="fr-CH"/>
              </w:rPr>
            </w:pPr>
            <w:bookmarkStart w:id="2" w:name="dnum" w:colFirst="1" w:colLast="1"/>
            <w:bookmarkStart w:id="3" w:name="dmeeting" w:colFirst="0" w:colLast="0"/>
            <w:r w:rsidRPr="00AB45CB">
              <w:rPr>
                <w:rFonts w:cs="Times"/>
                <w:b/>
                <w:bCs/>
                <w:szCs w:val="24"/>
                <w:lang w:val="fr-CH"/>
              </w:rPr>
              <w:t>Point de l'ordre du jour: ADM</w:t>
            </w:r>
            <w:r>
              <w:rPr>
                <w:rFonts w:cs="Times"/>
                <w:b/>
                <w:bCs/>
                <w:szCs w:val="24"/>
                <w:lang w:val="fr-CH"/>
              </w:rPr>
              <w:t xml:space="preserve"> 9</w:t>
            </w:r>
          </w:p>
        </w:tc>
        <w:tc>
          <w:tcPr>
            <w:tcW w:w="3261" w:type="dxa"/>
          </w:tcPr>
          <w:p w14:paraId="4EDD1210" w14:textId="77777777" w:rsidR="00520F36" w:rsidRPr="00520F36" w:rsidRDefault="00520F36" w:rsidP="00116A63">
            <w:pPr>
              <w:spacing w:before="0"/>
              <w:rPr>
                <w:b/>
                <w:bCs/>
              </w:rPr>
            </w:pPr>
            <w:r>
              <w:rPr>
                <w:b/>
                <w:bCs/>
              </w:rPr>
              <w:t>Document C1</w:t>
            </w:r>
            <w:r w:rsidR="00106B19">
              <w:rPr>
                <w:b/>
                <w:bCs/>
              </w:rPr>
              <w:t>9</w:t>
            </w:r>
            <w:r>
              <w:rPr>
                <w:b/>
                <w:bCs/>
              </w:rPr>
              <w:t>/</w:t>
            </w:r>
            <w:r w:rsidR="00AB45CB">
              <w:rPr>
                <w:b/>
                <w:bCs/>
              </w:rPr>
              <w:t>39</w:t>
            </w:r>
            <w:r>
              <w:rPr>
                <w:b/>
                <w:bCs/>
              </w:rPr>
              <w:t>-F</w:t>
            </w:r>
          </w:p>
        </w:tc>
      </w:tr>
      <w:tr w:rsidR="00520F36" w:rsidRPr="0092392D" w14:paraId="322D0388" w14:textId="77777777">
        <w:trPr>
          <w:cantSplit/>
          <w:trHeight w:val="20"/>
        </w:trPr>
        <w:tc>
          <w:tcPr>
            <w:tcW w:w="6912" w:type="dxa"/>
            <w:vMerge/>
          </w:tcPr>
          <w:p w14:paraId="466D74BB" w14:textId="77777777" w:rsidR="00520F36" w:rsidRPr="0092392D" w:rsidRDefault="00520F36" w:rsidP="00116A63">
            <w:pPr>
              <w:shd w:val="solid" w:color="FFFFFF" w:fill="FFFFFF"/>
              <w:spacing w:before="180"/>
              <w:rPr>
                <w:smallCaps/>
                <w:lang w:val="fr-CH"/>
              </w:rPr>
            </w:pPr>
            <w:bookmarkStart w:id="4" w:name="ddate" w:colFirst="1" w:colLast="1"/>
            <w:bookmarkEnd w:id="2"/>
            <w:bookmarkEnd w:id="3"/>
          </w:p>
        </w:tc>
        <w:tc>
          <w:tcPr>
            <w:tcW w:w="3261" w:type="dxa"/>
          </w:tcPr>
          <w:p w14:paraId="70240DA9" w14:textId="77777777" w:rsidR="00520F36" w:rsidRPr="00520F36" w:rsidRDefault="00AB45CB" w:rsidP="00116A63">
            <w:pPr>
              <w:spacing w:before="0"/>
              <w:rPr>
                <w:b/>
                <w:bCs/>
              </w:rPr>
            </w:pPr>
            <w:r>
              <w:rPr>
                <w:b/>
                <w:bCs/>
              </w:rPr>
              <w:t xml:space="preserve">6 mai </w:t>
            </w:r>
            <w:r w:rsidR="00520F36">
              <w:rPr>
                <w:b/>
                <w:bCs/>
              </w:rPr>
              <w:t>201</w:t>
            </w:r>
            <w:r w:rsidR="00106B19">
              <w:rPr>
                <w:b/>
                <w:bCs/>
              </w:rPr>
              <w:t>9</w:t>
            </w:r>
          </w:p>
        </w:tc>
      </w:tr>
      <w:tr w:rsidR="00520F36" w:rsidRPr="0092392D" w14:paraId="5E7BEDD5" w14:textId="77777777">
        <w:trPr>
          <w:cantSplit/>
          <w:trHeight w:val="20"/>
        </w:trPr>
        <w:tc>
          <w:tcPr>
            <w:tcW w:w="6912" w:type="dxa"/>
            <w:vMerge/>
          </w:tcPr>
          <w:p w14:paraId="03ED4B0E" w14:textId="77777777" w:rsidR="00520F36" w:rsidRPr="0092392D" w:rsidRDefault="00520F36" w:rsidP="00116A63">
            <w:pPr>
              <w:shd w:val="solid" w:color="FFFFFF" w:fill="FFFFFF"/>
              <w:spacing w:before="180"/>
              <w:rPr>
                <w:smallCaps/>
                <w:lang w:val="fr-CH"/>
              </w:rPr>
            </w:pPr>
            <w:bookmarkStart w:id="5" w:name="dorlang" w:colFirst="1" w:colLast="1"/>
            <w:bookmarkEnd w:id="4"/>
          </w:p>
        </w:tc>
        <w:tc>
          <w:tcPr>
            <w:tcW w:w="3261" w:type="dxa"/>
          </w:tcPr>
          <w:p w14:paraId="416518F9" w14:textId="77777777" w:rsidR="00520F36" w:rsidRPr="00520F36" w:rsidRDefault="00520F36" w:rsidP="00116A63">
            <w:pPr>
              <w:spacing w:before="0"/>
              <w:rPr>
                <w:b/>
                <w:bCs/>
              </w:rPr>
            </w:pPr>
            <w:r>
              <w:rPr>
                <w:b/>
                <w:bCs/>
              </w:rPr>
              <w:t>Original: anglais</w:t>
            </w:r>
          </w:p>
        </w:tc>
      </w:tr>
      <w:tr w:rsidR="00520F36" w:rsidRPr="0092392D" w14:paraId="243B09B6" w14:textId="77777777">
        <w:trPr>
          <w:cantSplit/>
        </w:trPr>
        <w:tc>
          <w:tcPr>
            <w:tcW w:w="10173" w:type="dxa"/>
            <w:gridSpan w:val="2"/>
          </w:tcPr>
          <w:p w14:paraId="535FFB5D" w14:textId="77777777" w:rsidR="00520F36" w:rsidRPr="0092392D" w:rsidRDefault="00AB45CB" w:rsidP="00116A63">
            <w:pPr>
              <w:pStyle w:val="Source"/>
            </w:pPr>
            <w:bookmarkStart w:id="6" w:name="dsource" w:colFirst="0" w:colLast="0"/>
            <w:bookmarkEnd w:id="5"/>
            <w:r w:rsidRPr="00AB45CB">
              <w:rPr>
                <w:lang w:val="fr-CH"/>
              </w:rPr>
              <w:t>Rapport du Secrétaire général</w:t>
            </w:r>
          </w:p>
        </w:tc>
      </w:tr>
      <w:tr w:rsidR="00520F36" w:rsidRPr="0092392D" w14:paraId="27C63192" w14:textId="77777777">
        <w:trPr>
          <w:cantSplit/>
        </w:trPr>
        <w:tc>
          <w:tcPr>
            <w:tcW w:w="10173" w:type="dxa"/>
            <w:gridSpan w:val="2"/>
          </w:tcPr>
          <w:p w14:paraId="07F04650" w14:textId="77777777" w:rsidR="00520F36" w:rsidRPr="0092392D" w:rsidRDefault="00AB45CB" w:rsidP="00116A63">
            <w:pPr>
              <w:pStyle w:val="Title1"/>
            </w:pPr>
            <w:bookmarkStart w:id="7" w:name="dtitle1" w:colFirst="0" w:colLast="0"/>
            <w:bookmarkEnd w:id="6"/>
            <w:r w:rsidRPr="00AB45CB">
              <w:rPr>
                <w:lang w:val="fr-CH"/>
              </w:rPr>
              <w:t>DEMANDES D'EXONÉRATION DE TOUTE CONTRIBUTION AU FINANCEMENT DES DÉPENSES RELATIVES À LA PARTICIPATION AUX TRAVAUX DE L'UIT</w:t>
            </w:r>
          </w:p>
        </w:tc>
      </w:tr>
      <w:bookmarkEnd w:id="7"/>
    </w:tbl>
    <w:p w14:paraId="796884F4" w14:textId="77777777" w:rsidR="00520F36" w:rsidRPr="0092392D" w:rsidRDefault="00520F36" w:rsidP="00116A63">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14:paraId="221B35D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9C17974" w14:textId="77777777" w:rsidR="00520F36" w:rsidRPr="0092392D" w:rsidRDefault="00520F36" w:rsidP="00116A63">
            <w:pPr>
              <w:pStyle w:val="Headingb"/>
              <w:rPr>
                <w:lang w:val="fr-CH"/>
              </w:rPr>
            </w:pPr>
            <w:r w:rsidRPr="0092392D">
              <w:rPr>
                <w:lang w:val="fr-CH"/>
              </w:rPr>
              <w:t>Résumé</w:t>
            </w:r>
          </w:p>
          <w:p w14:paraId="4E5D37DF" w14:textId="106008FD" w:rsidR="00520F36" w:rsidRPr="0092392D" w:rsidRDefault="00AB45CB" w:rsidP="00116A63">
            <w:pPr>
              <w:rPr>
                <w:lang w:val="fr-CH"/>
              </w:rPr>
            </w:pPr>
            <w:r w:rsidRPr="00AB45CB">
              <w:rPr>
                <w:lang w:val="fr-CH"/>
              </w:rPr>
              <w:t xml:space="preserve">Des demandes d'exonération de contribution financière (par exemple, contribution des Membres de Secteur) ont été soumises par sept organisations. Conformément aux principes directeurs, le Conseil doit tenir compte d'une part des vues exprimées par le Secrétaire général concernant les avantages mutuels de la participation de ces </w:t>
            </w:r>
            <w:r w:rsidR="000418C4">
              <w:rPr>
                <w:lang w:val="fr-CH"/>
              </w:rPr>
              <w:t>entités</w:t>
            </w:r>
            <w:r w:rsidRPr="00AB45CB">
              <w:rPr>
                <w:lang w:val="fr-CH"/>
              </w:rPr>
              <w:t xml:space="preserve"> aux activités de l'Union et, d'autre part, de l'évaluation du respect par les</w:t>
            </w:r>
            <w:r w:rsidR="000418C4">
              <w:rPr>
                <w:lang w:val="fr-CH"/>
              </w:rPr>
              <w:t>dites</w:t>
            </w:r>
            <w:r w:rsidRPr="00AB45CB">
              <w:rPr>
                <w:lang w:val="fr-CH"/>
              </w:rPr>
              <w:t xml:space="preserve"> entités des critères établis par le Conseil. Le Secrétaire général recommande que le Conseil approuve quatre des sept demandes d'exonération.</w:t>
            </w:r>
          </w:p>
          <w:p w14:paraId="693552F5" w14:textId="77777777" w:rsidR="00520F36" w:rsidRPr="0092392D" w:rsidRDefault="00520F36" w:rsidP="00116A63">
            <w:pPr>
              <w:pStyle w:val="Headingb"/>
              <w:rPr>
                <w:lang w:val="fr-CH"/>
              </w:rPr>
            </w:pPr>
            <w:r w:rsidRPr="0092392D">
              <w:rPr>
                <w:lang w:val="fr-CH"/>
              </w:rPr>
              <w:t>Suite à donner</w:t>
            </w:r>
          </w:p>
          <w:p w14:paraId="3DBC5EE4" w14:textId="77777777" w:rsidR="00520F36" w:rsidRPr="0092392D" w:rsidRDefault="00AB45CB" w:rsidP="00116A63">
            <w:pPr>
              <w:rPr>
                <w:lang w:val="fr-CH"/>
              </w:rPr>
            </w:pPr>
            <w:r w:rsidRPr="00AB45CB">
              <w:rPr>
                <w:lang w:val="fr-CH"/>
              </w:rPr>
              <w:t xml:space="preserve">Le Conseil est invité à </w:t>
            </w:r>
            <w:r w:rsidRPr="00AB45CB">
              <w:rPr>
                <w:b/>
                <w:bCs/>
                <w:lang w:val="fr-CH"/>
              </w:rPr>
              <w:t>examiner</w:t>
            </w:r>
            <w:r w:rsidRPr="00AB45CB">
              <w:rPr>
                <w:lang w:val="fr-CH"/>
              </w:rPr>
              <w:t xml:space="preserve"> ces demandes d'admission en qualité de Membre de Secteur exonéré de contribution financière, et à </w:t>
            </w:r>
            <w:r w:rsidRPr="00AB45CB">
              <w:rPr>
                <w:b/>
                <w:bCs/>
                <w:lang w:val="fr-CH"/>
              </w:rPr>
              <w:t>approuver</w:t>
            </w:r>
            <w:r w:rsidRPr="00AB45CB">
              <w:rPr>
                <w:lang w:val="fr-CH"/>
              </w:rPr>
              <w:t xml:space="preserve"> les recommandations formulées par le Secrétaire général.</w:t>
            </w:r>
          </w:p>
          <w:p w14:paraId="7E911B27" w14:textId="77777777" w:rsidR="00520F36" w:rsidRPr="0092392D" w:rsidRDefault="00520F36" w:rsidP="00116A63">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1FCBAE91" w14:textId="77777777" w:rsidR="00520F36" w:rsidRPr="0092392D" w:rsidRDefault="00520F36" w:rsidP="00116A63">
            <w:pPr>
              <w:pStyle w:val="Headingb"/>
              <w:rPr>
                <w:lang w:val="fr-CH"/>
              </w:rPr>
            </w:pPr>
            <w:r w:rsidRPr="0092392D">
              <w:rPr>
                <w:lang w:val="fr-CH"/>
              </w:rPr>
              <w:t>Références</w:t>
            </w:r>
          </w:p>
          <w:p w14:paraId="3C97AED7" w14:textId="341BC5F1" w:rsidR="00520F36" w:rsidRPr="0092392D" w:rsidRDefault="00D630D5" w:rsidP="0016113D">
            <w:pPr>
              <w:spacing w:after="120"/>
              <w:rPr>
                <w:i/>
                <w:iCs/>
                <w:lang w:val="fr-CH"/>
              </w:rPr>
            </w:pPr>
            <w:hyperlink r:id="rId7" w:history="1">
              <w:r w:rsidR="00AB45CB" w:rsidRPr="00AB45CB">
                <w:rPr>
                  <w:rStyle w:val="Hyperlink"/>
                  <w:i/>
                  <w:iCs/>
                  <w:lang w:val="fr-CH"/>
                </w:rPr>
                <w:t>Numéro 231 de la Convention</w:t>
              </w:r>
            </w:hyperlink>
            <w:r w:rsidR="0016113D">
              <w:rPr>
                <w:i/>
                <w:iCs/>
                <w:lang w:val="fr-CH"/>
              </w:rPr>
              <w:t>;</w:t>
            </w:r>
            <w:r w:rsidR="00AB45CB" w:rsidRPr="00AB45CB">
              <w:rPr>
                <w:i/>
                <w:iCs/>
                <w:lang w:val="fr-CH"/>
              </w:rPr>
              <w:t xml:space="preserve"> </w:t>
            </w:r>
            <w:hyperlink r:id="rId8" w:history="1">
              <w:r w:rsidR="00AB45CB" w:rsidRPr="00AB45CB">
                <w:rPr>
                  <w:rStyle w:val="Hyperlink"/>
                  <w:i/>
                  <w:iCs/>
                  <w:lang w:val="fr-CH"/>
                </w:rPr>
                <w:t>Résolution 187 (Busan, 2014) de la Conférence de plénipotentiaires</w:t>
              </w:r>
            </w:hyperlink>
            <w:r w:rsidR="0016113D">
              <w:rPr>
                <w:i/>
                <w:iCs/>
                <w:lang w:val="fr-CH"/>
              </w:rPr>
              <w:t>;</w:t>
            </w:r>
            <w:r w:rsidR="00AB45CB" w:rsidRPr="00AB45CB">
              <w:rPr>
                <w:i/>
                <w:iCs/>
                <w:lang w:val="fr-CH"/>
              </w:rPr>
              <w:t xml:space="preserve"> </w:t>
            </w:r>
            <w:hyperlink r:id="rId9" w:history="1">
              <w:r w:rsidR="00AB45CB" w:rsidRPr="00AB45CB">
                <w:rPr>
                  <w:rStyle w:val="Hyperlink"/>
                  <w:i/>
                  <w:iCs/>
                </w:rPr>
                <w:t>Documents C2000/28 (Rév.1)</w:t>
              </w:r>
            </w:hyperlink>
            <w:r w:rsidR="00AB45CB" w:rsidRPr="00AB45CB">
              <w:rPr>
                <w:i/>
                <w:iCs/>
              </w:rPr>
              <w:t xml:space="preserve">, </w:t>
            </w:r>
            <w:hyperlink r:id="rId10" w:history="1">
              <w:r w:rsidR="00AB45CB" w:rsidRPr="00AB45CB">
                <w:rPr>
                  <w:rStyle w:val="Hyperlink"/>
                  <w:i/>
                  <w:iCs/>
                </w:rPr>
                <w:t>C2001/26</w:t>
              </w:r>
            </w:hyperlink>
            <w:r w:rsidR="00AB45CB" w:rsidRPr="00AB45CB">
              <w:rPr>
                <w:i/>
                <w:iCs/>
              </w:rPr>
              <w:t xml:space="preserve">, </w:t>
            </w:r>
            <w:hyperlink r:id="rId11" w:history="1">
              <w:r w:rsidR="00AB45CB" w:rsidRPr="00AB45CB">
                <w:rPr>
                  <w:rStyle w:val="Hyperlink"/>
                  <w:i/>
                  <w:iCs/>
                </w:rPr>
                <w:t>C02/94 (paragraphe</w:t>
              </w:r>
              <w:r w:rsidR="00116A63">
                <w:rPr>
                  <w:rStyle w:val="Hyperlink"/>
                  <w:i/>
                  <w:iCs/>
                </w:rPr>
                <w:t> </w:t>
              </w:r>
              <w:r w:rsidR="00AB45CB" w:rsidRPr="00AB45CB">
                <w:rPr>
                  <w:rStyle w:val="Hyperlink"/>
                  <w:i/>
                  <w:iCs/>
                </w:rPr>
                <w:t>2)</w:t>
              </w:r>
            </w:hyperlink>
            <w:r w:rsidR="00AB45CB" w:rsidRPr="00AB45CB">
              <w:rPr>
                <w:i/>
                <w:iCs/>
              </w:rPr>
              <w:t xml:space="preserve">, </w:t>
            </w:r>
            <w:hyperlink r:id="rId12" w:history="1">
              <w:r w:rsidR="00AB45CB" w:rsidRPr="00AB45CB">
                <w:rPr>
                  <w:rStyle w:val="Hyperlink"/>
                  <w:i/>
                  <w:iCs/>
                </w:rPr>
                <w:t>C03/40 et Add.1</w:t>
              </w:r>
            </w:hyperlink>
            <w:r w:rsidR="00AB45CB" w:rsidRPr="00AB45CB">
              <w:rPr>
                <w:i/>
                <w:iCs/>
                <w:lang w:val="fr-CH"/>
              </w:rPr>
              <w:t xml:space="preserve">, </w:t>
            </w:r>
            <w:hyperlink r:id="rId13" w:history="1">
              <w:r w:rsidR="00AB45CB" w:rsidRPr="00AB45CB">
                <w:rPr>
                  <w:rStyle w:val="Hyperlink"/>
                  <w:i/>
                  <w:iCs/>
                  <w:lang w:val="fr-CH"/>
                </w:rPr>
                <w:t>C03-ADD/3</w:t>
              </w:r>
            </w:hyperlink>
            <w:r w:rsidR="00AB45CB" w:rsidRPr="00AB45CB">
              <w:rPr>
                <w:i/>
                <w:iCs/>
                <w:lang w:val="fr-CH"/>
              </w:rPr>
              <w:t xml:space="preserve"> et </w:t>
            </w:r>
            <w:hyperlink r:id="rId14" w:history="1">
              <w:r w:rsidR="00AB45CB" w:rsidRPr="00AB45CB">
                <w:rPr>
                  <w:rStyle w:val="Hyperlink"/>
                  <w:i/>
                  <w:iCs/>
                  <w:lang w:val="fr-CH"/>
                </w:rPr>
                <w:t>C05/40</w:t>
              </w:r>
            </w:hyperlink>
            <w:r w:rsidR="00AB45CB" w:rsidRPr="00AB45CB">
              <w:rPr>
                <w:i/>
                <w:iCs/>
                <w:u w:val="single"/>
                <w:lang w:val="fr-CH"/>
              </w:rPr>
              <w:t xml:space="preserve"> du Conseil</w:t>
            </w:r>
          </w:p>
        </w:tc>
      </w:tr>
    </w:tbl>
    <w:p w14:paraId="08EC3FE3" w14:textId="77777777" w:rsidR="00AB45CB" w:rsidRDefault="00AB45CB" w:rsidP="00116A63">
      <w:pPr>
        <w:pStyle w:val="Headingb"/>
        <w:spacing w:before="360"/>
        <w:rPr>
          <w:lang w:val="fr-CH"/>
        </w:rPr>
      </w:pPr>
      <w:r w:rsidRPr="00DA2006">
        <w:rPr>
          <w:lang w:val="fr-CH"/>
        </w:rPr>
        <w:t>Considérations générales</w:t>
      </w:r>
    </w:p>
    <w:p w14:paraId="5C314449" w14:textId="77777777" w:rsidR="008466D0" w:rsidRDefault="00AB45CB" w:rsidP="00116A63">
      <w:pPr>
        <w:rPr>
          <w:rFonts w:eastAsia="SimSun"/>
          <w:lang w:val="fr-CH" w:eastAsia="zh-CN"/>
        </w:rPr>
      </w:pPr>
      <w:r>
        <w:rPr>
          <w:lang w:val="fr-CH"/>
        </w:rPr>
        <w:t>1</w:t>
      </w:r>
      <w:r w:rsidRPr="00DA2006">
        <w:rPr>
          <w:lang w:val="fr-CH"/>
        </w:rPr>
        <w:tab/>
        <w:t>Les critères et principes directeurs régissant l'octroi d'exonérations, sous réserve de "réciprocité", ont été adoptés par le Conseil à sa session de 2000 (Document C2000/28(Rév.1)).</w:t>
      </w:r>
      <w:r w:rsidRPr="00DA2006">
        <w:rPr>
          <w:szCs w:val="24"/>
          <w:lang w:val="fr-CH"/>
        </w:rPr>
        <w:t xml:space="preserve"> </w:t>
      </w:r>
      <w:r w:rsidRPr="00DA2006">
        <w:rPr>
          <w:rFonts w:eastAsia="SimSun"/>
          <w:lang w:val="fr-CH" w:eastAsia="zh-CN"/>
        </w:rPr>
        <w:t xml:space="preserve">Les exonérations de paiement des droits sont accordées par le Conseil à la suite d'une analyse des Secteurs concernés et d'une recommandation du Secrétaire général. Les principaux critères sont notamment les suivants: l'entité doit être une organisation régionale ou internationale à but non </w:t>
      </w:r>
      <w:r w:rsidR="008466D0">
        <w:rPr>
          <w:rFonts w:eastAsia="SimSun"/>
          <w:lang w:val="fr-CH" w:eastAsia="zh-CN"/>
        </w:rPr>
        <w:br w:type="page"/>
      </w:r>
    </w:p>
    <w:p w14:paraId="6A5B9A57" w14:textId="2046EE50" w:rsidR="00AB45CB" w:rsidRDefault="00AB45CB" w:rsidP="00116A63">
      <w:pPr>
        <w:rPr>
          <w:rFonts w:eastAsia="SimSun"/>
          <w:lang w:val="fr-CH" w:eastAsia="zh-CN"/>
        </w:rPr>
      </w:pPr>
      <w:r w:rsidRPr="00DA2006">
        <w:rPr>
          <w:rFonts w:eastAsia="SimSun"/>
          <w:lang w:val="fr-CH" w:eastAsia="zh-CN"/>
        </w:rPr>
        <w:lastRenderedPageBreak/>
        <w:t xml:space="preserve">lucratif dans le domaine des télécommunications/TIC et doit offrir des avantages à l'UIT en échange de l'exonération. </w:t>
      </w:r>
      <w:r>
        <w:rPr>
          <w:rFonts w:eastAsia="SimSun"/>
          <w:lang w:val="fr-CH" w:eastAsia="zh-CN"/>
        </w:rPr>
        <w:t>Si leur demande est approuvée</w:t>
      </w:r>
      <w:r w:rsidRPr="00DA2006">
        <w:rPr>
          <w:rFonts w:eastAsia="SimSun"/>
          <w:lang w:val="fr-CH" w:eastAsia="zh-CN"/>
        </w:rPr>
        <w:t>, les entité</w:t>
      </w:r>
      <w:r>
        <w:rPr>
          <w:rFonts w:eastAsia="SimSun"/>
          <w:lang w:val="fr-CH" w:eastAsia="zh-CN"/>
        </w:rPr>
        <w:t>s concernées deviennent des </w:t>
      </w:r>
      <w:r w:rsidRPr="00DA2006">
        <w:rPr>
          <w:rFonts w:eastAsia="SimSun"/>
          <w:lang w:val="fr-CH" w:eastAsia="zh-CN"/>
        </w:rPr>
        <w:t>Membres de Secteur ou des Associés au titre du numéro 231 de la Convention. Actuellement</w:t>
      </w:r>
      <w:r>
        <w:rPr>
          <w:rFonts w:eastAsia="SimSun"/>
          <w:lang w:val="fr-CH" w:eastAsia="zh-CN"/>
        </w:rPr>
        <w:t>, 117 organisations régionales et</w:t>
      </w:r>
      <w:r w:rsidRPr="00DA2006">
        <w:rPr>
          <w:rFonts w:eastAsia="SimSun"/>
          <w:lang w:val="fr-CH" w:eastAsia="zh-CN"/>
        </w:rPr>
        <w:t xml:space="preserve"> internationales sont exonérées de droits.</w:t>
      </w:r>
    </w:p>
    <w:p w14:paraId="55C0D1F8" w14:textId="500A0E35" w:rsidR="00AB45CB" w:rsidRPr="00DA2006" w:rsidRDefault="00AB45CB" w:rsidP="00116A63">
      <w:pPr>
        <w:overflowPunct/>
        <w:autoSpaceDE/>
        <w:autoSpaceDN/>
        <w:adjustRightInd/>
        <w:spacing w:after="120"/>
        <w:textAlignment w:val="auto"/>
        <w:rPr>
          <w:rFonts w:eastAsia="SimSun"/>
          <w:bCs/>
          <w:iCs/>
          <w:szCs w:val="22"/>
          <w:lang w:val="fr-CH" w:eastAsia="zh-CN"/>
        </w:rPr>
      </w:pPr>
      <w:r>
        <w:rPr>
          <w:rFonts w:asciiTheme="minorHAnsi" w:hAnsiTheme="minorHAnsi" w:cs="Calibri"/>
          <w:szCs w:val="24"/>
          <w:lang w:val="fr-CH"/>
        </w:rPr>
        <w:t>2</w:t>
      </w:r>
      <w:r w:rsidRPr="00DA2006">
        <w:rPr>
          <w:rFonts w:asciiTheme="minorHAnsi" w:hAnsiTheme="minorHAnsi" w:cs="Calibri"/>
          <w:szCs w:val="24"/>
          <w:lang w:val="fr-CH"/>
        </w:rPr>
        <w:tab/>
      </w:r>
      <w:r w:rsidRPr="00DA2006">
        <w:rPr>
          <w:rFonts w:eastAsia="SimSun"/>
          <w:bCs/>
          <w:iCs/>
          <w:szCs w:val="22"/>
          <w:lang w:val="fr-CH" w:eastAsia="zh-CN"/>
        </w:rPr>
        <w:t xml:space="preserve">Par le biais de sa Résolution 187 (Busan, 2014), la PP-14 a chargé le Conseil "de revoir la pratique et les critères relatifs à l'exonération de certaines entités du paiement des droits de membre et d'apporter, le cas échéant, des modifications, afin de rendre les critères d'admissibilité plus stricts pour contribuer à améliorer la clarté, l'homogénéité et l'équité entre les membres qui paient des contributions et ceux qui n'en acquittent aucune et réduire le nombre total d'entités exonérées". </w:t>
      </w:r>
      <w:r w:rsidR="00676A97" w:rsidRPr="00DA2006">
        <w:rPr>
          <w:rFonts w:eastAsia="SimSun"/>
          <w:bCs/>
          <w:iCs/>
          <w:szCs w:val="22"/>
          <w:lang w:val="fr-CH" w:eastAsia="zh-CN"/>
        </w:rPr>
        <w:t>À</w:t>
      </w:r>
      <w:r w:rsidRPr="00DA2006">
        <w:rPr>
          <w:rFonts w:eastAsia="SimSun"/>
          <w:bCs/>
          <w:iCs/>
          <w:szCs w:val="22"/>
          <w:lang w:val="fr-CH" w:eastAsia="zh-CN"/>
        </w:rPr>
        <w:t xml:space="preserve"> la suite d</w:t>
      </w:r>
      <w:r>
        <w:rPr>
          <w:rFonts w:eastAsia="SimSun"/>
          <w:bCs/>
          <w:iCs/>
          <w:szCs w:val="22"/>
          <w:lang w:val="fr-CH" w:eastAsia="zh-CN"/>
        </w:rPr>
        <w:t>'</w:t>
      </w:r>
      <w:r w:rsidRPr="00DA2006">
        <w:rPr>
          <w:rFonts w:eastAsia="SimSun"/>
          <w:bCs/>
          <w:iCs/>
          <w:szCs w:val="22"/>
          <w:lang w:val="fr-CH" w:eastAsia="zh-CN"/>
        </w:rPr>
        <w:t>un examen approfondi réalisé par le GTC-FHR, le Conseil, à sa</w:t>
      </w:r>
      <w:r>
        <w:rPr>
          <w:rFonts w:eastAsia="SimSun"/>
          <w:bCs/>
          <w:iCs/>
          <w:szCs w:val="22"/>
          <w:lang w:val="fr-CH" w:eastAsia="zh-CN"/>
        </w:rPr>
        <w:t xml:space="preserve"> session de </w:t>
      </w:r>
      <w:r w:rsidRPr="00DA2006">
        <w:rPr>
          <w:rFonts w:eastAsia="SimSun"/>
          <w:bCs/>
          <w:iCs/>
          <w:szCs w:val="22"/>
          <w:lang w:val="fr-CH" w:eastAsia="zh-CN"/>
        </w:rPr>
        <w:t>2017,</w:t>
      </w:r>
      <w:r>
        <w:rPr>
          <w:rFonts w:eastAsia="SimSun"/>
          <w:bCs/>
          <w:iCs/>
          <w:szCs w:val="22"/>
          <w:lang w:val="fr-CH" w:eastAsia="zh-CN"/>
        </w:rPr>
        <w:t xml:space="preserve"> a révisé c</w:t>
      </w:r>
      <w:r w:rsidRPr="00DA2006">
        <w:rPr>
          <w:rFonts w:eastAsia="SimSun"/>
          <w:bCs/>
          <w:iCs/>
          <w:szCs w:val="22"/>
          <w:lang w:val="fr-CH" w:eastAsia="zh-CN"/>
        </w:rPr>
        <w:t>es critères, comme indiqué dans l</w:t>
      </w:r>
      <w:r>
        <w:rPr>
          <w:rFonts w:eastAsia="SimSun"/>
          <w:bCs/>
          <w:iCs/>
          <w:szCs w:val="22"/>
          <w:lang w:val="fr-CH" w:eastAsia="zh-CN"/>
        </w:rPr>
        <w:t>'</w:t>
      </w:r>
      <w:r w:rsidRPr="00DA2006">
        <w:rPr>
          <w:rFonts w:eastAsia="SimSun"/>
          <w:bCs/>
          <w:iCs/>
          <w:szCs w:val="22"/>
          <w:lang w:val="fr-CH" w:eastAsia="zh-CN"/>
        </w:rPr>
        <w:t>Annexe</w:t>
      </w:r>
      <w:r>
        <w:rPr>
          <w:rFonts w:eastAsia="SimSun"/>
          <w:bCs/>
          <w:iCs/>
          <w:szCs w:val="22"/>
          <w:lang w:val="fr-CH" w:eastAsia="zh-CN"/>
        </w:rPr>
        <w:t xml:space="preserve"> du présent document</w:t>
      </w:r>
      <w:r w:rsidRPr="00DA2006">
        <w:rPr>
          <w:rFonts w:eastAsia="SimSun"/>
          <w:bCs/>
          <w:iCs/>
          <w:szCs w:val="22"/>
          <w:lang w:val="fr-CH" w:eastAsia="zh-CN"/>
        </w:rPr>
        <w:t>. Les principales modifications apportées ont consisté à restreindre les définitions d</w:t>
      </w:r>
      <w:r>
        <w:rPr>
          <w:rFonts w:eastAsia="SimSun"/>
          <w:bCs/>
          <w:iCs/>
          <w:szCs w:val="22"/>
          <w:lang w:val="fr-CH" w:eastAsia="zh-CN"/>
        </w:rPr>
        <w:t>'organisation internationale/régionale et</w:t>
      </w:r>
      <w:r w:rsidRPr="00DA2006">
        <w:rPr>
          <w:rFonts w:eastAsia="SimSun"/>
          <w:bCs/>
          <w:iCs/>
          <w:szCs w:val="22"/>
          <w:lang w:val="fr-CH" w:eastAsia="zh-CN"/>
        </w:rPr>
        <w:t xml:space="preserve"> du terme </w:t>
      </w:r>
      <w:r>
        <w:rPr>
          <w:rFonts w:eastAsia="SimSun"/>
          <w:bCs/>
          <w:iCs/>
          <w:szCs w:val="22"/>
          <w:lang w:val="fr-CH" w:eastAsia="zh-CN"/>
        </w:rPr>
        <w:t>"</w:t>
      </w:r>
      <w:r w:rsidRPr="00DA2006">
        <w:rPr>
          <w:rFonts w:eastAsia="SimSun"/>
          <w:bCs/>
          <w:iCs/>
          <w:szCs w:val="22"/>
          <w:lang w:val="fr-CH" w:eastAsia="zh-CN"/>
        </w:rPr>
        <w:t>réciprocité</w:t>
      </w:r>
      <w:r>
        <w:rPr>
          <w:rFonts w:eastAsia="SimSun"/>
          <w:bCs/>
          <w:iCs/>
          <w:szCs w:val="22"/>
          <w:lang w:val="fr-CH" w:eastAsia="zh-CN"/>
        </w:rPr>
        <w:t>", ainsi qu'</w:t>
      </w:r>
      <w:r w:rsidRPr="00DA2006">
        <w:rPr>
          <w:rFonts w:eastAsia="SimSun"/>
          <w:bCs/>
          <w:iCs/>
          <w:szCs w:val="22"/>
          <w:lang w:val="fr-CH" w:eastAsia="zh-CN"/>
        </w:rPr>
        <w:t>à ne plus autoriser les associations du secteur comptant parmi leurs membres des entités à but lucratif à bénéficier d</w:t>
      </w:r>
      <w:r>
        <w:rPr>
          <w:rFonts w:eastAsia="SimSun"/>
          <w:bCs/>
          <w:iCs/>
          <w:szCs w:val="22"/>
          <w:lang w:val="fr-CH" w:eastAsia="zh-CN"/>
        </w:rPr>
        <w:t>'exonération du paiement des droits de membre</w:t>
      </w:r>
      <w:r w:rsidRPr="00DA2006">
        <w:rPr>
          <w:rFonts w:eastAsia="SimSun"/>
          <w:bCs/>
          <w:iCs/>
          <w:szCs w:val="22"/>
          <w:lang w:val="fr-CH" w:eastAsia="zh-CN"/>
        </w:rPr>
        <w:t xml:space="preserve">. </w:t>
      </w:r>
    </w:p>
    <w:p w14:paraId="614408AF" w14:textId="2F171099" w:rsidR="00AB45CB" w:rsidRPr="00C05460" w:rsidRDefault="00AB45CB" w:rsidP="00116A63">
      <w:pPr>
        <w:rPr>
          <w:lang w:val="fr-CH"/>
        </w:rPr>
      </w:pPr>
      <w:r w:rsidRPr="00DA2006">
        <w:rPr>
          <w:rFonts w:eastAsia="SimSun"/>
          <w:bCs/>
          <w:iCs/>
          <w:szCs w:val="22"/>
          <w:lang w:val="fr-CH" w:eastAsia="zh-CN"/>
        </w:rPr>
        <w:t xml:space="preserve">Les demandes </w:t>
      </w:r>
      <w:r w:rsidR="000418C4">
        <w:rPr>
          <w:rFonts w:eastAsia="SimSun"/>
          <w:bCs/>
          <w:iCs/>
          <w:szCs w:val="22"/>
          <w:lang w:val="fr-CH" w:eastAsia="zh-CN"/>
        </w:rPr>
        <w:t>d'exonération</w:t>
      </w:r>
      <w:r w:rsidRPr="00DA2006">
        <w:rPr>
          <w:rFonts w:eastAsia="SimSun"/>
          <w:bCs/>
          <w:iCs/>
          <w:szCs w:val="22"/>
          <w:lang w:val="fr-CH" w:eastAsia="zh-CN"/>
        </w:rPr>
        <w:t xml:space="preserve"> soumises au Conseil à sa session de </w:t>
      </w:r>
      <w:r>
        <w:rPr>
          <w:rFonts w:eastAsia="SimSun"/>
          <w:bCs/>
          <w:iCs/>
          <w:szCs w:val="22"/>
          <w:lang w:val="fr-CH" w:eastAsia="zh-CN"/>
        </w:rPr>
        <w:t>2019</w:t>
      </w:r>
      <w:r w:rsidRPr="00DA2006">
        <w:rPr>
          <w:rFonts w:eastAsia="SimSun"/>
          <w:bCs/>
          <w:iCs/>
          <w:szCs w:val="22"/>
          <w:lang w:val="fr-CH" w:eastAsia="zh-CN"/>
        </w:rPr>
        <w:t xml:space="preserve"> ont été évaluées au regard de ces critères révisés.</w:t>
      </w:r>
    </w:p>
    <w:p w14:paraId="0A0E0981" w14:textId="77777777" w:rsidR="00AB45CB" w:rsidRDefault="00AB45CB" w:rsidP="00116A63">
      <w:pPr>
        <w:pStyle w:val="Headingb"/>
        <w:rPr>
          <w:lang w:val="fr-CH"/>
        </w:rPr>
      </w:pPr>
      <w:r w:rsidRPr="00C05460">
        <w:rPr>
          <w:lang w:val="fr-CH"/>
        </w:rPr>
        <w:t>Recommandations</w:t>
      </w:r>
    </w:p>
    <w:p w14:paraId="578F4ADE" w14:textId="77777777" w:rsidR="00AB45CB" w:rsidRPr="00DA2006" w:rsidRDefault="00AB45CB" w:rsidP="00116A63">
      <w:pPr>
        <w:jc w:val="both"/>
        <w:rPr>
          <w:rFonts w:asciiTheme="minorHAnsi" w:hAnsiTheme="minorHAnsi" w:cs="Calibri"/>
          <w:szCs w:val="24"/>
          <w:lang w:val="fr-CH"/>
        </w:rPr>
      </w:pPr>
      <w:r>
        <w:rPr>
          <w:rFonts w:asciiTheme="minorHAnsi" w:hAnsiTheme="minorHAnsi" w:cs="Calibri"/>
          <w:szCs w:val="24"/>
          <w:lang w:val="fr-CH"/>
        </w:rPr>
        <w:t>3</w:t>
      </w:r>
      <w:r w:rsidRPr="00DA2006">
        <w:rPr>
          <w:rFonts w:asciiTheme="minorHAnsi" w:hAnsiTheme="minorHAnsi" w:cs="Calibri"/>
          <w:szCs w:val="24"/>
          <w:lang w:val="fr-CH"/>
        </w:rPr>
        <w:tab/>
        <w:t>Les demandes suivantes ont été reçues et sont soumises au Conseil à des fins d</w:t>
      </w:r>
      <w:r>
        <w:rPr>
          <w:rFonts w:asciiTheme="minorHAnsi" w:hAnsiTheme="minorHAnsi" w:cs="Calibri"/>
          <w:szCs w:val="24"/>
          <w:lang w:val="fr-CH"/>
        </w:rPr>
        <w:t>'</w:t>
      </w:r>
      <w:r w:rsidRPr="00DA2006">
        <w:rPr>
          <w:rFonts w:asciiTheme="minorHAnsi" w:hAnsiTheme="minorHAnsi" w:cs="Calibri"/>
          <w:szCs w:val="24"/>
          <w:lang w:val="fr-CH"/>
        </w:rPr>
        <w:t>examen:</w:t>
      </w:r>
    </w:p>
    <w:p w14:paraId="2F37F88C" w14:textId="77777777" w:rsidR="00AB45CB" w:rsidRPr="00DA2006" w:rsidRDefault="00AB45CB" w:rsidP="00116A63">
      <w:pPr>
        <w:spacing w:after="120"/>
        <w:rPr>
          <w:b/>
          <w:lang w:val="fr-CH"/>
        </w:rPr>
      </w:pPr>
      <w:r w:rsidRPr="00DA2006">
        <w:rPr>
          <w:lang w:val="fr-CH"/>
        </w:rPr>
        <w:t>3.1</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559"/>
        <w:gridCol w:w="2693"/>
      </w:tblGrid>
      <w:tr w:rsidR="00116A63" w:rsidRPr="00DA2006" w14:paraId="2F0A1415" w14:textId="77777777" w:rsidTr="008466D0">
        <w:trPr>
          <w:cantSplit/>
          <w:jc w:val="center"/>
        </w:trPr>
        <w:tc>
          <w:tcPr>
            <w:tcW w:w="4253" w:type="dxa"/>
            <w:vAlign w:val="center"/>
          </w:tcPr>
          <w:p w14:paraId="1146DACB" w14:textId="77777777" w:rsidR="00116A63" w:rsidRPr="00DA2006" w:rsidRDefault="00116A63" w:rsidP="008466D0">
            <w:pPr>
              <w:pStyle w:val="Tablehead"/>
              <w:spacing w:before="40" w:after="40"/>
              <w:rPr>
                <w:lang w:val="fr-CH"/>
              </w:rPr>
            </w:pPr>
            <w:r w:rsidRPr="00DA2006">
              <w:rPr>
                <w:lang w:val="fr-CH"/>
              </w:rPr>
              <w:t>Organisation</w:t>
            </w:r>
          </w:p>
        </w:tc>
        <w:tc>
          <w:tcPr>
            <w:tcW w:w="1559" w:type="dxa"/>
            <w:vAlign w:val="center"/>
          </w:tcPr>
          <w:p w14:paraId="66445F9B" w14:textId="77777777" w:rsidR="00116A63" w:rsidRPr="00DA2006" w:rsidRDefault="00116A63" w:rsidP="008466D0">
            <w:pPr>
              <w:pStyle w:val="Tablehead"/>
              <w:spacing w:before="40" w:after="40"/>
              <w:rPr>
                <w:lang w:val="fr-CH"/>
              </w:rPr>
            </w:pPr>
            <w:r w:rsidRPr="00DA2006">
              <w:rPr>
                <w:lang w:val="fr-CH"/>
              </w:rPr>
              <w:t>Secteur</w:t>
            </w:r>
          </w:p>
        </w:tc>
        <w:tc>
          <w:tcPr>
            <w:tcW w:w="2693" w:type="dxa"/>
            <w:vAlign w:val="center"/>
          </w:tcPr>
          <w:p w14:paraId="4C2E80A5" w14:textId="7DC0CA15" w:rsidR="00116A63" w:rsidRPr="00DA2006" w:rsidRDefault="00116A63" w:rsidP="008466D0">
            <w:pPr>
              <w:pStyle w:val="Tablehead"/>
              <w:spacing w:before="40" w:after="40"/>
              <w:rPr>
                <w:lang w:val="fr-CH"/>
              </w:rPr>
            </w:pPr>
            <w:r w:rsidRPr="00DA2006">
              <w:rPr>
                <w:lang w:val="fr-CH"/>
              </w:rPr>
              <w:t>Recommandation</w:t>
            </w:r>
            <w:r>
              <w:rPr>
                <w:lang w:val="fr-CH"/>
              </w:rPr>
              <w:t xml:space="preserve"> </w:t>
            </w:r>
            <w:r w:rsidRPr="00DA2006">
              <w:rPr>
                <w:lang w:val="fr-CH"/>
              </w:rPr>
              <w:t>du SG</w:t>
            </w:r>
          </w:p>
        </w:tc>
      </w:tr>
      <w:tr w:rsidR="00116A63" w:rsidRPr="00D05F3F" w14:paraId="071C7766" w14:textId="77777777" w:rsidTr="008466D0">
        <w:trPr>
          <w:cantSplit/>
          <w:jc w:val="center"/>
        </w:trPr>
        <w:tc>
          <w:tcPr>
            <w:tcW w:w="4253" w:type="dxa"/>
            <w:vAlign w:val="center"/>
          </w:tcPr>
          <w:p w14:paraId="30B130D0" w14:textId="77681627" w:rsidR="00116A63" w:rsidRPr="004F159D" w:rsidRDefault="00116A63" w:rsidP="008466D0">
            <w:pPr>
              <w:pStyle w:val="TableText0"/>
              <w:jc w:val="center"/>
              <w:rPr>
                <w:b/>
                <w:bCs/>
                <w:sz w:val="22"/>
                <w:szCs w:val="22"/>
                <w:lang w:val="en-US"/>
              </w:rPr>
            </w:pPr>
            <w:r w:rsidRPr="004F159D">
              <w:rPr>
                <w:b/>
                <w:bCs/>
                <w:sz w:val="22"/>
                <w:szCs w:val="22"/>
                <w:lang w:val="en-US"/>
              </w:rPr>
              <w:t xml:space="preserve">Internet Corporation </w:t>
            </w:r>
            <w:r>
              <w:rPr>
                <w:b/>
                <w:bCs/>
                <w:sz w:val="22"/>
                <w:szCs w:val="22"/>
                <w:lang w:val="en-US"/>
              </w:rPr>
              <w:t>for</w:t>
            </w:r>
            <w:r w:rsidRPr="004F159D">
              <w:rPr>
                <w:b/>
                <w:bCs/>
                <w:sz w:val="22"/>
                <w:szCs w:val="22"/>
                <w:lang w:val="en-US"/>
              </w:rPr>
              <w:t xml:space="preserve"> Assigned Names and Numbers (ICANN)</w:t>
            </w:r>
          </w:p>
        </w:tc>
        <w:tc>
          <w:tcPr>
            <w:tcW w:w="1559" w:type="dxa"/>
            <w:vAlign w:val="center"/>
          </w:tcPr>
          <w:p w14:paraId="18AA6478" w14:textId="77777777" w:rsidR="00116A63" w:rsidRPr="00D05F3F" w:rsidRDefault="00116A63" w:rsidP="008466D0">
            <w:pPr>
              <w:pStyle w:val="TableText0"/>
              <w:jc w:val="center"/>
              <w:rPr>
                <w:sz w:val="22"/>
                <w:szCs w:val="22"/>
              </w:rPr>
            </w:pPr>
            <w:r w:rsidRPr="00D05F3F">
              <w:rPr>
                <w:sz w:val="22"/>
                <w:szCs w:val="22"/>
              </w:rPr>
              <w:t>UIT-</w:t>
            </w:r>
            <w:r>
              <w:rPr>
                <w:sz w:val="22"/>
                <w:szCs w:val="22"/>
              </w:rPr>
              <w:t>D</w:t>
            </w:r>
          </w:p>
        </w:tc>
        <w:tc>
          <w:tcPr>
            <w:tcW w:w="2693" w:type="dxa"/>
            <w:vAlign w:val="center"/>
          </w:tcPr>
          <w:p w14:paraId="2BC030CA" w14:textId="77777777" w:rsidR="00116A63" w:rsidRPr="00D05F3F" w:rsidRDefault="00116A63" w:rsidP="008466D0">
            <w:pPr>
              <w:pStyle w:val="TableText0"/>
              <w:jc w:val="center"/>
              <w:rPr>
                <w:sz w:val="22"/>
                <w:szCs w:val="22"/>
              </w:rPr>
            </w:pPr>
            <w:r w:rsidRPr="00D05F3F">
              <w:rPr>
                <w:sz w:val="22"/>
                <w:szCs w:val="22"/>
              </w:rPr>
              <w:t>OUI</w:t>
            </w:r>
          </w:p>
        </w:tc>
      </w:tr>
    </w:tbl>
    <w:p w14:paraId="6A1D3881" w14:textId="6EE9087C" w:rsidR="00AB45CB" w:rsidRPr="00DA2006" w:rsidRDefault="00AB45CB" w:rsidP="00116A63">
      <w:pPr>
        <w:spacing w:before="240"/>
        <w:rPr>
          <w:rFonts w:asciiTheme="minorHAnsi" w:hAnsiTheme="minorHAnsi" w:cstheme="minorHAnsi"/>
          <w:szCs w:val="24"/>
          <w:lang w:val="fr-CH"/>
        </w:rPr>
      </w:pPr>
      <w:r w:rsidRPr="00DA2006">
        <w:rPr>
          <w:rFonts w:asciiTheme="minorHAnsi" w:hAnsiTheme="minorHAnsi" w:cstheme="minorHAnsi"/>
          <w:b/>
          <w:szCs w:val="24"/>
          <w:lang w:val="fr-CH"/>
        </w:rPr>
        <w:t>Commentaires</w:t>
      </w:r>
      <w:r w:rsidRPr="007A79C2">
        <w:rPr>
          <w:rFonts w:asciiTheme="minorHAnsi" w:hAnsiTheme="minorHAnsi" w:cstheme="minorHAnsi"/>
          <w:bCs/>
          <w:szCs w:val="24"/>
          <w:lang w:val="fr-CH"/>
        </w:rPr>
        <w:t>:</w:t>
      </w:r>
      <w:r>
        <w:rPr>
          <w:rFonts w:asciiTheme="minorHAnsi" w:hAnsiTheme="minorHAnsi" w:cstheme="minorHAnsi"/>
          <w:szCs w:val="24"/>
          <w:lang w:val="fr-CH"/>
        </w:rPr>
        <w:t xml:space="preserve"> </w:t>
      </w:r>
      <w:r w:rsidRPr="004F159D">
        <w:rPr>
          <w:rFonts w:asciiTheme="minorHAnsi" w:hAnsiTheme="minorHAnsi" w:cstheme="minorHAnsi"/>
          <w:szCs w:val="24"/>
          <w:lang w:val="fr-CH"/>
        </w:rPr>
        <w:t>L</w:t>
      </w:r>
      <w:r w:rsidR="004F159D" w:rsidRPr="004F159D">
        <w:rPr>
          <w:sz w:val="22"/>
          <w:szCs w:val="22"/>
          <w:lang w:val="fr-CH"/>
        </w:rPr>
        <w:t>'</w:t>
      </w:r>
      <w:r w:rsidR="004F159D" w:rsidRPr="004F159D">
        <w:rPr>
          <w:rFonts w:asciiTheme="minorHAnsi" w:hAnsiTheme="minorHAnsi" w:cstheme="minorHAnsi"/>
          <w:szCs w:val="24"/>
        </w:rPr>
        <w:t>Internet Corporation for Assigned Names and Numbers</w:t>
      </w:r>
      <w:r>
        <w:rPr>
          <w:rFonts w:asciiTheme="minorHAnsi" w:hAnsiTheme="minorHAnsi" w:cstheme="minorHAnsi"/>
          <w:szCs w:val="24"/>
          <w:lang w:val="fr-CH"/>
        </w:rPr>
        <w:t xml:space="preserve"> (ICANN) est une organisation à but non lucratif chargée de coordonner la tenue de plusieurs bases de données relatives aux espaces de noms et aux espaces numériques de l'Internet ainsi que les </w:t>
      </w:r>
      <w:r>
        <w:rPr>
          <w:rFonts w:asciiTheme="minorHAnsi" w:hAnsiTheme="minorHAnsi" w:cstheme="minorHAnsi"/>
          <w:szCs w:val="24"/>
          <w:lang w:val="fr-CH"/>
        </w:rPr>
        <w:lastRenderedPageBreak/>
        <w:t>procédures associées pour faire en sorte que le réseau fonctionne de manière stable et sécurisée.</w:t>
      </w:r>
      <w:r w:rsidRPr="00DA2006">
        <w:rPr>
          <w:rFonts w:asciiTheme="minorHAnsi" w:hAnsiTheme="minorHAnsi" w:cs="Calibri"/>
          <w:lang w:val="fr-CH"/>
        </w:rPr>
        <w:t xml:space="preserve"> Le </w:t>
      </w:r>
      <w:r>
        <w:rPr>
          <w:rFonts w:asciiTheme="minorHAnsi" w:hAnsiTheme="minorHAnsi" w:cs="Calibri"/>
          <w:lang w:val="fr-CH"/>
        </w:rPr>
        <w:t>s</w:t>
      </w:r>
      <w:r w:rsidRPr="00DA2006">
        <w:rPr>
          <w:rFonts w:asciiTheme="minorHAnsi" w:hAnsiTheme="minorHAnsi" w:cs="Calibri"/>
          <w:lang w:val="fr-CH"/>
        </w:rPr>
        <w:t xml:space="preserve">ecrétariat estime que </w:t>
      </w:r>
      <w:r>
        <w:rPr>
          <w:rFonts w:asciiTheme="minorHAnsi" w:hAnsiTheme="minorHAnsi" w:cs="Calibri"/>
          <w:lang w:val="fr-CH"/>
        </w:rPr>
        <w:t>l'ICANN</w:t>
      </w:r>
      <w:r w:rsidRPr="00DA2006">
        <w:rPr>
          <w:rFonts w:asciiTheme="minorHAnsi" w:hAnsiTheme="minorHAnsi" w:cs="Calibri"/>
          <w:lang w:val="fr-CH"/>
        </w:rPr>
        <w:t xml:space="preserve"> remplit les critères </w:t>
      </w:r>
      <w:r>
        <w:rPr>
          <w:rFonts w:asciiTheme="minorHAnsi" w:hAnsiTheme="minorHAnsi" w:cs="Calibri"/>
          <w:lang w:val="fr-CH"/>
        </w:rPr>
        <w:t>d'exonération pour l'UIT-D</w:t>
      </w:r>
      <w:r w:rsidRPr="00DA2006">
        <w:rPr>
          <w:rFonts w:asciiTheme="minorHAnsi" w:hAnsiTheme="minorHAnsi" w:cs="Calibri"/>
          <w:lang w:val="fr-CH"/>
        </w:rPr>
        <w:t>.</w:t>
      </w:r>
    </w:p>
    <w:p w14:paraId="7E0D8C65" w14:textId="77777777" w:rsidR="00AB45CB" w:rsidRPr="00DA2006" w:rsidRDefault="00AB45CB" w:rsidP="00116A63">
      <w:pPr>
        <w:spacing w:after="120"/>
        <w:rPr>
          <w:rFonts w:asciiTheme="minorHAnsi" w:hAnsiTheme="minorHAnsi" w:cs="Calibri"/>
          <w:szCs w:val="24"/>
          <w:lang w:val="fr-CH"/>
        </w:rPr>
      </w:pPr>
      <w:r w:rsidRPr="00DA2006">
        <w:rPr>
          <w:rFonts w:asciiTheme="minorHAnsi" w:hAnsiTheme="minorHAnsi" w:cs="Calibri"/>
          <w:szCs w:val="24"/>
          <w:lang w:val="fr-CH"/>
        </w:rPr>
        <w:t>3.2</w:t>
      </w:r>
    </w:p>
    <w:tbl>
      <w:tblPr>
        <w:tblW w:w="83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568"/>
        <w:gridCol w:w="2552"/>
      </w:tblGrid>
      <w:tr w:rsidR="00F7445C" w:rsidRPr="00A576F5" w14:paraId="7B862A4C" w14:textId="77777777" w:rsidTr="008466D0">
        <w:trPr>
          <w:cantSplit/>
          <w:jc w:val="center"/>
        </w:trPr>
        <w:tc>
          <w:tcPr>
            <w:tcW w:w="4253" w:type="dxa"/>
            <w:vAlign w:val="center"/>
          </w:tcPr>
          <w:p w14:paraId="68CFEF3B" w14:textId="77777777" w:rsidR="00F7445C" w:rsidRPr="00A576F5" w:rsidRDefault="00F7445C" w:rsidP="008466D0">
            <w:pPr>
              <w:pStyle w:val="Tablehead"/>
              <w:spacing w:before="40" w:after="40"/>
              <w:rPr>
                <w:szCs w:val="22"/>
              </w:rPr>
            </w:pPr>
            <w:r w:rsidRPr="00A576F5">
              <w:rPr>
                <w:szCs w:val="22"/>
              </w:rPr>
              <w:t>Organisation</w:t>
            </w:r>
          </w:p>
        </w:tc>
        <w:tc>
          <w:tcPr>
            <w:tcW w:w="1568" w:type="dxa"/>
            <w:vAlign w:val="center"/>
          </w:tcPr>
          <w:p w14:paraId="0C19A40C" w14:textId="77777777" w:rsidR="00F7445C" w:rsidRPr="00A576F5" w:rsidRDefault="00F7445C" w:rsidP="008466D0">
            <w:pPr>
              <w:pStyle w:val="Tablehead"/>
              <w:spacing w:before="40" w:after="40"/>
              <w:rPr>
                <w:szCs w:val="22"/>
              </w:rPr>
            </w:pPr>
            <w:r w:rsidRPr="00A576F5">
              <w:rPr>
                <w:szCs w:val="22"/>
              </w:rPr>
              <w:t>Secteur</w:t>
            </w:r>
          </w:p>
        </w:tc>
        <w:tc>
          <w:tcPr>
            <w:tcW w:w="2552" w:type="dxa"/>
            <w:vAlign w:val="center"/>
          </w:tcPr>
          <w:p w14:paraId="461A56F1" w14:textId="1CF74E60" w:rsidR="00F7445C" w:rsidRPr="00A576F5" w:rsidRDefault="00F7445C" w:rsidP="008466D0">
            <w:pPr>
              <w:pStyle w:val="Tablehead"/>
              <w:spacing w:before="40" w:after="40"/>
              <w:rPr>
                <w:szCs w:val="22"/>
              </w:rPr>
            </w:pPr>
            <w:r w:rsidRPr="00A576F5">
              <w:rPr>
                <w:szCs w:val="22"/>
              </w:rPr>
              <w:t>Recommandation</w:t>
            </w:r>
            <w:r w:rsidR="00A576F5" w:rsidRPr="00A576F5">
              <w:rPr>
                <w:szCs w:val="22"/>
              </w:rPr>
              <w:t xml:space="preserve"> </w:t>
            </w:r>
            <w:r w:rsidRPr="00A576F5">
              <w:rPr>
                <w:szCs w:val="22"/>
              </w:rPr>
              <w:t>du SG</w:t>
            </w:r>
          </w:p>
        </w:tc>
      </w:tr>
      <w:tr w:rsidR="00F7445C" w:rsidRPr="00A576F5" w14:paraId="7612EAAB" w14:textId="77777777" w:rsidTr="008466D0">
        <w:trPr>
          <w:cantSplit/>
          <w:jc w:val="center"/>
        </w:trPr>
        <w:tc>
          <w:tcPr>
            <w:tcW w:w="4253" w:type="dxa"/>
            <w:vAlign w:val="center"/>
          </w:tcPr>
          <w:p w14:paraId="6511A223" w14:textId="77777777" w:rsidR="00F7445C" w:rsidRPr="00754BC4" w:rsidRDefault="00F7445C" w:rsidP="008466D0">
            <w:pPr>
              <w:pStyle w:val="TableText0"/>
              <w:jc w:val="center"/>
              <w:rPr>
                <w:b/>
                <w:bCs/>
                <w:sz w:val="22"/>
                <w:szCs w:val="22"/>
                <w:lang w:val="fr-FR"/>
              </w:rPr>
            </w:pPr>
            <w:r w:rsidRPr="00754BC4">
              <w:rPr>
                <w:b/>
                <w:bCs/>
                <w:sz w:val="22"/>
                <w:szCs w:val="22"/>
                <w:lang w:val="fr-FR"/>
              </w:rPr>
              <w:t>Organisation</w:t>
            </w:r>
            <w:r w:rsidRPr="00676A97">
              <w:rPr>
                <w:b/>
                <w:bCs/>
                <w:sz w:val="22"/>
                <w:szCs w:val="22"/>
                <w:lang w:val="fr-BE"/>
              </w:rPr>
              <w:t xml:space="preserve"> européenne</w:t>
            </w:r>
            <w:r w:rsidRPr="00754BC4">
              <w:rPr>
                <w:b/>
                <w:bCs/>
                <w:sz w:val="22"/>
                <w:szCs w:val="22"/>
                <w:lang w:val="fr-FR"/>
              </w:rPr>
              <w:t xml:space="preserve"> des</w:t>
            </w:r>
            <w:r w:rsidRPr="00676A97">
              <w:rPr>
                <w:b/>
                <w:bCs/>
                <w:sz w:val="22"/>
                <w:szCs w:val="22"/>
                <w:lang w:val="fr-BE"/>
              </w:rPr>
              <w:t xml:space="preserve"> radioamateurs</w:t>
            </w:r>
            <w:r w:rsidRPr="00754BC4">
              <w:rPr>
                <w:b/>
                <w:bCs/>
                <w:sz w:val="22"/>
                <w:szCs w:val="22"/>
                <w:lang w:val="fr-FR"/>
              </w:rPr>
              <w:t xml:space="preserve"> (EURAO)</w:t>
            </w:r>
          </w:p>
        </w:tc>
        <w:tc>
          <w:tcPr>
            <w:tcW w:w="1568" w:type="dxa"/>
            <w:vAlign w:val="center"/>
          </w:tcPr>
          <w:p w14:paraId="708614B8" w14:textId="7DC98C6F" w:rsidR="00F7445C" w:rsidRPr="00A576F5" w:rsidRDefault="00F7445C" w:rsidP="008466D0">
            <w:pPr>
              <w:pStyle w:val="TableText0"/>
              <w:jc w:val="center"/>
              <w:rPr>
                <w:sz w:val="22"/>
                <w:szCs w:val="22"/>
              </w:rPr>
            </w:pPr>
            <w:r w:rsidRPr="00A576F5">
              <w:rPr>
                <w:sz w:val="22"/>
                <w:szCs w:val="22"/>
              </w:rPr>
              <w:t>UIT-R</w:t>
            </w:r>
          </w:p>
        </w:tc>
        <w:tc>
          <w:tcPr>
            <w:tcW w:w="2552" w:type="dxa"/>
            <w:vAlign w:val="center"/>
          </w:tcPr>
          <w:p w14:paraId="21488494" w14:textId="56866B27" w:rsidR="00F7445C" w:rsidRPr="00A576F5" w:rsidRDefault="00F7445C" w:rsidP="008466D0">
            <w:pPr>
              <w:pStyle w:val="TableText0"/>
              <w:jc w:val="center"/>
              <w:rPr>
                <w:sz w:val="22"/>
                <w:szCs w:val="22"/>
              </w:rPr>
            </w:pPr>
            <w:r w:rsidRPr="00A576F5">
              <w:rPr>
                <w:sz w:val="22"/>
                <w:szCs w:val="22"/>
              </w:rPr>
              <w:t>OUI</w:t>
            </w:r>
          </w:p>
        </w:tc>
      </w:tr>
    </w:tbl>
    <w:p w14:paraId="73F90D48" w14:textId="567FC9B1" w:rsidR="00AB45CB" w:rsidRPr="00DA2006" w:rsidRDefault="00AB45CB" w:rsidP="00116A63">
      <w:pPr>
        <w:spacing w:before="240" w:after="120"/>
        <w:rPr>
          <w:rFonts w:asciiTheme="minorHAnsi" w:hAnsiTheme="minorHAnsi" w:cs="Calibri"/>
          <w:lang w:val="fr-CH"/>
        </w:rPr>
      </w:pPr>
      <w:r w:rsidRPr="00DA2006">
        <w:rPr>
          <w:rFonts w:asciiTheme="minorHAnsi" w:hAnsiTheme="minorHAnsi" w:cs="Calibri"/>
          <w:b/>
          <w:lang w:val="fr-CH"/>
        </w:rPr>
        <w:t>Commentaires</w:t>
      </w:r>
      <w:r w:rsidRPr="00D05F3F">
        <w:rPr>
          <w:rFonts w:asciiTheme="minorHAnsi" w:hAnsiTheme="minorHAnsi" w:cs="Calibri"/>
          <w:bCs/>
          <w:lang w:val="fr-CH"/>
        </w:rPr>
        <w:t>:</w:t>
      </w:r>
      <w:r>
        <w:rPr>
          <w:rFonts w:asciiTheme="minorHAnsi" w:hAnsiTheme="minorHAnsi" w:cs="Calibri"/>
          <w:lang w:val="fr-CH"/>
        </w:rPr>
        <w:t xml:space="preserve"> L'organisation européenne des radioamateurs (EURAO), créée en 2005, constitue un point de rencontre pour les associations indépendantes de radioamateurs et les radioamateurs indépendants d'environ 70 pays d'Europe et du monde entier. Les membres de l'EURAO échangent au sujet d'activités, d'expériences et de services communs et s'associent dans le cadre de projets. En outre, l'EURAO représente ses membres auprès des administrations publiques. Le secrétariat estime que l'EURAO remplit les critères d'exonération pour l'UIT-R.</w:t>
      </w:r>
    </w:p>
    <w:p w14:paraId="347F6FCE" w14:textId="77777777" w:rsidR="00AB45CB" w:rsidRPr="00DA2006" w:rsidRDefault="00AB45CB" w:rsidP="00D907DB">
      <w:pPr>
        <w:keepNext/>
        <w:keepLines/>
        <w:spacing w:before="360" w:after="60"/>
        <w:rPr>
          <w:rFonts w:asciiTheme="minorHAnsi" w:hAnsiTheme="minorHAnsi" w:cs="Calibri"/>
          <w:szCs w:val="24"/>
          <w:lang w:val="fr-CH"/>
        </w:rPr>
      </w:pPr>
      <w:r w:rsidRPr="00DA2006">
        <w:rPr>
          <w:rFonts w:asciiTheme="minorHAnsi" w:hAnsiTheme="minorHAnsi" w:cs="Calibri"/>
          <w:szCs w:val="24"/>
          <w:lang w:val="fr-CH"/>
        </w:rPr>
        <w:t>3.3</w:t>
      </w: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61"/>
        <w:gridCol w:w="1926"/>
        <w:gridCol w:w="2610"/>
      </w:tblGrid>
      <w:tr w:rsidR="00120883" w:rsidRPr="00120883" w14:paraId="0A7239BC" w14:textId="77777777" w:rsidTr="008466D0">
        <w:trPr>
          <w:cantSplit/>
          <w:jc w:val="center"/>
        </w:trPr>
        <w:tc>
          <w:tcPr>
            <w:tcW w:w="3961" w:type="dxa"/>
            <w:vAlign w:val="center"/>
          </w:tcPr>
          <w:p w14:paraId="17F0F400" w14:textId="77777777" w:rsidR="00120883" w:rsidRPr="00120883" w:rsidRDefault="00120883" w:rsidP="00D907DB">
            <w:pPr>
              <w:pStyle w:val="Tablehead"/>
              <w:keepNext/>
              <w:keepLines/>
              <w:spacing w:before="40" w:after="40"/>
              <w:rPr>
                <w:szCs w:val="22"/>
              </w:rPr>
            </w:pPr>
            <w:r w:rsidRPr="00120883">
              <w:rPr>
                <w:szCs w:val="22"/>
              </w:rPr>
              <w:t>Organisation</w:t>
            </w:r>
          </w:p>
        </w:tc>
        <w:tc>
          <w:tcPr>
            <w:tcW w:w="1926" w:type="dxa"/>
            <w:vAlign w:val="center"/>
          </w:tcPr>
          <w:p w14:paraId="11CD6664" w14:textId="77777777" w:rsidR="00120883" w:rsidRPr="00120883" w:rsidRDefault="00120883" w:rsidP="00D907DB">
            <w:pPr>
              <w:pStyle w:val="Tablehead"/>
              <w:keepNext/>
              <w:keepLines/>
              <w:spacing w:before="40" w:after="40"/>
              <w:rPr>
                <w:szCs w:val="22"/>
              </w:rPr>
            </w:pPr>
            <w:r w:rsidRPr="00120883">
              <w:rPr>
                <w:szCs w:val="22"/>
              </w:rPr>
              <w:t>Secteur</w:t>
            </w:r>
          </w:p>
        </w:tc>
        <w:tc>
          <w:tcPr>
            <w:tcW w:w="2610" w:type="dxa"/>
            <w:vAlign w:val="center"/>
          </w:tcPr>
          <w:p w14:paraId="7D679954" w14:textId="3323DDB5" w:rsidR="00120883" w:rsidRPr="00120883" w:rsidRDefault="00120883" w:rsidP="00D907DB">
            <w:pPr>
              <w:pStyle w:val="Tablehead"/>
              <w:keepNext/>
              <w:keepLines/>
              <w:spacing w:before="40" w:after="40"/>
              <w:rPr>
                <w:szCs w:val="22"/>
              </w:rPr>
            </w:pPr>
            <w:r w:rsidRPr="00120883">
              <w:rPr>
                <w:szCs w:val="22"/>
              </w:rPr>
              <w:t>Recommandation</w:t>
            </w:r>
            <w:r>
              <w:rPr>
                <w:szCs w:val="22"/>
              </w:rPr>
              <w:t xml:space="preserve"> </w:t>
            </w:r>
            <w:r w:rsidRPr="00120883">
              <w:rPr>
                <w:szCs w:val="22"/>
              </w:rPr>
              <w:t>du SG</w:t>
            </w:r>
          </w:p>
        </w:tc>
      </w:tr>
      <w:tr w:rsidR="00120883" w:rsidRPr="00D05F3F" w14:paraId="440BAFE9" w14:textId="77777777" w:rsidTr="008466D0">
        <w:trPr>
          <w:cantSplit/>
          <w:jc w:val="center"/>
        </w:trPr>
        <w:tc>
          <w:tcPr>
            <w:tcW w:w="3961" w:type="dxa"/>
            <w:vAlign w:val="center"/>
          </w:tcPr>
          <w:p w14:paraId="5B1D8B7B" w14:textId="77777777" w:rsidR="00120883" w:rsidRPr="005F3E8F" w:rsidRDefault="00120883" w:rsidP="00D907DB">
            <w:pPr>
              <w:pStyle w:val="TableText0"/>
              <w:keepNext/>
              <w:keepLines/>
              <w:jc w:val="center"/>
              <w:rPr>
                <w:sz w:val="22"/>
                <w:szCs w:val="22"/>
                <w:lang w:val="fr-CH"/>
              </w:rPr>
            </w:pPr>
            <w:r w:rsidRPr="00A140A5">
              <w:rPr>
                <w:b/>
                <w:bCs/>
                <w:sz w:val="22"/>
                <w:szCs w:val="22"/>
                <w:lang w:val="fr-FR"/>
              </w:rPr>
              <w:t>Organisation des télécommunications du Commonwealth (CTO)</w:t>
            </w:r>
          </w:p>
        </w:tc>
        <w:tc>
          <w:tcPr>
            <w:tcW w:w="1926" w:type="dxa"/>
            <w:vAlign w:val="center"/>
          </w:tcPr>
          <w:p w14:paraId="177CD1A4" w14:textId="77777777" w:rsidR="00120883" w:rsidRPr="00D05F3F" w:rsidRDefault="00120883" w:rsidP="00D907DB">
            <w:pPr>
              <w:pStyle w:val="TableText0"/>
              <w:keepNext/>
              <w:keepLines/>
              <w:jc w:val="center"/>
              <w:rPr>
                <w:sz w:val="22"/>
                <w:szCs w:val="22"/>
              </w:rPr>
            </w:pPr>
            <w:r w:rsidRPr="00D05F3F">
              <w:rPr>
                <w:sz w:val="22"/>
                <w:szCs w:val="22"/>
              </w:rPr>
              <w:t>UIT-</w:t>
            </w:r>
            <w:r>
              <w:rPr>
                <w:sz w:val="22"/>
                <w:szCs w:val="22"/>
              </w:rPr>
              <w:t>R</w:t>
            </w:r>
          </w:p>
        </w:tc>
        <w:tc>
          <w:tcPr>
            <w:tcW w:w="2610" w:type="dxa"/>
            <w:vAlign w:val="center"/>
          </w:tcPr>
          <w:p w14:paraId="402E1C97" w14:textId="77777777" w:rsidR="00120883" w:rsidRPr="00D05F3F" w:rsidRDefault="00120883" w:rsidP="00D907DB">
            <w:pPr>
              <w:pStyle w:val="TableText0"/>
              <w:keepNext/>
              <w:keepLines/>
              <w:jc w:val="center"/>
              <w:rPr>
                <w:sz w:val="22"/>
                <w:szCs w:val="22"/>
              </w:rPr>
            </w:pPr>
            <w:r>
              <w:rPr>
                <w:sz w:val="22"/>
                <w:szCs w:val="22"/>
              </w:rPr>
              <w:t>OUI</w:t>
            </w:r>
          </w:p>
        </w:tc>
      </w:tr>
    </w:tbl>
    <w:p w14:paraId="31AEB92F" w14:textId="0B6ADB90" w:rsidR="00AB45CB" w:rsidRPr="00A140A5" w:rsidRDefault="00AB45CB" w:rsidP="00116A63">
      <w:pPr>
        <w:spacing w:before="240" w:after="120"/>
        <w:rPr>
          <w:rFonts w:asciiTheme="minorHAnsi" w:hAnsiTheme="minorHAnsi" w:cs="Calibri"/>
          <w:lang w:val="fr-CH"/>
        </w:rPr>
      </w:pPr>
      <w:r>
        <w:rPr>
          <w:rFonts w:asciiTheme="minorHAnsi" w:hAnsiTheme="minorHAnsi" w:cs="Calibri"/>
          <w:b/>
          <w:bCs/>
          <w:lang w:val="fr-CH"/>
        </w:rPr>
        <w:t>Commentaires</w:t>
      </w:r>
      <w:r>
        <w:rPr>
          <w:rFonts w:asciiTheme="minorHAnsi" w:hAnsiTheme="minorHAnsi" w:cs="Calibri"/>
          <w:lang w:val="fr-CH"/>
        </w:rPr>
        <w:t xml:space="preserve">: L'Organisation des télécommunications du Commonwealth (CTO) est une organisation intergouvernementale dans le domaine des TIC. La CTO </w:t>
      </w:r>
      <w:r w:rsidR="002515AB">
        <w:rPr>
          <w:rFonts w:asciiTheme="minorHAnsi" w:hAnsiTheme="minorHAnsi" w:cs="Calibri"/>
          <w:lang w:val="fr-CH"/>
        </w:rPr>
        <w:t xml:space="preserve">est composée </w:t>
      </w:r>
      <w:r>
        <w:rPr>
          <w:rFonts w:asciiTheme="minorHAnsi" w:hAnsiTheme="minorHAnsi" w:cs="Calibri"/>
          <w:lang w:val="fr-CH"/>
        </w:rPr>
        <w:t>de membres</w:t>
      </w:r>
      <w:r w:rsidR="002515AB">
        <w:rPr>
          <w:rFonts w:asciiTheme="minorHAnsi" w:hAnsiTheme="minorHAnsi" w:cs="Calibri"/>
          <w:lang w:val="fr-CH"/>
        </w:rPr>
        <w:t xml:space="preserve"> très divers</w:t>
      </w:r>
      <w:r>
        <w:rPr>
          <w:rFonts w:asciiTheme="minorHAnsi" w:hAnsiTheme="minorHAnsi" w:cs="Calibri"/>
          <w:lang w:val="fr-CH"/>
        </w:rPr>
        <w:t xml:space="preserve">, </w:t>
      </w:r>
      <w:r w:rsidR="002515AB">
        <w:rPr>
          <w:rFonts w:asciiTheme="minorHAnsi" w:hAnsiTheme="minorHAnsi" w:cs="Calibri"/>
          <w:lang w:val="fr-CH"/>
        </w:rPr>
        <w:t xml:space="preserve">comprenant </w:t>
      </w:r>
      <w:r>
        <w:rPr>
          <w:rFonts w:asciiTheme="minorHAnsi" w:hAnsiTheme="minorHAnsi" w:cs="Calibri"/>
          <w:lang w:val="fr-CH"/>
        </w:rPr>
        <w:t xml:space="preserve">des pays développés, des pays en développement, des pays les moins avancés, des petits États insulaires en développement et des pays en développement sans littoral. Les politiques, les décisions et les mesures doivent donc répondre aux besoins de ce large éventail de membres. La CTO est une organisation créée par un traité international et, de ce fait, il s'agit d'une entité à but non lucratif. La CTO est déjà exonérée de contribution en tant que Membre des Secteurs UIT-T et UIT-D. Le secrétariat estime que la CTO remplit les critères d'exonération pour l'UIT-R. </w:t>
      </w:r>
    </w:p>
    <w:p w14:paraId="17031605" w14:textId="77777777" w:rsidR="00AB45CB" w:rsidRPr="00DA2006" w:rsidRDefault="00AB45CB" w:rsidP="00116A63">
      <w:pPr>
        <w:spacing w:before="240" w:after="120"/>
        <w:jc w:val="both"/>
        <w:rPr>
          <w:rFonts w:asciiTheme="minorHAnsi" w:hAnsiTheme="minorHAnsi" w:cs="Calibri"/>
          <w:szCs w:val="24"/>
          <w:lang w:val="fr-CH"/>
        </w:rPr>
      </w:pPr>
      <w:r>
        <w:rPr>
          <w:rFonts w:asciiTheme="minorHAnsi" w:hAnsiTheme="minorHAnsi" w:cs="Calibri"/>
          <w:szCs w:val="24"/>
          <w:lang w:val="fr-CH"/>
        </w:rPr>
        <w:t>3.4</w:t>
      </w: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87"/>
        <w:gridCol w:w="1984"/>
        <w:gridCol w:w="2552"/>
      </w:tblGrid>
      <w:tr w:rsidR="00F31FB3" w:rsidRPr="00F31FB3" w14:paraId="61D5F857" w14:textId="77777777" w:rsidTr="008466D0">
        <w:trPr>
          <w:cantSplit/>
          <w:jc w:val="center"/>
        </w:trPr>
        <w:tc>
          <w:tcPr>
            <w:tcW w:w="4387" w:type="dxa"/>
            <w:vAlign w:val="center"/>
          </w:tcPr>
          <w:p w14:paraId="6C707E67" w14:textId="77777777" w:rsidR="00F31FB3" w:rsidRPr="00F31FB3" w:rsidRDefault="00F31FB3" w:rsidP="008466D0">
            <w:pPr>
              <w:pStyle w:val="Tablehead"/>
              <w:spacing w:before="40" w:after="40"/>
              <w:rPr>
                <w:szCs w:val="22"/>
              </w:rPr>
            </w:pPr>
            <w:r w:rsidRPr="00F31FB3">
              <w:rPr>
                <w:szCs w:val="22"/>
              </w:rPr>
              <w:lastRenderedPageBreak/>
              <w:t>Organisation</w:t>
            </w:r>
          </w:p>
        </w:tc>
        <w:tc>
          <w:tcPr>
            <w:tcW w:w="1984" w:type="dxa"/>
            <w:vAlign w:val="center"/>
          </w:tcPr>
          <w:p w14:paraId="32AE2549" w14:textId="77777777" w:rsidR="00F31FB3" w:rsidRPr="00F31FB3" w:rsidRDefault="00F31FB3" w:rsidP="008466D0">
            <w:pPr>
              <w:pStyle w:val="Tablehead"/>
              <w:spacing w:before="40" w:after="40"/>
              <w:rPr>
                <w:szCs w:val="22"/>
              </w:rPr>
            </w:pPr>
            <w:r w:rsidRPr="00F31FB3">
              <w:rPr>
                <w:szCs w:val="22"/>
              </w:rPr>
              <w:t>Secteur</w:t>
            </w:r>
          </w:p>
        </w:tc>
        <w:tc>
          <w:tcPr>
            <w:tcW w:w="2552" w:type="dxa"/>
            <w:vAlign w:val="center"/>
          </w:tcPr>
          <w:p w14:paraId="32CF9D65" w14:textId="769DD4BC" w:rsidR="00F31FB3" w:rsidRPr="00F31FB3" w:rsidRDefault="00F31FB3" w:rsidP="008466D0">
            <w:pPr>
              <w:pStyle w:val="Tablehead"/>
              <w:spacing w:before="40" w:after="40"/>
              <w:rPr>
                <w:szCs w:val="22"/>
              </w:rPr>
            </w:pPr>
            <w:r w:rsidRPr="00F31FB3">
              <w:rPr>
                <w:szCs w:val="22"/>
              </w:rPr>
              <w:t>Recommandation</w:t>
            </w:r>
            <w:r>
              <w:rPr>
                <w:szCs w:val="22"/>
              </w:rPr>
              <w:t xml:space="preserve"> </w:t>
            </w:r>
            <w:r w:rsidRPr="00F31FB3">
              <w:rPr>
                <w:szCs w:val="22"/>
              </w:rPr>
              <w:t>du SG</w:t>
            </w:r>
          </w:p>
        </w:tc>
      </w:tr>
      <w:tr w:rsidR="00F31FB3" w:rsidRPr="00D05F3F" w14:paraId="3F9BF758" w14:textId="77777777" w:rsidTr="008466D0">
        <w:trPr>
          <w:cantSplit/>
          <w:jc w:val="center"/>
        </w:trPr>
        <w:tc>
          <w:tcPr>
            <w:tcW w:w="4387" w:type="dxa"/>
            <w:vAlign w:val="center"/>
          </w:tcPr>
          <w:p w14:paraId="68A51AD6" w14:textId="77777777" w:rsidR="00F31FB3" w:rsidRPr="005F3E8F" w:rsidRDefault="00F31FB3" w:rsidP="008466D0">
            <w:pPr>
              <w:pStyle w:val="TableText0"/>
              <w:jc w:val="center"/>
              <w:rPr>
                <w:b/>
                <w:bCs/>
                <w:sz w:val="22"/>
                <w:szCs w:val="22"/>
                <w:lang w:val="fr-CH"/>
              </w:rPr>
            </w:pPr>
            <w:r w:rsidRPr="00D419B0">
              <w:rPr>
                <w:b/>
                <w:bCs/>
                <w:iCs/>
                <w:sz w:val="22"/>
                <w:szCs w:val="22"/>
                <w:lang w:val="fr-CA"/>
              </w:rPr>
              <w:t>Telecommunications User Interface e.V. (T-UI)</w:t>
            </w:r>
          </w:p>
        </w:tc>
        <w:tc>
          <w:tcPr>
            <w:tcW w:w="1984" w:type="dxa"/>
            <w:vAlign w:val="center"/>
          </w:tcPr>
          <w:p w14:paraId="21037FE7" w14:textId="77777777" w:rsidR="00F31FB3" w:rsidRPr="00D05F3F" w:rsidRDefault="00F31FB3" w:rsidP="008466D0">
            <w:pPr>
              <w:pStyle w:val="TableText0"/>
              <w:jc w:val="center"/>
              <w:rPr>
                <w:sz w:val="22"/>
                <w:szCs w:val="22"/>
              </w:rPr>
            </w:pPr>
            <w:r w:rsidRPr="00D05F3F">
              <w:rPr>
                <w:sz w:val="22"/>
                <w:szCs w:val="22"/>
              </w:rPr>
              <w:t>UIT-</w:t>
            </w:r>
            <w:r>
              <w:rPr>
                <w:sz w:val="22"/>
                <w:szCs w:val="22"/>
              </w:rPr>
              <w:t>T</w:t>
            </w:r>
          </w:p>
        </w:tc>
        <w:tc>
          <w:tcPr>
            <w:tcW w:w="2552" w:type="dxa"/>
            <w:vAlign w:val="center"/>
          </w:tcPr>
          <w:p w14:paraId="20B0F461" w14:textId="77777777" w:rsidR="00F31FB3" w:rsidRPr="00D05F3F" w:rsidRDefault="00F31FB3" w:rsidP="008466D0">
            <w:pPr>
              <w:pStyle w:val="TableText0"/>
              <w:jc w:val="center"/>
              <w:rPr>
                <w:sz w:val="22"/>
                <w:szCs w:val="22"/>
              </w:rPr>
            </w:pPr>
            <w:r>
              <w:rPr>
                <w:sz w:val="22"/>
                <w:szCs w:val="22"/>
              </w:rPr>
              <w:t>NON</w:t>
            </w:r>
          </w:p>
        </w:tc>
      </w:tr>
    </w:tbl>
    <w:p w14:paraId="2EB9028A" w14:textId="23DFCC3F" w:rsidR="00AB45CB" w:rsidRDefault="00AB45CB" w:rsidP="0016113D">
      <w:pPr>
        <w:spacing w:before="240"/>
        <w:rPr>
          <w:rFonts w:asciiTheme="minorHAnsi" w:hAnsiTheme="minorHAnsi" w:cstheme="minorHAnsi"/>
          <w:szCs w:val="24"/>
          <w:lang w:val="fr-CH"/>
        </w:rPr>
      </w:pPr>
      <w:r>
        <w:rPr>
          <w:rFonts w:asciiTheme="minorHAnsi" w:hAnsiTheme="minorHAnsi" w:cstheme="minorHAnsi"/>
          <w:b/>
          <w:bCs/>
          <w:szCs w:val="24"/>
          <w:lang w:val="fr-CH"/>
        </w:rPr>
        <w:t>Commentaires</w:t>
      </w:r>
      <w:r>
        <w:rPr>
          <w:rFonts w:asciiTheme="minorHAnsi" w:hAnsiTheme="minorHAnsi" w:cstheme="minorHAnsi"/>
          <w:szCs w:val="24"/>
          <w:lang w:val="fr-CH"/>
        </w:rPr>
        <w:t xml:space="preserve">: Telecommunications User Interface e.V. est une association à but non lucratif dans le domaine des télécommunications </w:t>
      </w:r>
      <w:r w:rsidR="002515AB">
        <w:rPr>
          <w:rFonts w:asciiTheme="minorHAnsi" w:hAnsiTheme="minorHAnsi" w:cstheme="minorHAnsi"/>
          <w:szCs w:val="24"/>
          <w:lang w:val="fr-CH"/>
        </w:rPr>
        <w:t>dont les</w:t>
      </w:r>
      <w:r>
        <w:rPr>
          <w:rFonts w:asciiTheme="minorHAnsi" w:hAnsiTheme="minorHAnsi" w:cstheme="minorHAnsi"/>
          <w:szCs w:val="24"/>
          <w:lang w:val="fr-CH"/>
        </w:rPr>
        <w:t xml:space="preserve"> membres </w:t>
      </w:r>
      <w:r w:rsidR="002515AB">
        <w:rPr>
          <w:rFonts w:asciiTheme="minorHAnsi" w:hAnsiTheme="minorHAnsi" w:cstheme="minorHAnsi"/>
          <w:szCs w:val="24"/>
          <w:lang w:val="fr-CH"/>
        </w:rPr>
        <w:t xml:space="preserve">sont des particuliers et qui est </w:t>
      </w:r>
      <w:r>
        <w:rPr>
          <w:rFonts w:asciiTheme="minorHAnsi" w:hAnsiTheme="minorHAnsi" w:cstheme="minorHAnsi"/>
          <w:szCs w:val="24"/>
          <w:lang w:val="fr-CH"/>
        </w:rPr>
        <w:t xml:space="preserve">enregistrée à Offenbach en Allemagne. L'association a pour but de soutenir la science, la recherche, l'éducation, les particuliers et la formation professionnelle en matière de communication essentielle, scientifique et technologique sur la relation utilisateur/système (interface utilisateur) fondée sur des expressions naturelles et latentes des technologies de l'information (télécommunications). L'association compte actuellement 16 particuliers membres (15 d'Allemagne et </w:t>
      </w:r>
      <w:r w:rsidR="0016113D">
        <w:rPr>
          <w:rFonts w:asciiTheme="minorHAnsi" w:hAnsiTheme="minorHAnsi" w:cstheme="minorHAnsi"/>
          <w:szCs w:val="24"/>
          <w:lang w:val="fr-CH"/>
        </w:rPr>
        <w:t>1</w:t>
      </w:r>
      <w:r>
        <w:rPr>
          <w:rFonts w:asciiTheme="minorHAnsi" w:hAnsiTheme="minorHAnsi" w:cstheme="minorHAnsi"/>
          <w:szCs w:val="24"/>
          <w:lang w:val="fr-CH"/>
        </w:rPr>
        <w:t xml:space="preserve"> du Royaume-Uni). La majorité de ces particuliers ont des connaissances spécialisées dans les télécommunications et participent aux travaux d'autres organismes de normalisation, notamment l'ETSI, l'IETF, la CEI, l'ISO et </w:t>
      </w:r>
      <w:r w:rsidR="002515AB">
        <w:rPr>
          <w:rFonts w:asciiTheme="minorHAnsi" w:hAnsiTheme="minorHAnsi" w:cstheme="minorHAnsi"/>
          <w:szCs w:val="24"/>
          <w:lang w:val="fr-CH"/>
        </w:rPr>
        <w:t xml:space="preserve">le </w:t>
      </w:r>
      <w:r>
        <w:rPr>
          <w:rFonts w:asciiTheme="minorHAnsi" w:hAnsiTheme="minorHAnsi" w:cstheme="minorHAnsi"/>
          <w:szCs w:val="24"/>
          <w:lang w:val="fr-CH"/>
        </w:rPr>
        <w:t>CEN-CENELEC. Le secrétariat estime que Telecommunications User Interface e.V. ne remplit pas les critères d'exonération pour l'UIT-T établis par le Conseil, en raison du nombre insuffisant de membres aux niv</w:t>
      </w:r>
      <w:r w:rsidR="002515AB">
        <w:rPr>
          <w:rFonts w:asciiTheme="minorHAnsi" w:hAnsiTheme="minorHAnsi" w:cstheme="minorHAnsi"/>
          <w:szCs w:val="24"/>
          <w:lang w:val="fr-CH"/>
        </w:rPr>
        <w:t>eaux régional et international.</w:t>
      </w:r>
    </w:p>
    <w:p w14:paraId="0AA3346A" w14:textId="77777777" w:rsidR="00AB45CB" w:rsidRPr="00DA2006" w:rsidRDefault="00AB45CB" w:rsidP="00D907DB">
      <w:pPr>
        <w:keepNext/>
        <w:keepLines/>
        <w:spacing w:before="240" w:after="120"/>
        <w:rPr>
          <w:rFonts w:asciiTheme="minorHAnsi" w:hAnsiTheme="minorHAnsi" w:cstheme="minorHAnsi"/>
          <w:szCs w:val="24"/>
          <w:lang w:val="fr-CH"/>
        </w:rPr>
      </w:pPr>
      <w:r w:rsidRPr="00DA2006">
        <w:rPr>
          <w:rFonts w:asciiTheme="minorHAnsi" w:hAnsiTheme="minorHAnsi" w:cstheme="minorHAnsi"/>
          <w:szCs w:val="24"/>
          <w:lang w:val="fr-CH"/>
        </w:rPr>
        <w:lastRenderedPageBreak/>
        <w:t>3.5</w:t>
      </w:r>
    </w:p>
    <w:tbl>
      <w:tblPr>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87"/>
        <w:gridCol w:w="1860"/>
        <w:gridCol w:w="2534"/>
      </w:tblGrid>
      <w:tr w:rsidR="00E33B5A" w:rsidRPr="00D05F3F" w14:paraId="080FED9C" w14:textId="77777777" w:rsidTr="008466D0">
        <w:trPr>
          <w:cantSplit/>
          <w:jc w:val="center"/>
        </w:trPr>
        <w:tc>
          <w:tcPr>
            <w:tcW w:w="4387" w:type="dxa"/>
            <w:vAlign w:val="center"/>
          </w:tcPr>
          <w:p w14:paraId="321E768A" w14:textId="77777777" w:rsidR="00E33B5A" w:rsidRPr="00D05F3F" w:rsidRDefault="00E33B5A" w:rsidP="00D907DB">
            <w:pPr>
              <w:pStyle w:val="Tablehead"/>
              <w:keepNext/>
              <w:keepLines/>
              <w:spacing w:before="40" w:after="40"/>
              <w:rPr>
                <w:lang w:val="fr-CH"/>
              </w:rPr>
            </w:pPr>
            <w:r w:rsidRPr="00D05F3F">
              <w:rPr>
                <w:lang w:val="fr-CH"/>
              </w:rPr>
              <w:t>Organisation</w:t>
            </w:r>
          </w:p>
        </w:tc>
        <w:tc>
          <w:tcPr>
            <w:tcW w:w="1860" w:type="dxa"/>
            <w:vAlign w:val="center"/>
          </w:tcPr>
          <w:p w14:paraId="55B6502B" w14:textId="77777777" w:rsidR="00E33B5A" w:rsidRPr="00D05F3F" w:rsidRDefault="00E33B5A" w:rsidP="00D907DB">
            <w:pPr>
              <w:pStyle w:val="Tablehead"/>
              <w:keepNext/>
              <w:keepLines/>
              <w:spacing w:before="40" w:after="40"/>
              <w:rPr>
                <w:lang w:val="fr-CH"/>
              </w:rPr>
            </w:pPr>
            <w:r w:rsidRPr="00D05F3F">
              <w:rPr>
                <w:lang w:val="fr-CH"/>
              </w:rPr>
              <w:t>Secteur</w:t>
            </w:r>
          </w:p>
        </w:tc>
        <w:tc>
          <w:tcPr>
            <w:tcW w:w="2534" w:type="dxa"/>
            <w:vAlign w:val="center"/>
          </w:tcPr>
          <w:p w14:paraId="7AE39675" w14:textId="78A448ED" w:rsidR="00E33B5A" w:rsidRPr="00D05F3F" w:rsidRDefault="00E33B5A" w:rsidP="00D907DB">
            <w:pPr>
              <w:pStyle w:val="Tablehead"/>
              <w:keepNext/>
              <w:keepLines/>
              <w:spacing w:before="40" w:after="40"/>
              <w:rPr>
                <w:lang w:val="fr-CH"/>
              </w:rPr>
            </w:pPr>
            <w:r w:rsidRPr="00D05F3F">
              <w:rPr>
                <w:lang w:val="fr-CH"/>
              </w:rPr>
              <w:t>Recommandation</w:t>
            </w:r>
            <w:r w:rsidR="008466D0">
              <w:rPr>
                <w:lang w:val="fr-CH"/>
              </w:rPr>
              <w:t xml:space="preserve"> </w:t>
            </w:r>
            <w:r w:rsidRPr="00D05F3F">
              <w:rPr>
                <w:lang w:val="fr-CH"/>
              </w:rPr>
              <w:t>du SG</w:t>
            </w:r>
          </w:p>
        </w:tc>
      </w:tr>
      <w:tr w:rsidR="00E33B5A" w:rsidRPr="00D05F3F" w14:paraId="73DA6104" w14:textId="77777777" w:rsidTr="008466D0">
        <w:trPr>
          <w:cantSplit/>
          <w:jc w:val="center"/>
        </w:trPr>
        <w:tc>
          <w:tcPr>
            <w:tcW w:w="4387" w:type="dxa"/>
            <w:vAlign w:val="center"/>
          </w:tcPr>
          <w:p w14:paraId="661B2ABF" w14:textId="77777777" w:rsidR="00E33B5A" w:rsidRPr="005F3E8F" w:rsidRDefault="00E33B5A" w:rsidP="00D907DB">
            <w:pPr>
              <w:pStyle w:val="TableText0"/>
              <w:keepNext/>
              <w:keepLines/>
              <w:jc w:val="center"/>
              <w:rPr>
                <w:sz w:val="22"/>
                <w:szCs w:val="22"/>
                <w:lang w:val="fr-CH"/>
              </w:rPr>
            </w:pPr>
            <w:r w:rsidRPr="007E7237">
              <w:rPr>
                <w:b/>
                <w:bCs/>
                <w:sz w:val="22"/>
                <w:szCs w:val="22"/>
                <w:lang w:val="fr-FR"/>
              </w:rPr>
              <w:t>Réseau de r</w:t>
            </w:r>
            <w:r>
              <w:rPr>
                <w:b/>
                <w:bCs/>
                <w:sz w:val="22"/>
                <w:szCs w:val="22"/>
                <w:lang w:val="fr-FR"/>
              </w:rPr>
              <w:t>echerche et d'enseignement des É</w:t>
            </w:r>
            <w:r w:rsidRPr="007E7237">
              <w:rPr>
                <w:b/>
                <w:bCs/>
                <w:sz w:val="22"/>
                <w:szCs w:val="22"/>
                <w:lang w:val="fr-FR"/>
              </w:rPr>
              <w:t>tats arabes (ASREN)</w:t>
            </w:r>
          </w:p>
        </w:tc>
        <w:tc>
          <w:tcPr>
            <w:tcW w:w="1860" w:type="dxa"/>
            <w:vAlign w:val="center"/>
          </w:tcPr>
          <w:p w14:paraId="3B43E09E" w14:textId="77777777" w:rsidR="00E33B5A" w:rsidRPr="00AB45CB" w:rsidRDefault="00E33B5A" w:rsidP="00D907DB">
            <w:pPr>
              <w:pStyle w:val="TableText0"/>
              <w:keepNext/>
              <w:keepLines/>
              <w:jc w:val="center"/>
              <w:rPr>
                <w:sz w:val="22"/>
                <w:szCs w:val="22"/>
                <w:lang w:val="fr-FR"/>
              </w:rPr>
            </w:pPr>
            <w:r w:rsidRPr="00AB45CB">
              <w:rPr>
                <w:sz w:val="22"/>
                <w:szCs w:val="22"/>
                <w:lang w:val="fr-FR"/>
              </w:rPr>
              <w:t>UIT-R</w:t>
            </w:r>
          </w:p>
          <w:p w14:paraId="360CD136" w14:textId="77777777" w:rsidR="00E33B5A" w:rsidRPr="00AB45CB" w:rsidRDefault="00E33B5A" w:rsidP="00D907DB">
            <w:pPr>
              <w:pStyle w:val="TableText0"/>
              <w:keepNext/>
              <w:keepLines/>
              <w:jc w:val="center"/>
              <w:rPr>
                <w:sz w:val="22"/>
                <w:szCs w:val="22"/>
                <w:lang w:val="fr-FR"/>
              </w:rPr>
            </w:pPr>
            <w:r w:rsidRPr="00AB45CB">
              <w:rPr>
                <w:sz w:val="22"/>
                <w:szCs w:val="22"/>
                <w:lang w:val="fr-FR"/>
              </w:rPr>
              <w:t>UIT-T</w:t>
            </w:r>
          </w:p>
          <w:p w14:paraId="24C2C6DB" w14:textId="77777777" w:rsidR="00E33B5A" w:rsidRPr="00AB45CB" w:rsidRDefault="00E33B5A" w:rsidP="00D907DB">
            <w:pPr>
              <w:pStyle w:val="TableText0"/>
              <w:keepNext/>
              <w:keepLines/>
              <w:jc w:val="center"/>
              <w:rPr>
                <w:sz w:val="22"/>
                <w:szCs w:val="22"/>
                <w:lang w:val="fr-FR"/>
              </w:rPr>
            </w:pPr>
            <w:r w:rsidRPr="00AB45CB">
              <w:rPr>
                <w:sz w:val="22"/>
                <w:szCs w:val="22"/>
                <w:lang w:val="fr-FR"/>
              </w:rPr>
              <w:t>UIT-D</w:t>
            </w:r>
          </w:p>
        </w:tc>
        <w:tc>
          <w:tcPr>
            <w:tcW w:w="2534" w:type="dxa"/>
            <w:vAlign w:val="center"/>
          </w:tcPr>
          <w:p w14:paraId="134F4C04" w14:textId="77777777" w:rsidR="00E33B5A" w:rsidRDefault="00E33B5A" w:rsidP="00D907DB">
            <w:pPr>
              <w:pStyle w:val="TableText0"/>
              <w:keepNext/>
              <w:keepLines/>
              <w:jc w:val="center"/>
              <w:rPr>
                <w:sz w:val="22"/>
                <w:szCs w:val="22"/>
              </w:rPr>
            </w:pPr>
            <w:r>
              <w:rPr>
                <w:sz w:val="22"/>
                <w:szCs w:val="22"/>
              </w:rPr>
              <w:t>OUI</w:t>
            </w:r>
          </w:p>
          <w:p w14:paraId="6423FDFB" w14:textId="77777777" w:rsidR="00E33B5A" w:rsidRDefault="00E33B5A" w:rsidP="00D907DB">
            <w:pPr>
              <w:pStyle w:val="TableText0"/>
              <w:keepNext/>
              <w:keepLines/>
              <w:jc w:val="center"/>
              <w:rPr>
                <w:sz w:val="22"/>
                <w:szCs w:val="22"/>
              </w:rPr>
            </w:pPr>
            <w:r>
              <w:rPr>
                <w:sz w:val="22"/>
                <w:szCs w:val="22"/>
              </w:rPr>
              <w:t>OUI</w:t>
            </w:r>
          </w:p>
          <w:p w14:paraId="53D37FCB" w14:textId="77777777" w:rsidR="00E33B5A" w:rsidRPr="000447DA" w:rsidRDefault="00E33B5A" w:rsidP="00D907DB">
            <w:pPr>
              <w:pStyle w:val="TableText0"/>
              <w:keepNext/>
              <w:keepLines/>
              <w:jc w:val="center"/>
              <w:rPr>
                <w:sz w:val="22"/>
                <w:szCs w:val="22"/>
              </w:rPr>
            </w:pPr>
            <w:r>
              <w:rPr>
                <w:sz w:val="22"/>
                <w:szCs w:val="22"/>
              </w:rPr>
              <w:t>OUI</w:t>
            </w:r>
          </w:p>
        </w:tc>
      </w:tr>
    </w:tbl>
    <w:p w14:paraId="7FA9A1C3" w14:textId="0606AEEC" w:rsidR="00AB45CB" w:rsidRPr="005F3E8F" w:rsidRDefault="00AB45CB" w:rsidP="00116A63">
      <w:pPr>
        <w:keepNext/>
        <w:keepLines/>
        <w:widowControl w:val="0"/>
        <w:spacing w:before="240"/>
        <w:rPr>
          <w:rFonts w:asciiTheme="minorHAnsi" w:hAnsiTheme="minorHAnsi" w:cs="Calibri"/>
          <w:bCs/>
          <w:szCs w:val="24"/>
          <w:lang w:val="fr-CH"/>
        </w:rPr>
      </w:pPr>
      <w:r>
        <w:rPr>
          <w:rFonts w:asciiTheme="minorHAnsi" w:hAnsiTheme="minorHAnsi" w:cstheme="minorHAnsi"/>
          <w:b/>
          <w:szCs w:val="24"/>
          <w:lang w:val="fr-CH"/>
        </w:rPr>
        <w:t>Commentaires</w:t>
      </w:r>
      <w:r>
        <w:rPr>
          <w:rFonts w:asciiTheme="minorHAnsi" w:hAnsiTheme="minorHAnsi" w:cstheme="minorHAnsi"/>
          <w:bCs/>
          <w:szCs w:val="24"/>
          <w:lang w:val="fr-CH"/>
        </w:rPr>
        <w:t xml:space="preserve">: Le Réseau de recherche et d'enseignement des États arabes (ASREN) est une organisation internationale qui est chargée d'établir le réseau panarabe de recherche et d'enseignement, et qui travaille de concert avec différents réseaux régionaux et internationaux de recherche et d'enseignement. L'ASREN travaille avec 22 pays arabes et notamment avec les réseaux nationaux de recherche et d'enseignement, qui </w:t>
      </w:r>
      <w:r w:rsidR="00FC280C">
        <w:rPr>
          <w:rFonts w:asciiTheme="minorHAnsi" w:hAnsiTheme="minorHAnsi" w:cstheme="minorHAnsi"/>
          <w:bCs/>
          <w:szCs w:val="24"/>
          <w:lang w:val="fr-CH"/>
        </w:rPr>
        <w:t>rassemblent</w:t>
      </w:r>
      <w:r>
        <w:rPr>
          <w:rFonts w:asciiTheme="minorHAnsi" w:hAnsiTheme="minorHAnsi" w:cstheme="minorHAnsi"/>
          <w:bCs/>
          <w:szCs w:val="24"/>
          <w:lang w:val="fr-CH"/>
        </w:rPr>
        <w:t xml:space="preserve"> toutes les universités et tous les instituts de recherche de la région des États arabes. L'ASREN fait déjà partie des établissements universitaires participant aux travaux de l'UIT, mais il rencontre des difficultés pour payer ses contributions. Il est actuellement suspendu pour 2019, mais s'est acquitté de sa dette pour 2018. Le secrétariat estime que l'ASREN remplit les critères d'exonération pour l'UIT-R, l'UIT-T et l'UIT-D établis par le Conseil. Il est recommandé que cette exonération soit accordée et qu'elle prenne effet le 1er janvier 2019.</w:t>
      </w:r>
    </w:p>
    <w:p w14:paraId="29AFB1EC" w14:textId="77777777" w:rsidR="00AB45CB" w:rsidRPr="00DA2006" w:rsidRDefault="00AB45CB" w:rsidP="00116A63">
      <w:pPr>
        <w:spacing w:before="240" w:after="120"/>
        <w:rPr>
          <w:rFonts w:asciiTheme="minorHAnsi" w:hAnsiTheme="minorHAnsi" w:cs="Calibri"/>
          <w:szCs w:val="24"/>
          <w:lang w:val="fr-CH"/>
        </w:rPr>
      </w:pPr>
      <w:r w:rsidRPr="00DA2006">
        <w:rPr>
          <w:rFonts w:asciiTheme="minorHAnsi" w:hAnsiTheme="minorHAnsi" w:cs="Calibri"/>
          <w:szCs w:val="24"/>
          <w:lang w:val="fr-CH"/>
        </w:rPr>
        <w:t>3.6</w:t>
      </w:r>
    </w:p>
    <w:tbl>
      <w:tblPr>
        <w:tblW w:w="7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11"/>
        <w:gridCol w:w="1417"/>
        <w:gridCol w:w="2961"/>
      </w:tblGrid>
      <w:tr w:rsidR="003859FA" w:rsidRPr="00D05F3F" w14:paraId="682676D3" w14:textId="77777777" w:rsidTr="008466D0">
        <w:trPr>
          <w:cantSplit/>
          <w:jc w:val="center"/>
        </w:trPr>
        <w:tc>
          <w:tcPr>
            <w:tcW w:w="3411" w:type="dxa"/>
            <w:vAlign w:val="center"/>
          </w:tcPr>
          <w:p w14:paraId="54497CC8" w14:textId="77777777" w:rsidR="003859FA" w:rsidRPr="00D05F3F" w:rsidRDefault="003859FA" w:rsidP="008466D0">
            <w:pPr>
              <w:pStyle w:val="Tablehead"/>
              <w:spacing w:before="40" w:after="40"/>
              <w:rPr>
                <w:lang w:val="fr-CH"/>
              </w:rPr>
            </w:pPr>
            <w:r w:rsidRPr="00D05F3F">
              <w:rPr>
                <w:lang w:val="fr-CH"/>
              </w:rPr>
              <w:t>Organisation</w:t>
            </w:r>
          </w:p>
        </w:tc>
        <w:tc>
          <w:tcPr>
            <w:tcW w:w="1417" w:type="dxa"/>
            <w:vAlign w:val="center"/>
          </w:tcPr>
          <w:p w14:paraId="2244DA87" w14:textId="77777777" w:rsidR="003859FA" w:rsidRPr="00D05F3F" w:rsidRDefault="003859FA" w:rsidP="008466D0">
            <w:pPr>
              <w:pStyle w:val="Tablehead"/>
              <w:spacing w:before="40" w:after="40"/>
              <w:rPr>
                <w:lang w:val="fr-CH"/>
              </w:rPr>
            </w:pPr>
            <w:r w:rsidRPr="00D05F3F">
              <w:rPr>
                <w:lang w:val="fr-CH"/>
              </w:rPr>
              <w:t>Secteur</w:t>
            </w:r>
          </w:p>
        </w:tc>
        <w:tc>
          <w:tcPr>
            <w:tcW w:w="2961" w:type="dxa"/>
            <w:vAlign w:val="center"/>
          </w:tcPr>
          <w:p w14:paraId="77393155" w14:textId="3183D62F" w:rsidR="003859FA" w:rsidRPr="00D05F3F" w:rsidRDefault="003859FA" w:rsidP="008466D0">
            <w:pPr>
              <w:pStyle w:val="Tablehead"/>
              <w:spacing w:before="40" w:after="40"/>
              <w:rPr>
                <w:lang w:val="fr-CH"/>
              </w:rPr>
            </w:pPr>
            <w:r w:rsidRPr="00D05F3F">
              <w:rPr>
                <w:lang w:val="fr-CH"/>
              </w:rPr>
              <w:t>Recommandation</w:t>
            </w:r>
            <w:r>
              <w:rPr>
                <w:lang w:val="fr-CH"/>
              </w:rPr>
              <w:t xml:space="preserve"> </w:t>
            </w:r>
            <w:r w:rsidRPr="00D05F3F">
              <w:rPr>
                <w:lang w:val="fr-CH"/>
              </w:rPr>
              <w:t>du SG</w:t>
            </w:r>
          </w:p>
        </w:tc>
      </w:tr>
      <w:tr w:rsidR="003859FA" w:rsidRPr="00D05F3F" w14:paraId="21A8326A" w14:textId="77777777" w:rsidTr="008466D0">
        <w:trPr>
          <w:cantSplit/>
          <w:jc w:val="center"/>
        </w:trPr>
        <w:tc>
          <w:tcPr>
            <w:tcW w:w="3411" w:type="dxa"/>
            <w:vAlign w:val="center"/>
          </w:tcPr>
          <w:p w14:paraId="26A95AB0" w14:textId="77777777" w:rsidR="003859FA" w:rsidRPr="005F3E8F" w:rsidRDefault="003859FA" w:rsidP="008466D0">
            <w:pPr>
              <w:pStyle w:val="TableText0"/>
              <w:jc w:val="center"/>
              <w:rPr>
                <w:b/>
                <w:bCs/>
                <w:sz w:val="22"/>
                <w:szCs w:val="22"/>
                <w:lang w:val="fr-CH"/>
              </w:rPr>
            </w:pPr>
            <w:r>
              <w:rPr>
                <w:b/>
                <w:bCs/>
                <w:sz w:val="22"/>
                <w:szCs w:val="22"/>
                <w:lang w:val="fr-CH"/>
              </w:rPr>
              <w:t>Fondation OISTE</w:t>
            </w:r>
          </w:p>
        </w:tc>
        <w:tc>
          <w:tcPr>
            <w:tcW w:w="1417" w:type="dxa"/>
            <w:vAlign w:val="center"/>
          </w:tcPr>
          <w:p w14:paraId="4A08EA34" w14:textId="77777777" w:rsidR="003859FA" w:rsidRPr="00CB1477" w:rsidRDefault="003859FA" w:rsidP="008466D0">
            <w:pPr>
              <w:pStyle w:val="TableText0"/>
              <w:jc w:val="center"/>
              <w:rPr>
                <w:sz w:val="22"/>
                <w:szCs w:val="22"/>
              </w:rPr>
            </w:pPr>
            <w:r w:rsidRPr="00CB1477">
              <w:rPr>
                <w:sz w:val="22"/>
                <w:szCs w:val="22"/>
              </w:rPr>
              <w:t>UIT-</w:t>
            </w:r>
            <w:r>
              <w:rPr>
                <w:sz w:val="22"/>
                <w:szCs w:val="22"/>
              </w:rPr>
              <w:t>D</w:t>
            </w:r>
          </w:p>
        </w:tc>
        <w:tc>
          <w:tcPr>
            <w:tcW w:w="2961" w:type="dxa"/>
            <w:vAlign w:val="center"/>
          </w:tcPr>
          <w:p w14:paraId="244FBA3B" w14:textId="77777777" w:rsidR="003859FA" w:rsidRPr="00CB1477" w:rsidRDefault="003859FA" w:rsidP="008466D0">
            <w:pPr>
              <w:pStyle w:val="TableText0"/>
              <w:jc w:val="center"/>
              <w:rPr>
                <w:sz w:val="22"/>
                <w:szCs w:val="22"/>
              </w:rPr>
            </w:pPr>
            <w:r>
              <w:rPr>
                <w:sz w:val="22"/>
                <w:szCs w:val="22"/>
              </w:rPr>
              <w:t>NON</w:t>
            </w:r>
          </w:p>
        </w:tc>
      </w:tr>
    </w:tbl>
    <w:p w14:paraId="1FF2FB70" w14:textId="77777777" w:rsidR="00AB45CB" w:rsidRPr="009371B4" w:rsidRDefault="00AB45CB" w:rsidP="00116A63">
      <w:pPr>
        <w:keepNext/>
        <w:keepLines/>
        <w:widowControl w:val="0"/>
        <w:spacing w:before="240"/>
        <w:rPr>
          <w:rFonts w:cs="Calibri"/>
          <w:lang w:val="fr-CH"/>
        </w:rPr>
      </w:pPr>
      <w:r>
        <w:rPr>
          <w:rFonts w:cs="Calibri"/>
          <w:b/>
          <w:bCs/>
          <w:lang w:val="fr-CH"/>
        </w:rPr>
        <w:t>Commentaires</w:t>
      </w:r>
      <w:r>
        <w:rPr>
          <w:rFonts w:cs="Calibri"/>
          <w:lang w:val="fr-CH"/>
        </w:rPr>
        <w:t xml:space="preserve">: La Fondation OISTE a été créée à Genève en 1998 dans le but d'encourager l'application et l'adoption de normes internationales en matière de sécurisation des transactions électroniques, d'accroître l'utilisation des certificats numériques et de garantir l'interopérabilité des systèmes de transactions électroniques des autorités de certification. Le secrétariat estime que la Fondation OISTE ne remplit pas les critères d'exonération en raison de l'absence de membres aux niveaux international et régional. </w:t>
      </w:r>
    </w:p>
    <w:p w14:paraId="47A4BE58" w14:textId="77777777" w:rsidR="00AB45CB" w:rsidRPr="00DA2006" w:rsidRDefault="00AB45CB" w:rsidP="00116A63">
      <w:pPr>
        <w:spacing w:before="240" w:after="120"/>
        <w:rPr>
          <w:rFonts w:asciiTheme="minorHAnsi" w:hAnsiTheme="minorHAnsi" w:cstheme="minorHAnsi"/>
          <w:szCs w:val="24"/>
          <w:lang w:val="fr-CH"/>
        </w:rPr>
      </w:pPr>
      <w:r w:rsidRPr="00DA2006">
        <w:rPr>
          <w:rFonts w:asciiTheme="minorHAnsi" w:hAnsiTheme="minorHAnsi" w:cstheme="minorHAnsi"/>
          <w:szCs w:val="24"/>
          <w:lang w:val="fr-CH"/>
        </w:rPr>
        <w:t>3.7</w:t>
      </w:r>
    </w:p>
    <w:tbl>
      <w:tblPr>
        <w:tblW w:w="8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6"/>
        <w:gridCol w:w="1551"/>
        <w:gridCol w:w="2835"/>
      </w:tblGrid>
      <w:tr w:rsidR="0018518A" w:rsidRPr="00CB1477" w14:paraId="6F8C06E3" w14:textId="77777777" w:rsidTr="008466D0">
        <w:trPr>
          <w:cantSplit/>
          <w:jc w:val="center"/>
        </w:trPr>
        <w:tc>
          <w:tcPr>
            <w:tcW w:w="3686" w:type="dxa"/>
            <w:vAlign w:val="center"/>
          </w:tcPr>
          <w:p w14:paraId="16271AD3" w14:textId="77777777" w:rsidR="0018518A" w:rsidRPr="00CB1477" w:rsidRDefault="0018518A" w:rsidP="008466D0">
            <w:pPr>
              <w:pStyle w:val="Tablehead"/>
              <w:spacing w:before="40" w:after="40"/>
              <w:rPr>
                <w:lang w:val="fr-CH"/>
              </w:rPr>
            </w:pPr>
            <w:r w:rsidRPr="00CB1477">
              <w:rPr>
                <w:lang w:val="fr-CH"/>
              </w:rPr>
              <w:t>Organisation</w:t>
            </w:r>
          </w:p>
        </w:tc>
        <w:tc>
          <w:tcPr>
            <w:tcW w:w="1551" w:type="dxa"/>
            <w:vAlign w:val="center"/>
          </w:tcPr>
          <w:p w14:paraId="753CD6DB" w14:textId="77777777" w:rsidR="0018518A" w:rsidRPr="00CB1477" w:rsidRDefault="0018518A" w:rsidP="008466D0">
            <w:pPr>
              <w:pStyle w:val="Tablehead"/>
              <w:spacing w:before="40" w:after="40"/>
              <w:rPr>
                <w:lang w:val="fr-CH"/>
              </w:rPr>
            </w:pPr>
            <w:r w:rsidRPr="00CB1477">
              <w:rPr>
                <w:lang w:val="fr-CH"/>
              </w:rPr>
              <w:t>Secteur</w:t>
            </w:r>
          </w:p>
        </w:tc>
        <w:tc>
          <w:tcPr>
            <w:tcW w:w="2835" w:type="dxa"/>
            <w:vAlign w:val="center"/>
          </w:tcPr>
          <w:p w14:paraId="05502AF1" w14:textId="0759B868" w:rsidR="0018518A" w:rsidRPr="00CB1477" w:rsidRDefault="0018518A" w:rsidP="008466D0">
            <w:pPr>
              <w:pStyle w:val="Tablehead"/>
              <w:spacing w:before="40" w:after="40"/>
              <w:rPr>
                <w:lang w:val="fr-CH"/>
              </w:rPr>
            </w:pPr>
            <w:r w:rsidRPr="00CB1477">
              <w:rPr>
                <w:lang w:val="fr-CH"/>
              </w:rPr>
              <w:t>Recommandation</w:t>
            </w:r>
            <w:r>
              <w:rPr>
                <w:lang w:val="fr-CH"/>
              </w:rPr>
              <w:t xml:space="preserve"> </w:t>
            </w:r>
            <w:r w:rsidRPr="00CB1477">
              <w:rPr>
                <w:lang w:val="fr-CH"/>
              </w:rPr>
              <w:t>du SG</w:t>
            </w:r>
          </w:p>
        </w:tc>
      </w:tr>
      <w:tr w:rsidR="0018518A" w:rsidRPr="00CB1477" w14:paraId="7377FAE7" w14:textId="77777777" w:rsidTr="008466D0">
        <w:trPr>
          <w:cantSplit/>
          <w:jc w:val="center"/>
        </w:trPr>
        <w:tc>
          <w:tcPr>
            <w:tcW w:w="3686" w:type="dxa"/>
            <w:vAlign w:val="center"/>
          </w:tcPr>
          <w:p w14:paraId="69F11A2A" w14:textId="77777777" w:rsidR="0018518A" w:rsidRPr="005F3E8F" w:rsidRDefault="0018518A" w:rsidP="008466D0">
            <w:pPr>
              <w:pStyle w:val="TableText0"/>
              <w:jc w:val="center"/>
              <w:rPr>
                <w:b/>
                <w:bCs/>
                <w:sz w:val="22"/>
                <w:szCs w:val="22"/>
                <w:lang w:val="fr-CH"/>
              </w:rPr>
            </w:pPr>
            <w:r w:rsidRPr="005F3E8F">
              <w:rPr>
                <w:b/>
                <w:bCs/>
                <w:sz w:val="22"/>
                <w:szCs w:val="22"/>
                <w:lang w:val="fr-CH"/>
              </w:rPr>
              <w:lastRenderedPageBreak/>
              <w:t>Association mondiale pour les orphelins (A.M.OR)</w:t>
            </w:r>
          </w:p>
        </w:tc>
        <w:tc>
          <w:tcPr>
            <w:tcW w:w="1551" w:type="dxa"/>
            <w:vAlign w:val="center"/>
          </w:tcPr>
          <w:p w14:paraId="6185A615" w14:textId="77777777" w:rsidR="0018518A" w:rsidRPr="00CB1477" w:rsidRDefault="0018518A" w:rsidP="008466D0">
            <w:pPr>
              <w:pStyle w:val="TableText0"/>
              <w:jc w:val="center"/>
              <w:rPr>
                <w:sz w:val="22"/>
                <w:szCs w:val="22"/>
              </w:rPr>
            </w:pPr>
            <w:r w:rsidRPr="00CB1477">
              <w:rPr>
                <w:sz w:val="22"/>
                <w:szCs w:val="22"/>
              </w:rPr>
              <w:t>UIT-D</w:t>
            </w:r>
          </w:p>
        </w:tc>
        <w:tc>
          <w:tcPr>
            <w:tcW w:w="2835" w:type="dxa"/>
            <w:vAlign w:val="center"/>
          </w:tcPr>
          <w:p w14:paraId="650E5FA4" w14:textId="77777777" w:rsidR="0018518A" w:rsidRPr="00CB1477" w:rsidRDefault="0018518A" w:rsidP="008466D0">
            <w:pPr>
              <w:pStyle w:val="TableText0"/>
              <w:jc w:val="center"/>
              <w:rPr>
                <w:sz w:val="22"/>
                <w:szCs w:val="22"/>
              </w:rPr>
            </w:pPr>
            <w:r w:rsidRPr="00CB1477">
              <w:rPr>
                <w:sz w:val="22"/>
                <w:szCs w:val="22"/>
              </w:rPr>
              <w:t>NON</w:t>
            </w:r>
          </w:p>
        </w:tc>
      </w:tr>
    </w:tbl>
    <w:p w14:paraId="50D638BA" w14:textId="77777777" w:rsidR="00AB45CB" w:rsidRPr="00AC36D7" w:rsidRDefault="00AB45CB" w:rsidP="00116A63">
      <w:pPr>
        <w:pStyle w:val="NormalWeb"/>
        <w:rPr>
          <w:rFonts w:asciiTheme="minorHAnsi" w:hAnsiTheme="minorHAnsi"/>
          <w:lang w:val="fr-CH"/>
        </w:rPr>
      </w:pPr>
      <w:r>
        <w:rPr>
          <w:rFonts w:cs="Calibri"/>
          <w:b/>
          <w:bCs/>
          <w:color w:val="000000"/>
          <w:lang w:val="fr-CH" w:eastAsia="zh-CN"/>
        </w:rPr>
        <w:t>Commentaires</w:t>
      </w:r>
      <w:r>
        <w:rPr>
          <w:rFonts w:cs="Calibri"/>
          <w:color w:val="000000"/>
          <w:lang w:val="fr-CH" w:eastAsia="zh-CN"/>
        </w:rPr>
        <w:t>: L'Association mondiale pour les orphelins (A.M.OR) est une organisation non gouvernementale à but non lucratif qui bénéficie d'un statut consultatif auprès de l'ECOSOC et qui croit aux capacités de tout un chacun. L'association gère le projet "HiTech4Orphans" qui aide les étudiants orphelins à acquérir et à maîtriser des compétences en informatique. Le secrétariat estime que l'A.M.OR ne remplit pas les critères d'exonération en raison</w:t>
      </w:r>
      <w:r w:rsidRPr="000B7A4C">
        <w:rPr>
          <w:rFonts w:asciiTheme="minorHAnsi" w:hAnsiTheme="minorHAnsi" w:cstheme="minorHAnsi"/>
          <w:lang w:val="fr-CH"/>
        </w:rPr>
        <w:t xml:space="preserve"> </w:t>
      </w:r>
      <w:r>
        <w:rPr>
          <w:rFonts w:asciiTheme="minorHAnsi" w:hAnsiTheme="minorHAnsi" w:cstheme="minorHAnsi"/>
          <w:lang w:val="fr-CH"/>
        </w:rPr>
        <w:t>du nombre insuffisant de membres aux niveaux régional et international.</w:t>
      </w:r>
    </w:p>
    <w:p w14:paraId="454B21D2" w14:textId="77777777" w:rsidR="00AB45CB" w:rsidRDefault="00AB45CB" w:rsidP="00116A63">
      <w:pPr>
        <w:pStyle w:val="AnnexNo"/>
        <w:rPr>
          <w:lang w:val="fr-CH"/>
        </w:rPr>
      </w:pPr>
      <w:r>
        <w:rPr>
          <w:lang w:val="fr-CH"/>
        </w:rPr>
        <w:br w:type="page"/>
      </w:r>
    </w:p>
    <w:p w14:paraId="6E5D3E7E" w14:textId="77777777" w:rsidR="00AB45CB" w:rsidRPr="00DA2006" w:rsidRDefault="00AB45CB" w:rsidP="00116A63">
      <w:pPr>
        <w:pStyle w:val="AnnexNo"/>
        <w:rPr>
          <w:lang w:val="fr-CH"/>
        </w:rPr>
      </w:pPr>
      <w:r w:rsidRPr="00DA2006">
        <w:rPr>
          <w:lang w:val="fr-CH"/>
        </w:rPr>
        <w:lastRenderedPageBreak/>
        <w:t xml:space="preserve">ANNEXE </w:t>
      </w:r>
    </w:p>
    <w:p w14:paraId="0A335360" w14:textId="77777777" w:rsidR="00AB45CB" w:rsidRPr="00DA2006" w:rsidRDefault="00AB45CB" w:rsidP="00116A63">
      <w:pPr>
        <w:pStyle w:val="Annextitle"/>
        <w:rPr>
          <w:lang w:val="fr-CH"/>
        </w:rPr>
      </w:pPr>
      <w:r>
        <w:rPr>
          <w:lang w:val="fr-CH"/>
        </w:rPr>
        <w:t>Exoné</w:t>
      </w:r>
      <w:r w:rsidRPr="00DA2006">
        <w:rPr>
          <w:lang w:val="fr-CH"/>
        </w:rPr>
        <w:t>ration du paiement des droits de membre pour les organisations</w:t>
      </w:r>
      <w:r w:rsidRPr="00DA2006">
        <w:rPr>
          <w:lang w:val="fr-CH"/>
        </w:rPr>
        <w:br/>
        <w:t>ayant un caractère international</w:t>
      </w:r>
    </w:p>
    <w:p w14:paraId="6E12370E" w14:textId="77777777" w:rsidR="00AB45CB" w:rsidRPr="00DA2006" w:rsidRDefault="00AB45CB" w:rsidP="00116A63">
      <w:pPr>
        <w:snapToGrid w:val="0"/>
        <w:spacing w:after="120"/>
        <w:rPr>
          <w:lang w:val="fr-CH"/>
        </w:rPr>
      </w:pPr>
      <w:r w:rsidRPr="00DA2006">
        <w:rPr>
          <w:lang w:val="fr-CH"/>
        </w:rPr>
        <w:t>Au cours des années, le Conseil a exonéré certaines organisations ayant un caractère international de toute contribution au financement des dépenses liées aux conférences et réunions de l'UIT.</w:t>
      </w:r>
    </w:p>
    <w:p w14:paraId="4BD7023B" w14:textId="77777777" w:rsidR="00AB45CB" w:rsidRPr="00DA2006" w:rsidRDefault="00AB45CB" w:rsidP="00116A63">
      <w:pPr>
        <w:pStyle w:val="Heading1"/>
        <w:rPr>
          <w:lang w:val="fr-CH"/>
        </w:rPr>
      </w:pPr>
      <w:r w:rsidRPr="00DA2006">
        <w:rPr>
          <w:lang w:val="fr-CH"/>
        </w:rPr>
        <w:t>1</w:t>
      </w:r>
      <w:r w:rsidRPr="00DA2006">
        <w:rPr>
          <w:lang w:val="fr-CH"/>
        </w:rPr>
        <w:tab/>
        <w:t>Critères et principes directeurs</w:t>
      </w:r>
    </w:p>
    <w:p w14:paraId="127D6BE0" w14:textId="77777777" w:rsidR="00AB45CB" w:rsidRPr="00DA2006" w:rsidRDefault="00AB45CB" w:rsidP="00116A63">
      <w:pPr>
        <w:snapToGrid w:val="0"/>
        <w:spacing w:after="120"/>
        <w:rPr>
          <w:lang w:val="fr-CH"/>
        </w:rPr>
      </w:pPr>
      <w:r w:rsidRPr="00DA2006">
        <w:rPr>
          <w:lang w:val="fr-CH"/>
        </w:rPr>
        <w:t>1.1</w:t>
      </w:r>
      <w:r w:rsidRPr="00DA2006">
        <w:rPr>
          <w:lang w:val="fr-CH"/>
        </w:rPr>
        <w:tab/>
        <w:t>Conformément au numéro 476 de la Convention, le Conseil peut exonérer des organisations ayant un caractère international du paiement des droits de membre sous réserve de "réciprocité". Le terme "réciprocité" s'entend ici des avantages mutuels et analogues que l'UIT et l'organisation concernée pourraient retirer de la participation de cette organisation aux activités pertinentes de l'Union.</w:t>
      </w:r>
    </w:p>
    <w:p w14:paraId="70A02D10" w14:textId="77777777" w:rsidR="00AB45CB" w:rsidRPr="00DA2006" w:rsidRDefault="00AB45CB" w:rsidP="00116A63">
      <w:pPr>
        <w:snapToGrid w:val="0"/>
        <w:spacing w:after="120"/>
        <w:rPr>
          <w:lang w:val="fr-CH"/>
        </w:rPr>
      </w:pPr>
      <w:r w:rsidRPr="00DA2006">
        <w:rPr>
          <w:lang w:val="fr-CH"/>
        </w:rPr>
        <w:t>1.2</w:t>
      </w:r>
      <w:r w:rsidRPr="00DA2006">
        <w:rPr>
          <w:lang w:val="fr-CH"/>
        </w:rPr>
        <w:tab/>
        <w:t>Pour remplir les conditions lui permettant de bénéficier d'un tel arrangement de réciprocité, l'organisation concernée doit respecter tous les critères suivants:</w:t>
      </w:r>
    </w:p>
    <w:p w14:paraId="4BEDC3F6" w14:textId="77777777" w:rsidR="00AB45CB" w:rsidRPr="00DA2006" w:rsidRDefault="00AB45CB" w:rsidP="00116A63">
      <w:pPr>
        <w:pStyle w:val="enumlev1"/>
        <w:rPr>
          <w:lang w:val="fr-CH"/>
        </w:rPr>
      </w:pPr>
      <w:r w:rsidRPr="000447DA">
        <w:rPr>
          <w:lang w:val="fr-CH"/>
        </w:rPr>
        <w:t>–</w:t>
      </w:r>
      <w:r w:rsidRPr="00DA2006">
        <w:rPr>
          <w:lang w:val="fr-CH"/>
        </w:rPr>
        <w:tab/>
        <w:t>l'organisation doit avoir un caractère international et s'occuper de télécommunications;</w:t>
      </w:r>
    </w:p>
    <w:p w14:paraId="7B8385A9" w14:textId="77777777" w:rsidR="00AB45CB" w:rsidRPr="00DA2006" w:rsidRDefault="00AB45CB" w:rsidP="00116A63">
      <w:pPr>
        <w:pStyle w:val="enumlev1"/>
        <w:rPr>
          <w:lang w:val="fr-CH"/>
        </w:rPr>
      </w:pPr>
      <w:r w:rsidRPr="000447DA">
        <w:rPr>
          <w:lang w:val="fr-CH"/>
        </w:rPr>
        <w:t>–</w:t>
      </w:r>
      <w:r w:rsidRPr="00DA2006">
        <w:rPr>
          <w:lang w:val="fr-CH"/>
        </w:rPr>
        <w:tab/>
        <w:t>l'organisation doit être une organisation à but non lucratif juridiquement reconnue et représenter des membres ayant le statut d'organisation à but non lucratif;</w:t>
      </w:r>
    </w:p>
    <w:p w14:paraId="7FABA7AA" w14:textId="3C34FBD3" w:rsidR="00AB45CB" w:rsidRPr="00DA2006" w:rsidRDefault="00AB45CB" w:rsidP="00116A63">
      <w:pPr>
        <w:pStyle w:val="enumlev1"/>
        <w:rPr>
          <w:lang w:val="fr-CH"/>
        </w:rPr>
      </w:pPr>
      <w:r w:rsidRPr="000447DA">
        <w:rPr>
          <w:lang w:val="fr-CH"/>
        </w:rPr>
        <w:t>–</w:t>
      </w:r>
      <w:r w:rsidRPr="00DA2006">
        <w:rPr>
          <w:lang w:val="fr-CH"/>
        </w:rPr>
        <w:tab/>
        <w:t xml:space="preserve">elle doit être composée d'un nombre important de membres, compter une présence importante et mener des activités importantes dans plusieurs </w:t>
      </w:r>
      <w:r w:rsidR="00676A97" w:rsidRPr="00DA2006">
        <w:rPr>
          <w:lang w:val="fr-CH"/>
        </w:rPr>
        <w:t>États</w:t>
      </w:r>
      <w:r w:rsidRPr="00DA2006">
        <w:rPr>
          <w:lang w:val="fr-CH"/>
        </w:rPr>
        <w:t xml:space="preserve"> Membres, dont la participation aux activités de l'UIT servirait les objectifs de l'Union;</w:t>
      </w:r>
    </w:p>
    <w:p w14:paraId="774C2DF3" w14:textId="77777777" w:rsidR="00AB45CB" w:rsidRPr="00DA2006" w:rsidRDefault="00AB45CB" w:rsidP="00116A63">
      <w:pPr>
        <w:pStyle w:val="enumlev1"/>
        <w:rPr>
          <w:lang w:val="fr-CH"/>
        </w:rPr>
      </w:pPr>
      <w:r w:rsidRPr="000447DA">
        <w:rPr>
          <w:lang w:val="fr-CH"/>
        </w:rPr>
        <w:t>–</w:t>
      </w:r>
      <w:r w:rsidRPr="00DA2006">
        <w:rPr>
          <w:lang w:val="fr-CH"/>
        </w:rPr>
        <w:tab/>
        <w:t>elle doit permettre à l'UIT d'être représentée et de participer sans frais aux réunions de l'organisation et bénéficier des droits et avantages dont disposent ses membres;</w:t>
      </w:r>
    </w:p>
    <w:p w14:paraId="408BB398" w14:textId="77777777" w:rsidR="00AB45CB" w:rsidRPr="00DA2006" w:rsidRDefault="00AB45CB" w:rsidP="00116A63">
      <w:pPr>
        <w:pStyle w:val="enumlev1"/>
        <w:rPr>
          <w:lang w:val="fr-CH"/>
        </w:rPr>
      </w:pPr>
      <w:r w:rsidRPr="000447DA">
        <w:rPr>
          <w:lang w:val="fr-CH"/>
        </w:rPr>
        <w:lastRenderedPageBreak/>
        <w:t>–</w:t>
      </w:r>
      <w:r w:rsidRPr="00DA2006">
        <w:rPr>
          <w:lang w:val="fr-CH"/>
        </w:rPr>
        <w:tab/>
        <w:t>elle doit permettre à l'UIT d'avoir accès à la documentation pertinente, y compris aux informations mises à la s</w:t>
      </w:r>
      <w:r>
        <w:rPr>
          <w:lang w:val="fr-CH"/>
        </w:rPr>
        <w:t>eule disposition de ses membres</w:t>
      </w:r>
      <w:r w:rsidRPr="00DA2006">
        <w:rPr>
          <w:position w:val="6"/>
          <w:sz w:val="16"/>
          <w:lang w:val="fr-CH"/>
        </w:rPr>
        <w:footnoteReference w:id="1"/>
      </w:r>
      <w:r>
        <w:rPr>
          <w:lang w:val="fr-CH"/>
        </w:rPr>
        <w:t>.</w:t>
      </w:r>
    </w:p>
    <w:p w14:paraId="4A75B2D9" w14:textId="77777777" w:rsidR="00AB45CB" w:rsidRPr="00DA2006" w:rsidRDefault="00AB45CB" w:rsidP="00116A63">
      <w:pPr>
        <w:snapToGrid w:val="0"/>
        <w:spacing w:after="120"/>
        <w:rPr>
          <w:lang w:val="fr-CH"/>
        </w:rPr>
      </w:pPr>
      <w:r w:rsidRPr="00DA2006">
        <w:rPr>
          <w:lang w:val="fr-CH"/>
        </w:rPr>
        <w:t>1.3</w:t>
      </w:r>
      <w:r w:rsidRPr="00DA2006">
        <w:rPr>
          <w:lang w:val="fr-CH"/>
        </w:rPr>
        <w:tab/>
        <w:t>Lorsqu'il prend une décision quant à l'octroi d'une exonération, le Conseil doit tenir compte des vues expr</w:t>
      </w:r>
      <w:r>
        <w:rPr>
          <w:lang w:val="fr-CH"/>
        </w:rPr>
        <w:t>imées par le Secrétaire général</w:t>
      </w:r>
      <w:r w:rsidRPr="00DA2006">
        <w:rPr>
          <w:lang w:val="fr-CH"/>
        </w:rPr>
        <w:t xml:space="preserve"> concernant:</w:t>
      </w:r>
    </w:p>
    <w:p w14:paraId="205B0680" w14:textId="77777777" w:rsidR="00AB45CB" w:rsidRPr="00DA2006" w:rsidRDefault="00AB45CB" w:rsidP="00116A63">
      <w:pPr>
        <w:pStyle w:val="enumlev1"/>
        <w:rPr>
          <w:lang w:val="fr-CH"/>
        </w:rPr>
      </w:pPr>
      <w:r w:rsidRPr="000447DA">
        <w:rPr>
          <w:lang w:val="fr-CH"/>
        </w:rPr>
        <w:t>–</w:t>
      </w:r>
      <w:r w:rsidRPr="00DA2006">
        <w:rPr>
          <w:lang w:val="fr-CH"/>
        </w:rPr>
        <w:tab/>
        <w:t>les avantages que retire l'UIT de la participation de l'organisation à ses activités;</w:t>
      </w:r>
    </w:p>
    <w:p w14:paraId="5F1523E8" w14:textId="77777777" w:rsidR="00AB45CB" w:rsidRPr="00DA2006" w:rsidRDefault="00AB45CB" w:rsidP="00116A63">
      <w:pPr>
        <w:pStyle w:val="enumlev1"/>
        <w:rPr>
          <w:lang w:val="fr-CH"/>
        </w:rPr>
      </w:pPr>
      <w:r w:rsidRPr="000447DA">
        <w:rPr>
          <w:lang w:val="fr-CH"/>
        </w:rPr>
        <w:t>–</w:t>
      </w:r>
      <w:r w:rsidRPr="00DA2006">
        <w:rPr>
          <w:lang w:val="fr-CH"/>
        </w:rPr>
        <w:tab/>
        <w:t xml:space="preserve">les avantages découlant de la participation de l'UIT aux </w:t>
      </w:r>
      <w:r w:rsidRPr="00442BFB">
        <w:t>activités</w:t>
      </w:r>
      <w:r w:rsidRPr="00DA2006">
        <w:rPr>
          <w:lang w:val="fr-CH"/>
        </w:rPr>
        <w:t xml:space="preserve"> de l'organisation.</w:t>
      </w:r>
    </w:p>
    <w:p w14:paraId="490F5917" w14:textId="77777777" w:rsidR="00AB45CB" w:rsidRPr="00DA2006" w:rsidRDefault="00AB45CB" w:rsidP="00116A63">
      <w:pPr>
        <w:pStyle w:val="Heading1"/>
        <w:rPr>
          <w:lang w:val="fr-CH"/>
        </w:rPr>
      </w:pPr>
      <w:r w:rsidRPr="00DA2006">
        <w:rPr>
          <w:lang w:val="fr-CH"/>
        </w:rPr>
        <w:t>2</w:t>
      </w:r>
      <w:r w:rsidRPr="00DA2006">
        <w:rPr>
          <w:lang w:val="fr-CH"/>
        </w:rPr>
        <w:tab/>
        <w:t>Procédure</w:t>
      </w:r>
    </w:p>
    <w:p w14:paraId="6CD9B114" w14:textId="77777777" w:rsidR="00AB45CB" w:rsidRPr="00DA2006" w:rsidRDefault="00AB45CB" w:rsidP="00116A63">
      <w:pPr>
        <w:snapToGrid w:val="0"/>
        <w:spacing w:after="120"/>
        <w:rPr>
          <w:lang w:val="fr-CH"/>
        </w:rPr>
      </w:pPr>
      <w:r w:rsidRPr="00DA2006">
        <w:rPr>
          <w:lang w:val="fr-CH"/>
        </w:rPr>
        <w:t>2.1</w:t>
      </w:r>
      <w:r w:rsidRPr="00DA2006">
        <w:rPr>
          <w:lang w:val="fr-CH"/>
        </w:rPr>
        <w:tab/>
        <w:t>Chaque demande d'exonération doit être soumise par écrit au Secrétaire général et être présentée au Conseil pour examen, accompagnée des éléments de preuve à l'appui de la demande (paragraphe 1.2) ainsi que des observations du Secrétaire général (paragraphe 1.3).</w:t>
      </w:r>
    </w:p>
    <w:p w14:paraId="766B316A" w14:textId="77777777" w:rsidR="00AB45CB" w:rsidRPr="00DA2006" w:rsidRDefault="00AB45CB" w:rsidP="00116A63">
      <w:pPr>
        <w:snapToGrid w:val="0"/>
        <w:spacing w:after="120"/>
        <w:rPr>
          <w:lang w:val="fr-CH"/>
        </w:rPr>
      </w:pPr>
      <w:r w:rsidRPr="00DA2006">
        <w:rPr>
          <w:lang w:val="fr-CH"/>
        </w:rPr>
        <w:t>2.2</w:t>
      </w:r>
      <w:r w:rsidRPr="00DA2006">
        <w:rPr>
          <w:lang w:val="fr-CH"/>
        </w:rPr>
        <w:tab/>
        <w:t>Le Secrétaire général examinera la demande d'exonération en fonction des critères indiqués aux paragraphes 1.2 et 1.3 ci-dessus et présentera un rapport au Conseil à sa prochaine session, selon qu'il conviendra.</w:t>
      </w:r>
    </w:p>
    <w:p w14:paraId="0953B81B" w14:textId="3BC5E108" w:rsidR="00AB45CB" w:rsidRPr="00DA2006" w:rsidRDefault="00AB45CB" w:rsidP="00116A63">
      <w:pPr>
        <w:snapToGrid w:val="0"/>
        <w:spacing w:after="120"/>
        <w:rPr>
          <w:lang w:val="fr-CH"/>
        </w:rPr>
      </w:pPr>
      <w:r w:rsidRPr="00DA2006">
        <w:rPr>
          <w:lang w:val="fr-CH"/>
        </w:rPr>
        <w:t>2.3</w:t>
      </w:r>
      <w:r w:rsidRPr="00DA2006">
        <w:rPr>
          <w:lang w:val="fr-CH"/>
        </w:rPr>
        <w:tab/>
        <w:t xml:space="preserve">Si elle est approuvée par le Conseil, la demande d'exonération prendra effet immédiatement, à compter de la date de la séance plénière à laquelle la décision a été prise. </w:t>
      </w:r>
      <w:r w:rsidR="00676A97" w:rsidRPr="00DA2006">
        <w:rPr>
          <w:lang w:val="fr-CH"/>
        </w:rPr>
        <w:t>À</w:t>
      </w:r>
      <w:r w:rsidRPr="00DA2006">
        <w:rPr>
          <w:lang w:val="fr-CH"/>
        </w:rPr>
        <w:t xml:space="preserve"> moins que le Conseil n'en décide autrement dans des circonstances exceptionnelles, l'exonération ne sera pas accordée rétroactivement.</w:t>
      </w:r>
      <w:r w:rsidRPr="00DA2006">
        <w:rPr>
          <w:szCs w:val="24"/>
          <w:lang w:val="fr-CH"/>
        </w:rPr>
        <w:t xml:space="preserve"> Les entités exonérées par le Conseil demeurent responsables des sommes éventuelles dues avant la date d'entrée en vigueur de l'exonération.</w:t>
      </w:r>
    </w:p>
    <w:p w14:paraId="6BCA9C61" w14:textId="77777777" w:rsidR="00AB45CB" w:rsidRPr="00DA2006" w:rsidRDefault="00AB45CB" w:rsidP="00116A63">
      <w:pPr>
        <w:snapToGrid w:val="0"/>
        <w:spacing w:after="120"/>
        <w:rPr>
          <w:lang w:val="fr-CH"/>
        </w:rPr>
      </w:pPr>
      <w:r w:rsidRPr="00DA2006">
        <w:rPr>
          <w:lang w:val="fr-CH"/>
        </w:rPr>
        <w:lastRenderedPageBreak/>
        <w:t>2.4</w:t>
      </w:r>
      <w:r w:rsidRPr="00DA2006">
        <w:rPr>
          <w:lang w:val="fr-CH"/>
        </w:rPr>
        <w:tab/>
        <w:t>L'exonération est valable jusqu'à la Conférence de plénipotentiaires suivante, bien que le Conseil puisse à tout moment choisir de révoquer le statut d'une entité exonérée qui ne remplit plus les critères précités. Chaque Conférence de plénipotentiaires examinera la liste des entités exonérées et déterminera celles qui continueront de bénéficier de l'exonération.</w:t>
      </w:r>
    </w:p>
    <w:p w14:paraId="56DE1465" w14:textId="77777777" w:rsidR="00520F36" w:rsidRDefault="00AB45CB" w:rsidP="00116A63">
      <w:r w:rsidRPr="00DA2006">
        <w:rPr>
          <w:lang w:val="fr-CH"/>
        </w:rPr>
        <w:t>2.5</w:t>
      </w:r>
      <w:r w:rsidRPr="00DA2006">
        <w:rPr>
          <w:lang w:val="fr-CH"/>
        </w:rPr>
        <w:tab/>
        <w:t>La liste des entités exonérées sera mise à la disposition du public sur le site web de l'UIT.</w:t>
      </w:r>
    </w:p>
    <w:p w14:paraId="20C15AE8" w14:textId="77777777" w:rsidR="00AB45CB" w:rsidRDefault="00AB45CB" w:rsidP="00116A63">
      <w:pPr>
        <w:pStyle w:val="Reasons"/>
      </w:pPr>
    </w:p>
    <w:p w14:paraId="34C9458E" w14:textId="77777777" w:rsidR="00AB45CB" w:rsidRDefault="00AB45CB" w:rsidP="00116A63">
      <w:pPr>
        <w:jc w:val="center"/>
      </w:pPr>
      <w:r>
        <w:t>______________</w:t>
      </w:r>
    </w:p>
    <w:p w14:paraId="287E392C" w14:textId="77777777" w:rsidR="00AB45CB" w:rsidRPr="00CA08ED" w:rsidRDefault="00AB45CB" w:rsidP="00116A63"/>
    <w:sectPr w:rsidR="00AB45CB" w:rsidRPr="00CA08ED" w:rsidSect="005C3890">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7BEC4" w14:textId="77777777" w:rsidR="00AB45CB" w:rsidRDefault="00AB45CB">
      <w:r>
        <w:separator/>
      </w:r>
    </w:p>
  </w:endnote>
  <w:endnote w:type="continuationSeparator" w:id="0">
    <w:p w14:paraId="0E83589A" w14:textId="77777777" w:rsidR="00AB45CB" w:rsidRDefault="00AB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6CA8" w14:textId="77777777" w:rsidR="00732045" w:rsidRDefault="00B02972">
    <w:pPr>
      <w:pStyle w:val="Footer"/>
    </w:pPr>
    <w:fldSimple w:instr=" FILENAME \p \* MERGEFORMAT ">
      <w:r w:rsidR="00AB45CB">
        <w:t>Document2</w:t>
      </w:r>
    </w:fldSimple>
    <w:r w:rsidR="00732045">
      <w:tab/>
    </w:r>
    <w:r w:rsidR="002F1B76">
      <w:fldChar w:fldCharType="begin"/>
    </w:r>
    <w:r w:rsidR="00732045">
      <w:instrText xml:space="preserve"> savedate \@ dd.MM.yy </w:instrText>
    </w:r>
    <w:r w:rsidR="002F1B76">
      <w:fldChar w:fldCharType="separate"/>
    </w:r>
    <w:r w:rsidR="00F26AAA">
      <w:t>15.05.19</w:t>
    </w:r>
    <w:r w:rsidR="002F1B76">
      <w:fldChar w:fldCharType="end"/>
    </w:r>
    <w:r w:rsidR="00732045">
      <w:tab/>
    </w:r>
    <w:r w:rsidR="002F1B76">
      <w:fldChar w:fldCharType="begin"/>
    </w:r>
    <w:r w:rsidR="00732045">
      <w:instrText xml:space="preserve"> printdate \@ dd.MM.yy </w:instrText>
    </w:r>
    <w:r w:rsidR="002F1B76">
      <w:fldChar w:fldCharType="separate"/>
    </w:r>
    <w:r w:rsidR="00AB45CB">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62605" w14:textId="1B83ADD5" w:rsidR="00732045" w:rsidRDefault="00732045" w:rsidP="00EB4D68">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F17BE"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6A1A1" w14:textId="77777777" w:rsidR="00AB45CB" w:rsidRDefault="00AB45CB">
      <w:r>
        <w:t>____________________</w:t>
      </w:r>
    </w:p>
  </w:footnote>
  <w:footnote w:type="continuationSeparator" w:id="0">
    <w:p w14:paraId="62F842BE" w14:textId="77777777" w:rsidR="00AB45CB" w:rsidRDefault="00AB45CB">
      <w:r>
        <w:continuationSeparator/>
      </w:r>
    </w:p>
  </w:footnote>
  <w:footnote w:id="1">
    <w:p w14:paraId="29BF40D8" w14:textId="77777777" w:rsidR="00AB45CB" w:rsidRPr="00CB1477" w:rsidRDefault="00AB45CB" w:rsidP="00AB45CB">
      <w:pPr>
        <w:pStyle w:val="FootnoteText"/>
        <w:tabs>
          <w:tab w:val="clear" w:pos="256"/>
          <w:tab w:val="left" w:pos="0"/>
          <w:tab w:val="left" w:pos="284"/>
        </w:tabs>
        <w:ind w:left="284" w:hanging="284"/>
      </w:pPr>
      <w:r w:rsidRPr="00B774B7">
        <w:rPr>
          <w:rStyle w:val="FootnoteReference"/>
        </w:rPr>
        <w:footnoteRef/>
      </w:r>
      <w:r>
        <w:rPr>
          <w:lang w:val="fr-CH"/>
        </w:rPr>
        <w:tab/>
      </w:r>
      <w:r w:rsidRPr="00CB1477">
        <w:t>Cela signifie le même accès réciproque à l'information/la documentation que celui qui est accordé par l'UIT à ses membres par l'intermédiaire du système à accès restreint 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B120F"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5400A995"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322CB" w14:textId="77777777" w:rsidR="00732045" w:rsidRDefault="00C27A7C" w:rsidP="00475FB3">
    <w:pPr>
      <w:pStyle w:val="Header"/>
    </w:pPr>
    <w:r>
      <w:fldChar w:fldCharType="begin"/>
    </w:r>
    <w:r>
      <w:instrText>PAGE</w:instrText>
    </w:r>
    <w:r>
      <w:fldChar w:fldCharType="separate"/>
    </w:r>
    <w:r w:rsidR="00D630D5">
      <w:rPr>
        <w:noProof/>
      </w:rPr>
      <w:t>4</w:t>
    </w:r>
    <w:r>
      <w:rPr>
        <w:noProof/>
      </w:rPr>
      <w:fldChar w:fldCharType="end"/>
    </w:r>
  </w:p>
  <w:p w14:paraId="1CCA8D15" w14:textId="67570474" w:rsidR="00732045" w:rsidRDefault="00732045" w:rsidP="00FC280C">
    <w:pPr>
      <w:pStyle w:val="Header"/>
    </w:pPr>
    <w:r>
      <w:t>C1</w:t>
    </w:r>
    <w:r w:rsidR="00106B19">
      <w:t>9</w:t>
    </w:r>
    <w:r>
      <w:t>/</w:t>
    </w:r>
    <w:r w:rsidR="00FC280C">
      <w:t>39</w:t>
    </w:r>
    <w:r>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6564" w14:textId="77777777" w:rsidR="00D630D5" w:rsidRDefault="00D63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CB"/>
    <w:rsid w:val="000418C4"/>
    <w:rsid w:val="00066B28"/>
    <w:rsid w:val="000D0D0A"/>
    <w:rsid w:val="00103163"/>
    <w:rsid w:val="00106B19"/>
    <w:rsid w:val="00115D93"/>
    <w:rsid w:val="00116A63"/>
    <w:rsid w:val="00120883"/>
    <w:rsid w:val="001247A8"/>
    <w:rsid w:val="001378C0"/>
    <w:rsid w:val="0016113D"/>
    <w:rsid w:val="0018518A"/>
    <w:rsid w:val="0018694A"/>
    <w:rsid w:val="001A3287"/>
    <w:rsid w:val="001A6508"/>
    <w:rsid w:val="001D4C31"/>
    <w:rsid w:val="001E4D21"/>
    <w:rsid w:val="00207CD1"/>
    <w:rsid w:val="002477A2"/>
    <w:rsid w:val="002515AB"/>
    <w:rsid w:val="00263A51"/>
    <w:rsid w:val="00267E02"/>
    <w:rsid w:val="002A5D44"/>
    <w:rsid w:val="002E0BC4"/>
    <w:rsid w:val="002F1B76"/>
    <w:rsid w:val="0033568E"/>
    <w:rsid w:val="00355FF5"/>
    <w:rsid w:val="00361350"/>
    <w:rsid w:val="003859FA"/>
    <w:rsid w:val="003C3FAE"/>
    <w:rsid w:val="004038CB"/>
    <w:rsid w:val="0040546F"/>
    <w:rsid w:val="0042404A"/>
    <w:rsid w:val="0044618F"/>
    <w:rsid w:val="0046769A"/>
    <w:rsid w:val="00475FB3"/>
    <w:rsid w:val="004C37A9"/>
    <w:rsid w:val="004F159D"/>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76A97"/>
    <w:rsid w:val="007210CD"/>
    <w:rsid w:val="00732045"/>
    <w:rsid w:val="007369DB"/>
    <w:rsid w:val="00754BC4"/>
    <w:rsid w:val="007956C2"/>
    <w:rsid w:val="007A187E"/>
    <w:rsid w:val="007C72C2"/>
    <w:rsid w:val="007D4436"/>
    <w:rsid w:val="007F257A"/>
    <w:rsid w:val="007F3665"/>
    <w:rsid w:val="00800037"/>
    <w:rsid w:val="008466D0"/>
    <w:rsid w:val="00861D73"/>
    <w:rsid w:val="008A4E87"/>
    <w:rsid w:val="008D76E6"/>
    <w:rsid w:val="0092392D"/>
    <w:rsid w:val="0093234A"/>
    <w:rsid w:val="009C307F"/>
    <w:rsid w:val="00A2113E"/>
    <w:rsid w:val="00A23A51"/>
    <w:rsid w:val="00A24607"/>
    <w:rsid w:val="00A25CD3"/>
    <w:rsid w:val="00A576F5"/>
    <w:rsid w:val="00A76466"/>
    <w:rsid w:val="00A82767"/>
    <w:rsid w:val="00AA332F"/>
    <w:rsid w:val="00AA7BBB"/>
    <w:rsid w:val="00AB45CB"/>
    <w:rsid w:val="00AB64A8"/>
    <w:rsid w:val="00AC0266"/>
    <w:rsid w:val="00AD24EC"/>
    <w:rsid w:val="00B02972"/>
    <w:rsid w:val="00B309F9"/>
    <w:rsid w:val="00B32B60"/>
    <w:rsid w:val="00B61619"/>
    <w:rsid w:val="00BB4545"/>
    <w:rsid w:val="00BD5873"/>
    <w:rsid w:val="00BE5B0C"/>
    <w:rsid w:val="00C04BE3"/>
    <w:rsid w:val="00C25D29"/>
    <w:rsid w:val="00C27A7C"/>
    <w:rsid w:val="00C57E98"/>
    <w:rsid w:val="00CA08ED"/>
    <w:rsid w:val="00CF183B"/>
    <w:rsid w:val="00D375CD"/>
    <w:rsid w:val="00D553A2"/>
    <w:rsid w:val="00D630D5"/>
    <w:rsid w:val="00D774D3"/>
    <w:rsid w:val="00D904E8"/>
    <w:rsid w:val="00D907DB"/>
    <w:rsid w:val="00DA08C3"/>
    <w:rsid w:val="00DB5A3E"/>
    <w:rsid w:val="00DC22AA"/>
    <w:rsid w:val="00DF74DD"/>
    <w:rsid w:val="00E25AD0"/>
    <w:rsid w:val="00E33B5A"/>
    <w:rsid w:val="00EA54C0"/>
    <w:rsid w:val="00EB4D68"/>
    <w:rsid w:val="00EB6350"/>
    <w:rsid w:val="00F15B57"/>
    <w:rsid w:val="00F26AAA"/>
    <w:rsid w:val="00F31FB3"/>
    <w:rsid w:val="00F427DB"/>
    <w:rsid w:val="00F7445C"/>
    <w:rsid w:val="00FA5EB1"/>
    <w:rsid w:val="00FA7439"/>
    <w:rsid w:val="00FC280C"/>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F7EAB1"/>
  <w15:docId w15:val="{EA870EB6-BDD3-4569-9B5E-A0F08196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TableText0">
    <w:name w:val="Table_Text"/>
    <w:basedOn w:val="Normal"/>
    <w:rsid w:val="00AB45CB"/>
    <w:pPr>
      <w:tabs>
        <w:tab w:val="left" w:pos="284"/>
        <w:tab w:val="left" w:pos="851"/>
        <w:tab w:val="left" w:pos="1418"/>
        <w:tab w:val="left" w:pos="2552"/>
        <w:tab w:val="left" w:pos="3119"/>
        <w:tab w:val="left" w:pos="3402"/>
        <w:tab w:val="left" w:pos="3686"/>
        <w:tab w:val="left" w:pos="3969"/>
      </w:tabs>
      <w:spacing w:before="40" w:after="40"/>
    </w:pPr>
    <w:rPr>
      <w:lang w:val="en-GB"/>
    </w:rPr>
  </w:style>
  <w:style w:type="paragraph" w:styleId="NormalWeb">
    <w:name w:val="Normal (Web)"/>
    <w:basedOn w:val="Normal"/>
    <w:uiPriority w:val="99"/>
    <w:unhideWhenUsed/>
    <w:rsid w:val="00AB45CB"/>
    <w:pPr>
      <w:overflowPunct/>
      <w:autoSpaceDE/>
      <w:autoSpaceDN/>
      <w:adjustRightInd/>
      <w:spacing w:before="100" w:beforeAutospacing="1" w:after="100" w:afterAutospacing="1"/>
      <w:textAlignment w:val="auto"/>
    </w:pPr>
    <w:rPr>
      <w:szCs w:val="24"/>
      <w:lang w:val="en-US"/>
    </w:rPr>
  </w:style>
  <w:style w:type="character" w:styleId="CommentReference">
    <w:name w:val="annotation reference"/>
    <w:basedOn w:val="DefaultParagraphFont"/>
    <w:semiHidden/>
    <w:unhideWhenUsed/>
    <w:rsid w:val="00AB45CB"/>
    <w:rPr>
      <w:sz w:val="16"/>
      <w:szCs w:val="16"/>
    </w:rPr>
  </w:style>
  <w:style w:type="paragraph" w:styleId="CommentText">
    <w:name w:val="annotation text"/>
    <w:basedOn w:val="Normal"/>
    <w:link w:val="CommentTextChar"/>
    <w:semiHidden/>
    <w:unhideWhenUsed/>
    <w:rsid w:val="00AB45CB"/>
    <w:rPr>
      <w:sz w:val="20"/>
    </w:rPr>
  </w:style>
  <w:style w:type="character" w:customStyle="1" w:styleId="CommentTextChar">
    <w:name w:val="Comment Text Char"/>
    <w:basedOn w:val="DefaultParagraphFont"/>
    <w:link w:val="CommentText"/>
    <w:semiHidden/>
    <w:rsid w:val="00AB45CB"/>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S-CONF-PLEN-2015" TargetMode="External"/><Relationship Id="rId13" Type="http://schemas.openxmlformats.org/officeDocument/2006/relationships/hyperlink" Target="http://www.itu.int/md/S03-ADCL-C-0003/en"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en/council/2019/Documents/basic-texts/Convention-F.pdf" TargetMode="External"/><Relationship Id="rId12" Type="http://schemas.openxmlformats.org/officeDocument/2006/relationships/hyperlink" Target="https://www.itu.int/md/S03-CL-C-0040/en"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02-CL-C-0094/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itudoc/gs/council/c01/docs/026.htm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itu.int/itudoc/gs/council/c00/docs/28rev1.html" TargetMode="External"/><Relationship Id="rId14" Type="http://schemas.openxmlformats.org/officeDocument/2006/relationships/hyperlink" Target="http://www.itu.int/md/S05-CL-C-0040/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2</TotalTime>
  <Pages>6</Pages>
  <Words>1792</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13018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Demandes d'exonération</dc:title>
  <dc:subject>Conseil 2018</dc:subject>
  <dc:creator>Geneux, Aude</dc:creator>
  <cp:keywords>C2019, C19</cp:keywords>
  <dc:description/>
  <cp:lastModifiedBy>Janin, Patricia</cp:lastModifiedBy>
  <cp:revision>3</cp:revision>
  <cp:lastPrinted>2000-07-18T08:55:00Z</cp:lastPrinted>
  <dcterms:created xsi:type="dcterms:W3CDTF">2019-05-15T14:13:00Z</dcterms:created>
  <dcterms:modified xsi:type="dcterms:W3CDTF">2019-05-15T14:14:00Z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