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AF2032">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632BE1" w:rsidRPr="00355CF7">
              <w:rPr>
                <w:b/>
                <w:bCs/>
                <w:lang w:bidi="ar-EG"/>
              </w:rPr>
              <w:t>ADM</w:t>
            </w:r>
            <w:r w:rsidR="00AF2032">
              <w:rPr>
                <w:b/>
                <w:bCs/>
                <w:lang w:bidi="ar-EG"/>
              </w:rPr>
              <w:t> </w:t>
            </w:r>
            <w:r w:rsidR="00632BE1" w:rsidRPr="00355CF7">
              <w:rPr>
                <w:b/>
                <w:bCs/>
                <w:lang w:bidi="ar-EG"/>
              </w:rPr>
              <w:t>9</w:t>
            </w:r>
          </w:p>
        </w:tc>
        <w:tc>
          <w:tcPr>
            <w:tcW w:w="3052" w:type="dxa"/>
            <w:vAlign w:val="center"/>
          </w:tcPr>
          <w:p w:rsidR="00290728" w:rsidRPr="00290728" w:rsidRDefault="00290728" w:rsidP="00632BE1">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632BE1">
              <w:rPr>
                <w:b/>
                <w:bCs/>
                <w:lang w:bidi="ar-SY"/>
              </w:rPr>
              <w:t>39</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632BE1" w:rsidP="00632BE1">
            <w:pPr>
              <w:spacing w:before="20" w:after="20" w:line="340" w:lineRule="exact"/>
              <w:rPr>
                <w:b/>
                <w:bCs/>
                <w:rtl/>
                <w:lang w:bidi="ar-EG"/>
              </w:rPr>
            </w:pPr>
            <w:r w:rsidRPr="00632BE1">
              <w:rPr>
                <w:b/>
                <w:bCs/>
                <w:lang w:bidi="ar-SY"/>
              </w:rPr>
              <w:t>6</w:t>
            </w:r>
            <w:r w:rsidR="00290728" w:rsidRPr="00632BE1">
              <w:rPr>
                <w:rFonts w:hint="cs"/>
                <w:b/>
                <w:bCs/>
                <w:rtl/>
                <w:lang w:bidi="ar-EG"/>
              </w:rPr>
              <w:t xml:space="preserve"> </w:t>
            </w:r>
            <w:r>
              <w:rPr>
                <w:rFonts w:hint="cs"/>
                <w:b/>
                <w:bCs/>
                <w:rtl/>
                <w:lang w:bidi="ar-EG"/>
              </w:rPr>
              <w:t>مايو</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632BE1">
            <w:pPr>
              <w:spacing w:before="20" w:after="20" w:line="340" w:lineRule="exact"/>
              <w:rPr>
                <w:b/>
                <w:bCs/>
                <w:lang w:bidi="ar-SY"/>
              </w:rPr>
            </w:pPr>
            <w:r w:rsidRPr="00290728">
              <w:rPr>
                <w:b/>
                <w:bCs/>
                <w:rtl/>
                <w:lang w:bidi="ar-EG"/>
              </w:rPr>
              <w:t xml:space="preserve">الأصل: </w:t>
            </w:r>
            <w:r w:rsidR="00632BE1">
              <w:rPr>
                <w:rFonts w:hint="cs"/>
                <w:b/>
                <w:bCs/>
                <w:rtl/>
                <w:lang w:bidi="ar-EG"/>
              </w:rPr>
              <w:t>بالإنكليزية</w:t>
            </w:r>
          </w:p>
        </w:tc>
      </w:tr>
      <w:tr w:rsidR="00290728" w:rsidRPr="00290728" w:rsidTr="009F66A8">
        <w:trPr>
          <w:cantSplit/>
        </w:trPr>
        <w:tc>
          <w:tcPr>
            <w:tcW w:w="9672" w:type="dxa"/>
            <w:gridSpan w:val="2"/>
          </w:tcPr>
          <w:p w:rsidR="00290728" w:rsidRPr="00290728" w:rsidRDefault="00632BE1" w:rsidP="00290728">
            <w:pPr>
              <w:pStyle w:val="Source"/>
              <w:rPr>
                <w:rtl/>
                <w:lang w:bidi="ar-SY"/>
              </w:rPr>
            </w:pPr>
            <w:r>
              <w:rPr>
                <w:rFonts w:hint="cs"/>
                <w:rtl/>
              </w:rPr>
              <w:t>تقرير من الأمين العام</w:t>
            </w:r>
          </w:p>
        </w:tc>
      </w:tr>
      <w:tr w:rsidR="00290728" w:rsidRPr="00290728" w:rsidTr="009F66A8">
        <w:trPr>
          <w:cantSplit/>
        </w:trPr>
        <w:tc>
          <w:tcPr>
            <w:tcW w:w="9672" w:type="dxa"/>
            <w:gridSpan w:val="2"/>
          </w:tcPr>
          <w:p w:rsidR="00290728" w:rsidRPr="00383829" w:rsidRDefault="00632BE1" w:rsidP="00383829">
            <w:pPr>
              <w:pStyle w:val="Title1"/>
              <w:rPr>
                <w:rtl/>
              </w:rPr>
            </w:pPr>
            <w:r>
              <w:rPr>
                <w:rFonts w:hint="cs"/>
                <w:rtl/>
              </w:rPr>
              <w:t>طلبات الإعفاء من أي مساهمة مالية في تحمل النفقات</w:t>
            </w:r>
            <w:r>
              <w:rPr>
                <w:rFonts w:hint="cs"/>
                <w:rtl/>
              </w:rPr>
              <w:br/>
              <w:t>المتصلة بالمشاركة في أعمال الاتحاد الدولي للاتصالات</w:t>
            </w:r>
          </w:p>
        </w:tc>
      </w:tr>
      <w:tr w:rsidR="00A6683B" w:rsidRPr="00290728" w:rsidTr="009F66A8">
        <w:trPr>
          <w:cantSplit/>
        </w:trPr>
        <w:tc>
          <w:tcPr>
            <w:tcW w:w="9672" w:type="dxa"/>
            <w:gridSpan w:val="2"/>
          </w:tcPr>
          <w:p w:rsidR="00A6683B" w:rsidRPr="00383829" w:rsidRDefault="00A6683B" w:rsidP="00383829">
            <w:pPr>
              <w:pStyle w:val="Title2"/>
              <w:framePr w:hSpace="0" w:wrap="auto" w:yAlign="inline"/>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632BE1" w:rsidP="00706D7A">
            <w:pPr>
              <w:rPr>
                <w:rtl/>
                <w:lang w:bidi="ar-SY"/>
              </w:rPr>
            </w:pPr>
            <w:r w:rsidRPr="003100FD">
              <w:rPr>
                <w:rFonts w:hint="cs"/>
                <w:rtl/>
                <w:lang w:bidi="ar-EG"/>
              </w:rPr>
              <w:t>وردت طلبات للإعفاء من تقديم مساهمات مالية</w:t>
            </w:r>
            <w:r>
              <w:rPr>
                <w:rFonts w:hint="cs"/>
                <w:rtl/>
                <w:lang w:bidi="ar-EG"/>
              </w:rPr>
              <w:t xml:space="preserve"> (أي رسوم العضوية في القطاعات)</w:t>
            </w:r>
            <w:r w:rsidRPr="003100FD">
              <w:rPr>
                <w:rFonts w:hint="cs"/>
                <w:rtl/>
                <w:lang w:bidi="ar-EG"/>
              </w:rPr>
              <w:t xml:space="preserve"> من </w:t>
            </w:r>
            <w:r>
              <w:rPr>
                <w:rFonts w:hint="cs"/>
                <w:rtl/>
                <w:lang w:bidi="ar-EG"/>
              </w:rPr>
              <w:t>سبع</w:t>
            </w:r>
            <w:r w:rsidRPr="003100FD">
              <w:rPr>
                <w:rFonts w:hint="cs"/>
                <w:rtl/>
                <w:lang w:bidi="ar-EG"/>
              </w:rPr>
              <w:t xml:space="preserve"> منظمات</w:t>
            </w:r>
            <w:r w:rsidRPr="003100FD">
              <w:rPr>
                <w:lang w:bidi="ar-SY"/>
              </w:rPr>
              <w:t>.</w:t>
            </w:r>
            <w:r w:rsidRPr="003100FD">
              <w:rPr>
                <w:rFonts w:hint="cs"/>
                <w:rtl/>
                <w:lang w:bidi="ar-EG"/>
              </w:rPr>
              <w:t xml:space="preserve"> وتقضي المبادئ التوجيهية ذات الصلة بأن يأخذ المجلس في الاعتبار آراء الأمين العام فيما يتعلق بالمزايا المتبادلة لمشارك</w:t>
            </w:r>
            <w:r>
              <w:rPr>
                <w:rFonts w:hint="cs"/>
                <w:rtl/>
                <w:lang w:bidi="ar-EG"/>
              </w:rPr>
              <w:t>ة هذه المنظمات في أنشطة الاتحاد وتقييم ما إذا كان كل كيان يستوفي المعايير التي وضعها المجلس أم لا. ويوصي الأمين العام بأن يوافق المجلس على أربعة من طلبات الإعفاء السبعة.</w:t>
            </w:r>
          </w:p>
          <w:p w:rsidR="00290728" w:rsidRPr="00290728" w:rsidRDefault="00290728" w:rsidP="00706D7A">
            <w:pPr>
              <w:rPr>
                <w:b/>
                <w:bCs/>
                <w:rtl/>
                <w:lang w:bidi="ar-SY"/>
              </w:rPr>
            </w:pPr>
            <w:r w:rsidRPr="00290728">
              <w:rPr>
                <w:rFonts w:hint="cs"/>
                <w:b/>
                <w:bCs/>
                <w:rtl/>
                <w:lang w:bidi="ar-SY"/>
              </w:rPr>
              <w:t>الإجراء المطلوب</w:t>
            </w:r>
          </w:p>
          <w:p w:rsidR="00290728" w:rsidRDefault="00632BE1" w:rsidP="00706D7A">
            <w:pPr>
              <w:rPr>
                <w:rtl/>
                <w:lang w:bidi="ar-SY"/>
              </w:rPr>
            </w:pPr>
            <w:r w:rsidRPr="00632BE1">
              <w:rPr>
                <w:rtl/>
                <w:lang w:bidi="ar-SY"/>
              </w:rPr>
              <w:t xml:space="preserve">يُدعى المجلس إلى </w:t>
            </w:r>
            <w:r w:rsidRPr="00632BE1">
              <w:rPr>
                <w:b/>
                <w:bCs/>
                <w:rtl/>
                <w:lang w:bidi="ar-SY"/>
              </w:rPr>
              <w:t>النظر</w:t>
            </w:r>
            <w:r w:rsidRPr="00632BE1">
              <w:rPr>
                <w:rtl/>
                <w:lang w:bidi="ar-SY"/>
              </w:rPr>
              <w:t xml:space="preserve"> في طلبات القبول كأعضاء في القطاعات معفيين من المساهمة المالية، وإلى </w:t>
            </w:r>
            <w:r w:rsidRPr="00632BE1">
              <w:rPr>
                <w:b/>
                <w:bCs/>
                <w:rtl/>
                <w:lang w:bidi="ar-SY"/>
              </w:rPr>
              <w:t>الموافقة</w:t>
            </w:r>
            <w:r w:rsidRPr="00632BE1">
              <w:rPr>
                <w:rtl/>
                <w:lang w:bidi="ar-SY"/>
              </w:rPr>
              <w:t xml:space="preserve"> على توصيات الأمين العام.</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3B0D76" w:rsidRDefault="00B27A08" w:rsidP="00632BE1">
            <w:pPr>
              <w:spacing w:after="120"/>
              <w:rPr>
                <w:i/>
                <w:iCs/>
                <w:rtl/>
                <w:lang w:bidi="ar-SY"/>
              </w:rPr>
            </w:pPr>
            <w:hyperlink r:id="rId9" w:history="1">
              <w:r w:rsidR="00632BE1" w:rsidRPr="003B0D76">
                <w:rPr>
                  <w:rStyle w:val="Hyperlink"/>
                  <w:i/>
                  <w:iCs/>
                  <w:rtl/>
                  <w:lang w:bidi="ar-SY"/>
                </w:rPr>
                <w:t xml:space="preserve">الرقم </w:t>
              </w:r>
              <w:r w:rsidR="00632BE1" w:rsidRPr="003B0D76">
                <w:rPr>
                  <w:rStyle w:val="Hyperlink"/>
                  <w:i/>
                  <w:iCs/>
                  <w:lang w:bidi="ar-SY"/>
                </w:rPr>
                <w:t>231</w:t>
              </w:r>
              <w:r w:rsidR="00632BE1" w:rsidRPr="003B0D76">
                <w:rPr>
                  <w:rStyle w:val="Hyperlink"/>
                  <w:i/>
                  <w:iCs/>
                  <w:rtl/>
                  <w:lang w:bidi="ar-SY"/>
                </w:rPr>
                <w:t xml:space="preserve"> من الاتفاقية</w:t>
              </w:r>
            </w:hyperlink>
            <w:r w:rsidR="00632BE1" w:rsidRPr="003B0D76">
              <w:rPr>
                <w:i/>
                <w:iCs/>
                <w:rtl/>
                <w:lang w:bidi="ar-SY"/>
              </w:rPr>
              <w:t xml:space="preserve">، </w:t>
            </w:r>
            <w:hyperlink r:id="rId10" w:history="1">
              <w:r w:rsidR="00632BE1" w:rsidRPr="003B0D76">
                <w:rPr>
                  <w:rStyle w:val="Hyperlink"/>
                  <w:i/>
                  <w:iCs/>
                  <w:rtl/>
                  <w:lang w:bidi="ar-SY"/>
                </w:rPr>
                <w:t xml:space="preserve">القرار </w:t>
              </w:r>
              <w:r w:rsidR="00632BE1" w:rsidRPr="003B0D76">
                <w:rPr>
                  <w:rStyle w:val="Hyperlink"/>
                  <w:i/>
                  <w:iCs/>
                  <w:lang w:bidi="ar-SY"/>
                </w:rPr>
                <w:t>187</w:t>
              </w:r>
              <w:r w:rsidR="00632BE1" w:rsidRPr="003B0D76">
                <w:rPr>
                  <w:rStyle w:val="Hyperlink"/>
                  <w:i/>
                  <w:iCs/>
                  <w:rtl/>
                  <w:lang w:bidi="ar-SY"/>
                </w:rPr>
                <w:t xml:space="preserve"> (بوسان، </w:t>
              </w:r>
              <w:r w:rsidR="00632BE1" w:rsidRPr="003B0D76">
                <w:rPr>
                  <w:rStyle w:val="Hyperlink"/>
                  <w:i/>
                  <w:iCs/>
                  <w:lang w:bidi="ar-SY"/>
                </w:rPr>
                <w:t>2014</w:t>
              </w:r>
              <w:r w:rsidR="00632BE1" w:rsidRPr="003B0D76">
                <w:rPr>
                  <w:rStyle w:val="Hyperlink"/>
                  <w:i/>
                  <w:iCs/>
                  <w:rtl/>
                  <w:lang w:bidi="ar-SY"/>
                </w:rPr>
                <w:t>)</w:t>
              </w:r>
            </w:hyperlink>
            <w:r w:rsidR="00632BE1" w:rsidRPr="003B0D76">
              <w:rPr>
                <w:i/>
                <w:iCs/>
                <w:rtl/>
                <w:lang w:bidi="ar-SY"/>
              </w:rPr>
              <w:t xml:space="preserve">، وثائق المجلس </w:t>
            </w:r>
            <w:r>
              <w:rPr>
                <w:rStyle w:val="Hyperlink"/>
                <w:i/>
                <w:iCs/>
                <w:lang w:bidi="ar-SY"/>
              </w:rPr>
              <w:fldChar w:fldCharType="begin"/>
            </w:r>
            <w:r>
              <w:rPr>
                <w:rStyle w:val="Hyperlink"/>
                <w:i/>
                <w:iCs/>
                <w:lang w:bidi="ar-SY"/>
              </w:rPr>
              <w:instrText xml:space="preserve"> HYPERLINK "https://www.itu.int/itudoc/gs/council/c00/docs/28rev1.html" </w:instrText>
            </w:r>
            <w:r>
              <w:rPr>
                <w:rStyle w:val="Hyperlink"/>
                <w:i/>
                <w:iCs/>
                <w:lang w:bidi="ar-SY"/>
              </w:rPr>
              <w:fldChar w:fldCharType="separate"/>
            </w:r>
            <w:r w:rsidR="00632BE1" w:rsidRPr="003B0D76">
              <w:rPr>
                <w:rStyle w:val="Hyperlink"/>
                <w:i/>
                <w:iCs/>
                <w:lang w:bidi="ar-SY"/>
              </w:rPr>
              <w:t>C2000/28 (Rev.1)</w:t>
            </w:r>
            <w:r>
              <w:rPr>
                <w:rStyle w:val="Hyperlink"/>
                <w:i/>
                <w:iCs/>
                <w:lang w:bidi="ar-SY"/>
              </w:rPr>
              <w:fldChar w:fldCharType="end"/>
            </w:r>
            <w:r w:rsidR="00632BE1" w:rsidRPr="003B0D76">
              <w:rPr>
                <w:i/>
                <w:iCs/>
                <w:rtl/>
                <w:lang w:bidi="ar-SY"/>
              </w:rPr>
              <w:t xml:space="preserve"> و</w:t>
            </w:r>
            <w:r>
              <w:rPr>
                <w:rStyle w:val="Hyperlink"/>
                <w:i/>
                <w:iCs/>
                <w:lang w:bidi="ar-SY"/>
              </w:rPr>
              <w:fldChar w:fldCharType="begin"/>
            </w:r>
            <w:r>
              <w:rPr>
                <w:rStyle w:val="Hyperlink"/>
                <w:i/>
                <w:iCs/>
                <w:lang w:bidi="ar-SY"/>
              </w:rPr>
              <w:instrText xml:space="preserve"> HYPERLINK "https://www.itu.int/itudoc/gs/council/c01/docs/026.html" </w:instrText>
            </w:r>
            <w:r>
              <w:rPr>
                <w:rStyle w:val="Hyperlink"/>
                <w:i/>
                <w:iCs/>
                <w:lang w:bidi="ar-SY"/>
              </w:rPr>
              <w:fldChar w:fldCharType="separate"/>
            </w:r>
            <w:r w:rsidR="00632BE1" w:rsidRPr="003B0D76">
              <w:rPr>
                <w:rStyle w:val="Hyperlink"/>
                <w:i/>
                <w:iCs/>
                <w:lang w:bidi="ar-SY"/>
              </w:rPr>
              <w:t>C2001/26</w:t>
            </w:r>
            <w:r>
              <w:rPr>
                <w:rStyle w:val="Hyperlink"/>
                <w:i/>
                <w:iCs/>
                <w:lang w:bidi="ar-SY"/>
              </w:rPr>
              <w:fldChar w:fldCharType="end"/>
            </w:r>
            <w:r w:rsidR="00632BE1" w:rsidRPr="003B0D76">
              <w:rPr>
                <w:i/>
                <w:iCs/>
                <w:rtl/>
                <w:lang w:bidi="ar-SY"/>
              </w:rPr>
              <w:t xml:space="preserve"> و</w:t>
            </w:r>
            <w:r>
              <w:rPr>
                <w:rStyle w:val="Hyperlink"/>
                <w:i/>
                <w:iCs/>
                <w:lang w:bidi="ar-SY"/>
              </w:rPr>
              <w:fldChar w:fldCharType="begin"/>
            </w:r>
            <w:r>
              <w:rPr>
                <w:rStyle w:val="Hyperlink"/>
                <w:i/>
                <w:iCs/>
                <w:lang w:bidi="ar-SY"/>
              </w:rPr>
              <w:instrText xml:space="preserve"> HYPERLINK "https://www.itu.int/md/S02-CL-C-0094/en" </w:instrText>
            </w:r>
            <w:r>
              <w:rPr>
                <w:rStyle w:val="Hyperlink"/>
                <w:i/>
                <w:iCs/>
                <w:lang w:bidi="ar-SY"/>
              </w:rPr>
              <w:fldChar w:fldCharType="separate"/>
            </w:r>
            <w:r w:rsidR="00632BE1" w:rsidRPr="003B0D76">
              <w:rPr>
                <w:rStyle w:val="Hyperlink"/>
                <w:i/>
                <w:iCs/>
                <w:lang w:bidi="ar-SY"/>
              </w:rPr>
              <w:t>C02/94</w:t>
            </w:r>
            <w:r w:rsidR="00632BE1" w:rsidRPr="003B0D76">
              <w:rPr>
                <w:rStyle w:val="Hyperlink"/>
                <w:i/>
                <w:iCs/>
                <w:rtl/>
                <w:lang w:bidi="ar-SY"/>
              </w:rPr>
              <w:t xml:space="preserve"> (القسم </w:t>
            </w:r>
            <w:r w:rsidR="00632BE1" w:rsidRPr="003B0D76">
              <w:rPr>
                <w:rStyle w:val="Hyperlink"/>
                <w:i/>
                <w:iCs/>
                <w:lang w:bidi="ar-SY"/>
              </w:rPr>
              <w:t>2</w:t>
            </w:r>
            <w:r w:rsidR="00632BE1" w:rsidRPr="003B0D76">
              <w:rPr>
                <w:rStyle w:val="Hyperlink"/>
                <w:i/>
                <w:iCs/>
                <w:rtl/>
                <w:lang w:bidi="ar-SY"/>
              </w:rPr>
              <w:t>)</w:t>
            </w:r>
            <w:r>
              <w:rPr>
                <w:rStyle w:val="Hyperlink"/>
                <w:i/>
                <w:iCs/>
                <w:lang w:bidi="ar-SY"/>
              </w:rPr>
              <w:fldChar w:fldCharType="end"/>
            </w:r>
            <w:r w:rsidR="00632BE1" w:rsidRPr="003B0D76">
              <w:rPr>
                <w:i/>
                <w:iCs/>
                <w:rtl/>
                <w:lang w:bidi="ar-SY"/>
              </w:rPr>
              <w:t xml:space="preserve"> و</w:t>
            </w:r>
            <w:hyperlink r:id="rId11" w:history="1">
              <w:r w:rsidR="00632BE1" w:rsidRPr="003B0D76">
                <w:rPr>
                  <w:rStyle w:val="Hyperlink"/>
                  <w:i/>
                  <w:iCs/>
                  <w:lang w:bidi="ar-SY"/>
                </w:rPr>
                <w:t>C03/40</w:t>
              </w:r>
              <w:r w:rsidR="00632BE1" w:rsidRPr="003B0D76">
                <w:rPr>
                  <w:rStyle w:val="Hyperlink"/>
                  <w:i/>
                  <w:iCs/>
                  <w:rtl/>
                  <w:lang w:bidi="ar-SY"/>
                </w:rPr>
                <w:t xml:space="preserve"> والإضافة </w:t>
              </w:r>
              <w:r w:rsidR="00632BE1" w:rsidRPr="003B0D76">
                <w:rPr>
                  <w:rStyle w:val="Hyperlink"/>
                  <w:i/>
                  <w:iCs/>
                  <w:lang w:bidi="ar-SY"/>
                </w:rPr>
                <w:t>1</w:t>
              </w:r>
              <w:r w:rsidR="00632BE1" w:rsidRPr="003B0D76">
                <w:rPr>
                  <w:rStyle w:val="Hyperlink"/>
                  <w:i/>
                  <w:iCs/>
                  <w:rtl/>
                  <w:lang w:bidi="ar-SY"/>
                </w:rPr>
                <w:t xml:space="preserve"> لها</w:t>
              </w:r>
            </w:hyperlink>
            <w:r w:rsidR="00632BE1" w:rsidRPr="003B0D76">
              <w:rPr>
                <w:i/>
                <w:iCs/>
                <w:rtl/>
                <w:lang w:bidi="ar-SY"/>
              </w:rPr>
              <w:t xml:space="preserve"> و</w:t>
            </w:r>
            <w:hyperlink r:id="rId12" w:history="1">
              <w:r w:rsidR="00632BE1" w:rsidRPr="003B0D76">
                <w:rPr>
                  <w:rStyle w:val="Hyperlink"/>
                  <w:i/>
                  <w:iCs/>
                  <w:lang w:bidi="ar-SY"/>
                </w:rPr>
                <w:t>C03-ADD/3</w:t>
              </w:r>
            </w:hyperlink>
            <w:r w:rsidR="00632BE1" w:rsidRPr="003B0D76">
              <w:rPr>
                <w:i/>
                <w:iCs/>
                <w:rtl/>
                <w:lang w:bidi="ar-SY"/>
              </w:rPr>
              <w:t xml:space="preserve"> و</w:t>
            </w:r>
            <w:r>
              <w:rPr>
                <w:rStyle w:val="Hyperlink"/>
                <w:i/>
                <w:iCs/>
                <w:lang w:bidi="ar-SY"/>
              </w:rPr>
              <w:fldChar w:fldCharType="begin"/>
            </w:r>
            <w:r>
              <w:rPr>
                <w:rStyle w:val="Hyperlink"/>
                <w:i/>
                <w:iCs/>
                <w:lang w:bidi="ar-SY"/>
              </w:rPr>
              <w:instrText xml:space="preserve"> HYPERLINK "http://www.itu.int/md/S05-CL-C-0040/en" </w:instrText>
            </w:r>
            <w:r>
              <w:rPr>
                <w:rStyle w:val="Hyperlink"/>
                <w:i/>
                <w:iCs/>
                <w:lang w:bidi="ar-SY"/>
              </w:rPr>
              <w:fldChar w:fldCharType="separate"/>
            </w:r>
            <w:r w:rsidR="00632BE1" w:rsidRPr="003B0D76">
              <w:rPr>
                <w:rStyle w:val="Hyperlink"/>
                <w:i/>
                <w:iCs/>
                <w:lang w:bidi="ar-SY"/>
              </w:rPr>
              <w:t>C05/40</w:t>
            </w:r>
            <w:r>
              <w:rPr>
                <w:rStyle w:val="Hyperlink"/>
                <w:i/>
                <w:iCs/>
                <w:lang w:bidi="ar-SY"/>
              </w:rPr>
              <w:fldChar w:fldCharType="end"/>
            </w:r>
          </w:p>
        </w:tc>
      </w:tr>
    </w:tbl>
    <w:p w:rsidR="004E11DC" w:rsidRDefault="004E11DC" w:rsidP="004E11DC">
      <w:pPr>
        <w:rPr>
          <w:rtl/>
          <w:lang w:bidi="ar-EG"/>
        </w:rPr>
      </w:pPr>
    </w:p>
    <w:p w:rsidR="00290728" w:rsidRDefault="00290728" w:rsidP="00290728">
      <w:pPr>
        <w:rPr>
          <w:rtl/>
          <w:lang w:bidi="ar-EG"/>
        </w:rPr>
      </w:pPr>
      <w:r>
        <w:rPr>
          <w:rtl/>
          <w:lang w:bidi="ar-SY"/>
        </w:rPr>
        <w:br w:type="page"/>
      </w:r>
    </w:p>
    <w:p w:rsidR="00632BE1" w:rsidRDefault="00632BE1" w:rsidP="00632BE1">
      <w:pPr>
        <w:pStyle w:val="Headingb"/>
        <w:spacing w:before="480"/>
        <w:rPr>
          <w:rtl/>
          <w:lang w:bidi="ar-EG"/>
        </w:rPr>
      </w:pPr>
      <w:r>
        <w:rPr>
          <w:rFonts w:hint="cs"/>
          <w:rtl/>
        </w:rPr>
        <w:lastRenderedPageBreak/>
        <w:t>خلفية</w:t>
      </w:r>
    </w:p>
    <w:p w:rsidR="00632BE1" w:rsidRPr="00BF491D" w:rsidRDefault="00632BE1" w:rsidP="00632BE1">
      <w:pPr>
        <w:rPr>
          <w:spacing w:val="4"/>
          <w:rtl/>
          <w:lang w:bidi="ar-EG"/>
        </w:rPr>
      </w:pPr>
      <w:r w:rsidRPr="00BF491D">
        <w:rPr>
          <w:spacing w:val="4"/>
        </w:rPr>
        <w:t>1</w:t>
      </w:r>
      <w:r w:rsidRPr="00BF491D">
        <w:rPr>
          <w:rFonts w:hint="cs"/>
          <w:spacing w:val="4"/>
          <w:rtl/>
          <w:lang w:bidi="ar-SY"/>
        </w:rPr>
        <w:tab/>
        <w:t xml:space="preserve">اعتمد المجلس في دورته لعام </w:t>
      </w:r>
      <w:r w:rsidRPr="00BF491D">
        <w:rPr>
          <w:spacing w:val="4"/>
        </w:rPr>
        <w:t>2000</w:t>
      </w:r>
      <w:r w:rsidRPr="00BF491D">
        <w:rPr>
          <w:rFonts w:hint="cs"/>
          <w:spacing w:val="4"/>
          <w:rtl/>
          <w:lang w:bidi="ar-SY"/>
        </w:rPr>
        <w:t xml:space="preserve"> المعايير والمبادئ التوجيهية التي تنظم منح الإعفاءات بشرط "المعاملة</w:t>
      </w:r>
      <w:r w:rsidRPr="00BF491D">
        <w:rPr>
          <w:rFonts w:hint="eastAsia"/>
          <w:spacing w:val="4"/>
          <w:rtl/>
          <w:lang w:bidi="ar-SY"/>
        </w:rPr>
        <w:t> </w:t>
      </w:r>
      <w:r w:rsidRPr="00BF491D">
        <w:rPr>
          <w:rFonts w:hint="cs"/>
          <w:spacing w:val="4"/>
          <w:rtl/>
          <w:lang w:bidi="ar-SY"/>
        </w:rPr>
        <w:t>بالمثل" (الوثيقة</w:t>
      </w:r>
      <w:r w:rsidRPr="00BF491D">
        <w:rPr>
          <w:rFonts w:hint="eastAsia"/>
          <w:spacing w:val="4"/>
          <w:rtl/>
        </w:rPr>
        <w:t> </w:t>
      </w:r>
      <w:r w:rsidRPr="00BF491D">
        <w:rPr>
          <w:spacing w:val="4"/>
        </w:rPr>
        <w:t>C2000/28(Rev.1)</w:t>
      </w:r>
      <w:r w:rsidRPr="00BF491D">
        <w:rPr>
          <w:rFonts w:hint="cs"/>
          <w:spacing w:val="4"/>
          <w:rtl/>
          <w:lang w:bidi="ar-SY"/>
        </w:rPr>
        <w:t xml:space="preserve">). </w:t>
      </w:r>
      <w:r w:rsidRPr="00BF491D">
        <w:rPr>
          <w:rFonts w:hint="cs"/>
          <w:spacing w:val="4"/>
          <w:rtl/>
        </w:rPr>
        <w:t xml:space="preserve">وفيما يخص مسألة الإعفاء من الرسوم فإن المجلس يمنح الإعفاء بناءً على تحليل للقطاعات المعنية وتوصية من الأمين العام. </w:t>
      </w:r>
      <w:r w:rsidRPr="00BF491D">
        <w:rPr>
          <w:rFonts w:hint="cs"/>
          <w:spacing w:val="4"/>
          <w:rtl/>
          <w:lang w:bidi="ar-JO"/>
        </w:rPr>
        <w:t xml:space="preserve">ويتمثل أهم المعايير في وجوب أن يكون الكيان المعني منظمة إقليمية أو دولية </w:t>
      </w:r>
      <w:r w:rsidRPr="00BF491D">
        <w:rPr>
          <w:rFonts w:hint="cs"/>
          <w:spacing w:val="4"/>
          <w:rtl/>
        </w:rPr>
        <w:t>تهتم بالاتصالات/تكنولوجيا المعلومات والاتصالات،</w:t>
      </w:r>
      <w:r w:rsidRPr="00BF491D">
        <w:rPr>
          <w:rFonts w:hint="cs"/>
          <w:spacing w:val="4"/>
          <w:rtl/>
          <w:lang w:bidi="ar-JO"/>
        </w:rPr>
        <w:t xml:space="preserve"> ولا</w:t>
      </w:r>
      <w:r w:rsidRPr="00BF491D">
        <w:rPr>
          <w:rFonts w:hint="eastAsia"/>
          <w:spacing w:val="4"/>
          <w:rtl/>
          <w:lang w:bidi="ar-JO"/>
        </w:rPr>
        <w:t> </w:t>
      </w:r>
      <w:r w:rsidRPr="00BF491D">
        <w:rPr>
          <w:rFonts w:hint="cs"/>
          <w:spacing w:val="4"/>
          <w:rtl/>
          <w:lang w:bidi="ar-JO"/>
        </w:rPr>
        <w:t>تستهدف الربح، وتتبادل المنافع مع الاتحاد الدولي للاتصالات</w:t>
      </w:r>
      <w:r w:rsidRPr="00BF491D">
        <w:rPr>
          <w:rFonts w:hint="cs"/>
          <w:spacing w:val="4"/>
          <w:rtl/>
        </w:rPr>
        <w:t xml:space="preserve">. وإذا تم قبول هذه المنظمات، تصبح من أعضاء القطاعات أو من المنتسبين بموجب الرقم </w:t>
      </w:r>
      <w:r w:rsidRPr="00BF491D">
        <w:rPr>
          <w:spacing w:val="4"/>
        </w:rPr>
        <w:t>231</w:t>
      </w:r>
      <w:r w:rsidRPr="00BF491D">
        <w:rPr>
          <w:rFonts w:hint="cs"/>
          <w:spacing w:val="4"/>
          <w:rtl/>
          <w:lang w:bidi="ar-SY"/>
        </w:rPr>
        <w:t xml:space="preserve"> من الاتفاقية.</w:t>
      </w:r>
      <w:r w:rsidRPr="00BF491D">
        <w:rPr>
          <w:rFonts w:hint="cs"/>
          <w:spacing w:val="4"/>
          <w:rtl/>
        </w:rPr>
        <w:t xml:space="preserve"> وثمة حالياً </w:t>
      </w:r>
      <w:r w:rsidRPr="00BF491D">
        <w:rPr>
          <w:spacing w:val="4"/>
        </w:rPr>
        <w:t>117</w:t>
      </w:r>
      <w:r>
        <w:rPr>
          <w:rFonts w:hint="eastAsia"/>
          <w:spacing w:val="4"/>
          <w:rtl/>
        </w:rPr>
        <w:t> </w:t>
      </w:r>
      <w:r w:rsidRPr="00BF491D">
        <w:rPr>
          <w:rFonts w:hint="cs"/>
          <w:spacing w:val="4"/>
          <w:rtl/>
        </w:rPr>
        <w:t>منظمة إقليمية أو دولية معفاة من الرسوم</w:t>
      </w:r>
      <w:r w:rsidRPr="00BF491D">
        <w:rPr>
          <w:rFonts w:hint="cs"/>
          <w:spacing w:val="4"/>
          <w:rtl/>
          <w:lang w:bidi="ar-EG"/>
        </w:rPr>
        <w:t>.</w:t>
      </w:r>
    </w:p>
    <w:p w:rsidR="00632BE1" w:rsidRDefault="00632BE1" w:rsidP="004306F0">
      <w:pPr>
        <w:rPr>
          <w:spacing w:val="2"/>
          <w:lang w:val="fr-CH" w:bidi="ar-SY"/>
        </w:rPr>
      </w:pPr>
      <w:r w:rsidRPr="00F26914">
        <w:rPr>
          <w:spacing w:val="2"/>
          <w:lang w:bidi="ar-EG"/>
        </w:rPr>
        <w:t>2</w:t>
      </w:r>
      <w:r w:rsidRPr="00F26914">
        <w:rPr>
          <w:spacing w:val="2"/>
          <w:lang w:bidi="ar-EG"/>
        </w:rPr>
        <w:tab/>
      </w:r>
      <w:r w:rsidRPr="00F26914">
        <w:rPr>
          <w:rFonts w:hint="cs"/>
          <w:spacing w:val="2"/>
          <w:rtl/>
          <w:lang w:bidi="ar-EG"/>
        </w:rPr>
        <w:t>و</w:t>
      </w:r>
      <w:r w:rsidRPr="00F26914">
        <w:rPr>
          <w:rFonts w:hint="cs"/>
          <w:spacing w:val="2"/>
          <w:rtl/>
          <w:lang w:val="fr-CH" w:bidi="ar-SY"/>
        </w:rPr>
        <w:t xml:space="preserve">بموجب القرار </w:t>
      </w:r>
      <w:r w:rsidRPr="00F26914">
        <w:rPr>
          <w:spacing w:val="2"/>
          <w:lang w:bidi="ar-SY"/>
        </w:rPr>
        <w:t>187</w:t>
      </w:r>
      <w:r w:rsidRPr="00F26914">
        <w:rPr>
          <w:rFonts w:hint="cs"/>
          <w:spacing w:val="2"/>
          <w:rtl/>
          <w:lang w:val="fr-CH" w:bidi="ar-SY"/>
        </w:rPr>
        <w:t xml:space="preserve"> (بوسان، </w:t>
      </w:r>
      <w:r w:rsidRPr="00F26914">
        <w:rPr>
          <w:spacing w:val="2"/>
          <w:lang w:bidi="ar-SY"/>
        </w:rPr>
        <w:t>2014</w:t>
      </w:r>
      <w:r w:rsidRPr="00F26914">
        <w:rPr>
          <w:rFonts w:hint="cs"/>
          <w:spacing w:val="2"/>
          <w:rtl/>
          <w:lang w:val="fr-CH" w:bidi="ar-SY"/>
        </w:rPr>
        <w:t>)</w:t>
      </w:r>
      <w:r w:rsidRPr="00F26914">
        <w:rPr>
          <w:rFonts w:hint="cs"/>
          <w:spacing w:val="2"/>
          <w:rtl/>
          <w:lang w:bidi="ar-EG"/>
        </w:rPr>
        <w:t xml:space="preserve"> لمؤتمر المندوبين المفوضين لعام </w:t>
      </w:r>
      <w:r w:rsidRPr="00F26914">
        <w:rPr>
          <w:spacing w:val="2"/>
          <w:lang w:bidi="ar-EG"/>
        </w:rPr>
        <w:t>2014</w:t>
      </w:r>
      <w:r w:rsidRPr="00F26914">
        <w:rPr>
          <w:rFonts w:hint="cs"/>
          <w:spacing w:val="2"/>
          <w:rtl/>
          <w:lang w:bidi="ar-EG"/>
        </w:rPr>
        <w:t>، كلف المؤتمر</w:t>
      </w:r>
      <w:r w:rsidRPr="00F26914">
        <w:rPr>
          <w:rFonts w:hint="cs"/>
          <w:spacing w:val="2"/>
          <w:rtl/>
          <w:lang w:val="fr-CH" w:bidi="ar-SY"/>
        </w:rPr>
        <w:t xml:space="preserve"> المجلس </w:t>
      </w:r>
      <w:r w:rsidRPr="00F26914">
        <w:rPr>
          <w:rFonts w:hint="cs"/>
          <w:spacing w:val="2"/>
          <w:rtl/>
        </w:rPr>
        <w:t>"باستعراض الممارسة والمعايير المتعلقة بإعفاء الكيانات من رسوم العضوية والقيام، عند اللزوم، بالتغييرات اللازمة لتشديد المعايير من أجل المساعدة في زيادة الوضوح والاتساق والإنصاف بين</w:t>
      </w:r>
      <w:r w:rsidRPr="00F26914">
        <w:rPr>
          <w:rFonts w:hint="eastAsia"/>
          <w:spacing w:val="2"/>
          <w:rtl/>
        </w:rPr>
        <w:t> </w:t>
      </w:r>
      <w:r w:rsidRPr="00F26914">
        <w:rPr>
          <w:rFonts w:hint="cs"/>
          <w:spacing w:val="2"/>
          <w:rtl/>
        </w:rPr>
        <w:t>الأعضاء الذين يدفعون رسوماً والأعضاء الذين لا يدفعون أي رسوم وتقليص العدد الإجمالي للكيانات</w:t>
      </w:r>
      <w:r w:rsidRPr="00F26914">
        <w:rPr>
          <w:rFonts w:hint="eastAsia"/>
          <w:spacing w:val="2"/>
          <w:rtl/>
        </w:rPr>
        <w:t> </w:t>
      </w:r>
      <w:r w:rsidRPr="00F26914">
        <w:rPr>
          <w:rFonts w:hint="cs"/>
          <w:spacing w:val="2"/>
          <w:rtl/>
        </w:rPr>
        <w:t xml:space="preserve">المعفاة". وعقب استعراضٍ مفصلٍ أجراه فريق العمل التابع للمجلس والمعني بالموارد المالية والبشرية، عدّل المجلس في دورته لعام </w:t>
      </w:r>
      <w:r w:rsidRPr="00F26914">
        <w:rPr>
          <w:spacing w:val="2"/>
        </w:rPr>
        <w:t>2017</w:t>
      </w:r>
      <w:r w:rsidRPr="00F26914">
        <w:rPr>
          <w:rFonts w:hint="cs"/>
          <w:spacing w:val="2"/>
          <w:rtl/>
          <w:lang w:val="fr-CH" w:bidi="ar-SY"/>
        </w:rPr>
        <w:t xml:space="preserve"> المعايير</w:t>
      </w:r>
      <w:r w:rsidRPr="00F26914">
        <w:rPr>
          <w:rFonts w:hint="eastAsia"/>
          <w:spacing w:val="2"/>
          <w:rtl/>
          <w:lang w:val="fr-CH" w:bidi="ar-SY"/>
        </w:rPr>
        <w:t> </w:t>
      </w:r>
      <w:r w:rsidRPr="00F26914">
        <w:rPr>
          <w:rFonts w:hint="cs"/>
          <w:spacing w:val="2"/>
          <w:rtl/>
          <w:lang w:val="fr-CH" w:bidi="ar-SY"/>
        </w:rPr>
        <w:t>على النحو الوارد في الملحق. وتشمل التغييرات الرئيسية تعاريف أدق للمنظمات الدولية/الإقليمية ولمصطلح "المعاملة بالمثل" وعدم السماح "لرابطات الصناعة" التي تضم أعضاء يستهدفون الربح بالتأهل للحصول على إعفاء من</w:t>
      </w:r>
      <w:r w:rsidRPr="00F26914">
        <w:rPr>
          <w:rFonts w:hint="eastAsia"/>
          <w:spacing w:val="2"/>
          <w:rtl/>
          <w:lang w:val="fr-CH" w:bidi="ar-SY"/>
        </w:rPr>
        <w:t> </w:t>
      </w:r>
      <w:r w:rsidRPr="00F26914">
        <w:rPr>
          <w:rFonts w:hint="cs"/>
          <w:spacing w:val="2"/>
          <w:rtl/>
          <w:lang w:val="fr-CH" w:bidi="ar-SY"/>
        </w:rPr>
        <w:t>الرسوم.</w:t>
      </w:r>
    </w:p>
    <w:p w:rsidR="00632BE1" w:rsidRPr="002C7FCE" w:rsidRDefault="00632BE1" w:rsidP="004306F0">
      <w:pPr>
        <w:rPr>
          <w:spacing w:val="2"/>
          <w:rtl/>
          <w:lang w:bidi="ar-EG"/>
        </w:rPr>
      </w:pPr>
      <w:r>
        <w:rPr>
          <w:rFonts w:hint="cs"/>
          <w:spacing w:val="2"/>
          <w:rtl/>
          <w:lang w:val="fr-CH" w:bidi="ar-EG"/>
        </w:rPr>
        <w:t xml:space="preserve">وتم تقييم طلبات الإعفاء المقدمة إلى المجلس في دورته لعام </w:t>
      </w:r>
      <w:r>
        <w:rPr>
          <w:spacing w:val="2"/>
          <w:lang w:bidi="ar-EG"/>
        </w:rPr>
        <w:t>2019</w:t>
      </w:r>
      <w:r>
        <w:rPr>
          <w:rFonts w:hint="cs"/>
          <w:spacing w:val="2"/>
          <w:rtl/>
          <w:lang w:bidi="ar-EG"/>
        </w:rPr>
        <w:t xml:space="preserve"> استنا</w:t>
      </w:r>
      <w:r w:rsidR="00126AD6">
        <w:rPr>
          <w:rFonts w:hint="cs"/>
          <w:spacing w:val="2"/>
          <w:rtl/>
          <w:lang w:bidi="ar-EG"/>
        </w:rPr>
        <w:t>داً إلى هذه المعايير المراجَعة.</w:t>
      </w:r>
    </w:p>
    <w:p w:rsidR="00632BE1" w:rsidRDefault="00632BE1" w:rsidP="00632BE1">
      <w:pPr>
        <w:pStyle w:val="Headingb"/>
        <w:rPr>
          <w:rtl/>
        </w:rPr>
      </w:pPr>
      <w:r w:rsidRPr="00682D11">
        <w:rPr>
          <w:rFonts w:hint="cs"/>
          <w:rtl/>
        </w:rPr>
        <w:t>التوصيات</w:t>
      </w:r>
    </w:p>
    <w:p w:rsidR="00632BE1" w:rsidRPr="00682D11" w:rsidRDefault="00632BE1" w:rsidP="00632BE1">
      <w:pPr>
        <w:rPr>
          <w:rtl/>
          <w:lang w:bidi="ar-SY"/>
        </w:rPr>
      </w:pPr>
      <w:r>
        <w:t>3</w:t>
      </w:r>
      <w:r>
        <w:rPr>
          <w:rtl/>
          <w:lang w:bidi="ar-EG"/>
        </w:rPr>
        <w:tab/>
      </w:r>
      <w:r w:rsidRPr="00F61D7B">
        <w:rPr>
          <w:rFonts w:hint="cs"/>
          <w:rtl/>
          <w:lang w:bidi="ar-SY"/>
        </w:rPr>
        <w:t xml:space="preserve">وردت الطلبات التالية، وهي تُقدَّم </w:t>
      </w:r>
      <w:r>
        <w:rPr>
          <w:rFonts w:hint="cs"/>
          <w:rtl/>
          <w:lang w:bidi="ar-SY"/>
        </w:rPr>
        <w:t xml:space="preserve">إلى المجلس </w:t>
      </w:r>
      <w:r w:rsidRPr="00F61D7B">
        <w:rPr>
          <w:rFonts w:hint="cs"/>
          <w:rtl/>
          <w:lang w:bidi="ar-SY"/>
        </w:rPr>
        <w:t xml:space="preserve">لكي </w:t>
      </w:r>
      <w:r>
        <w:rPr>
          <w:rFonts w:hint="cs"/>
          <w:rtl/>
          <w:lang w:bidi="ar-SY"/>
        </w:rPr>
        <w:t>ينظر فيها</w:t>
      </w:r>
      <w:r w:rsidRPr="00F61D7B">
        <w:rPr>
          <w:rFonts w:hint="cs"/>
          <w:rtl/>
          <w:lang w:bidi="ar-SY"/>
        </w:rPr>
        <w:t>:</w:t>
      </w:r>
    </w:p>
    <w:p w:rsidR="00632BE1" w:rsidRPr="00682D11" w:rsidRDefault="00632BE1" w:rsidP="00856AF5">
      <w:pPr>
        <w:keepNext/>
        <w:keepLines/>
        <w:spacing w:after="120"/>
        <w:rPr>
          <w:rtl/>
        </w:rPr>
      </w:pPr>
      <w:r w:rsidRPr="00682D11">
        <w:t>1.</w:t>
      </w:r>
      <w:r>
        <w:t>3</w:t>
      </w:r>
      <w:r w:rsidR="003B0D76">
        <w:rPr>
          <w:rFonts w:hint="cs"/>
          <w:rtl/>
        </w:rPr>
        <w:t> </w:t>
      </w:r>
    </w:p>
    <w:tbl>
      <w:tblPr>
        <w:bidiVisual/>
        <w:tblW w:w="92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4284"/>
        <w:gridCol w:w="2697"/>
        <w:gridCol w:w="2261"/>
      </w:tblGrid>
      <w:tr w:rsidR="00632BE1" w:rsidRPr="00AF2032" w:rsidTr="003B0D76">
        <w:trPr>
          <w:cantSplit/>
          <w:jc w:val="center"/>
        </w:trPr>
        <w:tc>
          <w:tcPr>
            <w:tcW w:w="2318" w:type="pct"/>
            <w:tcMar>
              <w:top w:w="57" w:type="dxa"/>
              <w:left w:w="57" w:type="dxa"/>
              <w:bottom w:w="57" w:type="dxa"/>
              <w:right w:w="57" w:type="dxa"/>
            </w:tcMar>
          </w:tcPr>
          <w:p w:rsidR="00632BE1" w:rsidRPr="00AF2032" w:rsidRDefault="00632BE1" w:rsidP="00373065">
            <w:pPr>
              <w:pStyle w:val="TableHead"/>
              <w:spacing w:line="300" w:lineRule="exact"/>
              <w:rPr>
                <w:sz w:val="22"/>
                <w:szCs w:val="30"/>
              </w:rPr>
            </w:pPr>
            <w:r w:rsidRPr="00AF2032">
              <w:rPr>
                <w:rFonts w:hint="cs"/>
                <w:sz w:val="22"/>
                <w:szCs w:val="30"/>
                <w:rtl/>
              </w:rPr>
              <w:t>المنظمة</w:t>
            </w:r>
          </w:p>
        </w:tc>
        <w:tc>
          <w:tcPr>
            <w:tcW w:w="1459" w:type="pct"/>
            <w:tcMar>
              <w:top w:w="57" w:type="dxa"/>
              <w:left w:w="57" w:type="dxa"/>
              <w:bottom w:w="57" w:type="dxa"/>
              <w:right w:w="57" w:type="dxa"/>
            </w:tcMar>
          </w:tcPr>
          <w:p w:rsidR="00632BE1" w:rsidRPr="00AF2032" w:rsidRDefault="00632BE1" w:rsidP="00373065">
            <w:pPr>
              <w:pStyle w:val="TableHead"/>
              <w:spacing w:line="300" w:lineRule="exact"/>
              <w:rPr>
                <w:sz w:val="22"/>
                <w:szCs w:val="30"/>
              </w:rPr>
            </w:pPr>
            <w:r w:rsidRPr="00AF2032">
              <w:rPr>
                <w:rFonts w:hint="cs"/>
                <w:sz w:val="22"/>
                <w:szCs w:val="30"/>
                <w:rtl/>
              </w:rPr>
              <w:t>القطاع</w:t>
            </w:r>
          </w:p>
        </w:tc>
        <w:tc>
          <w:tcPr>
            <w:tcW w:w="1223" w:type="pct"/>
            <w:tcMar>
              <w:top w:w="57" w:type="dxa"/>
              <w:left w:w="57" w:type="dxa"/>
              <w:bottom w:w="57" w:type="dxa"/>
              <w:right w:w="57" w:type="dxa"/>
            </w:tcMar>
          </w:tcPr>
          <w:p w:rsidR="00632BE1" w:rsidRPr="00AF2032" w:rsidRDefault="00632BE1" w:rsidP="00373065">
            <w:pPr>
              <w:pStyle w:val="TableHead"/>
              <w:spacing w:line="300" w:lineRule="exact"/>
              <w:rPr>
                <w:sz w:val="22"/>
                <w:szCs w:val="30"/>
              </w:rPr>
            </w:pPr>
            <w:r w:rsidRPr="00AF2032">
              <w:rPr>
                <w:rFonts w:hint="cs"/>
                <w:sz w:val="22"/>
                <w:szCs w:val="30"/>
                <w:rtl/>
              </w:rPr>
              <w:t>توصية الأمين العام</w:t>
            </w:r>
          </w:p>
        </w:tc>
      </w:tr>
      <w:tr w:rsidR="00632BE1" w:rsidRPr="00AF2032" w:rsidTr="000445FF">
        <w:trPr>
          <w:cantSplit/>
          <w:jc w:val="center"/>
        </w:trPr>
        <w:tc>
          <w:tcPr>
            <w:tcW w:w="2318" w:type="pct"/>
            <w:tcMar>
              <w:top w:w="57" w:type="dxa"/>
              <w:left w:w="57" w:type="dxa"/>
              <w:bottom w:w="57" w:type="dxa"/>
              <w:right w:w="57" w:type="dxa"/>
            </w:tcMar>
          </w:tcPr>
          <w:p w:rsidR="00632BE1" w:rsidRPr="00AF2032" w:rsidRDefault="00632BE1" w:rsidP="00373065">
            <w:pPr>
              <w:pStyle w:val="Tabletexte"/>
              <w:spacing w:line="300" w:lineRule="exact"/>
              <w:jc w:val="center"/>
              <w:rPr>
                <w:b/>
                <w:bCs/>
                <w:sz w:val="22"/>
                <w:szCs w:val="30"/>
                <w:rtl/>
              </w:rPr>
            </w:pPr>
            <w:r w:rsidRPr="00AF2032">
              <w:rPr>
                <w:rFonts w:hint="cs"/>
                <w:b/>
                <w:bCs/>
                <w:sz w:val="22"/>
                <w:szCs w:val="30"/>
                <w:rtl/>
              </w:rPr>
              <w:t xml:space="preserve">مؤسسة الإنترنت للأسماء والأرقام المخصصة </w:t>
            </w:r>
            <w:r w:rsidRPr="00AF2032">
              <w:rPr>
                <w:b/>
                <w:sz w:val="22"/>
                <w:szCs w:val="30"/>
              </w:rPr>
              <w:t>(</w:t>
            </w:r>
            <w:r w:rsidRPr="00AF2032">
              <w:rPr>
                <w:b/>
                <w:iCs/>
                <w:sz w:val="22"/>
                <w:szCs w:val="30"/>
              </w:rPr>
              <w:t>ICANN)</w:t>
            </w:r>
          </w:p>
        </w:tc>
        <w:tc>
          <w:tcPr>
            <w:tcW w:w="1459" w:type="pct"/>
            <w:tcMar>
              <w:top w:w="57" w:type="dxa"/>
              <w:left w:w="57" w:type="dxa"/>
              <w:bottom w:w="57" w:type="dxa"/>
              <w:right w:w="57" w:type="dxa"/>
            </w:tcMar>
          </w:tcPr>
          <w:p w:rsidR="00632BE1" w:rsidRPr="00AF2032" w:rsidRDefault="00632BE1" w:rsidP="00373065">
            <w:pPr>
              <w:pStyle w:val="Tabletexte"/>
              <w:spacing w:line="300" w:lineRule="exact"/>
              <w:jc w:val="center"/>
              <w:rPr>
                <w:sz w:val="22"/>
                <w:szCs w:val="30"/>
                <w:lang w:val="fr-CH"/>
              </w:rPr>
            </w:pPr>
            <w:r w:rsidRPr="00AF2032">
              <w:rPr>
                <w:rFonts w:hint="cs"/>
                <w:sz w:val="22"/>
                <w:szCs w:val="30"/>
                <w:rtl/>
              </w:rPr>
              <w:t>قطاع تنمية الاتصالات</w:t>
            </w:r>
          </w:p>
        </w:tc>
        <w:tc>
          <w:tcPr>
            <w:tcW w:w="1223" w:type="pct"/>
            <w:tcMar>
              <w:top w:w="57" w:type="dxa"/>
              <w:left w:w="57" w:type="dxa"/>
              <w:bottom w:w="57" w:type="dxa"/>
              <w:right w:w="57" w:type="dxa"/>
            </w:tcMar>
          </w:tcPr>
          <w:p w:rsidR="00632BE1" w:rsidRPr="00AF2032" w:rsidRDefault="00632BE1" w:rsidP="00373065">
            <w:pPr>
              <w:pStyle w:val="Tabletexte"/>
              <w:spacing w:line="300" w:lineRule="exact"/>
              <w:jc w:val="center"/>
              <w:rPr>
                <w:sz w:val="22"/>
                <w:szCs w:val="30"/>
                <w:lang w:val="fr-CH"/>
              </w:rPr>
            </w:pPr>
            <w:r w:rsidRPr="00AF2032">
              <w:rPr>
                <w:rFonts w:hint="cs"/>
                <w:sz w:val="22"/>
                <w:szCs w:val="30"/>
                <w:rtl/>
              </w:rPr>
              <w:t>نعم</w:t>
            </w:r>
          </w:p>
        </w:tc>
      </w:tr>
    </w:tbl>
    <w:p w:rsidR="00632BE1" w:rsidRPr="001605AF" w:rsidRDefault="00632BE1" w:rsidP="007A7AD0">
      <w:pPr>
        <w:spacing w:before="240"/>
        <w:rPr>
          <w:spacing w:val="2"/>
          <w:rtl/>
        </w:rPr>
      </w:pPr>
      <w:r w:rsidRPr="001605AF">
        <w:rPr>
          <w:rFonts w:hint="cs"/>
          <w:b/>
          <w:bCs/>
          <w:spacing w:val="2"/>
          <w:rtl/>
          <w:lang w:bidi="ar-EG"/>
        </w:rPr>
        <w:t>تعليقات</w:t>
      </w:r>
      <w:r w:rsidRPr="002C7FCE">
        <w:rPr>
          <w:rFonts w:hint="cs"/>
          <w:b/>
          <w:bCs/>
          <w:spacing w:val="2"/>
          <w:rtl/>
          <w:lang w:bidi="ar-EG"/>
        </w:rPr>
        <w:t>:</w:t>
      </w:r>
      <w:r w:rsidRPr="002C7FCE">
        <w:rPr>
          <w:rFonts w:hint="cs"/>
          <w:spacing w:val="2"/>
          <w:rtl/>
        </w:rPr>
        <w:t xml:space="preserve"> </w:t>
      </w:r>
      <w:r>
        <w:rPr>
          <w:rFonts w:hint="cs"/>
          <w:spacing w:val="2"/>
          <w:rtl/>
        </w:rPr>
        <w:t>مؤسسة الإنترنت للأسماء والأرقام المخصصة</w:t>
      </w:r>
      <w:r w:rsidRPr="002C7FCE">
        <w:rPr>
          <w:spacing w:val="2"/>
          <w:rtl/>
        </w:rPr>
        <w:t xml:space="preserve"> </w:t>
      </w:r>
      <w:r w:rsidRPr="002C7FCE">
        <w:rPr>
          <w:spacing w:val="2"/>
        </w:rPr>
        <w:t>(</w:t>
      </w:r>
      <w:r w:rsidRPr="002C7FCE">
        <w:rPr>
          <w:rFonts w:asciiTheme="minorHAnsi" w:hAnsiTheme="minorHAnsi" w:cstheme="minorHAnsi"/>
          <w:spacing w:val="2"/>
          <w:lang w:val="es-ES_tradnl"/>
        </w:rPr>
        <w:t>ICANN</w:t>
      </w:r>
      <w:r w:rsidRPr="002C7FCE">
        <w:rPr>
          <w:spacing w:val="2"/>
        </w:rPr>
        <w:t>)</w:t>
      </w:r>
      <w:r w:rsidRPr="002C7FCE">
        <w:rPr>
          <w:rFonts w:hint="cs"/>
          <w:spacing w:val="2"/>
          <w:rtl/>
        </w:rPr>
        <w:t xml:space="preserve"> هي </w:t>
      </w:r>
      <w:r>
        <w:rPr>
          <w:rFonts w:hint="cs"/>
          <w:spacing w:val="2"/>
          <w:rtl/>
        </w:rPr>
        <w:t xml:space="preserve">منظمة غير ربحية تعنى بتنسيق تحديث وإجراءات العديد من قواعد البيانات ذات الصلة </w:t>
      </w:r>
      <w:r w:rsidRPr="00C64287">
        <w:rPr>
          <w:rFonts w:hint="cs"/>
          <w:spacing w:val="2"/>
          <w:rtl/>
        </w:rPr>
        <w:t>ب</w:t>
      </w:r>
      <w:r>
        <w:rPr>
          <w:rFonts w:hint="cs"/>
          <w:spacing w:val="2"/>
          <w:rtl/>
        </w:rPr>
        <w:t>مساحات الأسماء و</w:t>
      </w:r>
      <w:r w:rsidRPr="00C64287">
        <w:rPr>
          <w:rFonts w:hint="cs"/>
          <w:spacing w:val="2"/>
          <w:rtl/>
        </w:rPr>
        <w:t xml:space="preserve">مساحات </w:t>
      </w:r>
      <w:r>
        <w:rPr>
          <w:rFonts w:hint="cs"/>
          <w:spacing w:val="2"/>
          <w:rtl/>
        </w:rPr>
        <w:t xml:space="preserve">الأرقام للإنترنت، لضمان التشغيل المستقر والمأمون للشبكة. </w:t>
      </w:r>
      <w:r w:rsidRPr="002C7FCE">
        <w:rPr>
          <w:rFonts w:hint="cs"/>
          <w:spacing w:val="2"/>
          <w:rtl/>
        </w:rPr>
        <w:t xml:space="preserve">وترى الأمانة أن </w:t>
      </w:r>
      <w:r>
        <w:rPr>
          <w:rFonts w:hint="cs"/>
          <w:spacing w:val="2"/>
          <w:rtl/>
        </w:rPr>
        <w:t>المؤسسة</w:t>
      </w:r>
      <w:r>
        <w:rPr>
          <w:rFonts w:hint="cs"/>
          <w:spacing w:val="2"/>
          <w:rtl/>
          <w:lang w:bidi="ar-SY"/>
        </w:rPr>
        <w:t xml:space="preserve"> تستوفي معايير </w:t>
      </w:r>
      <w:r w:rsidRPr="00B25C68">
        <w:rPr>
          <w:rFonts w:hint="cs"/>
          <w:spacing w:val="2"/>
          <w:rtl/>
          <w:lang w:bidi="ar-SY"/>
        </w:rPr>
        <w:t>الإعفاء من رسوم العضوية في قطاع تنمية الاتصالات بالاتحاد</w:t>
      </w:r>
      <w:r w:rsidRPr="00B25C68">
        <w:rPr>
          <w:rFonts w:hint="cs"/>
          <w:spacing w:val="2"/>
          <w:rtl/>
          <w:lang w:bidi="ar-EG"/>
        </w:rPr>
        <w:t>.</w:t>
      </w:r>
    </w:p>
    <w:p w:rsidR="00632BE1" w:rsidRDefault="00632BE1" w:rsidP="00856AF5">
      <w:pPr>
        <w:keepNext/>
        <w:keepLines/>
        <w:spacing w:after="120"/>
        <w:rPr>
          <w:rtl/>
          <w:lang w:bidi="ar-EG"/>
        </w:rPr>
      </w:pPr>
      <w:r>
        <w:rPr>
          <w:lang w:bidi="ar-EG"/>
        </w:rPr>
        <w:t>2.3</w:t>
      </w:r>
      <w:r w:rsidR="003B0D76">
        <w:rPr>
          <w:rFonts w:hint="cs"/>
          <w:rtl/>
          <w:lang w:bidi="ar-EG"/>
        </w:rPr>
        <w:t> </w:t>
      </w:r>
    </w:p>
    <w:tbl>
      <w:tblPr>
        <w:bidiVisual/>
        <w:tblW w:w="92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4284"/>
        <w:gridCol w:w="2697"/>
        <w:gridCol w:w="2261"/>
      </w:tblGrid>
      <w:tr w:rsidR="00632BE1" w:rsidRPr="00AF2032" w:rsidTr="003B0D76">
        <w:trPr>
          <w:cantSplit/>
          <w:jc w:val="center"/>
        </w:trPr>
        <w:tc>
          <w:tcPr>
            <w:tcW w:w="2318" w:type="pct"/>
            <w:tcMar>
              <w:top w:w="57" w:type="dxa"/>
              <w:left w:w="57" w:type="dxa"/>
              <w:bottom w:w="57" w:type="dxa"/>
              <w:right w:w="57" w:type="dxa"/>
            </w:tcMar>
          </w:tcPr>
          <w:p w:rsidR="00632BE1" w:rsidRPr="00AF2032" w:rsidRDefault="00632BE1" w:rsidP="00373065">
            <w:pPr>
              <w:pStyle w:val="TableHead"/>
              <w:spacing w:line="300" w:lineRule="exact"/>
              <w:rPr>
                <w:sz w:val="22"/>
                <w:szCs w:val="30"/>
              </w:rPr>
            </w:pPr>
            <w:r w:rsidRPr="00AF2032">
              <w:rPr>
                <w:rFonts w:hint="cs"/>
                <w:sz w:val="22"/>
                <w:szCs w:val="30"/>
                <w:rtl/>
              </w:rPr>
              <w:t>المنظمة</w:t>
            </w:r>
          </w:p>
        </w:tc>
        <w:tc>
          <w:tcPr>
            <w:tcW w:w="1459" w:type="pct"/>
            <w:tcMar>
              <w:top w:w="57" w:type="dxa"/>
              <w:left w:w="57" w:type="dxa"/>
              <w:bottom w:w="57" w:type="dxa"/>
              <w:right w:w="57" w:type="dxa"/>
            </w:tcMar>
          </w:tcPr>
          <w:p w:rsidR="00632BE1" w:rsidRPr="00AF2032" w:rsidRDefault="00632BE1" w:rsidP="00373065">
            <w:pPr>
              <w:pStyle w:val="TableHead"/>
              <w:spacing w:line="300" w:lineRule="exact"/>
              <w:rPr>
                <w:sz w:val="22"/>
                <w:szCs w:val="30"/>
              </w:rPr>
            </w:pPr>
            <w:r w:rsidRPr="00AF2032">
              <w:rPr>
                <w:rFonts w:hint="cs"/>
                <w:sz w:val="22"/>
                <w:szCs w:val="30"/>
                <w:rtl/>
              </w:rPr>
              <w:t>القطاع</w:t>
            </w:r>
          </w:p>
        </w:tc>
        <w:tc>
          <w:tcPr>
            <w:tcW w:w="1223" w:type="pct"/>
            <w:tcMar>
              <w:top w:w="57" w:type="dxa"/>
              <w:left w:w="57" w:type="dxa"/>
              <w:bottom w:w="57" w:type="dxa"/>
              <w:right w:w="57" w:type="dxa"/>
            </w:tcMar>
          </w:tcPr>
          <w:p w:rsidR="00632BE1" w:rsidRPr="00AF2032" w:rsidRDefault="00632BE1" w:rsidP="00373065">
            <w:pPr>
              <w:pStyle w:val="TableHead"/>
              <w:spacing w:line="300" w:lineRule="exact"/>
              <w:rPr>
                <w:sz w:val="22"/>
                <w:szCs w:val="30"/>
              </w:rPr>
            </w:pPr>
            <w:r w:rsidRPr="00AF2032">
              <w:rPr>
                <w:rFonts w:hint="cs"/>
                <w:sz w:val="22"/>
                <w:szCs w:val="30"/>
                <w:rtl/>
              </w:rPr>
              <w:t>توصية الأمين العام</w:t>
            </w:r>
          </w:p>
        </w:tc>
      </w:tr>
      <w:tr w:rsidR="00632BE1" w:rsidRPr="00AF2032" w:rsidTr="003B0D76">
        <w:trPr>
          <w:cantSplit/>
          <w:jc w:val="center"/>
        </w:trPr>
        <w:tc>
          <w:tcPr>
            <w:tcW w:w="2318" w:type="pct"/>
            <w:tcMar>
              <w:top w:w="57" w:type="dxa"/>
              <w:left w:w="57" w:type="dxa"/>
              <w:bottom w:w="57" w:type="dxa"/>
              <w:right w:w="57" w:type="dxa"/>
            </w:tcMar>
            <w:vAlign w:val="center"/>
          </w:tcPr>
          <w:p w:rsidR="00632BE1" w:rsidRPr="00AF2032" w:rsidRDefault="00632BE1" w:rsidP="00373065">
            <w:pPr>
              <w:pStyle w:val="Tabletexte"/>
              <w:spacing w:line="300" w:lineRule="exact"/>
              <w:jc w:val="center"/>
              <w:rPr>
                <w:b/>
                <w:bCs/>
                <w:sz w:val="22"/>
                <w:szCs w:val="30"/>
                <w:rtl/>
              </w:rPr>
            </w:pPr>
            <w:r w:rsidRPr="00AF2032">
              <w:rPr>
                <w:rFonts w:hint="cs"/>
                <w:b/>
                <w:bCs/>
                <w:sz w:val="22"/>
                <w:szCs w:val="30"/>
                <w:rtl/>
              </w:rPr>
              <w:t xml:space="preserve">المنظمة الأوروبية لهواة الراديو </w:t>
            </w:r>
            <w:r w:rsidRPr="00AF2032">
              <w:rPr>
                <w:b/>
                <w:sz w:val="22"/>
                <w:szCs w:val="30"/>
              </w:rPr>
              <w:t>(EURAO)</w:t>
            </w:r>
          </w:p>
        </w:tc>
        <w:tc>
          <w:tcPr>
            <w:tcW w:w="1459" w:type="pct"/>
            <w:tcMar>
              <w:top w:w="57" w:type="dxa"/>
              <w:left w:w="57" w:type="dxa"/>
              <w:bottom w:w="57" w:type="dxa"/>
              <w:right w:w="57" w:type="dxa"/>
            </w:tcMar>
            <w:vAlign w:val="center"/>
          </w:tcPr>
          <w:p w:rsidR="00632BE1" w:rsidRPr="00AF2032" w:rsidRDefault="00632BE1" w:rsidP="00373065">
            <w:pPr>
              <w:pStyle w:val="Tabletexte"/>
              <w:spacing w:line="300" w:lineRule="exact"/>
              <w:jc w:val="center"/>
              <w:rPr>
                <w:sz w:val="22"/>
                <w:szCs w:val="30"/>
                <w:highlight w:val="cyan"/>
              </w:rPr>
            </w:pPr>
            <w:r w:rsidRPr="00AF2032">
              <w:rPr>
                <w:rFonts w:hint="cs"/>
                <w:sz w:val="22"/>
                <w:szCs w:val="30"/>
                <w:rtl/>
              </w:rPr>
              <w:t>قطاع الاتصالات الراديوية</w:t>
            </w:r>
          </w:p>
        </w:tc>
        <w:tc>
          <w:tcPr>
            <w:tcW w:w="1223" w:type="pct"/>
            <w:tcMar>
              <w:top w:w="57" w:type="dxa"/>
              <w:left w:w="57" w:type="dxa"/>
              <w:bottom w:w="57" w:type="dxa"/>
              <w:right w:w="57" w:type="dxa"/>
            </w:tcMar>
            <w:vAlign w:val="center"/>
          </w:tcPr>
          <w:p w:rsidR="00632BE1" w:rsidRPr="00AF2032" w:rsidRDefault="00632BE1" w:rsidP="00373065">
            <w:pPr>
              <w:pStyle w:val="Tabletexte"/>
              <w:spacing w:line="300" w:lineRule="exact"/>
              <w:jc w:val="center"/>
              <w:rPr>
                <w:sz w:val="22"/>
                <w:szCs w:val="30"/>
                <w:lang w:val="fr-CH"/>
              </w:rPr>
            </w:pPr>
            <w:r w:rsidRPr="00AF2032">
              <w:rPr>
                <w:rFonts w:hint="cs"/>
                <w:sz w:val="22"/>
                <w:szCs w:val="30"/>
                <w:rtl/>
              </w:rPr>
              <w:t>نعم</w:t>
            </w:r>
          </w:p>
        </w:tc>
      </w:tr>
    </w:tbl>
    <w:p w:rsidR="00632BE1" w:rsidRDefault="00632BE1" w:rsidP="007A7AD0">
      <w:pPr>
        <w:spacing w:before="240"/>
        <w:rPr>
          <w:spacing w:val="2"/>
          <w:rtl/>
          <w:lang w:val="fr-CH" w:bidi="ar-SY"/>
        </w:rPr>
      </w:pPr>
      <w:r w:rsidRPr="005D0D00">
        <w:rPr>
          <w:rFonts w:hint="cs"/>
          <w:b/>
          <w:bCs/>
          <w:spacing w:val="2"/>
          <w:rtl/>
          <w:lang w:bidi="ar-EG"/>
        </w:rPr>
        <w:lastRenderedPageBreak/>
        <w:t>تعليقات:</w:t>
      </w:r>
      <w:r w:rsidRPr="005D0D00">
        <w:rPr>
          <w:rFonts w:hint="cs"/>
          <w:spacing w:val="2"/>
          <w:rtl/>
          <w:lang w:bidi="ar-EG"/>
        </w:rPr>
        <w:t xml:space="preserve"> </w:t>
      </w:r>
      <w:r w:rsidRPr="00FE4F62">
        <w:rPr>
          <w:rFonts w:hint="cs"/>
          <w:spacing w:val="2"/>
          <w:rtl/>
          <w:lang w:bidi="ar-EG"/>
        </w:rPr>
        <w:t xml:space="preserve">تشكل المنظمة الأوروبية </w:t>
      </w:r>
      <w:r w:rsidRPr="00437D83">
        <w:rPr>
          <w:rFonts w:hint="cs"/>
          <w:spacing w:val="2"/>
          <w:rtl/>
          <w:lang w:bidi="ar-EG"/>
        </w:rPr>
        <w:t>لهواة الراديو</w:t>
      </w:r>
      <w:r w:rsidRPr="00FE4F62">
        <w:rPr>
          <w:rFonts w:hint="cs"/>
          <w:spacing w:val="2"/>
          <w:rtl/>
          <w:lang w:bidi="ar-EG"/>
        </w:rPr>
        <w:t xml:space="preserve"> </w:t>
      </w:r>
      <w:r w:rsidRPr="00FE4F62">
        <w:rPr>
          <w:spacing w:val="2"/>
          <w:lang w:bidi="ar-EG"/>
        </w:rPr>
        <w:t>(EURAO)</w:t>
      </w:r>
      <w:r w:rsidRPr="00FE4F62">
        <w:rPr>
          <w:rFonts w:hint="cs"/>
          <w:spacing w:val="2"/>
          <w:rtl/>
          <w:lang w:bidi="ar-SY"/>
        </w:rPr>
        <w:t xml:space="preserve">، التي تأسست في عام </w:t>
      </w:r>
      <w:r w:rsidRPr="00FE4F62">
        <w:rPr>
          <w:spacing w:val="2"/>
          <w:lang w:bidi="ar-SY"/>
        </w:rPr>
        <w:t>2005</w:t>
      </w:r>
      <w:r w:rsidRPr="00FE4F62">
        <w:rPr>
          <w:rFonts w:hint="cs"/>
          <w:spacing w:val="2"/>
          <w:rtl/>
          <w:lang w:val="fr-CH" w:bidi="ar-SY"/>
        </w:rPr>
        <w:t xml:space="preserve">، </w:t>
      </w:r>
      <w:r>
        <w:rPr>
          <w:rFonts w:hint="cs"/>
          <w:spacing w:val="2"/>
          <w:rtl/>
          <w:lang w:val="fr-CH" w:bidi="ar-SY"/>
        </w:rPr>
        <w:t>ملتقى لهواة الراديو المستقلين جمعياتٍ وأفراداً</w:t>
      </w:r>
      <w:r w:rsidRPr="00FE4F62">
        <w:rPr>
          <w:rFonts w:hint="cs"/>
          <w:spacing w:val="2"/>
          <w:rtl/>
          <w:lang w:val="fr-CH" w:bidi="ar-SY"/>
        </w:rPr>
        <w:t xml:space="preserve"> </w:t>
      </w:r>
      <w:r>
        <w:rPr>
          <w:rFonts w:hint="cs"/>
          <w:spacing w:val="2"/>
          <w:rtl/>
          <w:lang w:val="fr-CH" w:bidi="ar-SY"/>
        </w:rPr>
        <w:t xml:space="preserve">في حوالي </w:t>
      </w:r>
      <w:r>
        <w:rPr>
          <w:spacing w:val="2"/>
          <w:lang w:bidi="ar-SY"/>
        </w:rPr>
        <w:t>70</w:t>
      </w:r>
      <w:r>
        <w:rPr>
          <w:rFonts w:hint="cs"/>
          <w:spacing w:val="2"/>
          <w:rtl/>
          <w:lang w:bidi="ar-EG"/>
        </w:rPr>
        <w:t xml:space="preserve"> بلداً من أوروبا و</w:t>
      </w:r>
      <w:r w:rsidRPr="00FE4F62">
        <w:rPr>
          <w:rFonts w:hint="cs"/>
          <w:spacing w:val="2"/>
          <w:rtl/>
          <w:lang w:val="fr-CH" w:bidi="ar-SY"/>
        </w:rPr>
        <w:t>من جميع أنحاء العالم</w:t>
      </w:r>
      <w:r>
        <w:rPr>
          <w:rFonts w:hint="cs"/>
          <w:spacing w:val="2"/>
          <w:rtl/>
          <w:lang w:val="fr-CH" w:bidi="ar-SY"/>
        </w:rPr>
        <w:t>. وي</w:t>
      </w:r>
      <w:r w:rsidRPr="00FE4F62">
        <w:rPr>
          <w:rFonts w:hint="cs"/>
          <w:spacing w:val="2"/>
          <w:rtl/>
          <w:lang w:val="fr-CH" w:bidi="ar-SY"/>
        </w:rPr>
        <w:t xml:space="preserve">تبادل </w:t>
      </w:r>
      <w:r>
        <w:rPr>
          <w:rFonts w:hint="cs"/>
          <w:spacing w:val="2"/>
          <w:rtl/>
          <w:lang w:val="fr-CH" w:bidi="ar-SY"/>
        </w:rPr>
        <w:t xml:space="preserve">أعضاء المنظمة </w:t>
      </w:r>
      <w:r w:rsidRPr="00FE4F62">
        <w:rPr>
          <w:rFonts w:hint="cs"/>
          <w:spacing w:val="2"/>
          <w:rtl/>
          <w:lang w:val="fr-CH" w:bidi="ar-SY"/>
        </w:rPr>
        <w:t xml:space="preserve">الأنشطة والخبرات </w:t>
      </w:r>
      <w:r>
        <w:rPr>
          <w:rFonts w:hint="cs"/>
          <w:spacing w:val="2"/>
          <w:rtl/>
          <w:lang w:val="fr-CH" w:bidi="ar-SY"/>
        </w:rPr>
        <w:t xml:space="preserve">والخدمات المشتركة ويعملون </w:t>
      </w:r>
      <w:r w:rsidRPr="00FE4F62">
        <w:rPr>
          <w:rFonts w:hint="cs"/>
          <w:spacing w:val="2"/>
          <w:rtl/>
          <w:lang w:val="fr-CH" w:bidi="ar-SY"/>
        </w:rPr>
        <w:t xml:space="preserve">معاً </w:t>
      </w:r>
      <w:r>
        <w:rPr>
          <w:rFonts w:hint="cs"/>
          <w:spacing w:val="2"/>
          <w:rtl/>
          <w:lang w:val="fr-CH" w:bidi="ar-SY"/>
        </w:rPr>
        <w:t>على</w:t>
      </w:r>
      <w:r w:rsidRPr="00FE4F62">
        <w:rPr>
          <w:rFonts w:hint="cs"/>
          <w:spacing w:val="2"/>
          <w:rtl/>
          <w:lang w:val="fr-CH" w:bidi="ar-SY"/>
        </w:rPr>
        <w:t xml:space="preserve"> </w:t>
      </w:r>
      <w:r>
        <w:rPr>
          <w:rFonts w:hint="cs"/>
          <w:spacing w:val="2"/>
          <w:rtl/>
          <w:lang w:val="fr-CH" w:bidi="ar-SY"/>
        </w:rPr>
        <w:t>ال</w:t>
      </w:r>
      <w:r w:rsidRPr="00FE4F62">
        <w:rPr>
          <w:rFonts w:hint="cs"/>
          <w:spacing w:val="2"/>
          <w:rtl/>
          <w:lang w:val="fr-CH" w:bidi="ar-SY"/>
        </w:rPr>
        <w:t>مشاريع.</w:t>
      </w:r>
      <w:r>
        <w:rPr>
          <w:rFonts w:hint="cs"/>
          <w:spacing w:val="2"/>
          <w:rtl/>
          <w:lang w:val="fr-CH" w:bidi="ar-SY"/>
        </w:rPr>
        <w:t xml:space="preserve"> وتقوم المنظمة أيضاً بتمثيل أعضائها لدى الإدارات العامة. وترى الأمانة أن المنظمة تستوفي معايير الإعفاء من رسوم العضوية في قطاع</w:t>
      </w:r>
      <w:r w:rsidR="003B0D76">
        <w:rPr>
          <w:rFonts w:hint="cs"/>
          <w:spacing w:val="2"/>
          <w:rtl/>
          <w:lang w:val="fr-CH" w:bidi="ar-SY"/>
        </w:rPr>
        <w:t xml:space="preserve"> الاتصالات الراديوية بالاتحاد.</w:t>
      </w:r>
    </w:p>
    <w:p w:rsidR="00632BE1" w:rsidRDefault="00632BE1" w:rsidP="00856AF5">
      <w:pPr>
        <w:keepNext/>
        <w:keepLines/>
        <w:spacing w:after="120"/>
        <w:rPr>
          <w:rtl/>
          <w:lang w:bidi="ar-EG"/>
        </w:rPr>
      </w:pPr>
      <w:r>
        <w:rPr>
          <w:lang w:bidi="ar-EG"/>
        </w:rPr>
        <w:t>3.3</w:t>
      </w:r>
      <w:r w:rsidR="003B0D76">
        <w:rPr>
          <w:rFonts w:hint="cs"/>
          <w:rtl/>
          <w:lang w:bidi="ar-EG"/>
        </w:rPr>
        <w:t> </w:t>
      </w:r>
    </w:p>
    <w:tbl>
      <w:tblPr>
        <w:bidiVisual/>
        <w:tblW w:w="92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4284"/>
        <w:gridCol w:w="2697"/>
        <w:gridCol w:w="2261"/>
      </w:tblGrid>
      <w:tr w:rsidR="00632BE1" w:rsidRPr="002A7194" w:rsidTr="007D0809">
        <w:trPr>
          <w:cantSplit/>
          <w:jc w:val="center"/>
        </w:trPr>
        <w:tc>
          <w:tcPr>
            <w:tcW w:w="2318" w:type="pct"/>
            <w:tcMar>
              <w:top w:w="57" w:type="dxa"/>
              <w:left w:w="57" w:type="dxa"/>
              <w:bottom w:w="57" w:type="dxa"/>
              <w:right w:w="57" w:type="dxa"/>
            </w:tcMar>
          </w:tcPr>
          <w:p w:rsidR="00632BE1" w:rsidRPr="002A7194" w:rsidRDefault="00632BE1" w:rsidP="00373065">
            <w:pPr>
              <w:pStyle w:val="TableHead"/>
              <w:spacing w:line="300" w:lineRule="exact"/>
              <w:rPr>
                <w:sz w:val="22"/>
                <w:szCs w:val="30"/>
              </w:rPr>
            </w:pPr>
            <w:r w:rsidRPr="002A7194">
              <w:rPr>
                <w:rFonts w:hint="cs"/>
                <w:sz w:val="22"/>
                <w:szCs w:val="30"/>
                <w:rtl/>
              </w:rPr>
              <w:t>المنظمة</w:t>
            </w:r>
          </w:p>
        </w:tc>
        <w:tc>
          <w:tcPr>
            <w:tcW w:w="1459" w:type="pct"/>
            <w:tcMar>
              <w:top w:w="57" w:type="dxa"/>
              <w:left w:w="57" w:type="dxa"/>
              <w:bottom w:w="57" w:type="dxa"/>
              <w:right w:w="57" w:type="dxa"/>
            </w:tcMar>
          </w:tcPr>
          <w:p w:rsidR="00632BE1" w:rsidRPr="002A7194" w:rsidRDefault="00632BE1" w:rsidP="00373065">
            <w:pPr>
              <w:pStyle w:val="TableHead"/>
              <w:spacing w:line="300" w:lineRule="exact"/>
              <w:rPr>
                <w:sz w:val="22"/>
                <w:szCs w:val="30"/>
              </w:rPr>
            </w:pPr>
            <w:r w:rsidRPr="002A7194">
              <w:rPr>
                <w:rFonts w:hint="cs"/>
                <w:sz w:val="22"/>
                <w:szCs w:val="30"/>
                <w:rtl/>
              </w:rPr>
              <w:t>القطاع</w:t>
            </w:r>
          </w:p>
        </w:tc>
        <w:tc>
          <w:tcPr>
            <w:tcW w:w="1223" w:type="pct"/>
            <w:tcMar>
              <w:top w:w="57" w:type="dxa"/>
              <w:left w:w="57" w:type="dxa"/>
              <w:bottom w:w="57" w:type="dxa"/>
              <w:right w:w="57" w:type="dxa"/>
            </w:tcMar>
          </w:tcPr>
          <w:p w:rsidR="00632BE1" w:rsidRPr="002A7194" w:rsidRDefault="00632BE1" w:rsidP="00373065">
            <w:pPr>
              <w:pStyle w:val="TableHead"/>
              <w:spacing w:line="300" w:lineRule="exact"/>
              <w:rPr>
                <w:sz w:val="22"/>
                <w:szCs w:val="30"/>
              </w:rPr>
            </w:pPr>
            <w:r w:rsidRPr="002A7194">
              <w:rPr>
                <w:rFonts w:hint="cs"/>
                <w:sz w:val="22"/>
                <w:szCs w:val="30"/>
                <w:rtl/>
              </w:rPr>
              <w:t>توصية الأمين العام</w:t>
            </w:r>
          </w:p>
        </w:tc>
      </w:tr>
      <w:tr w:rsidR="00632BE1" w:rsidRPr="002A7194" w:rsidTr="007D0809">
        <w:trPr>
          <w:cantSplit/>
          <w:jc w:val="center"/>
        </w:trPr>
        <w:tc>
          <w:tcPr>
            <w:tcW w:w="2318" w:type="pct"/>
            <w:tcMar>
              <w:top w:w="57" w:type="dxa"/>
              <w:left w:w="57" w:type="dxa"/>
              <w:bottom w:w="57" w:type="dxa"/>
              <w:right w:w="57" w:type="dxa"/>
            </w:tcMar>
            <w:vAlign w:val="center"/>
          </w:tcPr>
          <w:p w:rsidR="00632BE1" w:rsidRPr="002A7194" w:rsidRDefault="00632BE1" w:rsidP="00373065">
            <w:pPr>
              <w:pStyle w:val="Tabletexte"/>
              <w:spacing w:line="300" w:lineRule="exact"/>
              <w:jc w:val="center"/>
              <w:rPr>
                <w:b/>
                <w:bCs/>
                <w:sz w:val="22"/>
                <w:szCs w:val="30"/>
                <w:rtl/>
                <w:lang w:bidi="ar-EG"/>
              </w:rPr>
            </w:pPr>
            <w:r w:rsidRPr="002A7194">
              <w:rPr>
                <w:rFonts w:hint="cs"/>
                <w:b/>
                <w:bCs/>
                <w:sz w:val="22"/>
                <w:szCs w:val="30"/>
                <w:rtl/>
                <w:lang w:bidi="ar-EG"/>
              </w:rPr>
              <w:t xml:space="preserve">منظمة الكومنولث للاتصالات </w:t>
            </w:r>
            <w:r w:rsidRPr="002A7194">
              <w:rPr>
                <w:b/>
                <w:iCs/>
                <w:sz w:val="22"/>
                <w:szCs w:val="30"/>
              </w:rPr>
              <w:t>(CTO)</w:t>
            </w:r>
          </w:p>
        </w:tc>
        <w:tc>
          <w:tcPr>
            <w:tcW w:w="1459" w:type="pct"/>
            <w:tcMar>
              <w:top w:w="57" w:type="dxa"/>
              <w:left w:w="57" w:type="dxa"/>
              <w:bottom w:w="57" w:type="dxa"/>
              <w:right w:w="57" w:type="dxa"/>
            </w:tcMar>
            <w:vAlign w:val="center"/>
          </w:tcPr>
          <w:p w:rsidR="00632BE1" w:rsidRPr="002A7194" w:rsidRDefault="00632BE1" w:rsidP="00373065">
            <w:pPr>
              <w:pStyle w:val="Tabletexte"/>
              <w:spacing w:line="300" w:lineRule="exact"/>
              <w:jc w:val="center"/>
              <w:rPr>
                <w:sz w:val="22"/>
                <w:szCs w:val="30"/>
                <w:highlight w:val="cyan"/>
              </w:rPr>
            </w:pPr>
            <w:r w:rsidRPr="002A7194">
              <w:rPr>
                <w:rFonts w:hint="cs"/>
                <w:sz w:val="22"/>
                <w:szCs w:val="30"/>
                <w:rtl/>
              </w:rPr>
              <w:t>قطاع الاتصالات الراديوية</w:t>
            </w:r>
          </w:p>
        </w:tc>
        <w:tc>
          <w:tcPr>
            <w:tcW w:w="1223" w:type="pct"/>
            <w:tcMar>
              <w:top w:w="57" w:type="dxa"/>
              <w:left w:w="57" w:type="dxa"/>
              <w:bottom w:w="57" w:type="dxa"/>
              <w:right w:w="57" w:type="dxa"/>
            </w:tcMar>
            <w:vAlign w:val="center"/>
          </w:tcPr>
          <w:p w:rsidR="00632BE1" w:rsidRPr="002A7194" w:rsidRDefault="00632BE1" w:rsidP="00373065">
            <w:pPr>
              <w:pStyle w:val="Tabletexte"/>
              <w:spacing w:line="300" w:lineRule="exact"/>
              <w:jc w:val="center"/>
              <w:rPr>
                <w:sz w:val="22"/>
                <w:szCs w:val="30"/>
                <w:lang w:val="fr-CH"/>
              </w:rPr>
            </w:pPr>
            <w:r w:rsidRPr="002A7194">
              <w:rPr>
                <w:rFonts w:hint="cs"/>
                <w:sz w:val="22"/>
                <w:szCs w:val="30"/>
                <w:rtl/>
              </w:rPr>
              <w:t>نعم</w:t>
            </w:r>
          </w:p>
        </w:tc>
      </w:tr>
    </w:tbl>
    <w:p w:rsidR="00632BE1" w:rsidRPr="00AF2032" w:rsidRDefault="00632BE1" w:rsidP="00856AF5">
      <w:pPr>
        <w:spacing w:before="240"/>
        <w:rPr>
          <w:rtl/>
          <w:lang w:val="fr-CH" w:bidi="ar-SY"/>
        </w:rPr>
      </w:pPr>
      <w:r w:rsidRPr="00AF2032">
        <w:rPr>
          <w:rFonts w:hint="cs"/>
          <w:b/>
          <w:bCs/>
          <w:rtl/>
          <w:lang w:val="fr-CH" w:bidi="ar-SY"/>
        </w:rPr>
        <w:t>تعليقات</w:t>
      </w:r>
      <w:r w:rsidRPr="00AF2032">
        <w:rPr>
          <w:rFonts w:hint="cs"/>
          <w:b/>
          <w:bCs/>
          <w:rtl/>
          <w:lang w:bidi="ar-EG"/>
        </w:rPr>
        <w:t>:</w:t>
      </w:r>
      <w:r w:rsidRPr="00AF2032">
        <w:rPr>
          <w:rFonts w:hint="cs"/>
          <w:rtl/>
          <w:lang w:bidi="ar-EG"/>
        </w:rPr>
        <w:t xml:space="preserve"> </w:t>
      </w:r>
      <w:r w:rsidRPr="00AF2032">
        <w:rPr>
          <w:rtl/>
          <w:lang w:bidi="ar-EG"/>
        </w:rPr>
        <w:t xml:space="preserve">منظمة الكومنولث </w:t>
      </w:r>
      <w:r w:rsidRPr="00AF2032">
        <w:rPr>
          <w:rFonts w:hint="cs"/>
          <w:rtl/>
          <w:lang w:bidi="ar-EG"/>
        </w:rPr>
        <w:t xml:space="preserve">للاتصالات </w:t>
      </w:r>
      <w:r w:rsidR="00AF2032">
        <w:rPr>
          <w:lang w:bidi="ar-EG"/>
        </w:rPr>
        <w:t>(</w:t>
      </w:r>
      <w:r w:rsidRPr="00AF2032">
        <w:rPr>
          <w:lang w:bidi="ar-EG"/>
        </w:rPr>
        <w:t>CTO</w:t>
      </w:r>
      <w:r w:rsidR="00AF2032">
        <w:rPr>
          <w:lang w:bidi="ar-EG"/>
        </w:rPr>
        <w:t>)</w:t>
      </w:r>
      <w:r w:rsidRPr="00AF2032">
        <w:rPr>
          <w:rFonts w:hint="cs"/>
          <w:rtl/>
          <w:lang w:bidi="ar-EG"/>
        </w:rPr>
        <w:t xml:space="preserve"> هي منظمة حكومية دولية في مجال تكنولوجيا المعلومات والاتصالات. وتزخر المنظمة بمجموعة متنوعة من الأعضاء تشمل البلدان المتقدمة والبلدان النامية وأقل البلدان نمواً والدول الجزرية الصغيرة النامية والبلدان النامية غير الساحلية. وبالتالي يجب أن تلبي السياسات العامة والقرارات والتدابير احتياجات هذه المجموعة الواسعة من البلدان. و</w:t>
      </w:r>
      <w:r w:rsidRPr="00AF2032">
        <w:rPr>
          <w:rtl/>
          <w:lang w:bidi="ar-EG"/>
        </w:rPr>
        <w:t xml:space="preserve">منظمة الكومنولث </w:t>
      </w:r>
      <w:r w:rsidRPr="00AF2032">
        <w:rPr>
          <w:rFonts w:hint="cs"/>
          <w:rtl/>
          <w:lang w:bidi="ar-EG"/>
        </w:rPr>
        <w:t xml:space="preserve">للاتصالات هي منظمة منشأة بموجب معاهدة دولية وهي بذلك كيان غير ربحي. وتتمتع المنظمة بالفعل بميزة الإعفاء من الرسوم كعضو في قطاعي تقييس الاتصالات وتنمية الاتصالات. </w:t>
      </w:r>
      <w:r w:rsidRPr="00AF2032">
        <w:rPr>
          <w:rFonts w:hint="cs"/>
          <w:rtl/>
          <w:lang w:val="fr-CH" w:bidi="ar-SY"/>
        </w:rPr>
        <w:t>وترى الأمانة أن المنظمة تستوفي معايير الإعفاء من رسوم العضوية في قطاع</w:t>
      </w:r>
      <w:r w:rsidR="003B0D76" w:rsidRPr="00AF2032">
        <w:rPr>
          <w:rFonts w:hint="cs"/>
          <w:rtl/>
          <w:lang w:val="fr-CH" w:bidi="ar-SY"/>
        </w:rPr>
        <w:t xml:space="preserve"> الاتصالات الراديوية بالاتحاد.</w:t>
      </w:r>
    </w:p>
    <w:p w:rsidR="00632BE1" w:rsidRDefault="00632BE1" w:rsidP="00856AF5">
      <w:pPr>
        <w:keepNext/>
        <w:keepLines/>
        <w:spacing w:after="120"/>
        <w:rPr>
          <w:rtl/>
          <w:lang w:bidi="ar-EG"/>
        </w:rPr>
      </w:pPr>
      <w:r>
        <w:rPr>
          <w:lang w:bidi="ar-EG"/>
        </w:rPr>
        <w:t>4.3</w:t>
      </w:r>
      <w:r w:rsidR="003B0D76">
        <w:rPr>
          <w:rFonts w:hint="cs"/>
          <w:rtl/>
          <w:lang w:bidi="ar-EG"/>
        </w:rPr>
        <w:t> </w:t>
      </w:r>
    </w:p>
    <w:tbl>
      <w:tblPr>
        <w:bidiVisual/>
        <w:tblW w:w="92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4284"/>
        <w:gridCol w:w="2697"/>
        <w:gridCol w:w="2261"/>
      </w:tblGrid>
      <w:tr w:rsidR="00632BE1" w:rsidRPr="00AF2032" w:rsidTr="007D0809">
        <w:trPr>
          <w:cantSplit/>
          <w:jc w:val="center"/>
        </w:trPr>
        <w:tc>
          <w:tcPr>
            <w:tcW w:w="2318" w:type="pct"/>
            <w:tcMar>
              <w:top w:w="57" w:type="dxa"/>
              <w:left w:w="57" w:type="dxa"/>
              <w:bottom w:w="57" w:type="dxa"/>
              <w:right w:w="57" w:type="dxa"/>
            </w:tcMar>
          </w:tcPr>
          <w:p w:rsidR="00632BE1" w:rsidRPr="00AF2032" w:rsidRDefault="00632BE1" w:rsidP="00373065">
            <w:pPr>
              <w:pStyle w:val="TableHead"/>
              <w:spacing w:line="300" w:lineRule="exact"/>
              <w:rPr>
                <w:sz w:val="22"/>
                <w:szCs w:val="30"/>
              </w:rPr>
            </w:pPr>
            <w:r w:rsidRPr="00AF2032">
              <w:rPr>
                <w:rFonts w:hint="cs"/>
                <w:sz w:val="22"/>
                <w:szCs w:val="30"/>
                <w:rtl/>
              </w:rPr>
              <w:t>المنظمة</w:t>
            </w:r>
          </w:p>
        </w:tc>
        <w:tc>
          <w:tcPr>
            <w:tcW w:w="1459" w:type="pct"/>
            <w:tcMar>
              <w:top w:w="57" w:type="dxa"/>
              <w:left w:w="57" w:type="dxa"/>
              <w:bottom w:w="57" w:type="dxa"/>
              <w:right w:w="57" w:type="dxa"/>
            </w:tcMar>
          </w:tcPr>
          <w:p w:rsidR="00632BE1" w:rsidRPr="00AF2032" w:rsidRDefault="00632BE1" w:rsidP="00373065">
            <w:pPr>
              <w:pStyle w:val="TableHead"/>
              <w:spacing w:line="300" w:lineRule="exact"/>
              <w:rPr>
                <w:sz w:val="22"/>
                <w:szCs w:val="30"/>
              </w:rPr>
            </w:pPr>
            <w:r w:rsidRPr="00AF2032">
              <w:rPr>
                <w:rFonts w:hint="cs"/>
                <w:sz w:val="22"/>
                <w:szCs w:val="30"/>
                <w:rtl/>
              </w:rPr>
              <w:t>القطاع</w:t>
            </w:r>
          </w:p>
        </w:tc>
        <w:tc>
          <w:tcPr>
            <w:tcW w:w="1223" w:type="pct"/>
            <w:tcMar>
              <w:top w:w="57" w:type="dxa"/>
              <w:left w:w="57" w:type="dxa"/>
              <w:bottom w:w="57" w:type="dxa"/>
              <w:right w:w="57" w:type="dxa"/>
            </w:tcMar>
          </w:tcPr>
          <w:p w:rsidR="00632BE1" w:rsidRPr="00AF2032" w:rsidRDefault="00632BE1" w:rsidP="00373065">
            <w:pPr>
              <w:pStyle w:val="TableHead"/>
              <w:spacing w:line="300" w:lineRule="exact"/>
              <w:rPr>
                <w:sz w:val="22"/>
                <w:szCs w:val="30"/>
              </w:rPr>
            </w:pPr>
            <w:r w:rsidRPr="00AF2032">
              <w:rPr>
                <w:rFonts w:hint="cs"/>
                <w:sz w:val="22"/>
                <w:szCs w:val="30"/>
                <w:rtl/>
              </w:rPr>
              <w:t>توصية الأمين العام</w:t>
            </w:r>
          </w:p>
        </w:tc>
      </w:tr>
      <w:tr w:rsidR="00632BE1" w:rsidRPr="00AF2032" w:rsidTr="007D0809">
        <w:trPr>
          <w:cantSplit/>
          <w:jc w:val="center"/>
        </w:trPr>
        <w:tc>
          <w:tcPr>
            <w:tcW w:w="2318" w:type="pct"/>
            <w:tcMar>
              <w:top w:w="57" w:type="dxa"/>
              <w:left w:w="57" w:type="dxa"/>
              <w:bottom w:w="57" w:type="dxa"/>
              <w:right w:w="57" w:type="dxa"/>
            </w:tcMar>
            <w:vAlign w:val="center"/>
          </w:tcPr>
          <w:p w:rsidR="00632BE1" w:rsidRPr="00AF2032" w:rsidRDefault="00632BE1" w:rsidP="00373065">
            <w:pPr>
              <w:pStyle w:val="TableText"/>
              <w:spacing w:before="120" w:after="120"/>
              <w:jc w:val="center"/>
              <w:rPr>
                <w:rFonts w:ascii="Calibri" w:hAnsi="Calibri" w:cs="Traditional Arabic"/>
                <w:b/>
                <w:iCs/>
                <w:spacing w:val="-4"/>
                <w:szCs w:val="30"/>
                <w:rtl/>
                <w:lang w:val="fr-CA"/>
              </w:rPr>
            </w:pPr>
            <w:proofErr w:type="spellStart"/>
            <w:r w:rsidRPr="00AF2032">
              <w:rPr>
                <w:rFonts w:ascii="Calibri" w:hAnsi="Calibri" w:cs="Traditional Arabic"/>
                <w:b/>
                <w:iCs/>
                <w:spacing w:val="-4"/>
                <w:szCs w:val="30"/>
                <w:lang w:val="fr-CA"/>
              </w:rPr>
              <w:t>Telecommunications</w:t>
            </w:r>
            <w:proofErr w:type="spellEnd"/>
            <w:r w:rsidRPr="00AF2032">
              <w:rPr>
                <w:rFonts w:ascii="Calibri" w:hAnsi="Calibri" w:cs="Traditional Arabic"/>
                <w:b/>
                <w:iCs/>
                <w:spacing w:val="-4"/>
                <w:szCs w:val="30"/>
                <w:lang w:val="fr-CA"/>
              </w:rPr>
              <w:t xml:space="preserve"> User Interface </w:t>
            </w:r>
            <w:proofErr w:type="spellStart"/>
            <w:r w:rsidRPr="00AF2032">
              <w:rPr>
                <w:rFonts w:ascii="Calibri" w:hAnsi="Calibri" w:cs="Traditional Arabic"/>
                <w:b/>
                <w:iCs/>
                <w:spacing w:val="-4"/>
                <w:szCs w:val="30"/>
                <w:lang w:val="fr-CA"/>
              </w:rPr>
              <w:t>e.V.</w:t>
            </w:r>
            <w:proofErr w:type="spellEnd"/>
            <w:r w:rsidRPr="00AF2032">
              <w:rPr>
                <w:rFonts w:ascii="Calibri" w:hAnsi="Calibri" w:cs="Traditional Arabic"/>
                <w:b/>
                <w:iCs/>
                <w:spacing w:val="-4"/>
                <w:szCs w:val="30"/>
                <w:lang w:val="fr-CA"/>
              </w:rPr>
              <w:t xml:space="preserve"> (T-UI)</w:t>
            </w:r>
          </w:p>
        </w:tc>
        <w:tc>
          <w:tcPr>
            <w:tcW w:w="1459" w:type="pct"/>
            <w:tcMar>
              <w:top w:w="57" w:type="dxa"/>
              <w:left w:w="57" w:type="dxa"/>
              <w:bottom w:w="57" w:type="dxa"/>
              <w:right w:w="57" w:type="dxa"/>
            </w:tcMar>
            <w:vAlign w:val="center"/>
          </w:tcPr>
          <w:p w:rsidR="00632BE1" w:rsidRPr="00AF2032" w:rsidRDefault="00632BE1" w:rsidP="00373065">
            <w:pPr>
              <w:pStyle w:val="Tabletexte"/>
              <w:spacing w:line="300" w:lineRule="exact"/>
              <w:jc w:val="center"/>
              <w:rPr>
                <w:sz w:val="22"/>
                <w:szCs w:val="30"/>
                <w:highlight w:val="cyan"/>
                <w:lang w:val="fr-CH"/>
              </w:rPr>
            </w:pPr>
            <w:r w:rsidRPr="00AF2032">
              <w:rPr>
                <w:rFonts w:hint="cs"/>
                <w:sz w:val="22"/>
                <w:szCs w:val="30"/>
                <w:rtl/>
              </w:rPr>
              <w:t>قطاع تقييس الاتصالات</w:t>
            </w:r>
          </w:p>
        </w:tc>
        <w:tc>
          <w:tcPr>
            <w:tcW w:w="1223" w:type="pct"/>
            <w:tcMar>
              <w:top w:w="57" w:type="dxa"/>
              <w:left w:w="57" w:type="dxa"/>
              <w:bottom w:w="57" w:type="dxa"/>
              <w:right w:w="57" w:type="dxa"/>
            </w:tcMar>
            <w:vAlign w:val="center"/>
          </w:tcPr>
          <w:p w:rsidR="00632BE1" w:rsidRPr="00AF2032" w:rsidRDefault="00632BE1" w:rsidP="00373065">
            <w:pPr>
              <w:pStyle w:val="Tabletexte"/>
              <w:spacing w:line="300" w:lineRule="exact"/>
              <w:jc w:val="center"/>
              <w:rPr>
                <w:sz w:val="22"/>
                <w:szCs w:val="30"/>
                <w:lang w:val="fr-CH"/>
              </w:rPr>
            </w:pPr>
            <w:r w:rsidRPr="00AF2032">
              <w:rPr>
                <w:rFonts w:hint="cs"/>
                <w:sz w:val="22"/>
                <w:szCs w:val="30"/>
                <w:rtl/>
              </w:rPr>
              <w:t>لا</w:t>
            </w:r>
          </w:p>
        </w:tc>
      </w:tr>
    </w:tbl>
    <w:p w:rsidR="00632BE1" w:rsidRPr="00AF2032" w:rsidRDefault="00632BE1" w:rsidP="000F3799">
      <w:pPr>
        <w:spacing w:before="240"/>
        <w:rPr>
          <w:sz w:val="30"/>
          <w:rtl/>
          <w:lang w:bidi="ar-EG"/>
        </w:rPr>
      </w:pPr>
      <w:r w:rsidRPr="00AF2032">
        <w:rPr>
          <w:rFonts w:hint="cs"/>
          <w:b/>
          <w:bCs/>
          <w:rtl/>
          <w:lang w:bidi="ar-EG"/>
        </w:rPr>
        <w:t>تعليقات:</w:t>
      </w:r>
      <w:r w:rsidRPr="00AF2032">
        <w:rPr>
          <w:rFonts w:hint="cs"/>
          <w:rtl/>
        </w:rPr>
        <w:t xml:space="preserve"> رابطة</w:t>
      </w:r>
      <w:r w:rsidRPr="00AF2032">
        <w:rPr>
          <w:rFonts w:hint="cs"/>
          <w:rtl/>
          <w:lang w:bidi="ar-EG"/>
        </w:rPr>
        <w:t xml:space="preserve"> </w:t>
      </w:r>
      <w:r w:rsidRPr="00AF2032">
        <w:rPr>
          <w:lang w:bidi="ar-EG"/>
        </w:rPr>
        <w:t xml:space="preserve">Telecommunications User Interface </w:t>
      </w:r>
      <w:proofErr w:type="spellStart"/>
      <w:r w:rsidRPr="00AF2032">
        <w:rPr>
          <w:lang w:bidi="ar-EG"/>
        </w:rPr>
        <w:t>e.V</w:t>
      </w:r>
      <w:proofErr w:type="spellEnd"/>
      <w:r w:rsidRPr="00AF2032">
        <w:rPr>
          <w:lang w:bidi="ar-EG"/>
        </w:rPr>
        <w:t>.</w:t>
      </w:r>
      <w:r w:rsidRPr="00AF2032">
        <w:rPr>
          <w:rFonts w:hint="cs"/>
          <w:rtl/>
          <w:lang w:bidi="ar-EG"/>
        </w:rPr>
        <w:t xml:space="preserve"> هي رابطة غير ربحية للاتصالات قائمة على عضوية الأفراد ومسجلة في أوفنباخ، ألمانيا. وتهدف الرابطة إلى دعم العلوم والأبحاث والتعليم والأشخاص والتعلم المهني فيما</w:t>
      </w:r>
      <w:r w:rsidR="000F3799">
        <w:rPr>
          <w:rFonts w:hint="eastAsia"/>
          <w:rtl/>
          <w:lang w:bidi="ar-EG"/>
        </w:rPr>
        <w:t> </w:t>
      </w:r>
      <w:r w:rsidRPr="00AF2032">
        <w:rPr>
          <w:rFonts w:hint="cs"/>
          <w:rtl/>
          <w:lang w:bidi="ar-EG"/>
        </w:rPr>
        <w:t>يتعلق بالاتصالات الأساسية والعلمية والتكنولوجية القائمة على العلاقة مع نظام المستخدم (السطح البيني للمستخدم)، بما في ذلك التعبيرات الطبيعية والكامنة لتك</w:t>
      </w:r>
      <w:r w:rsidR="009536E2">
        <w:rPr>
          <w:rFonts w:hint="cs"/>
          <w:rtl/>
          <w:lang w:bidi="ar-EG"/>
        </w:rPr>
        <w:t>ن</w:t>
      </w:r>
      <w:r w:rsidRPr="00AF2032">
        <w:rPr>
          <w:rFonts w:hint="cs"/>
          <w:rtl/>
          <w:lang w:bidi="ar-EG"/>
        </w:rPr>
        <w:t xml:space="preserve">ولوجيا المعلومات (الاتصالات). ويبلغ عدد أعضائها حالياً </w:t>
      </w:r>
      <w:r w:rsidRPr="00AF2032">
        <w:rPr>
          <w:lang w:bidi="ar-EG"/>
        </w:rPr>
        <w:t>16</w:t>
      </w:r>
      <w:r w:rsidRPr="00AF2032">
        <w:rPr>
          <w:rFonts w:hint="cs"/>
          <w:rtl/>
          <w:lang w:bidi="ar-EG"/>
        </w:rPr>
        <w:t xml:space="preserve"> فرداً (</w:t>
      </w:r>
      <w:r w:rsidRPr="00AF2032">
        <w:rPr>
          <w:lang w:bidi="ar-EG"/>
        </w:rPr>
        <w:t>15</w:t>
      </w:r>
      <w:r w:rsidRPr="00AF2032">
        <w:rPr>
          <w:rFonts w:hint="cs"/>
          <w:rtl/>
          <w:lang w:bidi="ar-EG"/>
        </w:rPr>
        <w:t xml:space="preserve"> فرداً من ألمانيا وفرد من المملكة المتحدة). ويملك معظم هؤلاء الأعضاء الخبرة في مجال الاتصالات ويتعاونون مع منظمات أخرى لوضع المعايير من قبيل المعهد الأوروبي لمعايير الاتصالات</w:t>
      </w:r>
      <w:r w:rsidRPr="00AF2032">
        <w:rPr>
          <w:rFonts w:hint="eastAsia"/>
          <w:rtl/>
          <w:lang w:bidi="ar-EG"/>
        </w:rPr>
        <w:t> </w:t>
      </w:r>
      <w:r w:rsidRPr="00AF2032">
        <w:rPr>
          <w:lang w:bidi="ar-EG"/>
        </w:rPr>
        <w:t>(</w:t>
      </w:r>
      <w:r w:rsidRPr="00AF2032">
        <w:rPr>
          <w:lang w:eastAsia="ko-KR"/>
        </w:rPr>
        <w:t>ETSI</w:t>
      </w:r>
      <w:r w:rsidRPr="00AF2032">
        <w:rPr>
          <w:lang w:bidi="ar-EG"/>
        </w:rPr>
        <w:t>)</w:t>
      </w:r>
      <w:r w:rsidRPr="00AF2032">
        <w:rPr>
          <w:rFonts w:hint="cs"/>
          <w:rtl/>
          <w:lang w:bidi="ar-EG"/>
        </w:rPr>
        <w:t xml:space="preserve"> وفريق مهام هندسة الإنترنت </w:t>
      </w:r>
      <w:r w:rsidRPr="00AF2032">
        <w:rPr>
          <w:lang w:bidi="ar-EG"/>
        </w:rPr>
        <w:t>(</w:t>
      </w:r>
      <w:r w:rsidRPr="00AF2032">
        <w:rPr>
          <w:lang w:eastAsia="ko-KR"/>
        </w:rPr>
        <w:t>IETF</w:t>
      </w:r>
      <w:r w:rsidRPr="00AF2032">
        <w:rPr>
          <w:lang w:bidi="ar-EG"/>
        </w:rPr>
        <w:t>)</w:t>
      </w:r>
      <w:r w:rsidRPr="00AF2032">
        <w:rPr>
          <w:rFonts w:hint="cs"/>
          <w:rtl/>
          <w:lang w:bidi="ar-EG"/>
        </w:rPr>
        <w:t xml:space="preserve"> واللجنة الكهرتقنية الدولية </w:t>
      </w:r>
      <w:r w:rsidRPr="00AF2032">
        <w:rPr>
          <w:lang w:bidi="ar-EG"/>
        </w:rPr>
        <w:t>(</w:t>
      </w:r>
      <w:r w:rsidRPr="00AF2032">
        <w:rPr>
          <w:lang w:eastAsia="ko-KR"/>
        </w:rPr>
        <w:t>IEC</w:t>
      </w:r>
      <w:r w:rsidRPr="00AF2032">
        <w:rPr>
          <w:lang w:bidi="ar-EG"/>
        </w:rPr>
        <w:t>)</w:t>
      </w:r>
      <w:r w:rsidRPr="00AF2032">
        <w:rPr>
          <w:rFonts w:hint="cs"/>
          <w:rtl/>
          <w:lang w:bidi="ar-EG"/>
        </w:rPr>
        <w:t xml:space="preserve"> والمنظمة الدولية للتوحيد القياسي</w:t>
      </w:r>
      <w:r w:rsidR="00AF2032" w:rsidRPr="00AF2032">
        <w:rPr>
          <w:rFonts w:hint="eastAsia"/>
          <w:rtl/>
          <w:lang w:bidi="ar-EG"/>
        </w:rPr>
        <w:t> </w:t>
      </w:r>
      <w:r w:rsidRPr="00AF2032">
        <w:rPr>
          <w:lang w:bidi="ar-EG"/>
        </w:rPr>
        <w:t>(</w:t>
      </w:r>
      <w:r w:rsidRPr="00AF2032">
        <w:rPr>
          <w:lang w:eastAsia="ko-KR"/>
        </w:rPr>
        <w:t>ISO</w:t>
      </w:r>
      <w:r w:rsidRPr="00AF2032">
        <w:rPr>
          <w:lang w:bidi="ar-EG"/>
        </w:rPr>
        <w:t>)</w:t>
      </w:r>
      <w:r w:rsidRPr="00AF2032">
        <w:rPr>
          <w:rFonts w:hint="cs"/>
          <w:rtl/>
          <w:lang w:bidi="ar-EG"/>
        </w:rPr>
        <w:t xml:space="preserve"> واللجنة الأوروبية للتقييس/اللجنة الأوروبية للتقييس الكهرتقني </w:t>
      </w:r>
      <w:r w:rsidRPr="00AF2032">
        <w:rPr>
          <w:lang w:bidi="ar-EG"/>
        </w:rPr>
        <w:t>(</w:t>
      </w:r>
      <w:r w:rsidRPr="00AF2032">
        <w:rPr>
          <w:lang w:eastAsia="ko-KR"/>
        </w:rPr>
        <w:t>CEN/CENELEC</w:t>
      </w:r>
      <w:r w:rsidRPr="00AF2032">
        <w:rPr>
          <w:lang w:bidi="ar-EG"/>
        </w:rPr>
        <w:t>)</w:t>
      </w:r>
      <w:r w:rsidRPr="00AF2032">
        <w:rPr>
          <w:rFonts w:hint="cs"/>
          <w:rtl/>
          <w:lang w:bidi="ar-EG"/>
        </w:rPr>
        <w:t xml:space="preserve">. وترى الأمانة أن الرابطة لا تستوفي معايير المجلس الخاصة بالإعفاء من رسوم العضوية في قطاع تقييس الاتصالات لعدم كفاية الأعضاء على الصعيد الإقليمي/الدولي. </w:t>
      </w:r>
    </w:p>
    <w:p w:rsidR="00632BE1" w:rsidRDefault="00632BE1" w:rsidP="00856AF5">
      <w:pPr>
        <w:keepNext/>
        <w:keepLines/>
        <w:spacing w:after="120"/>
        <w:rPr>
          <w:rtl/>
          <w:lang w:bidi="ar-EG"/>
        </w:rPr>
      </w:pPr>
      <w:r>
        <w:rPr>
          <w:lang w:bidi="ar-EG"/>
        </w:rPr>
        <w:t>5.3</w:t>
      </w:r>
      <w:r w:rsidR="003B0D76">
        <w:rPr>
          <w:rFonts w:hint="cs"/>
          <w:rtl/>
          <w:lang w:bidi="ar-EG"/>
        </w:rPr>
        <w:t> </w:t>
      </w:r>
    </w:p>
    <w:tbl>
      <w:tblPr>
        <w:bidiVisual/>
        <w:tblW w:w="92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4284"/>
        <w:gridCol w:w="2697"/>
        <w:gridCol w:w="2261"/>
      </w:tblGrid>
      <w:tr w:rsidR="00632BE1" w:rsidRPr="00AF2032" w:rsidTr="007D0809">
        <w:trPr>
          <w:cantSplit/>
          <w:jc w:val="center"/>
        </w:trPr>
        <w:tc>
          <w:tcPr>
            <w:tcW w:w="2318" w:type="pct"/>
            <w:tcMar>
              <w:top w:w="57" w:type="dxa"/>
              <w:left w:w="57" w:type="dxa"/>
              <w:bottom w:w="57" w:type="dxa"/>
              <w:right w:w="57" w:type="dxa"/>
            </w:tcMar>
          </w:tcPr>
          <w:p w:rsidR="00632BE1" w:rsidRPr="00AF2032" w:rsidRDefault="00632BE1" w:rsidP="00373065">
            <w:pPr>
              <w:pStyle w:val="TableHead"/>
              <w:spacing w:line="300" w:lineRule="exact"/>
              <w:rPr>
                <w:sz w:val="22"/>
                <w:szCs w:val="30"/>
              </w:rPr>
            </w:pPr>
            <w:r w:rsidRPr="00AF2032">
              <w:rPr>
                <w:rFonts w:hint="cs"/>
                <w:sz w:val="22"/>
                <w:szCs w:val="30"/>
                <w:rtl/>
              </w:rPr>
              <w:t>المنظمة</w:t>
            </w:r>
          </w:p>
        </w:tc>
        <w:tc>
          <w:tcPr>
            <w:tcW w:w="1459" w:type="pct"/>
            <w:tcMar>
              <w:top w:w="57" w:type="dxa"/>
              <w:left w:w="57" w:type="dxa"/>
              <w:bottom w:w="57" w:type="dxa"/>
              <w:right w:w="57" w:type="dxa"/>
            </w:tcMar>
          </w:tcPr>
          <w:p w:rsidR="00632BE1" w:rsidRPr="00AF2032" w:rsidRDefault="00632BE1" w:rsidP="00373065">
            <w:pPr>
              <w:pStyle w:val="TableHead"/>
              <w:spacing w:line="300" w:lineRule="exact"/>
              <w:rPr>
                <w:sz w:val="22"/>
                <w:szCs w:val="30"/>
              </w:rPr>
            </w:pPr>
            <w:r w:rsidRPr="00AF2032">
              <w:rPr>
                <w:rFonts w:hint="cs"/>
                <w:sz w:val="22"/>
                <w:szCs w:val="30"/>
                <w:rtl/>
              </w:rPr>
              <w:t>القطاع</w:t>
            </w:r>
          </w:p>
        </w:tc>
        <w:tc>
          <w:tcPr>
            <w:tcW w:w="1223" w:type="pct"/>
            <w:tcMar>
              <w:top w:w="57" w:type="dxa"/>
              <w:left w:w="57" w:type="dxa"/>
              <w:bottom w:w="57" w:type="dxa"/>
              <w:right w:w="57" w:type="dxa"/>
            </w:tcMar>
          </w:tcPr>
          <w:p w:rsidR="00632BE1" w:rsidRPr="00AF2032" w:rsidRDefault="00632BE1" w:rsidP="00373065">
            <w:pPr>
              <w:pStyle w:val="TableHead"/>
              <w:spacing w:line="300" w:lineRule="exact"/>
              <w:rPr>
                <w:sz w:val="22"/>
                <w:szCs w:val="30"/>
              </w:rPr>
            </w:pPr>
            <w:r w:rsidRPr="00AF2032">
              <w:rPr>
                <w:rFonts w:hint="cs"/>
                <w:sz w:val="22"/>
                <w:szCs w:val="30"/>
                <w:rtl/>
              </w:rPr>
              <w:t>توصية الأمين العام</w:t>
            </w:r>
          </w:p>
        </w:tc>
      </w:tr>
      <w:tr w:rsidR="00632BE1" w:rsidRPr="00AF2032" w:rsidTr="007D0809">
        <w:trPr>
          <w:cantSplit/>
          <w:jc w:val="center"/>
        </w:trPr>
        <w:tc>
          <w:tcPr>
            <w:tcW w:w="2318" w:type="pct"/>
            <w:tcMar>
              <w:top w:w="57" w:type="dxa"/>
              <w:left w:w="57" w:type="dxa"/>
              <w:bottom w:w="57" w:type="dxa"/>
              <w:right w:w="57" w:type="dxa"/>
            </w:tcMar>
            <w:vAlign w:val="center"/>
          </w:tcPr>
          <w:p w:rsidR="00632BE1" w:rsidRPr="00AF2032" w:rsidRDefault="00632BE1" w:rsidP="00373065">
            <w:pPr>
              <w:pStyle w:val="Tabletexte"/>
              <w:spacing w:line="300" w:lineRule="exact"/>
              <w:jc w:val="center"/>
              <w:rPr>
                <w:bCs/>
                <w:sz w:val="22"/>
                <w:szCs w:val="30"/>
                <w:rtl/>
              </w:rPr>
            </w:pPr>
            <w:r w:rsidRPr="00AF2032">
              <w:rPr>
                <w:bCs/>
                <w:sz w:val="22"/>
                <w:szCs w:val="30"/>
                <w:rtl/>
                <w:lang w:val="fr-CH"/>
              </w:rPr>
              <w:lastRenderedPageBreak/>
              <w:t>شبكة البحث والتعليم في الدول العربية</w:t>
            </w:r>
            <w:r w:rsidRPr="00AF2032">
              <w:rPr>
                <w:rFonts w:hint="cs"/>
                <w:bCs/>
                <w:sz w:val="22"/>
                <w:szCs w:val="30"/>
                <w:rtl/>
                <w:lang w:val="fr-CH"/>
              </w:rPr>
              <w:t xml:space="preserve"> </w:t>
            </w:r>
            <w:r w:rsidRPr="00AF2032">
              <w:rPr>
                <w:b/>
                <w:iCs/>
                <w:sz w:val="22"/>
                <w:szCs w:val="30"/>
              </w:rPr>
              <w:t>(ASREN)</w:t>
            </w:r>
          </w:p>
        </w:tc>
        <w:tc>
          <w:tcPr>
            <w:tcW w:w="1459" w:type="pct"/>
            <w:tcMar>
              <w:top w:w="57" w:type="dxa"/>
              <w:left w:w="57" w:type="dxa"/>
              <w:bottom w:w="57" w:type="dxa"/>
              <w:right w:w="57" w:type="dxa"/>
            </w:tcMar>
            <w:vAlign w:val="center"/>
          </w:tcPr>
          <w:p w:rsidR="00632BE1" w:rsidRPr="00AF2032" w:rsidRDefault="00632BE1" w:rsidP="00373065">
            <w:pPr>
              <w:pStyle w:val="Tabletexte"/>
              <w:spacing w:line="300" w:lineRule="exact"/>
              <w:jc w:val="center"/>
              <w:rPr>
                <w:sz w:val="22"/>
                <w:szCs w:val="30"/>
                <w:highlight w:val="cyan"/>
                <w:lang w:val="fr-CH"/>
              </w:rPr>
            </w:pPr>
            <w:r w:rsidRPr="00AF2032">
              <w:rPr>
                <w:rFonts w:hint="cs"/>
                <w:sz w:val="22"/>
                <w:szCs w:val="30"/>
                <w:rtl/>
              </w:rPr>
              <w:t>قطاع الاتصالات الراديوية</w:t>
            </w:r>
            <w:r w:rsidRPr="00AF2032">
              <w:rPr>
                <w:sz w:val="22"/>
                <w:szCs w:val="30"/>
                <w:rtl/>
              </w:rPr>
              <w:br/>
            </w:r>
            <w:r w:rsidRPr="00AF2032">
              <w:rPr>
                <w:rFonts w:hint="cs"/>
                <w:sz w:val="22"/>
                <w:szCs w:val="30"/>
                <w:rtl/>
              </w:rPr>
              <w:t>قطاع تقييس الاتصالات</w:t>
            </w:r>
            <w:r w:rsidRPr="00AF2032">
              <w:rPr>
                <w:sz w:val="22"/>
                <w:szCs w:val="30"/>
                <w:rtl/>
              </w:rPr>
              <w:br/>
            </w:r>
            <w:r w:rsidRPr="00AF2032">
              <w:rPr>
                <w:rFonts w:hint="cs"/>
                <w:sz w:val="22"/>
                <w:szCs w:val="30"/>
                <w:rtl/>
                <w:lang w:val="fr-CH" w:bidi="ar-SA"/>
              </w:rPr>
              <w:t>قطاع تنمية الاتصالات</w:t>
            </w:r>
          </w:p>
        </w:tc>
        <w:tc>
          <w:tcPr>
            <w:tcW w:w="1223" w:type="pct"/>
            <w:tcMar>
              <w:top w:w="57" w:type="dxa"/>
              <w:left w:w="57" w:type="dxa"/>
              <w:bottom w:w="57" w:type="dxa"/>
              <w:right w:w="57" w:type="dxa"/>
            </w:tcMar>
            <w:vAlign w:val="center"/>
          </w:tcPr>
          <w:p w:rsidR="00632BE1" w:rsidRPr="00AF2032" w:rsidRDefault="00632BE1" w:rsidP="00373065">
            <w:pPr>
              <w:pStyle w:val="Tabletexte"/>
              <w:spacing w:line="300" w:lineRule="exact"/>
              <w:jc w:val="center"/>
              <w:rPr>
                <w:sz w:val="22"/>
                <w:szCs w:val="30"/>
                <w:lang w:val="fr-CH"/>
              </w:rPr>
            </w:pPr>
            <w:r w:rsidRPr="00AF2032">
              <w:rPr>
                <w:rFonts w:hint="cs"/>
                <w:sz w:val="22"/>
                <w:szCs w:val="30"/>
                <w:rtl/>
                <w:lang w:bidi="ar-EG"/>
              </w:rPr>
              <w:t>نعم</w:t>
            </w:r>
            <w:r w:rsidRPr="00AF2032">
              <w:rPr>
                <w:sz w:val="22"/>
                <w:szCs w:val="30"/>
                <w:rtl/>
                <w:lang w:bidi="ar-EG"/>
              </w:rPr>
              <w:br/>
            </w:r>
            <w:r w:rsidRPr="00AF2032">
              <w:rPr>
                <w:rFonts w:hint="cs"/>
                <w:sz w:val="22"/>
                <w:szCs w:val="30"/>
                <w:rtl/>
                <w:lang w:bidi="ar-EG"/>
              </w:rPr>
              <w:t>نعم</w:t>
            </w:r>
            <w:r w:rsidRPr="00AF2032">
              <w:rPr>
                <w:sz w:val="22"/>
                <w:szCs w:val="30"/>
                <w:rtl/>
                <w:lang w:bidi="ar-EG"/>
              </w:rPr>
              <w:br/>
            </w:r>
            <w:r w:rsidRPr="00AF2032">
              <w:rPr>
                <w:rFonts w:hint="cs"/>
                <w:sz w:val="22"/>
                <w:szCs w:val="30"/>
                <w:rtl/>
                <w:lang w:bidi="ar-EG"/>
              </w:rPr>
              <w:t>نعم</w:t>
            </w:r>
          </w:p>
        </w:tc>
      </w:tr>
    </w:tbl>
    <w:p w:rsidR="00632BE1" w:rsidRPr="00A1172B" w:rsidRDefault="00632BE1" w:rsidP="00856AF5">
      <w:pPr>
        <w:spacing w:before="240"/>
        <w:rPr>
          <w:spacing w:val="2"/>
          <w:rtl/>
          <w:lang w:bidi="ar-EG"/>
        </w:rPr>
      </w:pPr>
      <w:r w:rsidRPr="00F26231">
        <w:rPr>
          <w:rFonts w:hint="cs"/>
          <w:b/>
          <w:bCs/>
          <w:spacing w:val="2"/>
          <w:rtl/>
          <w:lang w:bidi="ar-EG"/>
        </w:rPr>
        <w:t>تعليقات:</w:t>
      </w:r>
      <w:r w:rsidRPr="00F26231">
        <w:rPr>
          <w:rFonts w:hint="cs"/>
          <w:spacing w:val="2"/>
          <w:rtl/>
          <w:lang w:bidi="ar-EG"/>
        </w:rPr>
        <w:t xml:space="preserve"> </w:t>
      </w:r>
      <w:r>
        <w:rPr>
          <w:rFonts w:hint="cs"/>
          <w:spacing w:val="2"/>
          <w:rtl/>
          <w:lang w:bidi="ar-EG"/>
        </w:rPr>
        <w:t xml:space="preserve">شبكة البحث والتعليم في الدول العربية </w:t>
      </w:r>
      <w:r w:rsidRPr="00044A2A">
        <w:rPr>
          <w:spacing w:val="2"/>
          <w:lang w:bidi="ar-EG"/>
        </w:rPr>
        <w:t>(ASREN)</w:t>
      </w:r>
      <w:r w:rsidRPr="00044A2A">
        <w:rPr>
          <w:rFonts w:hint="cs"/>
          <w:spacing w:val="2"/>
          <w:rtl/>
          <w:lang w:bidi="ar-EG"/>
        </w:rPr>
        <w:t xml:space="preserve"> هي منظمة دولية </w:t>
      </w:r>
      <w:r>
        <w:rPr>
          <w:rFonts w:hint="cs"/>
          <w:spacing w:val="2"/>
          <w:rtl/>
          <w:lang w:bidi="ar-EG"/>
        </w:rPr>
        <w:t xml:space="preserve">تعنى بإنشاء الشبكة العربية للبحث والتعليم وتعمل مع شبكات إقليمية ودولية شتى للبحث والتعليم. وتعمل الشبكة مع </w:t>
      </w:r>
      <w:r>
        <w:rPr>
          <w:spacing w:val="2"/>
          <w:lang w:bidi="ar-EG"/>
        </w:rPr>
        <w:t>22</w:t>
      </w:r>
      <w:r>
        <w:rPr>
          <w:rFonts w:hint="cs"/>
          <w:spacing w:val="2"/>
          <w:rtl/>
          <w:lang w:bidi="ar-EG"/>
        </w:rPr>
        <w:t xml:space="preserve"> بلداً عربياً، وبالتحديد مع الشبكات الوطنية للبحث والتعليم </w:t>
      </w:r>
      <w:r>
        <w:t>(NREN)</w:t>
      </w:r>
      <w:r>
        <w:rPr>
          <w:rFonts w:hint="cs"/>
          <w:rtl/>
        </w:rPr>
        <w:t xml:space="preserve"> وتشمل جميع الجامعات ومعاهد البحث في المنطقة العربية. وتتمتع </w:t>
      </w:r>
      <w:r w:rsidRPr="00A83549">
        <w:rPr>
          <w:rFonts w:hint="cs"/>
          <w:rtl/>
        </w:rPr>
        <w:t>الشبكة بالعضوية كهيئة أكاديمية</w:t>
      </w:r>
      <w:r>
        <w:rPr>
          <w:rFonts w:hint="cs"/>
          <w:rtl/>
        </w:rPr>
        <w:t xml:space="preserve"> ولكنها تواجه صعوبة في دفع الرسوم</w:t>
      </w:r>
      <w:r>
        <w:rPr>
          <w:rFonts w:hint="cs"/>
          <w:spacing w:val="2"/>
          <w:rtl/>
          <w:lang w:bidi="ar-EG"/>
        </w:rPr>
        <w:t xml:space="preserve">. وفي الوقت الحالي عُلقت عضويتها لعام </w:t>
      </w:r>
      <w:r>
        <w:rPr>
          <w:spacing w:val="2"/>
          <w:lang w:bidi="ar-EG"/>
        </w:rPr>
        <w:t>2019</w:t>
      </w:r>
      <w:r>
        <w:rPr>
          <w:rFonts w:hint="cs"/>
          <w:spacing w:val="2"/>
          <w:rtl/>
          <w:lang w:bidi="ar-EG"/>
        </w:rPr>
        <w:t xml:space="preserve"> ولكنها سددت الديون المستحقة لعام</w:t>
      </w:r>
      <w:r w:rsidR="00AF2032">
        <w:rPr>
          <w:rFonts w:hint="eastAsia"/>
          <w:spacing w:val="2"/>
          <w:rtl/>
          <w:lang w:bidi="ar-EG"/>
        </w:rPr>
        <w:t> </w:t>
      </w:r>
      <w:r>
        <w:rPr>
          <w:spacing w:val="2"/>
          <w:lang w:bidi="ar-EG"/>
        </w:rPr>
        <w:t>2018</w:t>
      </w:r>
      <w:r>
        <w:rPr>
          <w:rFonts w:hint="cs"/>
          <w:spacing w:val="2"/>
          <w:rtl/>
          <w:lang w:bidi="ar-EG"/>
        </w:rPr>
        <w:t xml:space="preserve">. وترى الأمانة أن الشبكة تستوفي معايير المجلس الخاصة بالإعفاء من رسوم العضوية في قطاعات الاتصالات الراديوية/تقييس الاتصالات/تنمية الاتصالات. ويوصى بمنح هذا الإعفاء اعتباراً من </w:t>
      </w:r>
      <w:r>
        <w:rPr>
          <w:spacing w:val="2"/>
          <w:lang w:bidi="ar-EG"/>
        </w:rPr>
        <w:t>1</w:t>
      </w:r>
      <w:r>
        <w:rPr>
          <w:rFonts w:hint="cs"/>
          <w:spacing w:val="2"/>
          <w:rtl/>
          <w:lang w:bidi="ar-EG"/>
        </w:rPr>
        <w:t xml:space="preserve"> يناير </w:t>
      </w:r>
      <w:r>
        <w:rPr>
          <w:spacing w:val="2"/>
          <w:lang w:bidi="ar-EG"/>
        </w:rPr>
        <w:t>2019</w:t>
      </w:r>
      <w:r w:rsidR="001369C1">
        <w:rPr>
          <w:rFonts w:hint="cs"/>
          <w:spacing w:val="2"/>
          <w:rtl/>
          <w:lang w:bidi="ar-EG"/>
        </w:rPr>
        <w:t>.</w:t>
      </w:r>
    </w:p>
    <w:p w:rsidR="00632BE1" w:rsidRDefault="00632BE1" w:rsidP="00632BE1">
      <w:pPr>
        <w:keepNext/>
        <w:keepLines/>
        <w:spacing w:after="120"/>
        <w:rPr>
          <w:rtl/>
          <w:lang w:bidi="ar-EG"/>
        </w:rPr>
      </w:pPr>
      <w:r>
        <w:rPr>
          <w:lang w:bidi="ar-EG"/>
        </w:rPr>
        <w:t>6.3</w:t>
      </w:r>
      <w:r>
        <w:rPr>
          <w:rFonts w:hint="cs"/>
          <w:rtl/>
          <w:lang w:bidi="ar-EG"/>
        </w:rPr>
        <w:t> </w:t>
      </w:r>
    </w:p>
    <w:tbl>
      <w:tblPr>
        <w:bidiVisual/>
        <w:tblW w:w="92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4284"/>
        <w:gridCol w:w="2697"/>
        <w:gridCol w:w="2261"/>
      </w:tblGrid>
      <w:tr w:rsidR="00632BE1" w:rsidRPr="00AF2032" w:rsidTr="007D0809">
        <w:trPr>
          <w:cantSplit/>
          <w:jc w:val="center"/>
        </w:trPr>
        <w:tc>
          <w:tcPr>
            <w:tcW w:w="2318" w:type="pct"/>
            <w:tcMar>
              <w:top w:w="57" w:type="dxa"/>
              <w:left w:w="57" w:type="dxa"/>
              <w:bottom w:w="57" w:type="dxa"/>
              <w:right w:w="57" w:type="dxa"/>
            </w:tcMar>
          </w:tcPr>
          <w:p w:rsidR="00632BE1" w:rsidRPr="00AF2032" w:rsidRDefault="00632BE1" w:rsidP="00373065">
            <w:pPr>
              <w:pStyle w:val="TableHead"/>
              <w:keepLines/>
              <w:spacing w:line="300" w:lineRule="exact"/>
              <w:rPr>
                <w:sz w:val="22"/>
                <w:szCs w:val="30"/>
              </w:rPr>
            </w:pPr>
            <w:r w:rsidRPr="00AF2032">
              <w:rPr>
                <w:rFonts w:hint="cs"/>
                <w:sz w:val="22"/>
                <w:szCs w:val="30"/>
                <w:rtl/>
              </w:rPr>
              <w:t>المنظمة</w:t>
            </w:r>
          </w:p>
        </w:tc>
        <w:tc>
          <w:tcPr>
            <w:tcW w:w="1459" w:type="pct"/>
            <w:tcMar>
              <w:top w:w="57" w:type="dxa"/>
              <w:left w:w="57" w:type="dxa"/>
              <w:bottom w:w="57" w:type="dxa"/>
              <w:right w:w="57" w:type="dxa"/>
            </w:tcMar>
          </w:tcPr>
          <w:p w:rsidR="00632BE1" w:rsidRPr="00AF2032" w:rsidRDefault="00632BE1" w:rsidP="00373065">
            <w:pPr>
              <w:pStyle w:val="TableHead"/>
              <w:keepLines/>
              <w:spacing w:line="300" w:lineRule="exact"/>
              <w:rPr>
                <w:sz w:val="22"/>
                <w:szCs w:val="30"/>
              </w:rPr>
            </w:pPr>
            <w:r w:rsidRPr="00AF2032">
              <w:rPr>
                <w:rFonts w:hint="cs"/>
                <w:sz w:val="22"/>
                <w:szCs w:val="30"/>
                <w:rtl/>
              </w:rPr>
              <w:t>القطاع</w:t>
            </w:r>
          </w:p>
        </w:tc>
        <w:tc>
          <w:tcPr>
            <w:tcW w:w="1223" w:type="pct"/>
            <w:tcMar>
              <w:top w:w="57" w:type="dxa"/>
              <w:left w:w="57" w:type="dxa"/>
              <w:bottom w:w="57" w:type="dxa"/>
              <w:right w:w="57" w:type="dxa"/>
            </w:tcMar>
          </w:tcPr>
          <w:p w:rsidR="00632BE1" w:rsidRPr="00AF2032" w:rsidRDefault="00632BE1" w:rsidP="00373065">
            <w:pPr>
              <w:pStyle w:val="TableHead"/>
              <w:keepLines/>
              <w:spacing w:line="300" w:lineRule="exact"/>
              <w:rPr>
                <w:sz w:val="22"/>
                <w:szCs w:val="30"/>
              </w:rPr>
            </w:pPr>
            <w:r w:rsidRPr="00AF2032">
              <w:rPr>
                <w:rFonts w:hint="cs"/>
                <w:sz w:val="22"/>
                <w:szCs w:val="30"/>
                <w:rtl/>
              </w:rPr>
              <w:t>توصية الأمين العام</w:t>
            </w:r>
          </w:p>
        </w:tc>
      </w:tr>
      <w:tr w:rsidR="00632BE1" w:rsidRPr="00AF2032" w:rsidTr="007D0809">
        <w:trPr>
          <w:cantSplit/>
          <w:jc w:val="center"/>
        </w:trPr>
        <w:tc>
          <w:tcPr>
            <w:tcW w:w="2318" w:type="pct"/>
            <w:tcMar>
              <w:top w:w="57" w:type="dxa"/>
              <w:left w:w="57" w:type="dxa"/>
              <w:bottom w:w="57" w:type="dxa"/>
              <w:right w:w="57" w:type="dxa"/>
            </w:tcMar>
            <w:vAlign w:val="center"/>
          </w:tcPr>
          <w:p w:rsidR="00632BE1" w:rsidRPr="00AF2032" w:rsidRDefault="00632BE1" w:rsidP="00373065">
            <w:pPr>
              <w:pStyle w:val="Tabletexte"/>
              <w:keepNext/>
              <w:keepLines/>
              <w:spacing w:line="300" w:lineRule="exact"/>
              <w:jc w:val="center"/>
              <w:rPr>
                <w:bCs/>
                <w:sz w:val="22"/>
                <w:szCs w:val="30"/>
              </w:rPr>
            </w:pPr>
            <w:r w:rsidRPr="00AF2032">
              <w:rPr>
                <w:rFonts w:hint="cs"/>
                <w:bCs/>
                <w:sz w:val="22"/>
                <w:szCs w:val="30"/>
                <w:rtl/>
              </w:rPr>
              <w:t xml:space="preserve">مؤسسة </w:t>
            </w:r>
            <w:r w:rsidRPr="00AF2032">
              <w:rPr>
                <w:b/>
                <w:sz w:val="22"/>
                <w:szCs w:val="30"/>
              </w:rPr>
              <w:t>OISTE</w:t>
            </w:r>
          </w:p>
        </w:tc>
        <w:tc>
          <w:tcPr>
            <w:tcW w:w="1459" w:type="pct"/>
            <w:tcMar>
              <w:top w:w="57" w:type="dxa"/>
              <w:left w:w="57" w:type="dxa"/>
              <w:bottom w:w="57" w:type="dxa"/>
              <w:right w:w="57" w:type="dxa"/>
            </w:tcMar>
            <w:vAlign w:val="center"/>
          </w:tcPr>
          <w:p w:rsidR="00632BE1" w:rsidRPr="00AF2032" w:rsidRDefault="00632BE1" w:rsidP="00373065">
            <w:pPr>
              <w:pStyle w:val="Tabletexte"/>
              <w:keepNext/>
              <w:keepLines/>
              <w:spacing w:line="300" w:lineRule="exact"/>
              <w:jc w:val="center"/>
              <w:rPr>
                <w:sz w:val="22"/>
                <w:szCs w:val="30"/>
                <w:highlight w:val="cyan"/>
                <w:lang w:val="fr-CH"/>
              </w:rPr>
            </w:pPr>
            <w:r w:rsidRPr="00AF2032">
              <w:rPr>
                <w:rFonts w:hint="cs"/>
                <w:sz w:val="22"/>
                <w:szCs w:val="30"/>
                <w:rtl/>
                <w:lang w:val="fr-CH" w:bidi="ar-SA"/>
              </w:rPr>
              <w:t>قطاع تنمية الاتصالات</w:t>
            </w:r>
          </w:p>
        </w:tc>
        <w:tc>
          <w:tcPr>
            <w:tcW w:w="1223" w:type="pct"/>
            <w:tcMar>
              <w:top w:w="57" w:type="dxa"/>
              <w:left w:w="57" w:type="dxa"/>
              <w:bottom w:w="57" w:type="dxa"/>
              <w:right w:w="57" w:type="dxa"/>
            </w:tcMar>
            <w:vAlign w:val="center"/>
          </w:tcPr>
          <w:p w:rsidR="00632BE1" w:rsidRPr="00AF2032" w:rsidRDefault="00632BE1" w:rsidP="00373065">
            <w:pPr>
              <w:pStyle w:val="Tabletexte"/>
              <w:keepNext/>
              <w:keepLines/>
              <w:spacing w:line="300" w:lineRule="exact"/>
              <w:jc w:val="center"/>
              <w:rPr>
                <w:sz w:val="22"/>
                <w:szCs w:val="30"/>
                <w:lang w:val="fr-CH"/>
              </w:rPr>
            </w:pPr>
            <w:r w:rsidRPr="00AF2032">
              <w:rPr>
                <w:rFonts w:hint="cs"/>
                <w:sz w:val="22"/>
                <w:szCs w:val="30"/>
                <w:rtl/>
                <w:lang w:bidi="ar-EG"/>
              </w:rPr>
              <w:t>لا</w:t>
            </w:r>
          </w:p>
        </w:tc>
      </w:tr>
    </w:tbl>
    <w:p w:rsidR="00632BE1" w:rsidRPr="00685D74" w:rsidRDefault="00632BE1" w:rsidP="00856AF5">
      <w:pPr>
        <w:spacing w:before="240"/>
        <w:rPr>
          <w:spacing w:val="2"/>
          <w:rtl/>
        </w:rPr>
      </w:pPr>
      <w:r w:rsidRPr="00621E8F">
        <w:rPr>
          <w:rFonts w:hint="cs"/>
          <w:b/>
          <w:bCs/>
          <w:spacing w:val="2"/>
          <w:rtl/>
          <w:lang w:bidi="ar-EG"/>
        </w:rPr>
        <w:t>تعليقات:</w:t>
      </w:r>
      <w:r w:rsidRPr="00621E8F">
        <w:rPr>
          <w:rFonts w:hint="cs"/>
          <w:spacing w:val="2"/>
          <w:rtl/>
          <w:lang w:bidi="ar-EG"/>
        </w:rPr>
        <w:t xml:space="preserve"> </w:t>
      </w:r>
      <w:r>
        <w:rPr>
          <w:rFonts w:hint="cs"/>
          <w:spacing w:val="2"/>
          <w:rtl/>
          <w:lang w:bidi="ar-EG"/>
        </w:rPr>
        <w:t xml:space="preserve">تأسست مؤسسة </w:t>
      </w:r>
      <w:r w:rsidRPr="008374C4">
        <w:rPr>
          <w:spacing w:val="2"/>
          <w:lang w:bidi="ar-EG"/>
        </w:rPr>
        <w:t>OISTE</w:t>
      </w:r>
      <w:r>
        <w:rPr>
          <w:rFonts w:hint="cs"/>
          <w:spacing w:val="2"/>
          <w:rtl/>
          <w:lang w:bidi="ar-EG"/>
        </w:rPr>
        <w:t xml:space="preserve"> في جنيف عام </w:t>
      </w:r>
      <w:r>
        <w:rPr>
          <w:spacing w:val="2"/>
          <w:lang w:bidi="ar-EG"/>
        </w:rPr>
        <w:t>1998</w:t>
      </w:r>
      <w:r w:rsidRPr="008374C4">
        <w:rPr>
          <w:rFonts w:hint="cs"/>
          <w:spacing w:val="2"/>
          <w:rtl/>
        </w:rPr>
        <w:t xml:space="preserve">. </w:t>
      </w:r>
      <w:r>
        <w:rPr>
          <w:rFonts w:hint="cs"/>
          <w:spacing w:val="2"/>
          <w:rtl/>
        </w:rPr>
        <w:t xml:space="preserve">وأنشئت المؤسسة بهدف تعزيز استخدام المعايير الدولية واعتمادها لتأمين المعاملات الإلكترونية وتوسيع نطاق استخدام التصديق الرقمي وضمان قابلية التشغيل البيني لأنظمة المعاملات الإلكترونية لسلطات التصديق. </w:t>
      </w:r>
      <w:r w:rsidRPr="008374C4">
        <w:rPr>
          <w:rFonts w:hint="cs"/>
          <w:spacing w:val="2"/>
          <w:rtl/>
        </w:rPr>
        <w:t>وترى</w:t>
      </w:r>
      <w:r w:rsidRPr="008374C4">
        <w:rPr>
          <w:rFonts w:hint="eastAsia"/>
          <w:spacing w:val="2"/>
          <w:rtl/>
        </w:rPr>
        <w:t> </w:t>
      </w:r>
      <w:r w:rsidRPr="008374C4">
        <w:rPr>
          <w:rFonts w:hint="cs"/>
          <w:spacing w:val="2"/>
          <w:rtl/>
        </w:rPr>
        <w:t xml:space="preserve">الأمانة أن </w:t>
      </w:r>
      <w:r>
        <w:rPr>
          <w:rFonts w:hint="cs"/>
          <w:spacing w:val="2"/>
          <w:rtl/>
        </w:rPr>
        <w:t>المؤسسة لا</w:t>
      </w:r>
      <w:r w:rsidRPr="008374C4">
        <w:rPr>
          <w:rFonts w:hint="cs"/>
          <w:spacing w:val="2"/>
          <w:rtl/>
          <w:lang w:val="fr-CH" w:bidi="ar-SY"/>
        </w:rPr>
        <w:t xml:space="preserve"> </w:t>
      </w:r>
      <w:r w:rsidRPr="008374C4">
        <w:rPr>
          <w:rFonts w:hint="cs"/>
          <w:spacing w:val="2"/>
          <w:rtl/>
          <w:lang w:bidi="ar-SY"/>
        </w:rPr>
        <w:t xml:space="preserve">تستوفي معايير </w:t>
      </w:r>
      <w:r>
        <w:rPr>
          <w:rFonts w:hint="cs"/>
          <w:spacing w:val="2"/>
          <w:rtl/>
          <w:lang w:bidi="ar-SY"/>
        </w:rPr>
        <w:t>الإعفاء نظراً لافتقارها إلى أعضاء</w:t>
      </w:r>
      <w:r w:rsidRPr="008374C4">
        <w:rPr>
          <w:rFonts w:hint="cs"/>
          <w:spacing w:val="2"/>
          <w:rtl/>
          <w:lang w:bidi="ar-SY"/>
        </w:rPr>
        <w:t xml:space="preserve"> </w:t>
      </w:r>
      <w:r w:rsidR="009536E2">
        <w:rPr>
          <w:rFonts w:hint="cs"/>
          <w:spacing w:val="2"/>
          <w:rtl/>
          <w:lang w:bidi="ar-SY"/>
        </w:rPr>
        <w:t>على الصعيد الإقليمي/الدولي.</w:t>
      </w:r>
    </w:p>
    <w:p w:rsidR="00632BE1" w:rsidRDefault="00632BE1" w:rsidP="00632BE1">
      <w:pPr>
        <w:spacing w:after="120"/>
        <w:rPr>
          <w:rtl/>
          <w:lang w:bidi="ar-EG"/>
        </w:rPr>
      </w:pPr>
      <w:r>
        <w:rPr>
          <w:lang w:bidi="ar-EG"/>
        </w:rPr>
        <w:t>7.3</w:t>
      </w:r>
      <w:r>
        <w:rPr>
          <w:rFonts w:hint="cs"/>
          <w:rtl/>
          <w:lang w:bidi="ar-EG"/>
        </w:rPr>
        <w:t> </w:t>
      </w:r>
    </w:p>
    <w:tbl>
      <w:tblPr>
        <w:bidiVisual/>
        <w:tblW w:w="92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4284"/>
        <w:gridCol w:w="2697"/>
        <w:gridCol w:w="2261"/>
      </w:tblGrid>
      <w:tr w:rsidR="00632BE1" w:rsidRPr="00AF2032" w:rsidTr="007D0809">
        <w:trPr>
          <w:cantSplit/>
          <w:jc w:val="center"/>
        </w:trPr>
        <w:tc>
          <w:tcPr>
            <w:tcW w:w="2318" w:type="pct"/>
            <w:tcMar>
              <w:top w:w="57" w:type="dxa"/>
              <w:left w:w="57" w:type="dxa"/>
              <w:bottom w:w="57" w:type="dxa"/>
              <w:right w:w="57" w:type="dxa"/>
            </w:tcMar>
          </w:tcPr>
          <w:p w:rsidR="00632BE1" w:rsidRPr="00AF2032" w:rsidRDefault="00632BE1" w:rsidP="00373065">
            <w:pPr>
              <w:pStyle w:val="TableHead"/>
              <w:spacing w:line="300" w:lineRule="exact"/>
              <w:rPr>
                <w:sz w:val="22"/>
                <w:szCs w:val="30"/>
              </w:rPr>
            </w:pPr>
            <w:r w:rsidRPr="00AF2032">
              <w:rPr>
                <w:rFonts w:hint="cs"/>
                <w:sz w:val="22"/>
                <w:szCs w:val="30"/>
                <w:rtl/>
              </w:rPr>
              <w:t>المنظمة</w:t>
            </w:r>
          </w:p>
        </w:tc>
        <w:tc>
          <w:tcPr>
            <w:tcW w:w="1459" w:type="pct"/>
            <w:tcMar>
              <w:top w:w="57" w:type="dxa"/>
              <w:left w:w="57" w:type="dxa"/>
              <w:bottom w:w="57" w:type="dxa"/>
              <w:right w:w="57" w:type="dxa"/>
            </w:tcMar>
          </w:tcPr>
          <w:p w:rsidR="00632BE1" w:rsidRPr="00AF2032" w:rsidRDefault="00632BE1" w:rsidP="00373065">
            <w:pPr>
              <w:pStyle w:val="TableHead"/>
              <w:spacing w:line="300" w:lineRule="exact"/>
              <w:rPr>
                <w:sz w:val="22"/>
                <w:szCs w:val="30"/>
              </w:rPr>
            </w:pPr>
            <w:r w:rsidRPr="00AF2032">
              <w:rPr>
                <w:rFonts w:hint="cs"/>
                <w:sz w:val="22"/>
                <w:szCs w:val="30"/>
                <w:rtl/>
              </w:rPr>
              <w:t>القطاع</w:t>
            </w:r>
          </w:p>
        </w:tc>
        <w:tc>
          <w:tcPr>
            <w:tcW w:w="1223" w:type="pct"/>
            <w:tcMar>
              <w:top w:w="57" w:type="dxa"/>
              <w:left w:w="57" w:type="dxa"/>
              <w:bottom w:w="57" w:type="dxa"/>
              <w:right w:w="57" w:type="dxa"/>
            </w:tcMar>
          </w:tcPr>
          <w:p w:rsidR="00632BE1" w:rsidRPr="00AF2032" w:rsidRDefault="00632BE1" w:rsidP="00373065">
            <w:pPr>
              <w:pStyle w:val="TableHead"/>
              <w:spacing w:line="300" w:lineRule="exact"/>
              <w:rPr>
                <w:sz w:val="22"/>
                <w:szCs w:val="30"/>
              </w:rPr>
            </w:pPr>
            <w:r w:rsidRPr="00AF2032">
              <w:rPr>
                <w:rFonts w:hint="cs"/>
                <w:sz w:val="22"/>
                <w:szCs w:val="30"/>
                <w:rtl/>
              </w:rPr>
              <w:t>توصية الأمين العام</w:t>
            </w:r>
          </w:p>
        </w:tc>
      </w:tr>
      <w:tr w:rsidR="00632BE1" w:rsidRPr="00AF2032" w:rsidTr="007D0809">
        <w:trPr>
          <w:cantSplit/>
          <w:jc w:val="center"/>
        </w:trPr>
        <w:tc>
          <w:tcPr>
            <w:tcW w:w="2318" w:type="pct"/>
            <w:tcMar>
              <w:top w:w="57" w:type="dxa"/>
              <w:left w:w="57" w:type="dxa"/>
              <w:bottom w:w="57" w:type="dxa"/>
              <w:right w:w="57" w:type="dxa"/>
            </w:tcMar>
            <w:vAlign w:val="center"/>
          </w:tcPr>
          <w:p w:rsidR="00632BE1" w:rsidRPr="00AF2032" w:rsidRDefault="00632BE1" w:rsidP="00373065">
            <w:pPr>
              <w:pStyle w:val="Tabletexte"/>
              <w:spacing w:line="300" w:lineRule="exact"/>
              <w:jc w:val="center"/>
              <w:rPr>
                <w:b/>
                <w:bCs/>
                <w:iCs/>
                <w:sz w:val="22"/>
                <w:szCs w:val="30"/>
              </w:rPr>
            </w:pPr>
            <w:r w:rsidRPr="00AF2032">
              <w:rPr>
                <w:rFonts w:hint="cs"/>
                <w:b/>
                <w:bCs/>
                <w:sz w:val="22"/>
                <w:szCs w:val="30"/>
                <w:rtl/>
              </w:rPr>
              <w:t xml:space="preserve">الرابطة العالمية للأيتام </w:t>
            </w:r>
            <w:r w:rsidRPr="00AF2032">
              <w:rPr>
                <w:b/>
                <w:bCs/>
                <w:sz w:val="22"/>
                <w:szCs w:val="30"/>
              </w:rPr>
              <w:t>(</w:t>
            </w:r>
            <w:r w:rsidRPr="00AF2032">
              <w:rPr>
                <w:b/>
                <w:sz w:val="22"/>
                <w:szCs w:val="30"/>
                <w:lang w:val="fr-CA"/>
              </w:rPr>
              <w:t>A.M.OR</w:t>
            </w:r>
            <w:r w:rsidRPr="00AF2032">
              <w:rPr>
                <w:b/>
                <w:bCs/>
                <w:sz w:val="22"/>
                <w:szCs w:val="30"/>
              </w:rPr>
              <w:t>)</w:t>
            </w:r>
          </w:p>
        </w:tc>
        <w:tc>
          <w:tcPr>
            <w:tcW w:w="1459" w:type="pct"/>
            <w:tcMar>
              <w:top w:w="57" w:type="dxa"/>
              <w:left w:w="57" w:type="dxa"/>
              <w:bottom w:w="57" w:type="dxa"/>
              <w:right w:w="57" w:type="dxa"/>
            </w:tcMar>
            <w:vAlign w:val="center"/>
          </w:tcPr>
          <w:p w:rsidR="00632BE1" w:rsidRPr="00AF2032" w:rsidRDefault="00632BE1" w:rsidP="00373065">
            <w:pPr>
              <w:pStyle w:val="Tabletexte"/>
              <w:spacing w:line="300" w:lineRule="exact"/>
              <w:jc w:val="center"/>
              <w:rPr>
                <w:sz w:val="22"/>
                <w:szCs w:val="30"/>
                <w:highlight w:val="cyan"/>
                <w:lang w:val="fr-CH"/>
              </w:rPr>
            </w:pPr>
            <w:r w:rsidRPr="00AF2032">
              <w:rPr>
                <w:rFonts w:hint="cs"/>
                <w:sz w:val="22"/>
                <w:szCs w:val="30"/>
                <w:rtl/>
              </w:rPr>
              <w:t>قطاع تنمية الاتصالات</w:t>
            </w:r>
          </w:p>
        </w:tc>
        <w:tc>
          <w:tcPr>
            <w:tcW w:w="1223" w:type="pct"/>
            <w:tcMar>
              <w:top w:w="57" w:type="dxa"/>
              <w:left w:w="57" w:type="dxa"/>
              <w:bottom w:w="57" w:type="dxa"/>
              <w:right w:w="57" w:type="dxa"/>
            </w:tcMar>
            <w:vAlign w:val="center"/>
          </w:tcPr>
          <w:p w:rsidR="00632BE1" w:rsidRPr="00AF2032" w:rsidRDefault="00632BE1" w:rsidP="00373065">
            <w:pPr>
              <w:pStyle w:val="Tabletexte"/>
              <w:spacing w:line="300" w:lineRule="exact"/>
              <w:jc w:val="center"/>
              <w:rPr>
                <w:sz w:val="22"/>
                <w:szCs w:val="30"/>
                <w:lang w:val="fr-CH"/>
              </w:rPr>
            </w:pPr>
            <w:r w:rsidRPr="00AF2032">
              <w:rPr>
                <w:rFonts w:hint="cs"/>
                <w:sz w:val="22"/>
                <w:szCs w:val="30"/>
                <w:rtl/>
                <w:lang w:bidi="ar-EG"/>
              </w:rPr>
              <w:t>لا</w:t>
            </w:r>
          </w:p>
        </w:tc>
      </w:tr>
    </w:tbl>
    <w:p w:rsidR="00632BE1" w:rsidRDefault="00632BE1" w:rsidP="002D49DA">
      <w:pPr>
        <w:spacing w:before="240"/>
        <w:rPr>
          <w:spacing w:val="2"/>
          <w:rtl/>
          <w:lang w:bidi="ar-SY"/>
        </w:rPr>
      </w:pPr>
      <w:r w:rsidRPr="00F73FC4">
        <w:rPr>
          <w:rFonts w:hint="cs"/>
          <w:b/>
          <w:bCs/>
          <w:spacing w:val="2"/>
          <w:rtl/>
          <w:lang w:bidi="ar-EG"/>
        </w:rPr>
        <w:t>تعليقات:</w:t>
      </w:r>
      <w:r w:rsidRPr="00F73FC4">
        <w:rPr>
          <w:rFonts w:hint="cs"/>
          <w:spacing w:val="2"/>
          <w:rtl/>
          <w:lang w:bidi="ar-EG"/>
        </w:rPr>
        <w:t xml:space="preserve"> </w:t>
      </w:r>
      <w:r w:rsidRPr="007D0809">
        <w:rPr>
          <w:rFonts w:hint="cs"/>
          <w:i/>
          <w:iCs/>
          <w:spacing w:val="2"/>
          <w:rtl/>
          <w:lang w:val="fr-CH" w:bidi="ar-SY"/>
        </w:rPr>
        <w:t>الرابطة العالمية للأيتام</w:t>
      </w:r>
      <w:r w:rsidRPr="00F73FC4">
        <w:rPr>
          <w:rFonts w:hint="cs"/>
          <w:spacing w:val="2"/>
          <w:rtl/>
          <w:lang w:val="fr-CH" w:bidi="ar-SY"/>
        </w:rPr>
        <w:t xml:space="preserve"> </w:t>
      </w:r>
      <w:r w:rsidRPr="00F73FC4">
        <w:rPr>
          <w:spacing w:val="2"/>
          <w:lang w:bidi="ar-SY"/>
        </w:rPr>
        <w:t>(</w:t>
      </w:r>
      <w:r w:rsidRPr="008437C1">
        <w:t>A.M.OR</w:t>
      </w:r>
      <w:r w:rsidRPr="00F73FC4">
        <w:rPr>
          <w:spacing w:val="2"/>
          <w:lang w:bidi="ar-SY"/>
        </w:rPr>
        <w:t>)</w:t>
      </w:r>
      <w:r w:rsidRPr="00F73FC4">
        <w:rPr>
          <w:rFonts w:hint="cs"/>
          <w:spacing w:val="2"/>
          <w:rtl/>
          <w:lang w:val="fr-CH" w:bidi="ar-SY"/>
        </w:rPr>
        <w:t xml:space="preserve"> </w:t>
      </w:r>
      <w:r>
        <w:rPr>
          <w:rFonts w:hint="cs"/>
          <w:spacing w:val="2"/>
          <w:rtl/>
          <w:lang w:val="fr-CH" w:bidi="ar-SY"/>
        </w:rPr>
        <w:t>هي منظمة غير حكومية وغير ربحية تحظى بمركز استشاري في المجلس الاقتصادي والاجتماعي</w:t>
      </w:r>
      <w:r w:rsidR="002D49DA">
        <w:rPr>
          <w:rFonts w:hint="eastAsia"/>
          <w:spacing w:val="2"/>
          <w:rtl/>
          <w:lang w:val="fr-CH" w:bidi="ar-SY"/>
        </w:rPr>
        <w:t> </w:t>
      </w:r>
      <w:r>
        <w:rPr>
          <w:spacing w:val="2"/>
          <w:lang w:bidi="ar-SY"/>
        </w:rPr>
        <w:t>(</w:t>
      </w:r>
      <w:r w:rsidRPr="008437C1">
        <w:t>ECOSOC</w:t>
      </w:r>
      <w:r>
        <w:rPr>
          <w:spacing w:val="2"/>
          <w:lang w:bidi="ar-SY"/>
        </w:rPr>
        <w:t>)</w:t>
      </w:r>
      <w:r>
        <w:rPr>
          <w:rFonts w:hint="cs"/>
          <w:spacing w:val="2"/>
          <w:rtl/>
          <w:lang w:bidi="ar-SY"/>
        </w:rPr>
        <w:t xml:space="preserve">، وتثق بإمكانات جميع الأفراد. وتدير الرابطة مشروع </w:t>
      </w:r>
      <w:r w:rsidR="003B0D76">
        <w:t>"</w:t>
      </w:r>
      <w:r>
        <w:t>HiTech4Orphans</w:t>
      </w:r>
      <w:r w:rsidR="003B0D76">
        <w:t>"</w:t>
      </w:r>
      <w:r>
        <w:rPr>
          <w:rFonts w:hint="cs"/>
          <w:spacing w:val="2"/>
          <w:rtl/>
          <w:lang w:bidi="ar-SY"/>
        </w:rPr>
        <w:t xml:space="preserve"> لمساعدة الطلاب الأيتام على الإلمام بتكنولوجيا المعلومات واكتساب مهاراتها. </w:t>
      </w:r>
      <w:r w:rsidRPr="00F73FC4">
        <w:rPr>
          <w:rFonts w:hint="cs"/>
          <w:spacing w:val="2"/>
          <w:rtl/>
        </w:rPr>
        <w:t xml:space="preserve">وترى الأمانة أن </w:t>
      </w:r>
      <w:r>
        <w:rPr>
          <w:rFonts w:hint="cs"/>
          <w:spacing w:val="2"/>
          <w:rtl/>
        </w:rPr>
        <w:t>الرابطة</w:t>
      </w:r>
      <w:r>
        <w:rPr>
          <w:rFonts w:hint="cs"/>
          <w:rtl/>
        </w:rPr>
        <w:t xml:space="preserve"> </w:t>
      </w:r>
      <w:r w:rsidRPr="00F73FC4">
        <w:rPr>
          <w:rFonts w:hint="cs"/>
          <w:spacing w:val="2"/>
          <w:rtl/>
          <w:lang w:val="fr-CH" w:bidi="ar-SY"/>
        </w:rPr>
        <w:t>لا</w:t>
      </w:r>
      <w:r w:rsidRPr="00F73FC4">
        <w:rPr>
          <w:rFonts w:hint="eastAsia"/>
          <w:spacing w:val="2"/>
          <w:rtl/>
          <w:lang w:val="fr-CH" w:bidi="ar-SY"/>
        </w:rPr>
        <w:t> </w:t>
      </w:r>
      <w:r w:rsidRPr="00F73FC4">
        <w:rPr>
          <w:rFonts w:hint="cs"/>
          <w:spacing w:val="2"/>
          <w:rtl/>
          <w:lang w:bidi="ar-SY"/>
        </w:rPr>
        <w:t xml:space="preserve">تستوفي معايير </w:t>
      </w:r>
      <w:r>
        <w:rPr>
          <w:rFonts w:hint="cs"/>
          <w:spacing w:val="2"/>
          <w:rtl/>
          <w:lang w:bidi="ar-SY"/>
        </w:rPr>
        <w:t>الإعفاء لعدم كفاية الأعضاء على الصعيد</w:t>
      </w:r>
      <w:r w:rsidRPr="00F73FC4">
        <w:rPr>
          <w:rFonts w:hint="cs"/>
          <w:spacing w:val="2"/>
          <w:rtl/>
          <w:lang w:bidi="ar-SY"/>
        </w:rPr>
        <w:t xml:space="preserve"> </w:t>
      </w:r>
      <w:r>
        <w:rPr>
          <w:rFonts w:hint="cs"/>
          <w:spacing w:val="2"/>
          <w:rtl/>
          <w:lang w:bidi="ar-SY"/>
        </w:rPr>
        <w:t>الإقليمي</w:t>
      </w:r>
      <w:r w:rsidRPr="00F73FC4">
        <w:rPr>
          <w:rFonts w:hint="cs"/>
          <w:spacing w:val="2"/>
          <w:rtl/>
          <w:lang w:bidi="ar-SY"/>
        </w:rPr>
        <w:t>/</w:t>
      </w:r>
      <w:r>
        <w:rPr>
          <w:rFonts w:hint="cs"/>
          <w:spacing w:val="2"/>
          <w:rtl/>
          <w:lang w:bidi="ar-SY"/>
        </w:rPr>
        <w:t>الدولي</w:t>
      </w:r>
      <w:r w:rsidRPr="00F73FC4">
        <w:rPr>
          <w:rFonts w:hint="cs"/>
          <w:spacing w:val="2"/>
          <w:rtl/>
          <w:lang w:bidi="ar-SY"/>
        </w:rPr>
        <w:t>.</w:t>
      </w:r>
    </w:p>
    <w:p w:rsidR="00632BE1" w:rsidRPr="00904B68" w:rsidRDefault="00632BE1" w:rsidP="00632BE1">
      <w:pPr>
        <w:rPr>
          <w:spacing w:val="2"/>
          <w:rtl/>
          <w:lang w:bidi="ar-EG"/>
        </w:rPr>
      </w:pPr>
      <w:r>
        <w:rPr>
          <w:rtl/>
          <w:lang w:bidi="ar-SY"/>
        </w:rPr>
        <w:br w:type="page"/>
      </w:r>
    </w:p>
    <w:p w:rsidR="00632BE1" w:rsidRDefault="007A4ADF" w:rsidP="00632BE1">
      <w:pPr>
        <w:pStyle w:val="AnnexNo"/>
        <w:rPr>
          <w:rtl/>
        </w:rPr>
      </w:pPr>
      <w:r>
        <w:rPr>
          <w:rFonts w:hint="cs"/>
          <w:rtl/>
        </w:rPr>
        <w:lastRenderedPageBreak/>
        <w:t>ال</w:t>
      </w:r>
      <w:r w:rsidR="00632BE1">
        <w:rPr>
          <w:rFonts w:hint="cs"/>
          <w:rtl/>
        </w:rPr>
        <w:t>ملحق</w:t>
      </w:r>
    </w:p>
    <w:p w:rsidR="00632BE1" w:rsidRPr="00C05013" w:rsidRDefault="00632BE1" w:rsidP="00632BE1">
      <w:pPr>
        <w:pStyle w:val="Annextitle"/>
        <w:rPr>
          <w:rtl/>
          <w:lang w:bidi="ar-EG"/>
        </w:rPr>
      </w:pPr>
      <w:r w:rsidRPr="00694BEA">
        <w:rPr>
          <w:rFonts w:hint="cs"/>
          <w:rtl/>
        </w:rPr>
        <w:t>إعفاء المنظمات ذات الصفة الدولية من دفع رسوم العضوية</w:t>
      </w:r>
    </w:p>
    <w:p w:rsidR="00632BE1" w:rsidRPr="00C74EEA" w:rsidRDefault="00632BE1" w:rsidP="00632BE1">
      <w:pPr>
        <w:rPr>
          <w:rtl/>
        </w:rPr>
      </w:pPr>
      <w:r w:rsidRPr="00C74EEA">
        <w:rPr>
          <w:rFonts w:hint="cs"/>
          <w:rtl/>
        </w:rPr>
        <w:t>أعفى المجلس على مر السنين بعض المنظمات ذات الصفة الدولية من التزاماتها المالية المتمثلة في المساهمة في نفقات الاجتماعات والمؤتمرات التي يعقدها الاتحاد الدولي للاتصالات.</w:t>
      </w:r>
    </w:p>
    <w:p w:rsidR="00632BE1" w:rsidRPr="00261795" w:rsidRDefault="00632BE1" w:rsidP="00632BE1">
      <w:pPr>
        <w:pStyle w:val="Heading1"/>
        <w:rPr>
          <w:rFonts w:eastAsiaTheme="minorEastAsia"/>
          <w:rtl/>
        </w:rPr>
      </w:pPr>
      <w:r w:rsidRPr="00261795">
        <w:rPr>
          <w:rFonts w:eastAsiaTheme="minorEastAsia"/>
          <w:lang w:bidi="ar-SY"/>
        </w:rPr>
        <w:t>1</w:t>
      </w:r>
      <w:r w:rsidRPr="00261795">
        <w:rPr>
          <w:rFonts w:eastAsiaTheme="minorEastAsia" w:hint="cs"/>
          <w:rtl/>
        </w:rPr>
        <w:tab/>
        <w:t>المعايير والخطوط التوجيهية</w:t>
      </w:r>
    </w:p>
    <w:p w:rsidR="00632BE1" w:rsidRPr="00C74EEA" w:rsidRDefault="00632BE1" w:rsidP="00632BE1">
      <w:pPr>
        <w:tabs>
          <w:tab w:val="clear" w:pos="794"/>
        </w:tabs>
        <w:rPr>
          <w:rtl/>
          <w:lang w:bidi="ar-EG"/>
        </w:rPr>
      </w:pPr>
      <w:r w:rsidRPr="00C74EEA">
        <w:rPr>
          <w:lang w:bidi="ar-SY"/>
        </w:rPr>
        <w:t>1.1</w:t>
      </w:r>
      <w:r w:rsidRPr="00C74EEA">
        <w:rPr>
          <w:lang w:bidi="ar-SY"/>
        </w:rPr>
        <w:tab/>
      </w:r>
      <w:r w:rsidRPr="00C74EEA">
        <w:rPr>
          <w:rFonts w:hint="cs"/>
          <w:rtl/>
        </w:rPr>
        <w:t xml:space="preserve">قد يعفي المجلس </w:t>
      </w:r>
      <w:r w:rsidRPr="00C74EEA">
        <w:rPr>
          <w:rFonts w:hint="cs"/>
          <w:rtl/>
          <w:lang w:bidi="ar-EG"/>
        </w:rPr>
        <w:t xml:space="preserve">المنظمات ذات الصفة الدولية من دفع رسوم العضوية شريطة "المعاملة بالمثل" </w:t>
      </w:r>
      <w:r w:rsidRPr="00C74EEA">
        <w:rPr>
          <w:rFonts w:hint="cs"/>
          <w:rtl/>
        </w:rPr>
        <w:t>وفقاً للرقم</w:t>
      </w:r>
      <w:r w:rsidRPr="00C74EEA">
        <w:rPr>
          <w:rFonts w:hint="eastAsia"/>
          <w:rtl/>
        </w:rPr>
        <w:t> </w:t>
      </w:r>
      <w:r w:rsidRPr="00C74EEA">
        <w:rPr>
          <w:lang w:bidi="ar-SY"/>
        </w:rPr>
        <w:t>476</w:t>
      </w:r>
      <w:r w:rsidRPr="00C74EEA">
        <w:rPr>
          <w:rFonts w:hint="cs"/>
          <w:rtl/>
          <w:lang w:bidi="ar-EG"/>
        </w:rPr>
        <w:t xml:space="preserve"> من</w:t>
      </w:r>
      <w:r>
        <w:rPr>
          <w:rFonts w:hint="eastAsia"/>
          <w:rtl/>
          <w:lang w:bidi="ar-EG"/>
        </w:rPr>
        <w:t> </w:t>
      </w:r>
      <w:r w:rsidRPr="00C74EEA">
        <w:rPr>
          <w:rFonts w:hint="cs"/>
          <w:rtl/>
          <w:lang w:bidi="ar-EG"/>
        </w:rPr>
        <w:t>الاتفاقية. ويقصد "بالمعاملة بالمثل" المزايا المتبادلة والمماثلة التي قد يحصل عليها كل من الاتحاد الدولي للاتصالات والمنظمة المعنية نتيجة لمشاركة هذه الأخيرة في أنشطة الاتحاد ذات الصلة.</w:t>
      </w:r>
    </w:p>
    <w:p w:rsidR="00632BE1" w:rsidRPr="000233F5" w:rsidRDefault="00632BE1" w:rsidP="00632BE1">
      <w:pPr>
        <w:rPr>
          <w:spacing w:val="-4"/>
          <w:rtl/>
          <w:lang w:bidi="ar-EG"/>
        </w:rPr>
      </w:pPr>
      <w:r w:rsidRPr="000233F5">
        <w:rPr>
          <w:spacing w:val="-4"/>
          <w:lang w:bidi="ar-SY"/>
        </w:rPr>
        <w:t>2.1</w:t>
      </w:r>
      <w:r w:rsidRPr="000233F5">
        <w:rPr>
          <w:spacing w:val="-4"/>
          <w:lang w:bidi="ar-SY"/>
        </w:rPr>
        <w:tab/>
      </w:r>
      <w:r w:rsidRPr="000233F5">
        <w:rPr>
          <w:rFonts w:hint="cs"/>
          <w:spacing w:val="-4"/>
          <w:rtl/>
          <w:lang w:bidi="ar-EG"/>
        </w:rPr>
        <w:t xml:space="preserve">بغية استيفاء الشروط التي تؤدي إلى مثل هذا الترتيب المعني بالمعاملة بالمثل، يجب أن تفي المنظمة المعنية بالمعايير التالية </w:t>
      </w:r>
      <w:r w:rsidRPr="000233F5">
        <w:rPr>
          <w:rFonts w:hint="cs"/>
          <w:i/>
          <w:iCs/>
          <w:spacing w:val="-4"/>
          <w:rtl/>
          <w:lang w:bidi="ar-EG"/>
        </w:rPr>
        <w:t>بالكامل</w:t>
      </w:r>
      <w:r w:rsidRPr="000233F5">
        <w:rPr>
          <w:rFonts w:hint="cs"/>
          <w:spacing w:val="-4"/>
          <w:rtl/>
          <w:lang w:bidi="ar-EG"/>
        </w:rPr>
        <w:t>:</w:t>
      </w:r>
    </w:p>
    <w:p w:rsidR="00632BE1" w:rsidRPr="00C05013" w:rsidRDefault="00632BE1" w:rsidP="00632BE1">
      <w:pPr>
        <w:pStyle w:val="enumlev10"/>
        <w:rPr>
          <w:rFonts w:eastAsiaTheme="minorEastAsia"/>
          <w:rtl/>
          <w:lang w:eastAsia="zh-CN" w:bidi="ar-SY"/>
        </w:rPr>
      </w:pPr>
      <w:r w:rsidRPr="00C05013">
        <w:rPr>
          <w:rFonts w:eastAsiaTheme="minorEastAsia" w:hint="cs"/>
          <w:rtl/>
          <w:lang w:eastAsia="zh-CN" w:bidi="ar-SY"/>
        </w:rPr>
        <w:t>-</w:t>
      </w:r>
      <w:r w:rsidRPr="00C05013">
        <w:rPr>
          <w:rFonts w:eastAsiaTheme="minorEastAsia" w:hint="cs"/>
          <w:rtl/>
          <w:lang w:eastAsia="zh-CN" w:bidi="ar-SY"/>
        </w:rPr>
        <w:tab/>
        <w:t>أن تكون منظمة ذات صفة دولية ومعنية بالاتصالات؛</w:t>
      </w:r>
    </w:p>
    <w:p w:rsidR="00632BE1" w:rsidRPr="00C05013" w:rsidRDefault="00632BE1" w:rsidP="00632BE1">
      <w:pPr>
        <w:pStyle w:val="enumlev10"/>
        <w:rPr>
          <w:rFonts w:eastAsiaTheme="minorEastAsia"/>
          <w:lang w:eastAsia="zh-CN" w:bidi="ar-SY"/>
        </w:rPr>
      </w:pPr>
      <w:r w:rsidRPr="00C05013">
        <w:rPr>
          <w:rFonts w:eastAsiaTheme="minorEastAsia" w:hint="cs"/>
          <w:rtl/>
          <w:lang w:eastAsia="zh-CN" w:bidi="ar-SY"/>
        </w:rPr>
        <w:t>-</w:t>
      </w:r>
      <w:r w:rsidRPr="00C05013">
        <w:rPr>
          <w:rFonts w:eastAsiaTheme="minorEastAsia" w:hint="cs"/>
          <w:rtl/>
          <w:lang w:eastAsia="zh-CN" w:bidi="ar-SY"/>
        </w:rPr>
        <w:tab/>
        <w:t>أن تكون منظمة غير ربحية معترف</w:t>
      </w:r>
      <w:r>
        <w:rPr>
          <w:rFonts w:eastAsiaTheme="minorEastAsia" w:hint="cs"/>
          <w:rtl/>
          <w:lang w:eastAsia="zh-CN" w:bidi="ar-SY"/>
        </w:rPr>
        <w:t>اً</w:t>
      </w:r>
      <w:r w:rsidRPr="00C05013">
        <w:rPr>
          <w:rFonts w:eastAsiaTheme="minorEastAsia" w:hint="cs"/>
          <w:rtl/>
          <w:lang w:eastAsia="zh-CN" w:bidi="ar-SY"/>
        </w:rPr>
        <w:t xml:space="preserve"> بها قانوناً وتمثل أعضاء لا يسعون إلى الربح؛</w:t>
      </w:r>
    </w:p>
    <w:p w:rsidR="00632BE1" w:rsidRPr="00C05013" w:rsidRDefault="00632BE1" w:rsidP="00632BE1">
      <w:pPr>
        <w:pStyle w:val="enumlev10"/>
        <w:rPr>
          <w:rFonts w:eastAsiaTheme="minorEastAsia"/>
          <w:lang w:eastAsia="zh-CN" w:bidi="ar-SY"/>
        </w:rPr>
      </w:pPr>
      <w:r w:rsidRPr="00C05013">
        <w:rPr>
          <w:rFonts w:eastAsiaTheme="minorEastAsia" w:hint="cs"/>
          <w:rtl/>
          <w:lang w:eastAsia="zh-CN" w:bidi="ar-SY"/>
        </w:rPr>
        <w:t>-</w:t>
      </w:r>
      <w:r w:rsidRPr="00C05013">
        <w:rPr>
          <w:rFonts w:eastAsiaTheme="minorEastAsia" w:hint="cs"/>
          <w:rtl/>
          <w:lang w:eastAsia="zh-CN" w:bidi="ar-SY"/>
        </w:rPr>
        <w:tab/>
        <w:t>أن تكون لها عضوية وحضور وأنشطة هامة في دول أعضاء متعددة وأن تكون مشاركة أعضائها في أنشطة الاتحاد الدولي للاتصالات مفيدة لتحقيق غايات الاتحاد؛</w:t>
      </w:r>
    </w:p>
    <w:p w:rsidR="00632BE1" w:rsidRPr="00C05013" w:rsidRDefault="00632BE1" w:rsidP="00632BE1">
      <w:pPr>
        <w:pStyle w:val="enumlev10"/>
        <w:rPr>
          <w:rFonts w:eastAsiaTheme="minorEastAsia"/>
          <w:lang w:eastAsia="zh-CN" w:bidi="ar-SY"/>
        </w:rPr>
      </w:pPr>
      <w:r w:rsidRPr="00C05013">
        <w:rPr>
          <w:rFonts w:eastAsiaTheme="minorEastAsia" w:hint="cs"/>
          <w:rtl/>
          <w:lang w:eastAsia="zh-CN" w:bidi="ar-SY"/>
        </w:rPr>
        <w:t>-</w:t>
      </w:r>
      <w:r w:rsidRPr="00C05013">
        <w:rPr>
          <w:rFonts w:eastAsiaTheme="minorEastAsia" w:hint="cs"/>
          <w:rtl/>
          <w:lang w:eastAsia="zh-CN" w:bidi="ar-SY"/>
        </w:rPr>
        <w:tab/>
        <w:t xml:space="preserve">أن تسمح بتمثيل الاتحاد </w:t>
      </w:r>
      <w:r>
        <w:rPr>
          <w:rFonts w:eastAsiaTheme="minorEastAsia" w:hint="cs"/>
          <w:rtl/>
          <w:lang w:eastAsia="zh-CN" w:bidi="ar-SY"/>
        </w:rPr>
        <w:t xml:space="preserve">ومشاركته </w:t>
      </w:r>
      <w:r w:rsidRPr="00C05013">
        <w:rPr>
          <w:rFonts w:eastAsiaTheme="minorEastAsia" w:hint="cs"/>
          <w:rtl/>
          <w:lang w:eastAsia="zh-CN" w:bidi="ar-SY"/>
        </w:rPr>
        <w:t>في اجتماعات المنظمة مجاناً مع التمتع بالحقوق والمزايا المتاحة لأعضائها؛</w:t>
      </w:r>
    </w:p>
    <w:p w:rsidR="00632BE1" w:rsidRPr="00C05013" w:rsidRDefault="00632BE1" w:rsidP="00632BE1">
      <w:pPr>
        <w:pStyle w:val="enumlev10"/>
        <w:rPr>
          <w:rFonts w:eastAsiaTheme="minorEastAsia"/>
          <w:lang w:eastAsia="zh-CN" w:bidi="ar-SY"/>
        </w:rPr>
      </w:pPr>
      <w:r w:rsidRPr="00C05013">
        <w:rPr>
          <w:rFonts w:eastAsiaTheme="minorEastAsia" w:hint="cs"/>
          <w:rtl/>
          <w:lang w:eastAsia="zh-CN" w:bidi="ar-SY"/>
        </w:rPr>
        <w:t>-</w:t>
      </w:r>
      <w:r w:rsidRPr="00C05013">
        <w:rPr>
          <w:rFonts w:eastAsiaTheme="minorEastAsia" w:hint="cs"/>
          <w:rtl/>
          <w:lang w:eastAsia="zh-CN" w:bidi="ar-SY"/>
        </w:rPr>
        <w:tab/>
        <w:t>أن تسمح للاتحاد بالحصول على الوثائق ذات الصلة، بما في ذلك المعلومات التي لا تتاح إلا لأعضائها.</w:t>
      </w:r>
      <w:r>
        <w:rPr>
          <w:rStyle w:val="FootnoteReference"/>
          <w:rFonts w:eastAsiaTheme="minorEastAsia"/>
          <w:rtl/>
          <w:lang w:eastAsia="zh-CN" w:bidi="ar-SY"/>
        </w:rPr>
        <w:footnoteReference w:id="1"/>
      </w:r>
    </w:p>
    <w:p w:rsidR="00632BE1" w:rsidRPr="000233F5" w:rsidRDefault="00632BE1" w:rsidP="00632BE1">
      <w:pPr>
        <w:rPr>
          <w:spacing w:val="-6"/>
          <w:rtl/>
          <w:lang w:bidi="ar-EG"/>
        </w:rPr>
      </w:pPr>
      <w:r w:rsidRPr="000233F5">
        <w:rPr>
          <w:spacing w:val="-6"/>
          <w:lang w:bidi="ar-SY"/>
        </w:rPr>
        <w:t>3.1</w:t>
      </w:r>
      <w:r w:rsidRPr="000233F5">
        <w:rPr>
          <w:spacing w:val="-6"/>
          <w:lang w:bidi="ar-SY"/>
        </w:rPr>
        <w:tab/>
      </w:r>
      <w:r w:rsidRPr="000233F5">
        <w:rPr>
          <w:rFonts w:hint="cs"/>
          <w:spacing w:val="-6"/>
          <w:rtl/>
          <w:lang w:bidi="ar-EG"/>
        </w:rPr>
        <w:t>ينبغي للمجلس عند اتخاذ قرار بشأن منح إعفاء معين أن يأخذ في الاعتبار الآراء التي يعرب عنها الأمين العام. وتحدد هذه الآراء:</w:t>
      </w:r>
    </w:p>
    <w:p w:rsidR="00632BE1" w:rsidRPr="00C05013" w:rsidRDefault="00632BE1" w:rsidP="00632BE1">
      <w:pPr>
        <w:pStyle w:val="enumlev10"/>
        <w:rPr>
          <w:rFonts w:eastAsiaTheme="minorEastAsia"/>
          <w:rtl/>
          <w:lang w:eastAsia="zh-CN" w:bidi="ar-SY"/>
        </w:rPr>
      </w:pPr>
      <w:r w:rsidRPr="00C05013">
        <w:rPr>
          <w:rFonts w:eastAsiaTheme="minorEastAsia" w:hint="cs"/>
          <w:rtl/>
          <w:lang w:eastAsia="zh-CN" w:bidi="ar-SY"/>
        </w:rPr>
        <w:t>-</w:t>
      </w:r>
      <w:r w:rsidRPr="00C05013">
        <w:rPr>
          <w:rFonts w:eastAsiaTheme="minorEastAsia" w:hint="cs"/>
          <w:rtl/>
          <w:lang w:eastAsia="zh-CN" w:bidi="ar-SY"/>
        </w:rPr>
        <w:tab/>
        <w:t>المزايا التي يستفيد منها الاتحاد من خلال مشاركة المنظمة في أنشطة الاتحاد؛</w:t>
      </w:r>
    </w:p>
    <w:p w:rsidR="00632BE1" w:rsidRPr="00C05013" w:rsidRDefault="00632BE1" w:rsidP="00632BE1">
      <w:pPr>
        <w:pStyle w:val="enumlev10"/>
        <w:rPr>
          <w:rFonts w:eastAsiaTheme="minorEastAsia"/>
          <w:lang w:eastAsia="zh-CN" w:bidi="ar-SY"/>
        </w:rPr>
      </w:pPr>
      <w:r w:rsidRPr="00C05013">
        <w:rPr>
          <w:rFonts w:eastAsiaTheme="minorEastAsia" w:hint="cs"/>
          <w:rtl/>
          <w:lang w:eastAsia="zh-CN" w:bidi="ar-SY"/>
        </w:rPr>
        <w:t>-</w:t>
      </w:r>
      <w:r w:rsidRPr="00C05013">
        <w:rPr>
          <w:rFonts w:eastAsiaTheme="minorEastAsia" w:hint="cs"/>
          <w:rtl/>
          <w:lang w:eastAsia="zh-CN" w:bidi="ar-SY"/>
        </w:rPr>
        <w:tab/>
        <w:t>المزايا الناشئة عن مشاركة الاتحاد في أنشطة المنظمة.</w:t>
      </w:r>
    </w:p>
    <w:p w:rsidR="00632BE1" w:rsidRPr="00261795" w:rsidRDefault="00632BE1" w:rsidP="00632BE1">
      <w:pPr>
        <w:pStyle w:val="Heading1"/>
        <w:rPr>
          <w:rFonts w:eastAsiaTheme="minorEastAsia"/>
          <w:rtl/>
        </w:rPr>
      </w:pPr>
      <w:r w:rsidRPr="00261795">
        <w:rPr>
          <w:rFonts w:eastAsiaTheme="minorEastAsia"/>
          <w:lang w:bidi="ar-SY"/>
        </w:rPr>
        <w:t>2</w:t>
      </w:r>
      <w:r w:rsidRPr="00261795">
        <w:rPr>
          <w:rFonts w:eastAsiaTheme="minorEastAsia"/>
          <w:lang w:bidi="ar-SY"/>
        </w:rPr>
        <w:tab/>
      </w:r>
      <w:r w:rsidRPr="00261795">
        <w:rPr>
          <w:rFonts w:eastAsiaTheme="minorEastAsia" w:hint="cs"/>
          <w:rtl/>
        </w:rPr>
        <w:t>الإجراء</w:t>
      </w:r>
    </w:p>
    <w:p w:rsidR="00632BE1" w:rsidRPr="009D2E87" w:rsidRDefault="00632BE1" w:rsidP="00632BE1">
      <w:pPr>
        <w:rPr>
          <w:rtl/>
          <w:lang w:bidi="ar-EG"/>
        </w:rPr>
      </w:pPr>
      <w:r w:rsidRPr="009D2E87">
        <w:rPr>
          <w:lang w:bidi="ar-SY"/>
        </w:rPr>
        <w:t>1.2</w:t>
      </w:r>
      <w:r w:rsidRPr="009D2E87">
        <w:rPr>
          <w:rFonts w:hint="cs"/>
          <w:rtl/>
          <w:lang w:bidi="ar-EG"/>
        </w:rPr>
        <w:tab/>
        <w:t xml:space="preserve">يجب أن يقدم كل طلب إعفاء إلى الأمين العام في شكل كتابي. ويجب أن يقدم الطلب إلى المجلس لكي ينظر فيه مشفوعاً بما يبرر تقديم الطلب (الفقرة </w:t>
      </w:r>
      <w:r w:rsidRPr="009D2E87">
        <w:rPr>
          <w:rFonts w:hint="cs"/>
          <w:lang w:bidi="ar-SY"/>
        </w:rPr>
        <w:t>2</w:t>
      </w:r>
      <w:r w:rsidRPr="009D2E87">
        <w:rPr>
          <w:lang w:bidi="ar-SY"/>
        </w:rPr>
        <w:t>.</w:t>
      </w:r>
      <w:r w:rsidRPr="009D2E87">
        <w:rPr>
          <w:rFonts w:hint="cs"/>
          <w:lang w:bidi="ar-SY"/>
        </w:rPr>
        <w:t>1</w:t>
      </w:r>
      <w:r w:rsidRPr="009D2E87">
        <w:rPr>
          <w:rFonts w:hint="cs"/>
          <w:rtl/>
          <w:lang w:bidi="ar-EG"/>
        </w:rPr>
        <w:t xml:space="preserve">) وبتعليقات من الأمين العام (الفقرة </w:t>
      </w:r>
      <w:r w:rsidRPr="009D2E87">
        <w:rPr>
          <w:rFonts w:hint="cs"/>
          <w:lang w:bidi="ar-SY"/>
        </w:rPr>
        <w:t>3</w:t>
      </w:r>
      <w:r w:rsidRPr="009D2E87">
        <w:rPr>
          <w:lang w:bidi="ar-SY"/>
        </w:rPr>
        <w:t>.</w:t>
      </w:r>
      <w:r w:rsidRPr="009D2E87">
        <w:rPr>
          <w:rFonts w:hint="cs"/>
          <w:lang w:bidi="ar-SY"/>
        </w:rPr>
        <w:t>1</w:t>
      </w:r>
      <w:r w:rsidRPr="009D2E87">
        <w:rPr>
          <w:rFonts w:hint="cs"/>
          <w:rtl/>
          <w:lang w:bidi="ar-EG"/>
        </w:rPr>
        <w:t>).</w:t>
      </w:r>
    </w:p>
    <w:p w:rsidR="00632BE1" w:rsidRPr="009D2E87" w:rsidRDefault="00632BE1" w:rsidP="00632BE1">
      <w:pPr>
        <w:rPr>
          <w:rtl/>
          <w:lang w:bidi="ar-EG"/>
        </w:rPr>
      </w:pPr>
      <w:r w:rsidRPr="009D2E87">
        <w:rPr>
          <w:lang w:bidi="ar-SY"/>
        </w:rPr>
        <w:t>2.2</w:t>
      </w:r>
      <w:r w:rsidRPr="009D2E87">
        <w:rPr>
          <w:lang w:bidi="ar-SY"/>
        </w:rPr>
        <w:tab/>
      </w:r>
      <w:r w:rsidRPr="009D2E87">
        <w:rPr>
          <w:rFonts w:hint="cs"/>
          <w:rtl/>
          <w:lang w:bidi="ar-EG"/>
        </w:rPr>
        <w:t xml:space="preserve">يدرس الأمين العام طلب الإعفاء وفقاً للمعايير المنصوص عليها في الفقرتين </w:t>
      </w:r>
      <w:r w:rsidRPr="009D2E87">
        <w:rPr>
          <w:rFonts w:hint="cs"/>
          <w:lang w:bidi="ar-SY"/>
        </w:rPr>
        <w:t>2</w:t>
      </w:r>
      <w:r w:rsidRPr="009D2E87">
        <w:rPr>
          <w:lang w:bidi="ar-SY"/>
        </w:rPr>
        <w:t>.</w:t>
      </w:r>
      <w:r w:rsidRPr="009D2E87">
        <w:rPr>
          <w:rFonts w:hint="cs"/>
          <w:lang w:bidi="ar-SY"/>
        </w:rPr>
        <w:t>1</w:t>
      </w:r>
      <w:r w:rsidRPr="009D2E87">
        <w:rPr>
          <w:rFonts w:hint="cs"/>
          <w:rtl/>
          <w:lang w:bidi="ar-EG"/>
        </w:rPr>
        <w:t xml:space="preserve"> و</w:t>
      </w:r>
      <w:r w:rsidRPr="009D2E87">
        <w:rPr>
          <w:rFonts w:hint="cs"/>
          <w:lang w:bidi="ar-SY"/>
        </w:rPr>
        <w:t>3</w:t>
      </w:r>
      <w:r w:rsidRPr="009D2E87">
        <w:rPr>
          <w:lang w:bidi="ar-SY"/>
        </w:rPr>
        <w:t>.</w:t>
      </w:r>
      <w:r w:rsidRPr="009D2E87">
        <w:rPr>
          <w:rFonts w:hint="cs"/>
          <w:lang w:bidi="ar-SY"/>
        </w:rPr>
        <w:t>1</w:t>
      </w:r>
      <w:r w:rsidRPr="009D2E87">
        <w:rPr>
          <w:rFonts w:hint="cs"/>
          <w:rtl/>
          <w:lang w:bidi="ar-EG"/>
        </w:rPr>
        <w:t xml:space="preserve"> أعلاه ويقدم تقريراً إلى المجلس في</w:t>
      </w:r>
      <w:r w:rsidRPr="009D2E87">
        <w:rPr>
          <w:rFonts w:hint="eastAsia"/>
          <w:rtl/>
          <w:lang w:bidi="ar-EG"/>
        </w:rPr>
        <w:t> </w:t>
      </w:r>
      <w:r w:rsidRPr="009D2E87">
        <w:rPr>
          <w:rFonts w:hint="cs"/>
          <w:rtl/>
          <w:lang w:bidi="ar-EG"/>
        </w:rPr>
        <w:t>دورته اللاحقة عند الاقتضاء.</w:t>
      </w:r>
    </w:p>
    <w:p w:rsidR="00632BE1" w:rsidRPr="009D2E87" w:rsidRDefault="00632BE1" w:rsidP="00632BE1">
      <w:pPr>
        <w:rPr>
          <w:rtl/>
          <w:lang w:bidi="ar-EG"/>
        </w:rPr>
      </w:pPr>
      <w:r w:rsidRPr="009D2E87">
        <w:rPr>
          <w:lang w:bidi="ar-SY"/>
        </w:rPr>
        <w:lastRenderedPageBreak/>
        <w:t>3.2</w:t>
      </w:r>
      <w:r w:rsidRPr="009D2E87">
        <w:rPr>
          <w:lang w:bidi="ar-SY"/>
        </w:rPr>
        <w:tab/>
      </w:r>
      <w:r w:rsidRPr="009D2E87">
        <w:rPr>
          <w:rFonts w:hint="cs"/>
          <w:rtl/>
          <w:lang w:bidi="ar-EG"/>
        </w:rPr>
        <w:t>إذا وافق المجلس على طلب الإعفاء، يصبح هذا الطلب نافذ المفعول فوراً اعتباراً من تاريخ انعقاد الجلسة العامة التي اتخذ فيها القرار ولا يمنح الإعفاء بأثر</w:t>
      </w:r>
      <w:r w:rsidRPr="009D2E87">
        <w:rPr>
          <w:rFonts w:hint="eastAsia"/>
          <w:rtl/>
          <w:lang w:bidi="ar-EG"/>
        </w:rPr>
        <w:t> </w:t>
      </w:r>
      <w:r w:rsidRPr="009D2E87">
        <w:rPr>
          <w:rFonts w:hint="cs"/>
          <w:rtl/>
          <w:lang w:bidi="ar-EG"/>
        </w:rPr>
        <w:t>رجعي، إلا إذا قرر المجلس خلاف ذلك في ظروف استثنائية. وتبقى الكيانات التي يعفيها المجلس مسؤولة عن أي مبالغ مدينة بها قبل التاريخ الفعلي للإعفاء.</w:t>
      </w:r>
    </w:p>
    <w:p w:rsidR="00632BE1" w:rsidRPr="00C74EEA" w:rsidRDefault="00632BE1" w:rsidP="00632BE1">
      <w:pPr>
        <w:rPr>
          <w:rtl/>
          <w:lang w:bidi="ar-EG"/>
        </w:rPr>
      </w:pPr>
      <w:r w:rsidRPr="00C74EEA">
        <w:rPr>
          <w:lang w:bidi="ar-SY"/>
        </w:rPr>
        <w:t>4.</w:t>
      </w:r>
      <w:r>
        <w:rPr>
          <w:lang w:bidi="ar-SY"/>
        </w:rPr>
        <w:t>2</w:t>
      </w:r>
      <w:r w:rsidRPr="00C74EEA">
        <w:rPr>
          <w:lang w:bidi="ar-SY"/>
        </w:rPr>
        <w:tab/>
      </w:r>
      <w:r w:rsidRPr="00C74EEA">
        <w:rPr>
          <w:rFonts w:hint="cs"/>
          <w:rtl/>
          <w:lang w:bidi="ar-EG"/>
        </w:rPr>
        <w:t>يكون الإعفاء صالحاً حتى انعقاد مؤتمر المندوبين المفوضين التالي، على الرغم أن بمقدور المجلس أن يقرر في أي وقت إلغاء حالة الإعفاء عن كيان لم يعد مستوفياً للمعايير المذكورة أعلاه. ويستعرض كل مؤتمر للمندوبين المفوضين قائمة الكيانات المعفاة ويقرر ما هي الكيانات التي ستواصل الاستفادة من وضع الإعفاء.</w:t>
      </w:r>
    </w:p>
    <w:p w:rsidR="00840B10" w:rsidRDefault="00632BE1" w:rsidP="00632BE1">
      <w:pPr>
        <w:rPr>
          <w:rtl/>
          <w:lang w:bidi="ar-SY"/>
        </w:rPr>
      </w:pPr>
      <w:r w:rsidRPr="00C74EEA">
        <w:rPr>
          <w:lang w:bidi="ar-SY"/>
        </w:rPr>
        <w:t>5.2</w:t>
      </w:r>
      <w:r w:rsidRPr="00C74EEA">
        <w:rPr>
          <w:lang w:bidi="ar-SY"/>
        </w:rPr>
        <w:tab/>
      </w:r>
      <w:r w:rsidRPr="00C74EEA">
        <w:rPr>
          <w:rFonts w:hint="cs"/>
          <w:rtl/>
          <w:lang w:bidi="ar-EG"/>
        </w:rPr>
        <w:t>تتاح</w:t>
      </w:r>
      <w:r w:rsidRPr="00C74EEA">
        <w:rPr>
          <w:rFonts w:hint="cs"/>
          <w:rtl/>
          <w:lang w:bidi="ar-SY"/>
        </w:rPr>
        <w:t xml:space="preserve"> قائمة الكيانات المعفاة للجمهور في </w:t>
      </w:r>
      <w:r>
        <w:rPr>
          <w:rFonts w:hint="cs"/>
          <w:rtl/>
          <w:lang w:bidi="ar-SY"/>
        </w:rPr>
        <w:t>ال</w:t>
      </w:r>
      <w:r w:rsidRPr="00C74EEA">
        <w:rPr>
          <w:rFonts w:hint="cs"/>
          <w:rtl/>
          <w:lang w:bidi="ar-SY"/>
        </w:rPr>
        <w:t>موقع</w:t>
      </w:r>
      <w:r>
        <w:rPr>
          <w:rFonts w:hint="cs"/>
          <w:rtl/>
          <w:lang w:bidi="ar-SY"/>
        </w:rPr>
        <w:t xml:space="preserve"> الإلكتروني</w:t>
      </w:r>
      <w:r w:rsidRPr="00C74EEA">
        <w:rPr>
          <w:rFonts w:hint="cs"/>
          <w:rtl/>
          <w:lang w:bidi="ar-SY"/>
        </w:rPr>
        <w:t xml:space="preserve"> </w:t>
      </w:r>
      <w:r>
        <w:rPr>
          <w:rFonts w:hint="cs"/>
          <w:rtl/>
          <w:lang w:bidi="ar-SY"/>
        </w:rPr>
        <w:t>ل</w:t>
      </w:r>
      <w:r w:rsidRPr="00C74EEA">
        <w:rPr>
          <w:rFonts w:hint="cs"/>
          <w:rtl/>
          <w:lang w:bidi="ar-SY"/>
        </w:rPr>
        <w:t>لاتحاد.</w:t>
      </w:r>
    </w:p>
    <w:p w:rsidR="0074420E" w:rsidRDefault="00B27A08" w:rsidP="00B27A08">
      <w:pPr>
        <w:spacing w:before="240"/>
        <w:jc w:val="center"/>
        <w:rPr>
          <w:rtl/>
          <w:lang w:bidi="ar-EG"/>
        </w:rPr>
      </w:pPr>
      <w:r>
        <w:rPr>
          <w:lang w:bidi="ar-SY"/>
        </w:rPr>
        <w:t>________________</w:t>
      </w:r>
      <w:bookmarkStart w:id="1" w:name="_GoBack"/>
      <w:bookmarkEnd w:id="1"/>
    </w:p>
    <w:sectPr w:rsidR="0074420E" w:rsidSect="006C324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5F8" w:rsidRDefault="007A65F8" w:rsidP="006C3242">
      <w:pPr>
        <w:spacing w:before="0" w:line="240" w:lineRule="auto"/>
      </w:pPr>
      <w:r>
        <w:separator/>
      </w:r>
    </w:p>
  </w:endnote>
  <w:endnote w:type="continuationSeparator" w:id="0">
    <w:p w:rsidR="007A65F8" w:rsidRDefault="007A65F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B27A08" w:rsidRDefault="006C3242" w:rsidP="003B0D76">
    <w:pPr>
      <w:pStyle w:val="Footer"/>
      <w:tabs>
        <w:tab w:val="clear" w:pos="4153"/>
        <w:tab w:val="clear" w:pos="8306"/>
        <w:tab w:val="center" w:pos="5103"/>
        <w:tab w:val="right" w:pos="9639"/>
      </w:tabs>
      <w:spacing w:before="120"/>
      <w:rPr>
        <w:rFonts w:ascii="Calibri" w:hAnsi="Calibri" w:cs="Calibri"/>
        <w:color w:val="BFBFBF" w:themeColor="background1" w:themeShade="BF"/>
        <w:sz w:val="16"/>
        <w:szCs w:val="16"/>
        <w:lang w:val="fr-FR"/>
      </w:rPr>
    </w:pPr>
    <w:r w:rsidRPr="00B27A08">
      <w:rPr>
        <w:rFonts w:ascii="Calibri" w:hAnsi="Calibri" w:cs="Calibri"/>
        <w:color w:val="BFBFBF" w:themeColor="background1" w:themeShade="BF"/>
        <w:sz w:val="16"/>
        <w:szCs w:val="16"/>
        <w:lang w:val="fr-FR"/>
      </w:rPr>
      <w:fldChar w:fldCharType="begin"/>
    </w:r>
    <w:r w:rsidRPr="00B27A08">
      <w:rPr>
        <w:rFonts w:ascii="Calibri" w:hAnsi="Calibri" w:cs="Calibri"/>
        <w:color w:val="BFBFBF" w:themeColor="background1" w:themeShade="BF"/>
        <w:sz w:val="16"/>
        <w:szCs w:val="16"/>
        <w:lang w:val="fr-FR"/>
      </w:rPr>
      <w:instrText xml:space="preserve"> FILENAME \p \* MERGEFORMAT </w:instrText>
    </w:r>
    <w:r w:rsidRPr="00B27A08">
      <w:rPr>
        <w:rFonts w:ascii="Calibri" w:hAnsi="Calibri" w:cs="Calibri"/>
        <w:color w:val="BFBFBF" w:themeColor="background1" w:themeShade="BF"/>
        <w:sz w:val="16"/>
        <w:szCs w:val="16"/>
        <w:lang w:val="fr-FR"/>
      </w:rPr>
      <w:fldChar w:fldCharType="separate"/>
    </w:r>
    <w:r w:rsidR="00AF2032" w:rsidRPr="00B27A08">
      <w:rPr>
        <w:rFonts w:ascii="Calibri" w:hAnsi="Calibri" w:cs="Calibri"/>
        <w:noProof/>
        <w:color w:val="BFBFBF" w:themeColor="background1" w:themeShade="BF"/>
        <w:sz w:val="16"/>
        <w:szCs w:val="16"/>
        <w:lang w:val="fr-FR"/>
      </w:rPr>
      <w:t>P:\ARA\SG\CONSEIL\C19\000\039A.docx</w:t>
    </w:r>
    <w:r w:rsidRPr="00B27A08">
      <w:rPr>
        <w:rFonts w:ascii="Calibri" w:hAnsi="Calibri" w:cs="Calibri"/>
        <w:color w:val="BFBFBF" w:themeColor="background1" w:themeShade="BF"/>
        <w:sz w:val="16"/>
        <w:szCs w:val="16"/>
      </w:rPr>
      <w:fldChar w:fldCharType="end"/>
    </w:r>
    <w:r w:rsidRPr="00B27A08">
      <w:rPr>
        <w:rFonts w:ascii="Calibri" w:hAnsi="Calibri" w:cs="Calibri"/>
        <w:color w:val="BFBFBF" w:themeColor="background1" w:themeShade="BF"/>
        <w:sz w:val="16"/>
        <w:szCs w:val="16"/>
        <w:lang w:val="fr-CH"/>
      </w:rPr>
      <w:t xml:space="preserve">  </w:t>
    </w:r>
    <w:r w:rsidRPr="00B27A08">
      <w:rPr>
        <w:rFonts w:ascii="Calibri" w:hAnsi="Calibri" w:cs="Calibri"/>
        <w:color w:val="BFBFBF" w:themeColor="background1" w:themeShade="BF"/>
        <w:sz w:val="16"/>
        <w:szCs w:val="16"/>
        <w:lang w:val="fr-FR"/>
      </w:rPr>
      <w:t xml:space="preserve"> (</w:t>
    </w:r>
    <w:r w:rsidR="003B0D76" w:rsidRPr="00B27A08">
      <w:rPr>
        <w:rFonts w:ascii="Calibri" w:hAnsi="Calibri" w:cs="Calibri"/>
        <w:color w:val="BFBFBF" w:themeColor="background1" w:themeShade="BF"/>
        <w:sz w:val="16"/>
        <w:szCs w:val="16"/>
        <w:lang w:val="fr-FR"/>
      </w:rPr>
      <w:t>450259</w:t>
    </w:r>
    <w:r w:rsidRPr="00B27A08">
      <w:rPr>
        <w:rFonts w:ascii="Calibri" w:hAnsi="Calibri" w:cs="Calibri"/>
        <w:color w:val="BFBFBF" w:themeColor="background1" w:themeShade="BF"/>
        <w:sz w:val="16"/>
        <w:szCs w:val="16"/>
        <w:lang w:val="fr-FR"/>
      </w:rPr>
      <w:t>)</w:t>
    </w:r>
    <w:r w:rsidRPr="00B27A08">
      <w:rPr>
        <w:rFonts w:ascii="Calibri" w:hAnsi="Calibri" w:cs="Calibri"/>
        <w:color w:val="BFBFBF" w:themeColor="background1" w:themeShade="BF"/>
        <w:sz w:val="16"/>
        <w:szCs w:val="16"/>
        <w:lang w:val="fr-FR"/>
      </w:rPr>
      <w:tab/>
    </w:r>
    <w:r w:rsidRPr="00B27A08">
      <w:rPr>
        <w:rFonts w:ascii="Calibri" w:hAnsi="Calibri" w:cs="Calibri"/>
        <w:color w:val="BFBFBF" w:themeColor="background1" w:themeShade="BF"/>
        <w:sz w:val="16"/>
        <w:szCs w:val="16"/>
        <w:lang w:val="fr-FR"/>
      </w:rPr>
      <w:fldChar w:fldCharType="begin"/>
    </w:r>
    <w:r w:rsidRPr="00B27A08">
      <w:rPr>
        <w:rFonts w:ascii="Calibri" w:hAnsi="Calibri" w:cs="Calibri"/>
        <w:color w:val="BFBFBF" w:themeColor="background1" w:themeShade="BF"/>
        <w:sz w:val="16"/>
        <w:szCs w:val="16"/>
        <w:lang w:val="fr-FR"/>
      </w:rPr>
      <w:instrText xml:space="preserve"> savedate \@ dd.MM.yy </w:instrText>
    </w:r>
    <w:r w:rsidRPr="00B27A08">
      <w:rPr>
        <w:rFonts w:ascii="Calibri" w:hAnsi="Calibri" w:cs="Calibri"/>
        <w:color w:val="BFBFBF" w:themeColor="background1" w:themeShade="BF"/>
        <w:sz w:val="16"/>
        <w:szCs w:val="16"/>
        <w:lang w:val="fr-FR"/>
      </w:rPr>
      <w:fldChar w:fldCharType="separate"/>
    </w:r>
    <w:r w:rsidR="00B27A08" w:rsidRPr="00B27A08">
      <w:rPr>
        <w:rFonts w:ascii="Calibri" w:hAnsi="Calibri" w:cs="Calibri"/>
        <w:noProof/>
        <w:color w:val="BFBFBF" w:themeColor="background1" w:themeShade="BF"/>
        <w:sz w:val="16"/>
        <w:szCs w:val="16"/>
        <w:lang w:val="fr-FR"/>
      </w:rPr>
      <w:t>23.05.19</w:t>
    </w:r>
    <w:r w:rsidRPr="00B27A08">
      <w:rPr>
        <w:rFonts w:ascii="Calibri" w:hAnsi="Calibri" w:cs="Calibri"/>
        <w:color w:val="BFBFBF" w:themeColor="background1" w:themeShade="BF"/>
        <w:sz w:val="16"/>
        <w:szCs w:val="16"/>
      </w:rPr>
      <w:fldChar w:fldCharType="end"/>
    </w:r>
    <w:r w:rsidRPr="00B27A08">
      <w:rPr>
        <w:rFonts w:ascii="Calibri" w:hAnsi="Calibri" w:cs="Calibri"/>
        <w:color w:val="BFBFBF" w:themeColor="background1" w:themeShade="BF"/>
        <w:sz w:val="16"/>
        <w:szCs w:val="16"/>
        <w:lang w:val="fr-FR"/>
      </w:rPr>
      <w:tab/>
    </w:r>
    <w:r w:rsidRPr="00B27A08">
      <w:rPr>
        <w:rFonts w:ascii="Calibri" w:hAnsi="Calibri" w:cs="Calibri"/>
        <w:color w:val="BFBFBF" w:themeColor="background1" w:themeShade="BF"/>
        <w:sz w:val="16"/>
        <w:szCs w:val="16"/>
        <w:lang w:val="fr-FR"/>
      </w:rPr>
      <w:fldChar w:fldCharType="begin"/>
    </w:r>
    <w:r w:rsidRPr="00B27A08">
      <w:rPr>
        <w:rFonts w:ascii="Calibri" w:hAnsi="Calibri" w:cs="Calibri"/>
        <w:color w:val="BFBFBF" w:themeColor="background1" w:themeShade="BF"/>
        <w:sz w:val="16"/>
        <w:szCs w:val="16"/>
        <w:lang w:val="fr-FR"/>
      </w:rPr>
      <w:instrText xml:space="preserve"> printdate \@ dd.MM.yy </w:instrText>
    </w:r>
    <w:r w:rsidRPr="00B27A08">
      <w:rPr>
        <w:rFonts w:ascii="Calibri" w:hAnsi="Calibri" w:cs="Calibri"/>
        <w:color w:val="BFBFBF" w:themeColor="background1" w:themeShade="BF"/>
        <w:sz w:val="16"/>
        <w:szCs w:val="16"/>
        <w:lang w:val="fr-FR"/>
      </w:rPr>
      <w:fldChar w:fldCharType="separate"/>
    </w:r>
    <w:r w:rsidR="00AF2032" w:rsidRPr="00B27A08">
      <w:rPr>
        <w:rFonts w:ascii="Calibri" w:hAnsi="Calibri" w:cs="Calibri"/>
        <w:noProof/>
        <w:color w:val="BFBFBF" w:themeColor="background1" w:themeShade="BF"/>
        <w:sz w:val="16"/>
        <w:szCs w:val="16"/>
        <w:lang w:val="fr-FR"/>
      </w:rPr>
      <w:t>00.00.00</w:t>
    </w:r>
    <w:r w:rsidRPr="00B27A08">
      <w:rPr>
        <w:rFonts w:ascii="Calibri" w:hAnsi="Calibri" w:cs="Calibri"/>
        <w:color w:val="BFBFBF" w:themeColor="background1" w:themeShade="B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5F8" w:rsidRDefault="007A65F8" w:rsidP="006C3242">
      <w:pPr>
        <w:spacing w:before="0" w:line="240" w:lineRule="auto"/>
      </w:pPr>
      <w:r>
        <w:separator/>
      </w:r>
    </w:p>
  </w:footnote>
  <w:footnote w:type="continuationSeparator" w:id="0">
    <w:p w:rsidR="007A65F8" w:rsidRDefault="007A65F8" w:rsidP="006C3242">
      <w:pPr>
        <w:spacing w:before="0" w:line="240" w:lineRule="auto"/>
      </w:pPr>
      <w:r>
        <w:continuationSeparator/>
      </w:r>
    </w:p>
  </w:footnote>
  <w:footnote w:id="1">
    <w:p w:rsidR="00632BE1" w:rsidRPr="000717C6" w:rsidRDefault="00632BE1" w:rsidP="00632BE1">
      <w:pPr>
        <w:pStyle w:val="Footnotetexte"/>
        <w:ind w:left="397" w:hanging="397"/>
        <w:rPr>
          <w:lang w:bidi="ar-EG"/>
        </w:rPr>
      </w:pPr>
      <w:r w:rsidRPr="000717C6">
        <w:rPr>
          <w:rStyle w:val="FootnoteReference"/>
          <w:spacing w:val="-8"/>
        </w:rPr>
        <w:footnoteRef/>
      </w:r>
      <w:r w:rsidRPr="000717C6">
        <w:rPr>
          <w:rtl/>
        </w:rPr>
        <w:tab/>
      </w:r>
      <w:r w:rsidRPr="000717C6">
        <w:rPr>
          <w:rFonts w:hint="cs"/>
          <w:rtl/>
        </w:rPr>
        <w:t>يعني ذلك توفير النفاذ المتبادل إلى المعلومات/الوثائق على غرار النفاذ الذي يوفره الاتحاد لأعضائه عبر نظام النفاذ المقيد بوجود حساب في</w:t>
      </w:r>
      <w:r>
        <w:rPr>
          <w:rFonts w:hint="eastAsia"/>
          <w:rtl/>
        </w:rPr>
        <w:t> </w:t>
      </w:r>
      <w:r w:rsidRPr="000717C6">
        <w:rPr>
          <w:rFonts w:hint="cs"/>
          <w:rtl/>
        </w:rPr>
        <w:t>الخدمة</w:t>
      </w:r>
      <w:r>
        <w:rPr>
          <w:rFonts w:hint="eastAsia"/>
          <w:rtl/>
        </w:rPr>
        <w:t> </w:t>
      </w:r>
      <w:r w:rsidRPr="000717C6">
        <w:t>TIES</w:t>
      </w:r>
      <w:r w:rsidRPr="000717C6">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B27A08" w:rsidP="003B0D76">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3B0D76">
          <w:rPr>
            <w:rFonts w:cs="Calibri"/>
            <w:noProof/>
            <w:sz w:val="20"/>
            <w:szCs w:val="20"/>
          </w:rPr>
          <w:t>39</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E1"/>
    <w:rsid w:val="000445FF"/>
    <w:rsid w:val="00090574"/>
    <w:rsid w:val="00092A68"/>
    <w:rsid w:val="000C1C0E"/>
    <w:rsid w:val="000C548A"/>
    <w:rsid w:val="000F3799"/>
    <w:rsid w:val="00126AD6"/>
    <w:rsid w:val="001369C1"/>
    <w:rsid w:val="00195459"/>
    <w:rsid w:val="001C0169"/>
    <w:rsid w:val="001D1D50"/>
    <w:rsid w:val="001E446E"/>
    <w:rsid w:val="002154EE"/>
    <w:rsid w:val="002276D2"/>
    <w:rsid w:val="0023283D"/>
    <w:rsid w:val="00271C43"/>
    <w:rsid w:val="00290728"/>
    <w:rsid w:val="002978F4"/>
    <w:rsid w:val="002A7194"/>
    <w:rsid w:val="002B028D"/>
    <w:rsid w:val="002D49DA"/>
    <w:rsid w:val="002E6541"/>
    <w:rsid w:val="00334924"/>
    <w:rsid w:val="003409BC"/>
    <w:rsid w:val="00357185"/>
    <w:rsid w:val="00383829"/>
    <w:rsid w:val="003B0D76"/>
    <w:rsid w:val="003F4B29"/>
    <w:rsid w:val="0042686F"/>
    <w:rsid w:val="004306F0"/>
    <w:rsid w:val="004317D8"/>
    <w:rsid w:val="00434183"/>
    <w:rsid w:val="00443869"/>
    <w:rsid w:val="00447F32"/>
    <w:rsid w:val="004E11DC"/>
    <w:rsid w:val="00523033"/>
    <w:rsid w:val="005409AC"/>
    <w:rsid w:val="0055516A"/>
    <w:rsid w:val="0058491B"/>
    <w:rsid w:val="00592EA5"/>
    <w:rsid w:val="005A3170"/>
    <w:rsid w:val="00632BE1"/>
    <w:rsid w:val="00677396"/>
    <w:rsid w:val="0069200F"/>
    <w:rsid w:val="006A65CB"/>
    <w:rsid w:val="006C3242"/>
    <w:rsid w:val="006C7CC0"/>
    <w:rsid w:val="006F63F7"/>
    <w:rsid w:val="007025C7"/>
    <w:rsid w:val="00706D7A"/>
    <w:rsid w:val="00722F0D"/>
    <w:rsid w:val="0074420E"/>
    <w:rsid w:val="00783E26"/>
    <w:rsid w:val="007A4ADF"/>
    <w:rsid w:val="007A65F8"/>
    <w:rsid w:val="007A7AD0"/>
    <w:rsid w:val="007C3BC7"/>
    <w:rsid w:val="007D0809"/>
    <w:rsid w:val="007D4ACF"/>
    <w:rsid w:val="007F0787"/>
    <w:rsid w:val="00810B7B"/>
    <w:rsid w:val="0082358A"/>
    <w:rsid w:val="008235CD"/>
    <w:rsid w:val="008247DE"/>
    <w:rsid w:val="00840B10"/>
    <w:rsid w:val="008513CB"/>
    <w:rsid w:val="00856AF5"/>
    <w:rsid w:val="00923B0C"/>
    <w:rsid w:val="0094021C"/>
    <w:rsid w:val="00952F86"/>
    <w:rsid w:val="009536E2"/>
    <w:rsid w:val="00982B28"/>
    <w:rsid w:val="009D2E87"/>
    <w:rsid w:val="009D313F"/>
    <w:rsid w:val="00A47A5A"/>
    <w:rsid w:val="00A6683B"/>
    <w:rsid w:val="00A83D6A"/>
    <w:rsid w:val="00A97F94"/>
    <w:rsid w:val="00AF0B35"/>
    <w:rsid w:val="00AF2032"/>
    <w:rsid w:val="00B05BC8"/>
    <w:rsid w:val="00B27A08"/>
    <w:rsid w:val="00B64B47"/>
    <w:rsid w:val="00C002DE"/>
    <w:rsid w:val="00C53BF8"/>
    <w:rsid w:val="00C66157"/>
    <w:rsid w:val="00C674FE"/>
    <w:rsid w:val="00C67501"/>
    <w:rsid w:val="00C75633"/>
    <w:rsid w:val="00CC7D65"/>
    <w:rsid w:val="00CE2EE1"/>
    <w:rsid w:val="00CE3349"/>
    <w:rsid w:val="00CF3FFD"/>
    <w:rsid w:val="00D10CCF"/>
    <w:rsid w:val="00D77D0F"/>
    <w:rsid w:val="00DA1CF0"/>
    <w:rsid w:val="00DC1E02"/>
    <w:rsid w:val="00DC24B4"/>
    <w:rsid w:val="00DE445D"/>
    <w:rsid w:val="00DF16DC"/>
    <w:rsid w:val="00E45211"/>
    <w:rsid w:val="00E92863"/>
    <w:rsid w:val="00EB796D"/>
    <w:rsid w:val="00F058DC"/>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337F967-2E85-4BBC-A4F2-E16F2D3B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Appel note de bas de p + 11 pt,Italic"/>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enumlev10">
    <w:name w:val="enumlev1"/>
    <w:basedOn w:val="Normal"/>
    <w:next w:val="Normal"/>
    <w:link w:val="enumlev1Char"/>
    <w:qFormat/>
    <w:rsid w:val="00632BE1"/>
    <w:pPr>
      <w:tabs>
        <w:tab w:val="clear" w:pos="794"/>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632BE1"/>
    <w:rPr>
      <w:rFonts w:ascii="Calibri" w:eastAsia="Times New Roman" w:hAnsi="Calibri" w:cs="Traditional Arabic"/>
      <w:szCs w:val="30"/>
      <w:lang w:eastAsia="en-US"/>
    </w:rPr>
  </w:style>
  <w:style w:type="paragraph" w:customStyle="1" w:styleId="TableText">
    <w:name w:val="Table_Text"/>
    <w:basedOn w:val="Normal"/>
    <w:rsid w:val="00632BE1"/>
    <w:pPr>
      <w:tabs>
        <w:tab w:val="clear" w:pos="794"/>
        <w:tab w:val="left" w:pos="284"/>
        <w:tab w:val="left" w:pos="851"/>
        <w:tab w:val="left" w:pos="1418"/>
        <w:tab w:val="left" w:pos="2552"/>
        <w:tab w:val="left" w:pos="3119"/>
        <w:tab w:val="left" w:pos="3402"/>
        <w:tab w:val="left" w:pos="3686"/>
        <w:tab w:val="left" w:pos="3969"/>
      </w:tabs>
      <w:bidi w:val="0"/>
      <w:spacing w:before="40" w:after="40" w:line="259" w:lineRule="auto"/>
      <w:jc w:val="left"/>
    </w:pPr>
    <w:rPr>
      <w:rFonts w:asciiTheme="minorHAnsi" w:hAnsiTheme="minorHAnsi" w:cstheme="minorBid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03-ADCL-C-0003/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03-CL-C-0040/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pub/S-CONF-PLEN-2015" TargetMode="External"/><Relationship Id="rId4" Type="http://schemas.openxmlformats.org/officeDocument/2006/relationships/settings" Target="settings.xml"/><Relationship Id="rId9" Type="http://schemas.openxmlformats.org/officeDocument/2006/relationships/hyperlink" Target="https://www.itu.int/en/council/Documents/basic-texts/Convention-A.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40C54-93D9-4FCF-82AF-2698AFC7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1465</Words>
  <Characters>8356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Requests for exemption from any financial contribution to defraying expenses relating to participation in the work of ITU</dc:title>
  <dc:subject>Council 2019</dc:subject>
  <dc:creator>Abdelmessih, George</dc:creator>
  <cp:keywords>C2019, C19</cp:keywords>
  <dc:description/>
  <cp:lastModifiedBy>Brouard, Ricarda</cp:lastModifiedBy>
  <cp:revision>2</cp:revision>
  <dcterms:created xsi:type="dcterms:W3CDTF">2019-05-23T14:40:00Z</dcterms:created>
  <dcterms:modified xsi:type="dcterms:W3CDTF">2019-05-23T14:40:00Z</dcterms:modified>
  <cp:category>Conference document</cp:category>
</cp:coreProperties>
</file>