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674AA5">
        <w:trPr>
          <w:cantSplit/>
        </w:trPr>
        <w:tc>
          <w:tcPr>
            <w:tcW w:w="6912" w:type="dxa"/>
          </w:tcPr>
          <w:p w:rsidR="00093EEB" w:rsidRPr="006F5104" w:rsidRDefault="00093EEB" w:rsidP="00C9446B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6F5104">
              <w:rPr>
                <w:b/>
                <w:bCs/>
                <w:sz w:val="30"/>
                <w:szCs w:val="30"/>
              </w:rPr>
              <w:t>Consejo 201</w:t>
            </w:r>
            <w:r w:rsidR="00C2727F" w:rsidRPr="006F5104">
              <w:rPr>
                <w:b/>
                <w:bCs/>
                <w:sz w:val="30"/>
                <w:szCs w:val="30"/>
              </w:rPr>
              <w:t>9</w:t>
            </w:r>
            <w:r w:rsidRPr="006F5104">
              <w:rPr>
                <w:b/>
                <w:bCs/>
                <w:sz w:val="26"/>
                <w:szCs w:val="26"/>
              </w:rPr>
              <w:br/>
            </w:r>
            <w:r w:rsidRPr="006F5104">
              <w:rPr>
                <w:b/>
                <w:bCs/>
                <w:szCs w:val="24"/>
              </w:rPr>
              <w:t>Ginebra, 1</w:t>
            </w:r>
            <w:r w:rsidR="00C2727F" w:rsidRPr="006F5104">
              <w:rPr>
                <w:b/>
                <w:bCs/>
                <w:szCs w:val="24"/>
              </w:rPr>
              <w:t>0</w:t>
            </w:r>
            <w:r w:rsidRPr="006F5104">
              <w:rPr>
                <w:b/>
                <w:bCs/>
                <w:szCs w:val="24"/>
              </w:rPr>
              <w:t>-2</w:t>
            </w:r>
            <w:r w:rsidR="00C2727F" w:rsidRPr="006F5104">
              <w:rPr>
                <w:b/>
                <w:bCs/>
                <w:szCs w:val="24"/>
              </w:rPr>
              <w:t>0</w:t>
            </w:r>
            <w:r w:rsidRPr="006F5104">
              <w:rPr>
                <w:b/>
                <w:bCs/>
                <w:szCs w:val="24"/>
              </w:rPr>
              <w:t xml:space="preserve"> de </w:t>
            </w:r>
            <w:r w:rsidR="00C2727F" w:rsidRPr="006F5104">
              <w:rPr>
                <w:b/>
                <w:bCs/>
                <w:szCs w:val="24"/>
              </w:rPr>
              <w:t>junio</w:t>
            </w:r>
            <w:r w:rsidRPr="006F5104">
              <w:rPr>
                <w:b/>
                <w:bCs/>
                <w:szCs w:val="24"/>
              </w:rPr>
              <w:t xml:space="preserve"> de 201</w:t>
            </w:r>
            <w:r w:rsidR="00C2727F" w:rsidRPr="006F5104">
              <w:rPr>
                <w:b/>
                <w:bCs/>
                <w:szCs w:val="24"/>
              </w:rPr>
              <w:t>9</w:t>
            </w:r>
          </w:p>
        </w:tc>
        <w:tc>
          <w:tcPr>
            <w:tcW w:w="3261" w:type="dxa"/>
          </w:tcPr>
          <w:p w:rsidR="00093EEB" w:rsidRPr="006F5104" w:rsidRDefault="00093EEB" w:rsidP="00C9446B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 w:rsidRPr="00674AA5">
              <w:rPr>
                <w:rFonts w:cstheme="minorHAnsi"/>
                <w:b/>
                <w:bCs/>
                <w:noProof/>
                <w:szCs w:val="24"/>
                <w:lang w:val="en-GB"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674AA5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6F5104" w:rsidRDefault="00093EEB" w:rsidP="00C9446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674AA5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6F5104" w:rsidRDefault="00093EEB" w:rsidP="00C9446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6F5104" w:rsidRDefault="00093EEB" w:rsidP="00C9446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674AA5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6F5104" w:rsidRDefault="00622D06" w:rsidP="00C9446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  <w:r w:rsidRPr="006F5104">
              <w:rPr>
                <w:rFonts w:cs="Calibri"/>
                <w:b/>
                <w:szCs w:val="24"/>
              </w:rPr>
              <w:t>Punto del orden del día</w:t>
            </w:r>
            <w:r w:rsidRPr="006F5104">
              <w:rPr>
                <w:b/>
              </w:rPr>
              <w:t>: ADM 17</w:t>
            </w:r>
          </w:p>
        </w:tc>
        <w:tc>
          <w:tcPr>
            <w:tcW w:w="3261" w:type="dxa"/>
          </w:tcPr>
          <w:p w:rsidR="00093EEB" w:rsidRPr="006F5104" w:rsidRDefault="003207C5" w:rsidP="00C9446B">
            <w:pPr>
              <w:spacing w:before="0"/>
              <w:rPr>
                <w:b/>
                <w:bCs/>
                <w:szCs w:val="24"/>
              </w:rPr>
            </w:pPr>
            <w:r w:rsidRPr="006F5104">
              <w:rPr>
                <w:b/>
                <w:bCs/>
                <w:szCs w:val="24"/>
              </w:rPr>
              <w:t xml:space="preserve">Revisión 1 al </w:t>
            </w:r>
            <w:r w:rsidR="005E6444" w:rsidRPr="00674AA5">
              <w:rPr>
                <w:b/>
                <w:bCs/>
                <w:szCs w:val="24"/>
              </w:rPr>
              <w:br/>
            </w:r>
            <w:r w:rsidR="00093EEB" w:rsidRPr="006F5104">
              <w:rPr>
                <w:b/>
                <w:bCs/>
                <w:szCs w:val="24"/>
              </w:rPr>
              <w:t>Documento C1</w:t>
            </w:r>
            <w:r w:rsidR="00C2727F" w:rsidRPr="006F5104">
              <w:rPr>
                <w:b/>
                <w:bCs/>
                <w:szCs w:val="24"/>
              </w:rPr>
              <w:t>9</w:t>
            </w:r>
            <w:r w:rsidR="00093EEB" w:rsidRPr="006F5104">
              <w:rPr>
                <w:b/>
                <w:bCs/>
                <w:szCs w:val="24"/>
              </w:rPr>
              <w:t>/</w:t>
            </w:r>
            <w:r w:rsidR="00622D06" w:rsidRPr="006F5104">
              <w:rPr>
                <w:b/>
                <w:bCs/>
                <w:szCs w:val="24"/>
              </w:rPr>
              <w:t>38</w:t>
            </w:r>
            <w:r w:rsidR="00093EEB" w:rsidRPr="006F5104">
              <w:rPr>
                <w:b/>
                <w:bCs/>
                <w:szCs w:val="24"/>
              </w:rPr>
              <w:t>-S</w:t>
            </w:r>
          </w:p>
        </w:tc>
      </w:tr>
      <w:tr w:rsidR="00093EEB" w:rsidRPr="00674AA5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6F5104" w:rsidRDefault="00093EEB" w:rsidP="00C9446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093EEB" w:rsidRPr="006F5104" w:rsidRDefault="00622D06" w:rsidP="00C9446B">
            <w:pPr>
              <w:spacing w:before="0"/>
              <w:rPr>
                <w:b/>
                <w:bCs/>
                <w:szCs w:val="24"/>
              </w:rPr>
            </w:pPr>
            <w:r w:rsidRPr="006F5104">
              <w:rPr>
                <w:b/>
                <w:bCs/>
                <w:szCs w:val="24"/>
              </w:rPr>
              <w:t>1</w:t>
            </w:r>
            <w:r w:rsidR="003207C5" w:rsidRPr="006F5104">
              <w:rPr>
                <w:b/>
                <w:bCs/>
                <w:szCs w:val="24"/>
              </w:rPr>
              <w:t>8</w:t>
            </w:r>
            <w:r w:rsidRPr="006F5104">
              <w:rPr>
                <w:b/>
                <w:bCs/>
                <w:szCs w:val="24"/>
              </w:rPr>
              <w:t xml:space="preserve"> de abril</w:t>
            </w:r>
            <w:r w:rsidR="00093EEB" w:rsidRPr="006F5104">
              <w:rPr>
                <w:b/>
                <w:bCs/>
                <w:szCs w:val="24"/>
              </w:rPr>
              <w:t xml:space="preserve"> de 201</w:t>
            </w:r>
            <w:r w:rsidR="00C2727F" w:rsidRPr="006F5104">
              <w:rPr>
                <w:b/>
                <w:bCs/>
                <w:szCs w:val="24"/>
              </w:rPr>
              <w:t>9</w:t>
            </w:r>
          </w:p>
        </w:tc>
      </w:tr>
      <w:tr w:rsidR="00093EEB" w:rsidRPr="00674AA5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6F5104" w:rsidRDefault="00093EEB" w:rsidP="00C9446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093EEB" w:rsidRPr="006F5104" w:rsidRDefault="00093EEB" w:rsidP="00C9446B">
            <w:pPr>
              <w:spacing w:before="0"/>
              <w:rPr>
                <w:b/>
                <w:bCs/>
                <w:szCs w:val="24"/>
              </w:rPr>
            </w:pPr>
            <w:r w:rsidRPr="006F5104">
              <w:rPr>
                <w:b/>
                <w:bCs/>
                <w:szCs w:val="24"/>
              </w:rPr>
              <w:t>Original: inglés</w:t>
            </w:r>
          </w:p>
        </w:tc>
      </w:tr>
      <w:tr w:rsidR="00622D06" w:rsidRPr="00674AA5">
        <w:trPr>
          <w:cantSplit/>
        </w:trPr>
        <w:tc>
          <w:tcPr>
            <w:tcW w:w="10173" w:type="dxa"/>
            <w:gridSpan w:val="2"/>
          </w:tcPr>
          <w:p w:rsidR="00622D06" w:rsidRPr="006F5104" w:rsidRDefault="00622D06" w:rsidP="00C9446B">
            <w:pPr>
              <w:pStyle w:val="Source"/>
            </w:pPr>
            <w:bookmarkStart w:id="7" w:name="dsource" w:colFirst="0" w:colLast="0"/>
            <w:bookmarkEnd w:id="1"/>
            <w:bookmarkEnd w:id="6"/>
            <w:r w:rsidRPr="006F5104">
              <w:t>Informe del Secretario General</w:t>
            </w:r>
          </w:p>
        </w:tc>
      </w:tr>
      <w:tr w:rsidR="00622D06" w:rsidRPr="00674AA5">
        <w:trPr>
          <w:cantSplit/>
        </w:trPr>
        <w:tc>
          <w:tcPr>
            <w:tcW w:w="10173" w:type="dxa"/>
            <w:gridSpan w:val="2"/>
          </w:tcPr>
          <w:p w:rsidR="00622D06" w:rsidRPr="006F5104" w:rsidRDefault="00622D06" w:rsidP="00C9446B">
            <w:pPr>
              <w:pStyle w:val="Title1"/>
            </w:pPr>
            <w:bookmarkStart w:id="8" w:name="dtitle1" w:colFirst="0" w:colLast="0"/>
            <w:bookmarkEnd w:id="7"/>
            <w:r w:rsidRPr="006F5104">
              <w:t>INFORME SOBRE LA APLICACIÓN DE LA RESOLUCIÓN 191 (</w:t>
            </w:r>
            <w:r w:rsidR="007F0635" w:rsidRPr="006F5104">
              <w:t>Rev. Dub</w:t>
            </w:r>
            <w:r w:rsidR="004B0944" w:rsidRPr="006F5104">
              <w:t>Á</w:t>
            </w:r>
            <w:r w:rsidR="007F0635" w:rsidRPr="006F5104">
              <w:t>i, 2018</w:t>
            </w:r>
            <w:r w:rsidRPr="006F5104">
              <w:t>)</w:t>
            </w:r>
            <w:r w:rsidRPr="006F5104">
              <w:br/>
            </w:r>
            <w:bookmarkStart w:id="9" w:name="_Toc406754313"/>
            <w:r w:rsidRPr="006F5104">
              <w:t>"Estrategia de coordinación de los trabajos</w:t>
            </w:r>
            <w:r w:rsidRPr="006F5104">
              <w:br/>
              <w:t>de los tres Sectores de la Unión</w:t>
            </w:r>
            <w:bookmarkEnd w:id="9"/>
            <w:r w:rsidRPr="006F5104">
              <w:t>"</w:t>
            </w:r>
          </w:p>
        </w:tc>
      </w:tr>
      <w:bookmarkEnd w:id="8"/>
    </w:tbl>
    <w:p w:rsidR="00093EEB" w:rsidRPr="006F5104" w:rsidRDefault="00093EEB" w:rsidP="00C9446B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093EEB" w:rsidRPr="00674AA5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EEB" w:rsidRPr="006F5104" w:rsidRDefault="00093EEB" w:rsidP="00C9446B">
            <w:pPr>
              <w:pStyle w:val="Headingb"/>
            </w:pPr>
            <w:r w:rsidRPr="006F5104">
              <w:t>Resumen</w:t>
            </w:r>
          </w:p>
          <w:p w:rsidR="00093EEB" w:rsidRPr="006F5104" w:rsidRDefault="00FC6464">
            <w:r w:rsidRPr="006F5104">
              <w:t>El presente</w:t>
            </w:r>
            <w:r w:rsidR="00622D06" w:rsidRPr="006F5104">
              <w:t xml:space="preserve"> documento </w:t>
            </w:r>
            <w:r w:rsidRPr="006F5104">
              <w:t>contiene</w:t>
            </w:r>
            <w:r w:rsidR="00622D06" w:rsidRPr="006F5104">
              <w:t xml:space="preserve"> un </w:t>
            </w:r>
            <w:r w:rsidR="00A24148" w:rsidRPr="006F5104">
              <w:t xml:space="preserve">informe </w:t>
            </w:r>
            <w:r w:rsidR="00622D06" w:rsidRPr="006F5104">
              <w:t>sobre la aplicación de la Resolución 191 (</w:t>
            </w:r>
            <w:r w:rsidR="00890BD4" w:rsidRPr="006F5104">
              <w:t xml:space="preserve">Rev. </w:t>
            </w:r>
            <w:r w:rsidR="004B0944" w:rsidRPr="006F5104">
              <w:t>Dubái</w:t>
            </w:r>
            <w:r w:rsidR="00890BD4" w:rsidRPr="006F5104">
              <w:t>, 2018</w:t>
            </w:r>
            <w:r w:rsidR="00622D06" w:rsidRPr="006F5104">
              <w:t>)</w:t>
            </w:r>
            <w:r w:rsidRPr="006F5104">
              <w:t>,</w:t>
            </w:r>
            <w:r w:rsidR="00622D06" w:rsidRPr="006F5104">
              <w:t xml:space="preserve"> relativa a la estrategia de coordinación de los trabajos de los tres Sectores de la Unión.</w:t>
            </w:r>
          </w:p>
          <w:p w:rsidR="00093EEB" w:rsidRPr="006F5104" w:rsidRDefault="00093EEB" w:rsidP="00C9446B">
            <w:pPr>
              <w:pStyle w:val="Headingb"/>
            </w:pPr>
            <w:r w:rsidRPr="006F5104">
              <w:t>Acción solicitada</w:t>
            </w:r>
          </w:p>
          <w:p w:rsidR="00093EEB" w:rsidRPr="006F5104" w:rsidRDefault="00622D06" w:rsidP="00C9446B">
            <w:r w:rsidRPr="006F5104">
              <w:t xml:space="preserve">Se invita al Consejo a </w:t>
            </w:r>
            <w:r w:rsidRPr="006F5104">
              <w:rPr>
                <w:b/>
                <w:bCs/>
              </w:rPr>
              <w:t>tomar nota</w:t>
            </w:r>
            <w:r w:rsidRPr="006F5104">
              <w:t xml:space="preserve"> del Informe.</w:t>
            </w:r>
          </w:p>
          <w:p w:rsidR="00093EEB" w:rsidRPr="006F5104" w:rsidRDefault="00093EEB" w:rsidP="00C9446B">
            <w:pPr>
              <w:pStyle w:val="Table"/>
              <w:keepNext w:val="0"/>
              <w:spacing w:before="0" w:after="0"/>
              <w:rPr>
                <w:caps w:val="0"/>
                <w:sz w:val="22"/>
                <w:lang w:val="es-ES_tradnl"/>
              </w:rPr>
            </w:pPr>
            <w:r w:rsidRPr="006F5104">
              <w:rPr>
                <w:caps w:val="0"/>
                <w:sz w:val="22"/>
                <w:lang w:val="es-ES_tradnl"/>
              </w:rPr>
              <w:t>____________</w:t>
            </w:r>
          </w:p>
          <w:p w:rsidR="00093EEB" w:rsidRPr="006F5104" w:rsidRDefault="00093EEB" w:rsidP="00C9446B">
            <w:pPr>
              <w:pStyle w:val="Headingb"/>
            </w:pPr>
            <w:r w:rsidRPr="006F5104">
              <w:t>Referencia</w:t>
            </w:r>
          </w:p>
          <w:p w:rsidR="00093EEB" w:rsidRPr="006F5104" w:rsidRDefault="007C3646" w:rsidP="003207C5">
            <w:pPr>
              <w:spacing w:after="120"/>
              <w:rPr>
                <w:i/>
                <w:iCs/>
              </w:rPr>
            </w:pPr>
            <w:hyperlink r:id="rId9" w:history="1">
              <w:r w:rsidR="00622D06" w:rsidRPr="006F5104">
                <w:rPr>
                  <w:rStyle w:val="Hyperlink"/>
                  <w:i/>
                  <w:iCs/>
                </w:rPr>
                <w:t>Resolución 191 (</w:t>
              </w:r>
              <w:r w:rsidR="00890BD4" w:rsidRPr="00674AA5">
                <w:rPr>
                  <w:rStyle w:val="Hyperlink"/>
                  <w:i/>
                  <w:iCs/>
                </w:rPr>
                <w:t xml:space="preserve">Rev. </w:t>
              </w:r>
              <w:r w:rsidR="003207C5" w:rsidRPr="00674AA5">
                <w:rPr>
                  <w:rStyle w:val="Hyperlink"/>
                  <w:i/>
                  <w:iCs/>
                </w:rPr>
                <w:t>Dubái</w:t>
              </w:r>
              <w:r w:rsidR="00622D06" w:rsidRPr="00674AA5">
                <w:rPr>
                  <w:rStyle w:val="Hyperlink"/>
                  <w:i/>
                  <w:iCs/>
                </w:rPr>
                <w:t xml:space="preserve">, </w:t>
              </w:r>
              <w:r w:rsidR="003207C5" w:rsidRPr="00674AA5">
                <w:rPr>
                  <w:rStyle w:val="Hyperlink"/>
                  <w:i/>
                  <w:iCs/>
                </w:rPr>
                <w:t>2018</w:t>
              </w:r>
              <w:r w:rsidR="00622D06" w:rsidRPr="006F5104">
                <w:rPr>
                  <w:rStyle w:val="Hyperlink"/>
                  <w:i/>
                  <w:iCs/>
                </w:rPr>
                <w:t>)</w:t>
              </w:r>
            </w:hyperlink>
          </w:p>
        </w:tc>
      </w:tr>
    </w:tbl>
    <w:p w:rsidR="00622D06" w:rsidRPr="006F5104" w:rsidRDefault="00622D06" w:rsidP="00C9446B">
      <w:pPr>
        <w:pStyle w:val="Heading1"/>
      </w:pPr>
      <w:r w:rsidRPr="006F5104">
        <w:t>1</w:t>
      </w:r>
      <w:r w:rsidRPr="006F5104">
        <w:tab/>
        <w:t>Antecedentes</w:t>
      </w:r>
      <w:bookmarkStart w:id="10" w:name="_GoBack"/>
      <w:bookmarkEnd w:id="10"/>
    </w:p>
    <w:p w:rsidR="00622D06" w:rsidRPr="006F5104" w:rsidRDefault="00622D06" w:rsidP="002518F9">
      <w:pPr>
        <w:snapToGrid w:val="0"/>
        <w:spacing w:after="120"/>
      </w:pPr>
      <w:r w:rsidRPr="006F5104">
        <w:t>1.1</w:t>
      </w:r>
      <w:r w:rsidRPr="006F5104">
        <w:tab/>
        <w:t xml:space="preserve">La Conferencia de Plenipotenciarios de </w:t>
      </w:r>
      <w:r w:rsidR="00890BD4" w:rsidRPr="006F5104">
        <w:t>2018</w:t>
      </w:r>
      <w:r w:rsidRPr="006F5104">
        <w:t xml:space="preserve"> (PP-</w:t>
      </w:r>
      <w:r w:rsidR="00890BD4" w:rsidRPr="006F5104">
        <w:t>18</w:t>
      </w:r>
      <w:r w:rsidRPr="006F5104">
        <w:t xml:space="preserve">) </w:t>
      </w:r>
      <w:r w:rsidR="004B0944" w:rsidRPr="006F5104">
        <w:t xml:space="preserve">revisó </w:t>
      </w:r>
      <w:r w:rsidRPr="006F5104">
        <w:t>la Resolución 191 (</w:t>
      </w:r>
      <w:r w:rsidR="00A05F48" w:rsidRPr="006F5104">
        <w:t xml:space="preserve">Rev. </w:t>
      </w:r>
      <w:r w:rsidR="004B0944" w:rsidRPr="006F5104">
        <w:t>Dubái</w:t>
      </w:r>
      <w:r w:rsidR="00A05F48" w:rsidRPr="006F5104">
        <w:t>, 2018</w:t>
      </w:r>
      <w:r w:rsidRPr="006F5104">
        <w:t>)</w:t>
      </w:r>
      <w:r w:rsidR="00FC6464" w:rsidRPr="006F5104">
        <w:t>,</w:t>
      </w:r>
      <w:r w:rsidRPr="006F5104">
        <w:t xml:space="preserve"> relativa a la "Estrategia de coordinación de los trabajos de los tres Sectores de la Unión".</w:t>
      </w:r>
    </w:p>
    <w:p w:rsidR="00700143" w:rsidRPr="00674AA5" w:rsidRDefault="00622D06" w:rsidP="002518F9">
      <w:pPr>
        <w:snapToGrid w:val="0"/>
        <w:spacing w:after="120"/>
      </w:pPr>
      <w:r w:rsidRPr="00674AA5">
        <w:t>1.2</w:t>
      </w:r>
      <w:r w:rsidRPr="00674AA5">
        <w:tab/>
      </w:r>
      <w:r w:rsidR="004B0944" w:rsidRPr="00674AA5">
        <w:t>En l</w:t>
      </w:r>
      <w:r w:rsidRPr="00674AA5">
        <w:t xml:space="preserve">a Resolución </w:t>
      </w:r>
      <w:r w:rsidR="004B0944" w:rsidRPr="00674AA5">
        <w:t>se</w:t>
      </w:r>
      <w:r w:rsidRPr="00674AA5">
        <w:t xml:space="preserve"> </w:t>
      </w:r>
      <w:r w:rsidRPr="00674AA5">
        <w:rPr>
          <w:i/>
          <w:iCs/>
        </w:rPr>
        <w:t>encarga</w:t>
      </w:r>
      <w:r w:rsidRPr="00674AA5">
        <w:t xml:space="preserve"> al Secretario General</w:t>
      </w:r>
      <w:r w:rsidR="005E6444" w:rsidRPr="00674AA5">
        <w:t>:</w:t>
      </w:r>
      <w:r w:rsidRPr="00674AA5">
        <w:t xml:space="preserve"> </w:t>
      </w:r>
      <w:r w:rsidR="003207C5" w:rsidRPr="00674AA5">
        <w:rPr>
          <w:i/>
          <w:iCs/>
        </w:rPr>
        <w:t xml:space="preserve">i) </w:t>
      </w:r>
      <w:r w:rsidRPr="00674AA5">
        <w:t xml:space="preserve">que </w:t>
      </w:r>
      <w:r w:rsidR="004B0944" w:rsidRPr="00674AA5">
        <w:t>siga mejorando la</w:t>
      </w:r>
      <w:r w:rsidRPr="00674AA5">
        <w:t xml:space="preserve"> estrategia de coordinación y cooperación para lograr un trabajo eficaz y eficiente en aquellas temáticas </w:t>
      </w:r>
      <w:r w:rsidR="00FC6464" w:rsidRPr="00674AA5">
        <w:t xml:space="preserve">de </w:t>
      </w:r>
      <w:r w:rsidRPr="00674AA5">
        <w:t xml:space="preserve">interés mutuo </w:t>
      </w:r>
      <w:r w:rsidR="004B0944" w:rsidRPr="00674AA5">
        <w:t xml:space="preserve">para </w:t>
      </w:r>
      <w:r w:rsidRPr="00674AA5">
        <w:t>los tres Sectores de la Unión</w:t>
      </w:r>
      <w:r w:rsidR="004B0944" w:rsidRPr="00674AA5">
        <w:t xml:space="preserve"> y la Secretaría General</w:t>
      </w:r>
      <w:r w:rsidRPr="00674AA5">
        <w:t>, a fin de evitar la duplicación de esfuerzos y optimizar la utilización de recursos de la Unión</w:t>
      </w:r>
      <w:r w:rsidR="003207C5" w:rsidRPr="00674AA5">
        <w:t xml:space="preserve">; </w:t>
      </w:r>
      <w:r w:rsidR="003207C5" w:rsidRPr="00674AA5">
        <w:rPr>
          <w:i/>
          <w:iCs/>
        </w:rPr>
        <w:t xml:space="preserve">ii) </w:t>
      </w:r>
      <w:r w:rsidR="003207C5" w:rsidRPr="00674AA5">
        <w:t xml:space="preserve">que determine toda forma y ejemplo de solapamiento de funciones y actividades entre los Sectores de la UIT y con la Secretaría General, y que proponga soluciones al respecto; y </w:t>
      </w:r>
      <w:r w:rsidR="003207C5" w:rsidRPr="00674AA5">
        <w:rPr>
          <w:i/>
          <w:iCs/>
        </w:rPr>
        <w:t>iii)</w:t>
      </w:r>
      <w:r w:rsidR="003207C5" w:rsidRPr="00674AA5">
        <w:t xml:space="preserve"> que actualice la lista de los temas de interés mutuo para los tres Sectores y la Secretaría General, en virtud de los </w:t>
      </w:r>
      <w:r w:rsidR="003207C5" w:rsidRPr="00674AA5">
        <w:lastRenderedPageBreak/>
        <w:t>mandatos de cada una de las Asambleas y Conferencias de la Unión</w:t>
      </w:r>
      <w:r w:rsidRPr="00674AA5">
        <w:t>.</w:t>
      </w:r>
    </w:p>
    <w:p w:rsidR="003207C5" w:rsidRPr="00674AA5" w:rsidRDefault="003207C5" w:rsidP="002518F9">
      <w:pPr>
        <w:snapToGrid w:val="0"/>
        <w:spacing w:after="120"/>
      </w:pPr>
      <w:r w:rsidRPr="00674AA5">
        <w:lastRenderedPageBreak/>
        <w:t>1.3</w:t>
      </w:r>
      <w:r w:rsidRPr="00674AA5">
        <w:tab/>
        <w:t xml:space="preserve">Para más información a este respecto sírvase consultar el </w:t>
      </w:r>
      <w:hyperlink r:id="rId10" w:history="1">
        <w:r w:rsidRPr="00674AA5">
          <w:rPr>
            <w:rStyle w:val="Hyperlink"/>
          </w:rPr>
          <w:t>Documento de información C19/INF/6</w:t>
        </w:r>
      </w:hyperlink>
      <w:r w:rsidRPr="00674AA5">
        <w:t>, que</w:t>
      </w:r>
      <w:r w:rsidR="003C5030" w:rsidRPr="00674AA5">
        <w:t xml:space="preserve"> contiene</w:t>
      </w:r>
      <w:r w:rsidR="007D649D" w:rsidRPr="00674AA5">
        <w:t>:</w:t>
      </w:r>
      <w:r w:rsidR="003C5030" w:rsidRPr="00674AA5">
        <w:t xml:space="preserve"> </w:t>
      </w:r>
      <w:r w:rsidR="003C5030" w:rsidRPr="00674AA5">
        <w:rPr>
          <w:i/>
          <w:iCs/>
        </w:rPr>
        <w:t>a)</w:t>
      </w:r>
      <w:r w:rsidR="003C5030" w:rsidRPr="00674AA5">
        <w:t xml:space="preserve"> una </w:t>
      </w:r>
      <w:r w:rsidR="00003A69" w:rsidRPr="00674AA5">
        <w:t>relación</w:t>
      </w:r>
      <w:r w:rsidR="003C5030" w:rsidRPr="00674AA5">
        <w:t xml:space="preserve"> de los posibles ámbitos de interés mutuo; </w:t>
      </w:r>
      <w:r w:rsidR="003C5030" w:rsidRPr="00674AA5">
        <w:rPr>
          <w:i/>
          <w:iCs/>
        </w:rPr>
        <w:t>b)</w:t>
      </w:r>
      <w:r w:rsidR="003C5030" w:rsidRPr="00674AA5">
        <w:t xml:space="preserve"> </w:t>
      </w:r>
      <w:r w:rsidR="00003A69" w:rsidRPr="00674AA5">
        <w:t>la</w:t>
      </w:r>
      <w:r w:rsidR="003C5030" w:rsidRPr="00674AA5">
        <w:t xml:space="preserve"> correspondencia </w:t>
      </w:r>
      <w:r w:rsidR="00003A69" w:rsidRPr="00674AA5">
        <w:t>entre</w:t>
      </w:r>
      <w:r w:rsidR="003C5030" w:rsidRPr="00674AA5">
        <w:t xml:space="preserve"> las Resoluciones de la PP, la AR/CMR, la AMNT y la CMD</w:t>
      </w:r>
      <w:r w:rsidR="00003A69" w:rsidRPr="00674AA5">
        <w:t>T, de la UIT; y la correspondencia</w:t>
      </w:r>
      <w:r w:rsidR="003C5030" w:rsidRPr="00674AA5">
        <w:t xml:space="preserve"> entre </w:t>
      </w:r>
      <w:r w:rsidR="00003A69" w:rsidRPr="00674AA5">
        <w:t xml:space="preserve">los </w:t>
      </w:r>
      <w:r w:rsidR="003C5030" w:rsidRPr="00674AA5">
        <w:t xml:space="preserve">ámbitos de interés común de las </w:t>
      </w:r>
      <w:r w:rsidR="007D649D" w:rsidRPr="00674AA5">
        <w:t xml:space="preserve">Comisiones </w:t>
      </w:r>
      <w:r w:rsidR="003C5030" w:rsidRPr="00674AA5">
        <w:t xml:space="preserve">de </w:t>
      </w:r>
      <w:r w:rsidR="007D649D" w:rsidRPr="00674AA5">
        <w:t xml:space="preserve">Estudio </w:t>
      </w:r>
      <w:r w:rsidR="003C5030" w:rsidRPr="00674AA5">
        <w:t xml:space="preserve">de la UIT. Este documento de información se compiló a partir de la información facilitada por la Secretaría, los </w:t>
      </w:r>
      <w:r w:rsidR="007D649D" w:rsidRPr="00674AA5">
        <w:t xml:space="preserve">Grupos Asesores </w:t>
      </w:r>
      <w:r w:rsidR="003C5030" w:rsidRPr="00674AA5">
        <w:t>de los Sectores y el</w:t>
      </w:r>
      <w:r w:rsidR="00AD4A75" w:rsidRPr="00674AA5">
        <w:t xml:space="preserve"> </w:t>
      </w:r>
      <w:r w:rsidR="006F3EFB" w:rsidRPr="00674AA5">
        <w:t>GCIS</w:t>
      </w:r>
      <w:r w:rsidR="00AD4A75" w:rsidRPr="00674AA5">
        <w:t>.</w:t>
      </w:r>
    </w:p>
    <w:p w:rsidR="00622D06" w:rsidRPr="006F5104" w:rsidRDefault="00622D06" w:rsidP="002518F9">
      <w:pPr>
        <w:keepLines/>
        <w:snapToGrid w:val="0"/>
        <w:spacing w:after="120"/>
      </w:pPr>
      <w:r w:rsidRPr="00674AA5">
        <w:t>1.</w:t>
      </w:r>
      <w:r w:rsidR="00AD4A75" w:rsidRPr="00674AA5">
        <w:t>4</w:t>
      </w:r>
      <w:r w:rsidRPr="00674AA5">
        <w:tab/>
        <w:t xml:space="preserve">Asimismo, </w:t>
      </w:r>
      <w:r w:rsidR="00AD4A75" w:rsidRPr="00674AA5">
        <w:t xml:space="preserve">la Resolución 191 </w:t>
      </w:r>
      <w:r w:rsidRPr="006F5104">
        <w:rPr>
          <w:i/>
          <w:iCs/>
        </w:rPr>
        <w:t xml:space="preserve">encarga </w:t>
      </w:r>
      <w:r w:rsidRPr="006F5104">
        <w:t>al Secretario General y a los Directores de las tres Oficinas que</w:t>
      </w:r>
      <w:r w:rsidR="004B0944" w:rsidRPr="006F5104">
        <w:t xml:space="preserve"> informen al Consejo de las actividades de coordinación realizadas entre los distintos Sectores para cada uno de estos temas identificados como de interés mutuo, junto con los resultados obtenidos</w:t>
      </w:r>
      <w:r w:rsidRPr="006F5104">
        <w:t>.</w:t>
      </w:r>
    </w:p>
    <w:p w:rsidR="005A1CB3" w:rsidRPr="006F5104" w:rsidRDefault="005A1CB3" w:rsidP="002518F9">
      <w:pPr>
        <w:keepLines/>
        <w:snapToGrid w:val="0"/>
        <w:spacing w:after="120"/>
      </w:pPr>
      <w:r w:rsidRPr="006F5104">
        <w:t>1.</w:t>
      </w:r>
      <w:r w:rsidR="00AD4A75" w:rsidRPr="00674AA5">
        <w:t>5</w:t>
      </w:r>
      <w:r w:rsidRPr="006F5104">
        <w:tab/>
      </w:r>
      <w:r w:rsidR="004B0944" w:rsidRPr="006F5104">
        <w:t xml:space="preserve">También se </w:t>
      </w:r>
      <w:r w:rsidR="004B0944" w:rsidRPr="006F5104">
        <w:rPr>
          <w:i/>
          <w:iCs/>
        </w:rPr>
        <w:t xml:space="preserve">encarga </w:t>
      </w:r>
      <w:r w:rsidR="004B0944" w:rsidRPr="006F5104">
        <w:t>al Secretario General y a los Directores de las tres Oficinas que determinen toda forma y ejemplo de solapamiento de funciones y actividades entre los Sectores de la UIT y con la Secretaría General, y que propongan soluciones al respecto</w:t>
      </w:r>
      <w:r w:rsidRPr="006F5104">
        <w:t>.</w:t>
      </w:r>
    </w:p>
    <w:p w:rsidR="00622D06" w:rsidRPr="006F5104" w:rsidRDefault="00622D06" w:rsidP="00C9446B">
      <w:pPr>
        <w:pStyle w:val="Heading1"/>
      </w:pPr>
      <w:r w:rsidRPr="006F5104">
        <w:t>2</w:t>
      </w:r>
      <w:r w:rsidRPr="006F5104">
        <w:tab/>
        <w:t>Coordinación en la Secretaría</w:t>
      </w:r>
    </w:p>
    <w:p w:rsidR="00622D06" w:rsidRPr="006F5104" w:rsidRDefault="00FC6464" w:rsidP="00C9446B">
      <w:pPr>
        <w:pStyle w:val="Headingb"/>
      </w:pPr>
      <w:r w:rsidRPr="006F5104">
        <w:t>Grupo Especial de Coordinación Intersectorial (GE-CIS)</w:t>
      </w:r>
    </w:p>
    <w:p w:rsidR="00622D06" w:rsidRPr="006F5104" w:rsidRDefault="00622D06">
      <w:pPr>
        <w:rPr>
          <w:rFonts w:asciiTheme="minorHAnsi" w:hAnsiTheme="minorHAnsi"/>
        </w:rPr>
      </w:pPr>
      <w:r w:rsidRPr="006F5104">
        <w:t>2.1</w:t>
      </w:r>
      <w:r w:rsidRPr="006F5104">
        <w:tab/>
      </w:r>
      <w:r w:rsidR="00FE57EF" w:rsidRPr="006F5104">
        <w:t>E</w:t>
      </w:r>
      <w:r w:rsidRPr="006F5104">
        <w:t xml:space="preserve">l </w:t>
      </w:r>
      <w:r w:rsidR="00FC6464" w:rsidRPr="006F5104">
        <w:t>Grupo Especial de Coordinación Intersectorial (GE-CIS)</w:t>
      </w:r>
      <w:r w:rsidR="00FC6464" w:rsidRPr="006F5104" w:rsidDel="00FC6464">
        <w:t xml:space="preserve"> </w:t>
      </w:r>
      <w:r w:rsidR="00FE57EF" w:rsidRPr="006F5104">
        <w:rPr>
          <w:rFonts w:asciiTheme="minorHAnsi" w:hAnsiTheme="minorHAnsi"/>
          <w:szCs w:val="24"/>
        </w:rPr>
        <w:t>se creó con el objetivo</w:t>
      </w:r>
      <w:r w:rsidRPr="006F5104">
        <w:t xml:space="preserve"> de facilitar la coordinación y</w:t>
      </w:r>
      <w:r w:rsidR="00A24148" w:rsidRPr="006F5104">
        <w:t xml:space="preserve"> la</w:t>
      </w:r>
      <w:r w:rsidRPr="006F5104">
        <w:t xml:space="preserve"> colaboración entre las tres Oficinas y la Secretaría General, con miras a evitar </w:t>
      </w:r>
      <w:r w:rsidR="00FE57EF" w:rsidRPr="006F5104">
        <w:t>la duplicación de esfuerzos</w:t>
      </w:r>
      <w:r w:rsidRPr="006F5104">
        <w:t xml:space="preserve"> y optimizar la utilización de </w:t>
      </w:r>
      <w:r w:rsidR="00FE57EF" w:rsidRPr="006F5104">
        <w:t xml:space="preserve">los </w:t>
      </w:r>
      <w:r w:rsidRPr="006F5104">
        <w:t>recursos. El mandato del</w:t>
      </w:r>
      <w:r w:rsidR="00FC6464" w:rsidRPr="006F5104">
        <w:t xml:space="preserve"> GE-CIS</w:t>
      </w:r>
      <w:r w:rsidR="00FC6464" w:rsidRPr="006F5104" w:rsidDel="00FC6464">
        <w:t xml:space="preserve"> </w:t>
      </w:r>
      <w:r w:rsidRPr="006F5104">
        <w:t xml:space="preserve">se </w:t>
      </w:r>
      <w:r w:rsidR="00FC6464" w:rsidRPr="006F5104">
        <w:t xml:space="preserve">detalla </w:t>
      </w:r>
      <w:r w:rsidRPr="006F5104">
        <w:t xml:space="preserve">en la </w:t>
      </w:r>
      <w:hyperlink r:id="rId11" w:history="1">
        <w:r w:rsidRPr="006F5104">
          <w:rPr>
            <w:rStyle w:val="Hyperlink"/>
          </w:rPr>
          <w:t>Orden de Servicio nú</w:t>
        </w:r>
        <w:r w:rsidRPr="006F5104">
          <w:rPr>
            <w:rStyle w:val="Hyperlink"/>
          </w:rPr>
          <w:t>m</w:t>
        </w:r>
        <w:r w:rsidRPr="006F5104">
          <w:rPr>
            <w:rStyle w:val="Hyperlink"/>
          </w:rPr>
          <w:t>. 16/13</w:t>
        </w:r>
      </w:hyperlink>
      <w:r w:rsidRPr="006F5104">
        <w:t>.</w:t>
      </w:r>
    </w:p>
    <w:p w:rsidR="00622D06" w:rsidRPr="006F5104" w:rsidRDefault="00622D06">
      <w:r w:rsidRPr="006F5104">
        <w:t>2.2</w:t>
      </w:r>
      <w:r w:rsidRPr="006F5104">
        <w:tab/>
        <w:t xml:space="preserve">El </w:t>
      </w:r>
      <w:r w:rsidR="00FC6464" w:rsidRPr="006F5104">
        <w:t>GE-CIS</w:t>
      </w:r>
      <w:r w:rsidR="00FC6464" w:rsidRPr="006F5104" w:rsidDel="00FC6464">
        <w:t xml:space="preserve"> </w:t>
      </w:r>
      <w:r w:rsidRPr="006F5104">
        <w:t xml:space="preserve">celebró </w:t>
      </w:r>
      <w:r w:rsidR="000A3853" w:rsidRPr="006F5104">
        <w:t>seis</w:t>
      </w:r>
      <w:r w:rsidRPr="006F5104">
        <w:t xml:space="preserve"> reuniones </w:t>
      </w:r>
      <w:r w:rsidR="00FE57EF" w:rsidRPr="006F5104">
        <w:t>(</w:t>
      </w:r>
      <w:r w:rsidR="00A24148" w:rsidRPr="006F5104">
        <w:t>la séptima tendrá</w:t>
      </w:r>
      <w:r w:rsidR="00FE57EF" w:rsidRPr="006F5104">
        <w:t xml:space="preserve"> lugar </w:t>
      </w:r>
      <w:r w:rsidRPr="006F5104">
        <w:t>en</w:t>
      </w:r>
      <w:r w:rsidR="00FE57EF" w:rsidRPr="006F5104">
        <w:t xml:space="preserve"> mayo) desde su último informe a</w:t>
      </w:r>
      <w:r w:rsidR="00FC6464" w:rsidRPr="006F5104">
        <w:t xml:space="preserve"> </w:t>
      </w:r>
      <w:r w:rsidR="00FE57EF" w:rsidRPr="006F5104">
        <w:t>l</w:t>
      </w:r>
      <w:r w:rsidR="00FC6464" w:rsidRPr="006F5104">
        <w:t>a</w:t>
      </w:r>
      <w:r w:rsidR="00FE57EF" w:rsidRPr="006F5104">
        <w:t xml:space="preserve"> </w:t>
      </w:r>
      <w:r w:rsidR="00FC6464" w:rsidRPr="006F5104">
        <w:t>reunión</w:t>
      </w:r>
      <w:r w:rsidR="00FE57EF" w:rsidRPr="006F5104">
        <w:t xml:space="preserve"> de abril de 2018</w:t>
      </w:r>
      <w:r w:rsidR="00FC6464" w:rsidRPr="006F5104">
        <w:t xml:space="preserve"> del Consejo</w:t>
      </w:r>
      <w:r w:rsidR="000A3853" w:rsidRPr="006F5104">
        <w:t xml:space="preserve"> </w:t>
      </w:r>
      <w:r w:rsidRPr="006F5104">
        <w:t xml:space="preserve">y </w:t>
      </w:r>
      <w:r w:rsidR="000A3853" w:rsidRPr="006F5104">
        <w:t xml:space="preserve">29 </w:t>
      </w:r>
      <w:r w:rsidR="00FE57EF" w:rsidRPr="006F5104">
        <w:t>e</w:t>
      </w:r>
      <w:r w:rsidR="000A3853" w:rsidRPr="006F5104">
        <w:t>n total</w:t>
      </w:r>
      <w:r w:rsidRPr="006F5104">
        <w:t xml:space="preserve"> desde su creación en marzo de 2015</w:t>
      </w:r>
      <w:r w:rsidR="000A3853" w:rsidRPr="006F5104">
        <w:t xml:space="preserve">. </w:t>
      </w:r>
      <w:r w:rsidR="00FE57EF" w:rsidRPr="006F5104">
        <w:t>E</w:t>
      </w:r>
      <w:r w:rsidR="00FC6464" w:rsidRPr="006F5104">
        <w:t>l</w:t>
      </w:r>
      <w:r w:rsidR="00A77196" w:rsidRPr="006F5104">
        <w:t> </w:t>
      </w:r>
      <w:r w:rsidR="0010058F" w:rsidRPr="006F5104">
        <w:t>GE</w:t>
      </w:r>
      <w:r w:rsidR="0010058F" w:rsidRPr="006F5104">
        <w:noBreakHyphen/>
      </w:r>
      <w:r w:rsidR="00FC6464" w:rsidRPr="006F5104">
        <w:t>CIS</w:t>
      </w:r>
      <w:r w:rsidR="00FC6464" w:rsidRPr="006F5104" w:rsidDel="00FC6464">
        <w:t xml:space="preserve"> </w:t>
      </w:r>
      <w:r w:rsidR="00FE57EF" w:rsidRPr="006F5104">
        <w:t>está presidido por el Vicesecretario General y cuenta</w:t>
      </w:r>
      <w:r w:rsidRPr="006F5104">
        <w:t xml:space="preserve"> con la participación de: </w:t>
      </w:r>
      <w:r w:rsidRPr="006F5104">
        <w:rPr>
          <w:i/>
          <w:iCs/>
        </w:rPr>
        <w:t>a)</w:t>
      </w:r>
      <w:r w:rsidRPr="006F5104">
        <w:t xml:space="preserve"> los Adjuntos a los Directores de las tres Oficinas y el Jefe del Departamento de Planificación Estratégica y </w:t>
      </w:r>
      <w:r w:rsidRPr="006F5104">
        <w:lastRenderedPageBreak/>
        <w:t xml:space="preserve">Relaciones con los Miembros; </w:t>
      </w:r>
      <w:r w:rsidRPr="006F5104">
        <w:rPr>
          <w:i/>
          <w:iCs/>
        </w:rPr>
        <w:t>b)</w:t>
      </w:r>
      <w:r w:rsidRPr="006F5104">
        <w:t xml:space="preserve"> los Coordinadores Intersectoriales encargados de áreas temáticas específicas; </w:t>
      </w:r>
      <w:r w:rsidRPr="006F5104">
        <w:rPr>
          <w:i/>
          <w:iCs/>
        </w:rPr>
        <w:t>c)</w:t>
      </w:r>
      <w:r w:rsidRPr="006F5104">
        <w:t xml:space="preserve"> los Directores Regionales; </w:t>
      </w:r>
      <w:r w:rsidRPr="006F5104">
        <w:rPr>
          <w:i/>
          <w:iCs/>
        </w:rPr>
        <w:t>d)</w:t>
      </w:r>
      <w:r w:rsidRPr="006F5104">
        <w:t xml:space="preserve"> los Jefes de Departamento de la Secretaría General; </w:t>
      </w:r>
      <w:r w:rsidRPr="006F5104">
        <w:rPr>
          <w:i/>
          <w:iCs/>
        </w:rPr>
        <w:t>e)</w:t>
      </w:r>
      <w:r w:rsidRPr="006F5104">
        <w:t xml:space="preserve"> en calidad de observador, el Jefe de la Unidad de Auditoría Interna</w:t>
      </w:r>
      <w:r w:rsidR="00FC6464" w:rsidRPr="006F5104">
        <w:t>;</w:t>
      </w:r>
      <w:r w:rsidRPr="006F5104">
        <w:t xml:space="preserve"> y</w:t>
      </w:r>
      <w:r w:rsidR="003F257A" w:rsidRPr="006F5104">
        <w:t xml:space="preserve"> </w:t>
      </w:r>
      <w:r w:rsidR="003F257A" w:rsidRPr="006F5104">
        <w:rPr>
          <w:i/>
          <w:iCs/>
        </w:rPr>
        <w:t>f)</w:t>
      </w:r>
      <w:r w:rsidRPr="006F5104">
        <w:t xml:space="preserve"> por invitación del Presidente, los Jefes de Departamento de las Oficinas.</w:t>
      </w:r>
    </w:p>
    <w:p w:rsidR="00622D06" w:rsidRPr="006F5104" w:rsidRDefault="00622D06">
      <w:r w:rsidRPr="006F5104">
        <w:t>2.3</w:t>
      </w:r>
      <w:r w:rsidRPr="006F5104">
        <w:tab/>
      </w:r>
      <w:r w:rsidR="00FC6464" w:rsidRPr="006F5104">
        <w:t>Entre l</w:t>
      </w:r>
      <w:r w:rsidRPr="006F5104">
        <w:t xml:space="preserve">os temas de interés intersectorial coordinados por el </w:t>
      </w:r>
      <w:r w:rsidR="00FC6464" w:rsidRPr="006F5104">
        <w:t>GE-CIS</w:t>
      </w:r>
      <w:r w:rsidR="00FC6464" w:rsidRPr="006F5104" w:rsidDel="00FC6464">
        <w:t xml:space="preserve"> </w:t>
      </w:r>
      <w:r w:rsidR="00FC6464" w:rsidRPr="006F5104">
        <w:t>figuran</w:t>
      </w:r>
      <w:r w:rsidRPr="006F5104">
        <w:t xml:space="preserve">, entre otros, la accesibilidad, </w:t>
      </w:r>
      <w:r w:rsidR="00FE57EF" w:rsidRPr="006F5104">
        <w:t>la inteligencia artificial, la reducción de la brecha de normalización</w:t>
      </w:r>
      <w:r w:rsidR="00327180" w:rsidRPr="006F5104">
        <w:t xml:space="preserve">, </w:t>
      </w:r>
      <w:r w:rsidRPr="006F5104">
        <w:t>las comunicaciones</w:t>
      </w:r>
      <w:r w:rsidR="00327180" w:rsidRPr="006F5104">
        <w:t xml:space="preserve"> </w:t>
      </w:r>
      <w:r w:rsidR="00FE57EF" w:rsidRPr="006F5104">
        <w:t>y la redacción para la web, las tendencias emergentes, las telecomunicaciones de emergencia, el medioambiente y las ciudades inteligentes</w:t>
      </w:r>
      <w:r w:rsidR="00A24148" w:rsidRPr="006F5104">
        <w:t xml:space="preserve"> y</w:t>
      </w:r>
      <w:r w:rsidR="00FE57EF" w:rsidRPr="006F5104">
        <w:t xml:space="preserve"> sostenibles</w:t>
      </w:r>
      <w:r w:rsidR="00327180" w:rsidRPr="006F5104">
        <w:t xml:space="preserve">, </w:t>
      </w:r>
      <w:r w:rsidRPr="006F5104">
        <w:t xml:space="preserve">la coordinación de eventos, </w:t>
      </w:r>
      <w:r w:rsidR="00FE57EF" w:rsidRPr="006F5104">
        <w:t xml:space="preserve">las cuestiones de género, </w:t>
      </w:r>
      <w:r w:rsidR="00FC6464" w:rsidRPr="006F5104">
        <w:t>los aspectos relacionados con los Miembros</w:t>
      </w:r>
      <w:r w:rsidR="00FE57EF" w:rsidRPr="006F5104">
        <w:t>, la movilización de recursos y</w:t>
      </w:r>
      <w:r w:rsidRPr="006F5104">
        <w:t xml:space="preserve"> las </w:t>
      </w:r>
      <w:r w:rsidR="00FC6464" w:rsidRPr="006F5104">
        <w:t>pymes</w:t>
      </w:r>
      <w:r w:rsidR="00327180" w:rsidRPr="006F5104">
        <w:t xml:space="preserve">. </w:t>
      </w:r>
      <w:r w:rsidR="00CE3699" w:rsidRPr="006F5104">
        <w:t>Desde la reunión de abril de 2018 del Consejo</w:t>
      </w:r>
      <w:r w:rsidRPr="006F5104">
        <w:t xml:space="preserve">, el </w:t>
      </w:r>
      <w:r w:rsidR="00327180" w:rsidRPr="006F5104">
        <w:t>g</w:t>
      </w:r>
      <w:r w:rsidRPr="006F5104">
        <w:t>rupo:</w:t>
      </w:r>
    </w:p>
    <w:p w:rsidR="00622D06" w:rsidRPr="006F5104" w:rsidRDefault="00622D06">
      <w:pPr>
        <w:pStyle w:val="enumlev1"/>
      </w:pPr>
      <w:r w:rsidRPr="006F5104">
        <w:t>–</w:t>
      </w:r>
      <w:r w:rsidRPr="006F5104">
        <w:tab/>
      </w:r>
      <w:r w:rsidR="00FC6464" w:rsidRPr="006F5104">
        <w:t xml:space="preserve">ha </w:t>
      </w:r>
      <w:r w:rsidRPr="006F5104">
        <w:t>facilit</w:t>
      </w:r>
      <w:r w:rsidR="00FC6464" w:rsidRPr="006F5104">
        <w:t>ado</w:t>
      </w:r>
      <w:r w:rsidRPr="006F5104">
        <w:t xml:space="preserve"> el intercambio de información entre los Sectores y la Secretaría General sobre </w:t>
      </w:r>
      <w:r w:rsidR="00A24148" w:rsidRPr="006F5104">
        <w:t xml:space="preserve">los </w:t>
      </w:r>
      <w:r w:rsidRPr="006F5104">
        <w:t>temas</w:t>
      </w:r>
      <w:r w:rsidR="00B84ECA" w:rsidRPr="006F5104">
        <w:t xml:space="preserve"> antes mencionados</w:t>
      </w:r>
      <w:r w:rsidRPr="006F5104">
        <w:t xml:space="preserve">, </w:t>
      </w:r>
      <w:r w:rsidR="00FC6464" w:rsidRPr="006F5104">
        <w:t>proporcionando</w:t>
      </w:r>
      <w:r w:rsidR="00B84ECA" w:rsidRPr="006F5104">
        <w:t xml:space="preserve"> </w:t>
      </w:r>
      <w:r w:rsidR="00FC6464" w:rsidRPr="006F5104">
        <w:t xml:space="preserve">a los miembros del grupo </w:t>
      </w:r>
      <w:r w:rsidR="00B84ECA" w:rsidRPr="006F5104">
        <w:t xml:space="preserve">información actualizada sobre las novedades y </w:t>
      </w:r>
      <w:r w:rsidRPr="006F5104">
        <w:t>los progresos obtenidos en cada campo;</w:t>
      </w:r>
    </w:p>
    <w:p w:rsidR="00622D06" w:rsidRPr="006F5104" w:rsidRDefault="00622D06" w:rsidP="00A06AF1">
      <w:pPr>
        <w:pStyle w:val="enumlev1"/>
      </w:pPr>
      <w:r w:rsidRPr="006F5104">
        <w:t>–</w:t>
      </w:r>
      <w:r w:rsidRPr="006F5104">
        <w:tab/>
      </w:r>
      <w:r w:rsidR="00FC6464" w:rsidRPr="006F5104">
        <w:t>ha celebrado debates</w:t>
      </w:r>
      <w:r w:rsidRPr="006F5104">
        <w:t xml:space="preserve"> y propu</w:t>
      </w:r>
      <w:r w:rsidR="00FC6464" w:rsidRPr="006F5104">
        <w:t>e</w:t>
      </w:r>
      <w:r w:rsidRPr="006F5104">
        <w:t>s</w:t>
      </w:r>
      <w:r w:rsidR="00FC6464" w:rsidRPr="006F5104">
        <w:t>t</w:t>
      </w:r>
      <w:r w:rsidRPr="006F5104">
        <w:t>o soluciones</w:t>
      </w:r>
      <w:r w:rsidR="00FC6464" w:rsidRPr="006F5104">
        <w:t xml:space="preserve"> en relación con</w:t>
      </w:r>
      <w:r w:rsidRPr="006F5104">
        <w:t xml:space="preserve"> las principales cuestiones planteadas por los coordinadores, </w:t>
      </w:r>
      <w:r w:rsidR="001807BB" w:rsidRPr="006F5104">
        <w:t>elevándolas</w:t>
      </w:r>
      <w:r w:rsidRPr="006F5104">
        <w:t xml:space="preserve"> </w:t>
      </w:r>
      <w:r w:rsidR="00B84ECA" w:rsidRPr="006F5104">
        <w:t>a instancias superiores en los casos e</w:t>
      </w:r>
      <w:r w:rsidR="00A06AF1" w:rsidRPr="006F5104">
        <w:t>n</w:t>
      </w:r>
      <w:r w:rsidR="00B84ECA" w:rsidRPr="006F5104">
        <w:t xml:space="preserve"> que</w:t>
      </w:r>
      <w:r w:rsidRPr="006F5104">
        <w:t xml:space="preserve"> no pudier</w:t>
      </w:r>
      <w:r w:rsidR="00B84ECA" w:rsidRPr="006F5104">
        <w:t>o</w:t>
      </w:r>
      <w:r w:rsidRPr="006F5104">
        <w:t xml:space="preserve">n tomarse decisiones o </w:t>
      </w:r>
      <w:r w:rsidR="00B84ECA" w:rsidRPr="006F5104">
        <w:t xml:space="preserve">resoluciones </w:t>
      </w:r>
      <w:r w:rsidRPr="006F5104">
        <w:t>a nivel de los coordinadores;</w:t>
      </w:r>
    </w:p>
    <w:p w:rsidR="00622D06" w:rsidRPr="006F5104" w:rsidRDefault="00622D06">
      <w:pPr>
        <w:pStyle w:val="enumlev1"/>
      </w:pPr>
      <w:r w:rsidRPr="006F5104">
        <w:t>–</w:t>
      </w:r>
      <w:r w:rsidRPr="006F5104">
        <w:tab/>
      </w:r>
      <w:r w:rsidR="001807BB" w:rsidRPr="006F5104">
        <w:t xml:space="preserve">ha impulsado </w:t>
      </w:r>
      <w:r w:rsidRPr="006F5104">
        <w:t xml:space="preserve">la participación y contribución de las Oficinas Regionales, que han estado </w:t>
      </w:r>
      <w:r w:rsidR="00B84ECA" w:rsidRPr="006F5104">
        <w:t>tomando parte en</w:t>
      </w:r>
      <w:r w:rsidRPr="006F5104">
        <w:t xml:space="preserve"> los debates del </w:t>
      </w:r>
      <w:r w:rsidR="001807BB" w:rsidRPr="006F5104">
        <w:t>GE</w:t>
      </w:r>
      <w:r w:rsidRPr="006F5104">
        <w:t>-</w:t>
      </w:r>
      <w:r w:rsidR="001807BB" w:rsidRPr="006F5104">
        <w:t>CIS</w:t>
      </w:r>
      <w:r w:rsidRPr="006F5104">
        <w:t xml:space="preserve"> a través de </w:t>
      </w:r>
      <w:r w:rsidR="00B84ECA" w:rsidRPr="006F5104">
        <w:t xml:space="preserve">los mecanismos de </w:t>
      </w:r>
      <w:r w:rsidRPr="006F5104">
        <w:t>participación a distancia</w:t>
      </w:r>
      <w:r w:rsidR="001807BB" w:rsidRPr="006F5104">
        <w:t>;</w:t>
      </w:r>
    </w:p>
    <w:p w:rsidR="00622D06" w:rsidRPr="006F5104" w:rsidRDefault="00622D06">
      <w:pPr>
        <w:pStyle w:val="enumlev1"/>
      </w:pPr>
      <w:r w:rsidRPr="006F5104">
        <w:t>–</w:t>
      </w:r>
      <w:r w:rsidRPr="006F5104">
        <w:tab/>
      </w:r>
      <w:r w:rsidR="001807BB" w:rsidRPr="006F5104">
        <w:t xml:space="preserve">ha seguido </w:t>
      </w:r>
      <w:r w:rsidRPr="006F5104">
        <w:t xml:space="preserve">publicando y actualizando información sobre los trabajos de la UIT </w:t>
      </w:r>
      <w:r w:rsidR="001807BB" w:rsidRPr="006F5104">
        <w:t xml:space="preserve">en </w:t>
      </w:r>
      <w:r w:rsidRPr="006F5104">
        <w:t>los campos temáticos</w:t>
      </w:r>
      <w:r w:rsidR="001807BB" w:rsidRPr="006F5104">
        <w:t xml:space="preserve"> antes mencionados</w:t>
      </w:r>
      <w:r w:rsidR="002F4E47" w:rsidRPr="006F5104">
        <w:t xml:space="preserve"> </w:t>
      </w:r>
      <w:r w:rsidRPr="006F5104">
        <w:t xml:space="preserve">en las páginas web pertinentes de la </w:t>
      </w:r>
      <w:r w:rsidR="002F4E47" w:rsidRPr="006F5104">
        <w:t>Unión</w:t>
      </w:r>
      <w:r w:rsidRPr="006F5104">
        <w:t>, de manera abierta y transparente;</w:t>
      </w:r>
    </w:p>
    <w:p w:rsidR="00622D06" w:rsidRPr="006F5104" w:rsidRDefault="00622D06">
      <w:pPr>
        <w:pStyle w:val="enumlev1"/>
      </w:pPr>
      <w:r w:rsidRPr="006F5104">
        <w:t>–</w:t>
      </w:r>
      <w:r w:rsidRPr="006F5104">
        <w:tab/>
      </w:r>
      <w:r w:rsidR="001807BB" w:rsidRPr="006F5104">
        <w:t xml:space="preserve">ha coordinado </w:t>
      </w:r>
      <w:r w:rsidRPr="006F5104">
        <w:t>la participación de la UIT en conferencias y foros</w:t>
      </w:r>
      <w:r w:rsidR="001807BB" w:rsidRPr="006F5104">
        <w:t>,</w:t>
      </w:r>
      <w:r w:rsidRPr="006F5104">
        <w:t xml:space="preserve"> con el objetivo de racionalizar la delegación/presencia de </w:t>
      </w:r>
      <w:r w:rsidRPr="006F5104">
        <w:lastRenderedPageBreak/>
        <w:t xml:space="preserve">la UIT garantizando, a su vez, que los intereses intersectoriales </w:t>
      </w:r>
      <w:r w:rsidR="001807BB" w:rsidRPr="006F5104">
        <w:t xml:space="preserve">se viesen </w:t>
      </w:r>
      <w:r w:rsidRPr="006F5104">
        <w:t>representados; y</w:t>
      </w:r>
    </w:p>
    <w:p w:rsidR="00622D06" w:rsidRPr="006F5104" w:rsidRDefault="00622D06">
      <w:pPr>
        <w:pStyle w:val="enumlev1"/>
      </w:pPr>
      <w:r w:rsidRPr="006F5104">
        <w:t>–</w:t>
      </w:r>
      <w:r w:rsidRPr="006F5104">
        <w:tab/>
      </w:r>
      <w:r w:rsidR="001807BB" w:rsidRPr="006F5104">
        <w:t xml:space="preserve">ha facilitado </w:t>
      </w:r>
      <w:r w:rsidRPr="006F5104">
        <w:t>una mejor</w:t>
      </w:r>
      <w:r w:rsidR="001807BB" w:rsidRPr="006F5104">
        <w:t>a de la</w:t>
      </w:r>
      <w:r w:rsidRPr="006F5104">
        <w:t xml:space="preserve"> coordinación </w:t>
      </w:r>
      <w:r w:rsidR="001807BB" w:rsidRPr="006F5104">
        <w:t xml:space="preserve">en </w:t>
      </w:r>
      <w:r w:rsidRPr="006F5104">
        <w:t>la organizaci</w:t>
      </w:r>
      <w:r w:rsidR="00FC366E" w:rsidRPr="006F5104">
        <w:t>ón de eventos y reuniones de la </w:t>
      </w:r>
      <w:r w:rsidRPr="006F5104">
        <w:t>UIT a través de los trabajos realizados en e</w:t>
      </w:r>
      <w:r w:rsidR="0016432F">
        <w:t>se determinado campo</w:t>
      </w:r>
      <w:r w:rsidR="00854F1F">
        <w:t>.</w:t>
      </w:r>
    </w:p>
    <w:p w:rsidR="00622D06" w:rsidRPr="006F5104" w:rsidRDefault="00622D06" w:rsidP="0010058F">
      <w:r w:rsidRPr="006F5104">
        <w:t>2.4</w:t>
      </w:r>
      <w:r w:rsidRPr="006F5104">
        <w:tab/>
        <w:t xml:space="preserve">Además, </w:t>
      </w:r>
      <w:r w:rsidR="001807BB" w:rsidRPr="006F5104">
        <w:t xml:space="preserve">desde la última reunión ordinaria del Consejo, </w:t>
      </w:r>
      <w:r w:rsidRPr="006F5104">
        <w:t xml:space="preserve">el </w:t>
      </w:r>
      <w:r w:rsidR="00F63E2F" w:rsidRPr="006F5104">
        <w:t>g</w:t>
      </w:r>
      <w:r w:rsidRPr="006F5104">
        <w:t xml:space="preserve">rupo </w:t>
      </w:r>
      <w:r w:rsidR="001807BB" w:rsidRPr="006F5104">
        <w:t xml:space="preserve">ha logrado </w:t>
      </w:r>
      <w:r w:rsidRPr="006F5104">
        <w:t>los siguientes resultados específicos:</w:t>
      </w:r>
    </w:p>
    <w:p w:rsidR="00A01225" w:rsidRPr="006F5104" w:rsidRDefault="00622D06" w:rsidP="00003A69">
      <w:pPr>
        <w:pStyle w:val="enumlev1"/>
      </w:pPr>
      <w:r w:rsidRPr="006F5104">
        <w:t>–</w:t>
      </w:r>
      <w:r w:rsidRPr="006F5104">
        <w:tab/>
      </w:r>
      <w:r w:rsidR="001807BB" w:rsidRPr="006F5104">
        <w:t>ha desarrollado</w:t>
      </w:r>
      <w:r w:rsidR="00A01225" w:rsidRPr="006F5104">
        <w:t xml:space="preserve"> una nueva página web sobre coordinación intersectorial (véase: </w:t>
      </w:r>
      <w:hyperlink r:id="rId12" w:history="1">
        <w:r w:rsidR="00A01225" w:rsidRPr="006F5104">
          <w:rPr>
            <w:rStyle w:val="Hyperlink"/>
          </w:rPr>
          <w:t>www.itu.int/en/general-secretariat/Pages/intersectoral-coordination.aspx</w:t>
        </w:r>
      </w:hyperlink>
      <w:r w:rsidR="00A01225" w:rsidRPr="006F5104">
        <w:t xml:space="preserve">), en </w:t>
      </w:r>
      <w:r w:rsidR="001807BB" w:rsidRPr="006F5104">
        <w:t>colaboración</w:t>
      </w:r>
      <w:r w:rsidR="00A01225" w:rsidRPr="006F5104">
        <w:t xml:space="preserve"> con el Presidente del </w:t>
      </w:r>
      <w:r w:rsidR="00003A69" w:rsidRPr="006F5104">
        <w:t>Grupo</w:t>
      </w:r>
      <w:r w:rsidR="00A01225" w:rsidRPr="006F5104">
        <w:t xml:space="preserve"> d</w:t>
      </w:r>
      <w:r w:rsidR="00003A69" w:rsidRPr="006F5104">
        <w:t>e Coordinación Intersectorial (G</w:t>
      </w:r>
      <w:r w:rsidR="00A01225" w:rsidRPr="006F5104">
        <w:t>CIS) sobre asuntos de interés mutuo;</w:t>
      </w:r>
    </w:p>
    <w:p w:rsidR="00A01225" w:rsidRPr="006F5104" w:rsidRDefault="00373416" w:rsidP="0010058F">
      <w:pPr>
        <w:pStyle w:val="enumlev1"/>
      </w:pPr>
      <w:r w:rsidRPr="006F5104">
        <w:t>–</w:t>
      </w:r>
      <w:r w:rsidRPr="006F5104">
        <w:tab/>
      </w:r>
      <w:r w:rsidR="001807BB" w:rsidRPr="006F5104">
        <w:t xml:space="preserve">ha </w:t>
      </w:r>
      <w:r w:rsidR="00A01225" w:rsidRPr="006F5104">
        <w:t>examin</w:t>
      </w:r>
      <w:r w:rsidR="001807BB" w:rsidRPr="006F5104">
        <w:t>ado</w:t>
      </w:r>
      <w:r w:rsidR="00A01225" w:rsidRPr="006F5104">
        <w:t xml:space="preserve"> las directrices de patrocinio de la UIT propuestas y las disposiciones de la correspondiente Orden de Servicio;</w:t>
      </w:r>
    </w:p>
    <w:p w:rsidR="00622D06" w:rsidRPr="006F5104" w:rsidRDefault="00373416">
      <w:pPr>
        <w:pStyle w:val="enumlev1"/>
      </w:pPr>
      <w:r w:rsidRPr="006F5104">
        <w:t>–</w:t>
      </w:r>
      <w:r w:rsidRPr="006F5104">
        <w:tab/>
      </w:r>
      <w:r w:rsidR="001807BB" w:rsidRPr="006F5104">
        <w:t xml:space="preserve">ha </w:t>
      </w:r>
      <w:r w:rsidR="00A01225" w:rsidRPr="006F5104">
        <w:t>a</w:t>
      </w:r>
      <w:r w:rsidR="00622D06" w:rsidRPr="006F5104">
        <w:t>bord</w:t>
      </w:r>
      <w:r w:rsidR="001807BB" w:rsidRPr="006F5104">
        <w:t>ado</w:t>
      </w:r>
      <w:r w:rsidR="00622D06" w:rsidRPr="006F5104">
        <w:t xml:space="preserve"> el tema de la igualdad de género en los comités reglamentarios de la UIT</w:t>
      </w:r>
      <w:r w:rsidR="00621931" w:rsidRPr="006F5104">
        <w:t xml:space="preserve"> y </w:t>
      </w:r>
      <w:r w:rsidR="001807BB" w:rsidRPr="006F5104">
        <w:t>ha coordinado</w:t>
      </w:r>
      <w:r w:rsidR="00621931" w:rsidRPr="006F5104">
        <w:t xml:space="preserve"> el seguimiento</w:t>
      </w:r>
      <w:r w:rsidR="001807BB" w:rsidRPr="006F5104">
        <w:t xml:space="preserve"> exigido</w:t>
      </w:r>
      <w:r w:rsidR="00622D06" w:rsidRPr="006F5104">
        <w:t>;</w:t>
      </w:r>
    </w:p>
    <w:p w:rsidR="00621931" w:rsidRPr="006F5104" w:rsidRDefault="00373416">
      <w:pPr>
        <w:pStyle w:val="enumlev1"/>
      </w:pPr>
      <w:r w:rsidRPr="006F5104">
        <w:t>–</w:t>
      </w:r>
      <w:r w:rsidRPr="006F5104">
        <w:tab/>
      </w:r>
      <w:r w:rsidR="001807BB" w:rsidRPr="006F5104">
        <w:t xml:space="preserve">ha </w:t>
      </w:r>
      <w:r w:rsidR="00621931" w:rsidRPr="006F5104">
        <w:t>supervis</w:t>
      </w:r>
      <w:r w:rsidR="001807BB" w:rsidRPr="006F5104">
        <w:t>ado</w:t>
      </w:r>
      <w:r w:rsidR="00621931" w:rsidRPr="006F5104">
        <w:t xml:space="preserve"> la ejecución del proyecto piloto sobre la participación de las pymes en los trabajos de la Unión </w:t>
      </w:r>
      <w:r w:rsidR="001807BB" w:rsidRPr="006F5104">
        <w:t>a través de</w:t>
      </w:r>
      <w:r w:rsidR="00621931" w:rsidRPr="006F5104">
        <w:t xml:space="preserve"> las Comisiones de Estudio del UIT-T y del UIT-D;</w:t>
      </w:r>
    </w:p>
    <w:p w:rsidR="00373416" w:rsidRPr="006F5104" w:rsidRDefault="00373416" w:rsidP="0010058F">
      <w:pPr>
        <w:pStyle w:val="enumlev1"/>
      </w:pPr>
      <w:r w:rsidRPr="006F5104">
        <w:t>–</w:t>
      </w:r>
      <w:r w:rsidRPr="006F5104">
        <w:tab/>
      </w:r>
      <w:r w:rsidR="001807BB" w:rsidRPr="006F5104">
        <w:t>ha coordinado</w:t>
      </w:r>
      <w:r w:rsidR="00621931" w:rsidRPr="006F5104">
        <w:t xml:space="preserve"> la participación de la Secretaría de la UIT en la Conferencia COP-24;</w:t>
      </w:r>
    </w:p>
    <w:p w:rsidR="00373416" w:rsidRPr="006F5104" w:rsidRDefault="00373416" w:rsidP="00C9446B">
      <w:pPr>
        <w:pStyle w:val="enumlev1"/>
      </w:pPr>
      <w:r w:rsidRPr="006F5104">
        <w:t>–</w:t>
      </w:r>
      <w:r w:rsidRPr="006F5104">
        <w:tab/>
      </w:r>
      <w:r w:rsidR="001807BB" w:rsidRPr="006F5104">
        <w:t xml:space="preserve">ha </w:t>
      </w:r>
      <w:r w:rsidR="00621931" w:rsidRPr="006F5104">
        <w:t>examin</w:t>
      </w:r>
      <w:r w:rsidR="001807BB" w:rsidRPr="006F5104">
        <w:t xml:space="preserve">ado </w:t>
      </w:r>
      <w:r w:rsidRPr="006F5104">
        <w:t>la elaboración</w:t>
      </w:r>
      <w:r w:rsidR="00621931" w:rsidRPr="006F5104">
        <w:t xml:space="preserve"> de los contenidos digitales y la estrategia de </w:t>
      </w:r>
      <w:r w:rsidRPr="006F5104">
        <w:t>participación</w:t>
      </w:r>
      <w:r w:rsidR="00621931" w:rsidRPr="006F5104">
        <w:t>;</w:t>
      </w:r>
    </w:p>
    <w:p w:rsidR="00373416" w:rsidRPr="006F5104" w:rsidRDefault="00622D06" w:rsidP="0010058F">
      <w:pPr>
        <w:pStyle w:val="enumlev1"/>
      </w:pPr>
      <w:r w:rsidRPr="006F5104">
        <w:t>–</w:t>
      </w:r>
      <w:r w:rsidRPr="006F5104">
        <w:tab/>
      </w:r>
      <w:r w:rsidR="001807BB" w:rsidRPr="006F5104">
        <w:t>ha seguido</w:t>
      </w:r>
      <w:r w:rsidR="00373416" w:rsidRPr="006F5104">
        <w:t xml:space="preserve"> </w:t>
      </w:r>
      <w:r w:rsidRPr="006F5104">
        <w:t>examinando el proceso detallado de presentación de informes sobre la situación en lo que respecta a los Miembros de Sector por Sector y por Región;</w:t>
      </w:r>
    </w:p>
    <w:p w:rsidR="00373416" w:rsidRPr="006F5104" w:rsidRDefault="00622D06">
      <w:pPr>
        <w:pStyle w:val="enumlev1"/>
      </w:pPr>
      <w:r w:rsidRPr="006F5104">
        <w:t>–</w:t>
      </w:r>
      <w:r w:rsidRPr="006F5104">
        <w:tab/>
      </w:r>
      <w:r w:rsidR="001807BB" w:rsidRPr="006F5104">
        <w:t xml:space="preserve">ha revisado </w:t>
      </w:r>
      <w:r w:rsidR="00373416" w:rsidRPr="006F5104">
        <w:t>el análisis de la gestión de riesgos que debe incluirse en los planes operacionales de la UIT; y</w:t>
      </w:r>
    </w:p>
    <w:p w:rsidR="001807BB" w:rsidRPr="006F5104" w:rsidRDefault="00373416" w:rsidP="00FC366E">
      <w:pPr>
        <w:pStyle w:val="enumlev1"/>
      </w:pPr>
      <w:r w:rsidRPr="006F5104">
        <w:t>–</w:t>
      </w:r>
      <w:r w:rsidRPr="006F5104">
        <w:tab/>
      </w:r>
      <w:r w:rsidR="001807BB" w:rsidRPr="006F5104">
        <w:t xml:space="preserve">ha examinado </w:t>
      </w:r>
      <w:r w:rsidRPr="006F5104">
        <w:t xml:space="preserve">el programa de trabajo de la </w:t>
      </w:r>
      <w:r w:rsidR="003E0B16" w:rsidRPr="006F5104">
        <w:t xml:space="preserve">Dependencia Común de Inspección </w:t>
      </w:r>
      <w:r w:rsidRPr="006F5104">
        <w:t>para 2019, incluida la asignación de los respectivos coordinadores de la UIT.</w:t>
      </w:r>
    </w:p>
    <w:p w:rsidR="00ED1C25" w:rsidRPr="006F5104" w:rsidRDefault="00ED1C25" w:rsidP="00FC366E">
      <w:pPr>
        <w:pStyle w:val="Headingb"/>
      </w:pPr>
      <w:r w:rsidRPr="006F5104">
        <w:lastRenderedPageBreak/>
        <w:t>Proceso de fortalecimiento de la coordinación intersectorial en la UIT</w:t>
      </w:r>
    </w:p>
    <w:p w:rsidR="00373416" w:rsidRPr="00674AA5" w:rsidRDefault="00ED1C25" w:rsidP="009233FE">
      <w:r w:rsidRPr="006F5104">
        <w:t>2.5</w:t>
      </w:r>
      <w:r w:rsidRPr="006F5104">
        <w:tab/>
      </w:r>
      <w:r w:rsidR="00373416" w:rsidRPr="006F5104">
        <w:t>Además, y como seguimiento de los resultados de la Confere</w:t>
      </w:r>
      <w:r w:rsidR="00012BA9" w:rsidRPr="006F5104">
        <w:t>ncia de Plenipotenciarios de la </w:t>
      </w:r>
      <w:r w:rsidR="00373416" w:rsidRPr="006F5104">
        <w:t>UIT, el grupo emprendió un examen de los mecanismos de coordinación intersectorial existentes, a fin de garantizar la aplicación del nuevo Objetivo intersectorial I.6, según lo acordado por los Miembros</w:t>
      </w:r>
      <w:r w:rsidRPr="006F5104">
        <w:t xml:space="preserve"> en el marco</w:t>
      </w:r>
      <w:r w:rsidR="00373416" w:rsidRPr="006F5104">
        <w:t xml:space="preserve"> del Plan Estratégico de la UIT </w:t>
      </w:r>
      <w:r w:rsidRPr="006F5104">
        <w:t xml:space="preserve">para </w:t>
      </w:r>
      <w:r w:rsidR="00373416" w:rsidRPr="006F5104">
        <w:t xml:space="preserve">2020-2023 (el cuadro que figura a continuación </w:t>
      </w:r>
      <w:r w:rsidRPr="006F5104">
        <w:t>comprende</w:t>
      </w:r>
      <w:r w:rsidR="00373416" w:rsidRPr="006F5104">
        <w:t xml:space="preserve"> el objetivo, los resultados </w:t>
      </w:r>
      <w:r w:rsidRPr="006F5104">
        <w:t>previstos</w:t>
      </w:r>
      <w:r w:rsidR="00373416" w:rsidRPr="006F5104">
        <w:t xml:space="preserve"> y los productos que </w:t>
      </w:r>
      <w:r w:rsidRPr="006F5104">
        <w:t>cabe obtener</w:t>
      </w:r>
      <w:r w:rsidR="00373416" w:rsidRPr="006F5104">
        <w:t>).</w:t>
      </w:r>
    </w:p>
    <w:p w:rsidR="00E02384" w:rsidRPr="00674AA5" w:rsidRDefault="00E02384" w:rsidP="009233FE">
      <w:r w:rsidRPr="00674AA5">
        <w:br w:type="page"/>
      </w:r>
    </w:p>
    <w:p w:rsidR="002518F9" w:rsidRDefault="002518F9" w:rsidP="00E02384">
      <w:pPr>
        <w:pStyle w:val="Tabletitle"/>
        <w:sectPr w:rsidR="002518F9" w:rsidSect="006710F6">
          <w:headerReference w:type="default" r:id="rId13"/>
          <w:footerReference w:type="default" r:id="rId14"/>
          <w:footerReference w:type="first" r:id="rId15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:rsidR="00373416" w:rsidRPr="006F5104" w:rsidRDefault="00ED1C25" w:rsidP="00E02384">
      <w:pPr>
        <w:pStyle w:val="Tabletitle"/>
      </w:pPr>
      <w:r w:rsidRPr="006F5104">
        <w:t>Cuadro</w:t>
      </w:r>
      <w:r w:rsidR="00373416" w:rsidRPr="006F5104">
        <w:t xml:space="preserve"> 1: </w:t>
      </w:r>
      <w:r w:rsidRPr="006F5104">
        <w:t>nuevo Objetivo intersectorial sobre reducción de solapamientos y duplicaciones</w:t>
      </w:r>
    </w:p>
    <w:tbl>
      <w:tblPr>
        <w:tblStyle w:val="PlainTable2"/>
        <w:tblW w:w="0" w:type="auto"/>
        <w:tblLook w:val="0400" w:firstRow="0" w:lastRow="0" w:firstColumn="0" w:lastColumn="0" w:noHBand="0" w:noVBand="1"/>
      </w:tblPr>
      <w:tblGrid>
        <w:gridCol w:w="3969"/>
        <w:gridCol w:w="5670"/>
      </w:tblGrid>
      <w:tr w:rsidR="00373416" w:rsidRPr="00674AA5" w:rsidTr="00643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9" w:type="dxa"/>
            <w:gridSpan w:val="2"/>
          </w:tcPr>
          <w:p w:rsidR="00373416" w:rsidRPr="004615F0" w:rsidRDefault="00373416" w:rsidP="00FC366E">
            <w:pPr>
              <w:spacing w:before="60" w:after="60"/>
              <w:rPr>
                <w:b/>
                <w:bCs/>
                <w:sz w:val="22"/>
                <w:szCs w:val="18"/>
              </w:rPr>
            </w:pPr>
            <w:r w:rsidRPr="006F5104">
              <w:rPr>
                <w:b/>
                <w:bCs/>
                <w:sz w:val="22"/>
                <w:szCs w:val="18"/>
              </w:rPr>
              <w:t>I.6 (</w:t>
            </w:r>
            <w:r w:rsidR="00ED1C25" w:rsidRPr="006F5104">
              <w:rPr>
                <w:b/>
                <w:bCs/>
                <w:sz w:val="22"/>
                <w:szCs w:val="18"/>
              </w:rPr>
              <w:t>Reducción de solapamientos y duplicaciones</w:t>
            </w:r>
            <w:r w:rsidRPr="006F5104">
              <w:rPr>
                <w:b/>
                <w:bCs/>
                <w:sz w:val="22"/>
                <w:szCs w:val="18"/>
              </w:rPr>
              <w:t xml:space="preserve">) </w:t>
            </w:r>
            <w:r w:rsidR="00ED1C25" w:rsidRPr="006F5104">
              <w:rPr>
                <w:sz w:val="22"/>
                <w:szCs w:val="18"/>
              </w:rPr>
              <w:t>Reducir las esferas que se solapan y duplican, y fomentar una coordinación más estrecha y transparente entre la Secretar</w:t>
            </w:r>
            <w:r w:rsidR="00FC366E" w:rsidRPr="006F5104">
              <w:rPr>
                <w:sz w:val="22"/>
                <w:szCs w:val="18"/>
              </w:rPr>
              <w:t>ía General y los Sectores de la </w:t>
            </w:r>
            <w:r w:rsidR="00ED1C25" w:rsidRPr="006F5104">
              <w:rPr>
                <w:sz w:val="22"/>
                <w:szCs w:val="18"/>
              </w:rPr>
              <w:t>UIT, teniendo en cuenta los créditos presupuestarios de la Unión y los conocimientos y mandatos de cada Sector</w:t>
            </w:r>
          </w:p>
        </w:tc>
      </w:tr>
      <w:tr w:rsidR="00373416" w:rsidRPr="00674AA5" w:rsidTr="00643D5E">
        <w:tc>
          <w:tcPr>
            <w:tcW w:w="3969" w:type="dxa"/>
          </w:tcPr>
          <w:p w:rsidR="00373416" w:rsidRPr="006F5104" w:rsidRDefault="00ED1C25" w:rsidP="00C9446B">
            <w:pPr>
              <w:spacing w:before="60" w:after="60"/>
              <w:rPr>
                <w:i/>
                <w:iCs/>
                <w:sz w:val="22"/>
                <w:szCs w:val="18"/>
              </w:rPr>
            </w:pPr>
            <w:r w:rsidRPr="00CB551A">
              <w:rPr>
                <w:i/>
                <w:iCs/>
              </w:rPr>
              <w:t>Resultados</w:t>
            </w:r>
          </w:p>
        </w:tc>
        <w:tc>
          <w:tcPr>
            <w:tcW w:w="5670" w:type="dxa"/>
          </w:tcPr>
          <w:p w:rsidR="00373416" w:rsidRPr="006F5104" w:rsidRDefault="00ED1C25" w:rsidP="00C9446B">
            <w:pPr>
              <w:spacing w:before="60" w:after="60"/>
              <w:rPr>
                <w:i/>
                <w:iCs/>
                <w:sz w:val="22"/>
                <w:szCs w:val="18"/>
              </w:rPr>
            </w:pPr>
            <w:r w:rsidRPr="004615F0">
              <w:rPr>
                <w:i/>
                <w:iCs/>
              </w:rPr>
              <w:t>Productos</w:t>
            </w:r>
          </w:p>
        </w:tc>
      </w:tr>
      <w:tr w:rsidR="00373416" w:rsidRPr="00674AA5" w:rsidTr="00643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9" w:type="dxa"/>
          </w:tcPr>
          <w:p w:rsidR="00373416" w:rsidRPr="00CB551A" w:rsidRDefault="00373416" w:rsidP="003A3ACB">
            <w:pPr>
              <w:spacing w:before="60" w:after="40"/>
              <w:rPr>
                <w:sz w:val="22"/>
                <w:szCs w:val="18"/>
              </w:rPr>
            </w:pPr>
            <w:r w:rsidRPr="00CB551A">
              <w:rPr>
                <w:sz w:val="22"/>
                <w:szCs w:val="18"/>
              </w:rPr>
              <w:t xml:space="preserve">I.6-a: </w:t>
            </w:r>
            <w:r w:rsidR="00ED1C25" w:rsidRPr="006F5104">
              <w:rPr>
                <w:sz w:val="22"/>
                <w:szCs w:val="18"/>
              </w:rPr>
              <w:t>Colaboración más estrecha y transparente entre los Sectores de la UIT, la Secretaría General y las tres Oficinas</w:t>
            </w:r>
          </w:p>
          <w:p w:rsidR="00373416" w:rsidRPr="00CB551A" w:rsidRDefault="00373416" w:rsidP="003A3ACB">
            <w:pPr>
              <w:spacing w:before="60" w:after="40"/>
              <w:rPr>
                <w:sz w:val="22"/>
                <w:szCs w:val="18"/>
              </w:rPr>
            </w:pPr>
            <w:r w:rsidRPr="00CB551A">
              <w:rPr>
                <w:sz w:val="22"/>
                <w:szCs w:val="18"/>
              </w:rPr>
              <w:t xml:space="preserve">I.6-b: </w:t>
            </w:r>
            <w:r w:rsidR="00ED1C25" w:rsidRPr="006F5104">
              <w:rPr>
                <w:sz w:val="22"/>
                <w:szCs w:val="18"/>
              </w:rPr>
              <w:t>Reducción de las esferas que se solapan y duplican entre los Sectores de la UIT y los trabajos de la Secretaría General y las tres Oficinas</w:t>
            </w:r>
          </w:p>
          <w:p w:rsidR="00373416" w:rsidRPr="004615F0" w:rsidRDefault="00373416" w:rsidP="003A3ACB">
            <w:pPr>
              <w:spacing w:before="60" w:after="40"/>
              <w:rPr>
                <w:sz w:val="22"/>
                <w:szCs w:val="18"/>
              </w:rPr>
            </w:pPr>
            <w:r w:rsidRPr="00CB551A">
              <w:rPr>
                <w:sz w:val="22"/>
                <w:szCs w:val="18"/>
              </w:rPr>
              <w:t xml:space="preserve">I.6-c: </w:t>
            </w:r>
            <w:r w:rsidR="00ED1C25" w:rsidRPr="006F5104">
              <w:rPr>
                <w:sz w:val="22"/>
                <w:szCs w:val="18"/>
              </w:rPr>
              <w:t>Ahorrar mediante la evitación de esferas de solapamiento</w:t>
            </w:r>
          </w:p>
        </w:tc>
        <w:tc>
          <w:tcPr>
            <w:tcW w:w="5670" w:type="dxa"/>
          </w:tcPr>
          <w:p w:rsidR="00373416" w:rsidRPr="00CB551A" w:rsidRDefault="00373416" w:rsidP="003A3ACB">
            <w:pPr>
              <w:spacing w:before="60" w:after="40"/>
              <w:rPr>
                <w:sz w:val="22"/>
                <w:szCs w:val="18"/>
              </w:rPr>
            </w:pPr>
            <w:r w:rsidRPr="004615F0">
              <w:rPr>
                <w:sz w:val="22"/>
                <w:szCs w:val="18"/>
              </w:rPr>
              <w:t xml:space="preserve">I.6-1: </w:t>
            </w:r>
            <w:r w:rsidR="00ED1C25" w:rsidRPr="00CB551A">
              <w:rPr>
                <w:b/>
                <w:bCs/>
                <w:sz w:val="22"/>
                <w:szCs w:val="18"/>
              </w:rPr>
              <w:t>Proceso</w:t>
            </w:r>
            <w:r w:rsidR="00ED1C25" w:rsidRPr="006F5104">
              <w:rPr>
                <w:sz w:val="22"/>
                <w:szCs w:val="18"/>
              </w:rPr>
              <w:t xml:space="preserve"> para identificar y eliminar todo tipo de duplicación de funciones y actividades entre los órganos estructurales de la UIT, optimizando, entre otras cosas, los </w:t>
            </w:r>
            <w:r w:rsidR="00ED1C25" w:rsidRPr="00CB551A">
              <w:rPr>
                <w:b/>
                <w:bCs/>
                <w:sz w:val="22"/>
                <w:szCs w:val="18"/>
              </w:rPr>
              <w:t>métodos de gestión</w:t>
            </w:r>
            <w:r w:rsidR="00ED1C25" w:rsidRPr="006F5104">
              <w:rPr>
                <w:sz w:val="22"/>
                <w:szCs w:val="18"/>
              </w:rPr>
              <w:t xml:space="preserve">, la logística, la </w:t>
            </w:r>
            <w:r w:rsidR="00ED1C25" w:rsidRPr="00CB551A">
              <w:rPr>
                <w:b/>
                <w:bCs/>
                <w:sz w:val="22"/>
                <w:szCs w:val="18"/>
              </w:rPr>
              <w:t>coordinación</w:t>
            </w:r>
            <w:r w:rsidR="00ED1C25" w:rsidRPr="006F5104">
              <w:rPr>
                <w:sz w:val="22"/>
                <w:szCs w:val="18"/>
              </w:rPr>
              <w:t xml:space="preserve"> y el apoyo prestado por la Secretaría</w:t>
            </w:r>
          </w:p>
          <w:p w:rsidR="00373416" w:rsidRPr="004615F0" w:rsidRDefault="00373416" w:rsidP="003A3ACB">
            <w:pPr>
              <w:spacing w:before="60" w:after="40"/>
              <w:rPr>
                <w:sz w:val="22"/>
                <w:szCs w:val="18"/>
              </w:rPr>
            </w:pPr>
            <w:r w:rsidRPr="00CB551A">
              <w:rPr>
                <w:sz w:val="22"/>
                <w:szCs w:val="18"/>
              </w:rPr>
              <w:t xml:space="preserve">I.6-2: </w:t>
            </w:r>
            <w:r w:rsidR="00ED1C25" w:rsidRPr="006F5104">
              <w:rPr>
                <w:sz w:val="22"/>
                <w:szCs w:val="18"/>
              </w:rPr>
              <w:t xml:space="preserve">Aplicar el concepto de "Una UIT", armonizando, en la medida de lo posible, los </w:t>
            </w:r>
            <w:r w:rsidR="00ED1C25" w:rsidRPr="00CB551A">
              <w:rPr>
                <w:b/>
                <w:bCs/>
                <w:sz w:val="22"/>
                <w:szCs w:val="18"/>
              </w:rPr>
              <w:t>procedimientos</w:t>
            </w:r>
            <w:r w:rsidR="00ED1C25" w:rsidRPr="006F5104">
              <w:rPr>
                <w:sz w:val="22"/>
                <w:szCs w:val="18"/>
              </w:rPr>
              <w:t xml:space="preserve"> de los sectores y las Oficinas Regionales/presencia regional en la ejecución de metas y objetivos de la UIT y los Sectores</w:t>
            </w:r>
          </w:p>
        </w:tc>
      </w:tr>
    </w:tbl>
    <w:p w:rsidR="000F5A01" w:rsidRPr="006F5104" w:rsidRDefault="00ED1C25" w:rsidP="002518F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spacing w:before="240" w:after="120"/>
        <w:jc w:val="both"/>
        <w:textAlignment w:val="auto"/>
      </w:pPr>
      <w:r w:rsidRPr="006F5104">
        <w:t>2.6</w:t>
      </w:r>
      <w:r w:rsidRPr="006F5104">
        <w:tab/>
        <w:t>El grupo revisará la estrategia de coordinación y cooperación</w:t>
      </w:r>
      <w:r w:rsidR="003E0B16" w:rsidRPr="006F5104">
        <w:t>,</w:t>
      </w:r>
      <w:r w:rsidRPr="006F5104">
        <w:t xml:space="preserve"> examinará el mecanismo de determinación y definición </w:t>
      </w:r>
      <w:r w:rsidR="004C5353" w:rsidRPr="006F5104">
        <w:t>de los ámbitos</w:t>
      </w:r>
      <w:r w:rsidRPr="006F5104">
        <w:t xml:space="preserve"> de interés mutuo y reconsiderará sus métodos de trabajo, a fin de reforzar su función y mejorar su eficacia.</w:t>
      </w:r>
    </w:p>
    <w:p w:rsidR="00622D06" w:rsidRPr="006F5104" w:rsidRDefault="00622D06" w:rsidP="002518F9">
      <w:pPr>
        <w:pStyle w:val="Heading1"/>
        <w:spacing w:before="360"/>
      </w:pPr>
      <w:r w:rsidRPr="006F5104">
        <w:t>3</w:t>
      </w:r>
      <w:r w:rsidRPr="006F5104">
        <w:tab/>
        <w:t xml:space="preserve">Coordinación con los </w:t>
      </w:r>
      <w:r w:rsidR="00E02384" w:rsidRPr="006F5104">
        <w:t>miembros</w:t>
      </w:r>
    </w:p>
    <w:p w:rsidR="00622D06" w:rsidRPr="006F5104" w:rsidRDefault="00622D06" w:rsidP="006F3EFB">
      <w:r w:rsidRPr="006F5104">
        <w:t>3.1</w:t>
      </w:r>
      <w:r w:rsidRPr="006F5104">
        <w:tab/>
      </w:r>
      <w:r w:rsidR="00ED1C25" w:rsidRPr="006F5104">
        <w:t xml:space="preserve">El </w:t>
      </w:r>
      <w:r w:rsidR="006F3EFB" w:rsidRPr="006F5104">
        <w:t>G</w:t>
      </w:r>
      <w:r w:rsidR="004C5353" w:rsidRPr="006F5104">
        <w:t>CIS</w:t>
      </w:r>
      <w:r w:rsidR="004C5353" w:rsidRPr="006F5104" w:rsidDel="004C5353">
        <w:t xml:space="preserve"> </w:t>
      </w:r>
      <w:r w:rsidRPr="006F5104">
        <w:t>fue creado conjuntamente por el Grupo Asesor de Radiocomunicaciones (GAR), el Grupo Asesor de Normalización de las Telecomunicaciones (GA</w:t>
      </w:r>
      <w:r w:rsidR="006F3EFB" w:rsidRPr="006F5104">
        <w:t>N</w:t>
      </w:r>
      <w:r w:rsidRPr="006F5104">
        <w:t>T) y el Grupo Asesor de Desarrollo de las Telecomunicaciones (GADT).</w:t>
      </w:r>
    </w:p>
    <w:p w:rsidR="00B83845" w:rsidRPr="006F5104" w:rsidRDefault="00B83845" w:rsidP="00C9446B">
      <w:r w:rsidRPr="006F5104">
        <w:t>3.2</w:t>
      </w:r>
      <w:r w:rsidRPr="006F5104">
        <w:tab/>
      </w:r>
      <w:r w:rsidR="00ED1C25" w:rsidRPr="006F5104">
        <w:t>En la Resolución 191 (Rev. Dubái, 2018) de la Conferencia de Plenipotenciarios se invita</w:t>
      </w:r>
      <w:r w:rsidR="00F1663D" w:rsidRPr="006F5104">
        <w:t xml:space="preserve"> </w:t>
      </w:r>
      <w:r w:rsidRPr="006F5104">
        <w:t xml:space="preserve">al GAR, el GANT y el GADT a continuar prestando su asistencia al </w:t>
      </w:r>
      <w:r w:rsidR="006F3EFB" w:rsidRPr="006F5104">
        <w:t>GCIS</w:t>
      </w:r>
      <w:r w:rsidRPr="006F5104">
        <w:t xml:space="preserve"> para la identificación de temas comunes a los tres Sectores y de mecanismos para fomentar la cooperación y colaboración de todos los Sectores en asuntos de interés mutuo</w:t>
      </w:r>
      <w:r w:rsidR="00F1663D" w:rsidRPr="006F5104">
        <w:t>.</w:t>
      </w:r>
    </w:p>
    <w:p w:rsidR="00622D06" w:rsidRPr="00674AA5" w:rsidRDefault="00622D06" w:rsidP="00E02384">
      <w:pPr>
        <w:keepLines/>
      </w:pPr>
      <w:r w:rsidRPr="00674AA5">
        <w:t>3.3</w:t>
      </w:r>
      <w:r w:rsidRPr="00674AA5">
        <w:tab/>
        <w:t xml:space="preserve">Desde su creación, el </w:t>
      </w:r>
      <w:r w:rsidR="006F3EFB" w:rsidRPr="00674AA5">
        <w:t>GCIS</w:t>
      </w:r>
      <w:r w:rsidR="00F1663D" w:rsidRPr="00674AA5">
        <w:t xml:space="preserve"> </w:t>
      </w:r>
      <w:r w:rsidRPr="00674AA5">
        <w:t xml:space="preserve">se ha reunido en </w:t>
      </w:r>
      <w:r w:rsidR="00F1663D" w:rsidRPr="00674AA5">
        <w:t xml:space="preserve">seis </w:t>
      </w:r>
      <w:r w:rsidRPr="00674AA5">
        <w:t>ocasiones</w:t>
      </w:r>
      <w:r w:rsidR="004C5353" w:rsidRPr="00674AA5">
        <w:t>,</w:t>
      </w:r>
      <w:r w:rsidRPr="00674AA5">
        <w:t xml:space="preserve"> </w:t>
      </w:r>
      <w:r w:rsidR="00C9446B" w:rsidRPr="00674AA5">
        <w:t>en conjunción</w:t>
      </w:r>
      <w:r w:rsidRPr="00674AA5">
        <w:t xml:space="preserve"> con reuniones del GADT. En su reunión del </w:t>
      </w:r>
      <w:r w:rsidR="00F1663D" w:rsidRPr="00674AA5">
        <w:t xml:space="preserve">4 </w:t>
      </w:r>
      <w:r w:rsidR="00C9446B" w:rsidRPr="00674AA5">
        <w:t xml:space="preserve">de abril de </w:t>
      </w:r>
      <w:r w:rsidR="00F1663D" w:rsidRPr="00674AA5">
        <w:t>2019,</w:t>
      </w:r>
      <w:r w:rsidR="00C9446B" w:rsidRPr="00674AA5">
        <w:t xml:space="preserve"> el</w:t>
      </w:r>
      <w:r w:rsidR="00F1663D" w:rsidRPr="00674AA5">
        <w:t xml:space="preserve"> </w:t>
      </w:r>
      <w:r w:rsidR="006F3EFB" w:rsidRPr="00674AA5">
        <w:t>GCIS</w:t>
      </w:r>
      <w:r w:rsidRPr="00674AA5">
        <w:t xml:space="preserve"> actualizó </w:t>
      </w:r>
      <w:r w:rsidR="00C9446B" w:rsidRPr="00674AA5">
        <w:t xml:space="preserve">el mandato </w:t>
      </w:r>
      <w:r w:rsidRPr="00674AA5">
        <w:t xml:space="preserve">para incluir </w:t>
      </w:r>
      <w:r w:rsidR="00C9446B" w:rsidRPr="00674AA5">
        <w:t xml:space="preserve">a la Secretaría General en el ámbito de trabajo. Además, revisó </w:t>
      </w:r>
      <w:r w:rsidRPr="00674AA5">
        <w:t xml:space="preserve">las relaciones </w:t>
      </w:r>
      <w:r w:rsidR="00914A5C" w:rsidRPr="00674AA5">
        <w:t xml:space="preserve">entre los temas de trabajo de interés común para </w:t>
      </w:r>
      <w:r w:rsidRPr="00674AA5">
        <w:t>las Comisiones de Estudio del UIT-D y del UIT-</w:t>
      </w:r>
      <w:r w:rsidR="00102781" w:rsidRPr="00674AA5">
        <w:t>R</w:t>
      </w:r>
      <w:r w:rsidR="00C9446B" w:rsidRPr="00674AA5">
        <w:t>, las Comisiones de Estudio del UIT-D y del UIT-</w:t>
      </w:r>
      <w:r w:rsidRPr="00674AA5">
        <w:t>T y las Comisiones de Estudio del UIT-R y el UIT-T.</w:t>
      </w:r>
      <w:r w:rsidR="00AD4A75" w:rsidRPr="00674AA5">
        <w:t xml:space="preserve"> Este cuadro de correspondencias está publicado en el </w:t>
      </w:r>
      <w:hyperlink r:id="rId16" w:history="1">
        <w:r w:rsidR="00AD4A75" w:rsidRPr="00674AA5">
          <w:rPr>
            <w:rStyle w:val="Hyperlink"/>
          </w:rPr>
          <w:t xml:space="preserve">sitio web del </w:t>
        </w:r>
        <w:r w:rsidR="006F3EFB" w:rsidRPr="00674AA5">
          <w:rPr>
            <w:rStyle w:val="Hyperlink"/>
          </w:rPr>
          <w:t>GCIS</w:t>
        </w:r>
      </w:hyperlink>
      <w:r w:rsidR="00AD4A75" w:rsidRPr="00674AA5">
        <w:t xml:space="preserve"> por lo que se solicita al GAR, el GANT y el </w:t>
      </w:r>
      <w:r w:rsidR="00E02384" w:rsidRPr="00674AA5">
        <w:t>GADT</w:t>
      </w:r>
      <w:r w:rsidR="00AD4A75" w:rsidRPr="00674AA5">
        <w:t xml:space="preserve"> que lo actualicen periódicamente con ocasión de sus reuniones, incorporando las Cuestiones actualizadas y los estudios llevados a cabo en las </w:t>
      </w:r>
      <w:r w:rsidR="00E40BFB" w:rsidRPr="00674AA5">
        <w:t xml:space="preserve">Comisiones </w:t>
      </w:r>
      <w:r w:rsidR="00AD4A75" w:rsidRPr="00674AA5">
        <w:t xml:space="preserve">de </w:t>
      </w:r>
      <w:r w:rsidR="00E40BFB" w:rsidRPr="00674AA5">
        <w:t xml:space="preserve">Estudio </w:t>
      </w:r>
      <w:r w:rsidR="00AD4A75" w:rsidRPr="00674AA5">
        <w:t xml:space="preserve">pertinentes. Asimismo, el </w:t>
      </w:r>
      <w:r w:rsidR="006F3EFB" w:rsidRPr="00674AA5">
        <w:t>GCIS</w:t>
      </w:r>
      <w:r w:rsidR="00AD4A75" w:rsidRPr="00674AA5">
        <w:t xml:space="preserve"> revisó la correspondencia entre las resoluciones de la PP, la AR/CMR, la AMNT y la CMDT</w:t>
      </w:r>
      <w:r w:rsidR="00C9446B" w:rsidRPr="00674AA5">
        <w:t>.</w:t>
      </w:r>
      <w:r w:rsidR="00AD4A75" w:rsidRPr="00674AA5">
        <w:t xml:space="preserve"> Este </w:t>
      </w:r>
      <w:r w:rsidR="00E40BFB" w:rsidRPr="00674AA5">
        <w:t xml:space="preserve">cuadro </w:t>
      </w:r>
      <w:r w:rsidR="00AD4A75" w:rsidRPr="00674AA5">
        <w:t xml:space="preserve">de correspondencias también está publicado en el </w:t>
      </w:r>
      <w:hyperlink r:id="rId17" w:history="1">
        <w:r w:rsidR="00AD4A75" w:rsidRPr="00674AA5">
          <w:rPr>
            <w:rStyle w:val="Hyperlink"/>
          </w:rPr>
          <w:t xml:space="preserve">sitio web del </w:t>
        </w:r>
        <w:r w:rsidR="006F3EFB" w:rsidRPr="00674AA5">
          <w:rPr>
            <w:rStyle w:val="Hyperlink"/>
          </w:rPr>
          <w:t>GCIS</w:t>
        </w:r>
      </w:hyperlink>
      <w:r w:rsidR="00AD4A75" w:rsidRPr="00674AA5">
        <w:t xml:space="preserve"> por lo que se invita a cada uno de los Sectores a que lo examinen, formulen las observaciones que estimen oportunas y lo utilicen con miras al perfeccionamiento de sus Resoluciones.</w:t>
      </w:r>
    </w:p>
    <w:p w:rsidR="00AD4A75" w:rsidRPr="006F5104" w:rsidRDefault="00AD4A75" w:rsidP="00AF7AE5">
      <w:pPr>
        <w:keepLines/>
      </w:pPr>
      <w:r w:rsidRPr="006F5104">
        <w:t>3.4</w:t>
      </w:r>
      <w:r w:rsidRPr="006F5104">
        <w:tab/>
        <w:t xml:space="preserve">El </w:t>
      </w:r>
      <w:hyperlink r:id="rId18" w:history="1">
        <w:r w:rsidRPr="006F5104">
          <w:rPr>
            <w:rStyle w:val="Hyperlink"/>
          </w:rPr>
          <w:t>Documento de información C19/INF/6</w:t>
        </w:r>
      </w:hyperlink>
      <w:r w:rsidR="00AF7AE5" w:rsidRPr="006F5104">
        <w:t xml:space="preserve"> también recoge esta información junto con una relación de los posibles ámbitos de interés mutuo.</w:t>
      </w:r>
    </w:p>
    <w:p w:rsidR="00AF7AE5" w:rsidRPr="00674AA5" w:rsidRDefault="00AF7AE5" w:rsidP="00AF7AE5">
      <w:pPr>
        <w:keepLines/>
      </w:pPr>
      <w:r w:rsidRPr="00674AA5">
        <w:t>3.5</w:t>
      </w:r>
      <w:r w:rsidRPr="00674AA5">
        <w:tab/>
        <w:t>Este Grupo celebrará una nueva reunión presencial con ocasión de la siguiente reunión del GADT en 2020.</w:t>
      </w:r>
    </w:p>
    <w:p w:rsidR="004C6602" w:rsidRPr="00674AA5" w:rsidRDefault="004C6602" w:rsidP="007C3646">
      <w:pPr>
        <w:spacing w:before="240"/>
        <w:jc w:val="center"/>
      </w:pPr>
      <w:r w:rsidRPr="00674AA5">
        <w:t>______________</w:t>
      </w:r>
    </w:p>
    <w:sectPr w:rsidR="004C6602" w:rsidRPr="00674AA5" w:rsidSect="007C3646">
      <w:headerReference w:type="default" r:id="rId19"/>
      <w:headerReference w:type="first" r:id="rId20"/>
      <w:footerReference w:type="first" r:id="rId21"/>
      <w:pgSz w:w="11907" w:h="16834"/>
      <w:pgMar w:top="1304" w:right="1134" w:bottom="1134" w:left="1134" w:header="720" w:footer="720" w:gutter="0"/>
      <w:paperSrc w:first="1264" w:other="126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A7B" w:rsidRDefault="00811A7B">
      <w:r>
        <w:separator/>
      </w:r>
    </w:p>
  </w:endnote>
  <w:endnote w:type="continuationSeparator" w:id="0">
    <w:p w:rsidR="00811A7B" w:rsidRDefault="0081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E10" w:rsidRPr="007C3646" w:rsidRDefault="00646AD1" w:rsidP="00646AD1">
    <w:pPr>
      <w:pStyle w:val="Footer"/>
      <w:rPr>
        <w:color w:val="D9D9D9" w:themeColor="background1" w:themeShade="D9"/>
        <w:lang w:val="fr-CH"/>
      </w:rPr>
    </w:pPr>
    <w:r w:rsidRPr="007C3646">
      <w:rPr>
        <w:color w:val="D9D9D9" w:themeColor="background1" w:themeShade="D9"/>
        <w:lang w:val="fr-CH"/>
      </w:rPr>
      <w:fldChar w:fldCharType="begin"/>
    </w:r>
    <w:r w:rsidRPr="007C3646">
      <w:rPr>
        <w:color w:val="D9D9D9" w:themeColor="background1" w:themeShade="D9"/>
        <w:lang w:val="fr-CH"/>
      </w:rPr>
      <w:instrText xml:space="preserve"> FILENAME \p \* MERGEFORMAT </w:instrText>
    </w:r>
    <w:r w:rsidRPr="007C3646">
      <w:rPr>
        <w:color w:val="D9D9D9" w:themeColor="background1" w:themeShade="D9"/>
        <w:lang w:val="fr-CH"/>
      </w:rPr>
      <w:fldChar w:fldCharType="separate"/>
    </w:r>
    <w:r w:rsidRPr="007C3646">
      <w:rPr>
        <w:color w:val="D9D9D9" w:themeColor="background1" w:themeShade="D9"/>
        <w:lang w:val="fr-CH"/>
      </w:rPr>
      <w:t>P:\ESP\SG\CONSEIL\C19\000\038REV1S.DOCX</w:t>
    </w:r>
    <w:r w:rsidRPr="007C3646">
      <w:rPr>
        <w:color w:val="D9D9D9" w:themeColor="background1" w:themeShade="D9"/>
        <w:lang w:val="fr-CH"/>
      </w:rPr>
      <w:fldChar w:fldCharType="end"/>
    </w:r>
    <w:r w:rsidRPr="007C3646">
      <w:rPr>
        <w:color w:val="D9D9D9" w:themeColor="background1" w:themeShade="D9"/>
        <w:lang w:val="fr-CH"/>
      </w:rPr>
      <w:t xml:space="preserve"> (453811)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760F1C" w:rsidP="00646AD1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46" w:rsidRPr="007C3646" w:rsidRDefault="007C3646" w:rsidP="007C36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A7B" w:rsidRDefault="00811A7B">
      <w:r>
        <w:t>____________________</w:t>
      </w:r>
    </w:p>
  </w:footnote>
  <w:footnote w:type="continuationSeparator" w:id="0">
    <w:p w:rsidR="00811A7B" w:rsidRDefault="00811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7C3646">
      <w:rPr>
        <w:noProof/>
      </w:rPr>
      <w:t>2</w:t>
    </w:r>
    <w:r>
      <w:rPr>
        <w:noProof/>
      </w:rPr>
      <w:fldChar w:fldCharType="end"/>
    </w:r>
  </w:p>
  <w:p w:rsidR="00760F1C" w:rsidRPr="007C3646" w:rsidRDefault="00760F1C" w:rsidP="00C2727F">
    <w:pPr>
      <w:pStyle w:val="Header"/>
    </w:pPr>
    <w:r w:rsidRPr="007C3646">
      <w:t>C</w:t>
    </w:r>
    <w:r w:rsidR="007F350B" w:rsidRPr="007C3646">
      <w:t>1</w:t>
    </w:r>
    <w:r w:rsidR="00C2727F" w:rsidRPr="007C3646">
      <w:t>9</w:t>
    </w:r>
    <w:r w:rsidRPr="007C3646">
      <w:t>/</w:t>
    </w:r>
    <w:r w:rsidR="00497D94" w:rsidRPr="007C3646">
      <w:t>38</w:t>
    </w:r>
    <w:r w:rsidR="00646AD1" w:rsidRPr="007C3646">
      <w:t>(Rev.1)</w:t>
    </w:r>
    <w:r w:rsidRPr="007C3646">
      <w:t>-S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46" w:rsidRPr="007C3646" w:rsidRDefault="007C3646" w:rsidP="007C36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46" w:rsidRDefault="007C3646" w:rsidP="007C3646">
    <w:pPr>
      <w:pStyle w:val="Header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7C3646" w:rsidRDefault="007C3646" w:rsidP="007C3646">
    <w:pPr>
      <w:pStyle w:val="Header"/>
    </w:pPr>
    <w:r>
      <w:t>C19/38(Rev.1)-S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1487D"/>
    <w:multiLevelType w:val="multilevel"/>
    <w:tmpl w:val="82961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lang w:val="es-ES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8A0E8B"/>
    <w:multiLevelType w:val="hybridMultilevel"/>
    <w:tmpl w:val="14B27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1617F"/>
    <w:multiLevelType w:val="hybridMultilevel"/>
    <w:tmpl w:val="45F669EE"/>
    <w:lvl w:ilvl="0" w:tplc="D5BAE09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63"/>
    <w:rsid w:val="00003A69"/>
    <w:rsid w:val="00006B48"/>
    <w:rsid w:val="00012BA9"/>
    <w:rsid w:val="00093EEB"/>
    <w:rsid w:val="00097F2C"/>
    <w:rsid w:val="000A3853"/>
    <w:rsid w:val="000B0D00"/>
    <w:rsid w:val="000B7C15"/>
    <w:rsid w:val="000D1D0F"/>
    <w:rsid w:val="000D2B81"/>
    <w:rsid w:val="000F5290"/>
    <w:rsid w:val="000F5A01"/>
    <w:rsid w:val="0010058F"/>
    <w:rsid w:val="0010165C"/>
    <w:rsid w:val="00102781"/>
    <w:rsid w:val="0010325F"/>
    <w:rsid w:val="0011608F"/>
    <w:rsid w:val="00126548"/>
    <w:rsid w:val="00146BFB"/>
    <w:rsid w:val="0016432F"/>
    <w:rsid w:val="001807BB"/>
    <w:rsid w:val="00192B08"/>
    <w:rsid w:val="001A606F"/>
    <w:rsid w:val="001F14A2"/>
    <w:rsid w:val="0020423B"/>
    <w:rsid w:val="00214F66"/>
    <w:rsid w:val="002518F9"/>
    <w:rsid w:val="00252214"/>
    <w:rsid w:val="0026766A"/>
    <w:rsid w:val="002801AA"/>
    <w:rsid w:val="002C4676"/>
    <w:rsid w:val="002C70B0"/>
    <w:rsid w:val="002F1B1D"/>
    <w:rsid w:val="002F2247"/>
    <w:rsid w:val="002F3CC4"/>
    <w:rsid w:val="002F4E47"/>
    <w:rsid w:val="003207C5"/>
    <w:rsid w:val="00327180"/>
    <w:rsid w:val="00344C49"/>
    <w:rsid w:val="00373416"/>
    <w:rsid w:val="00377293"/>
    <w:rsid w:val="0039289C"/>
    <w:rsid w:val="003A1789"/>
    <w:rsid w:val="003A3ACB"/>
    <w:rsid w:val="003C5030"/>
    <w:rsid w:val="003E0B16"/>
    <w:rsid w:val="003F257A"/>
    <w:rsid w:val="003F7D83"/>
    <w:rsid w:val="00433071"/>
    <w:rsid w:val="004419A0"/>
    <w:rsid w:val="00444863"/>
    <w:rsid w:val="004615F0"/>
    <w:rsid w:val="00497D94"/>
    <w:rsid w:val="004B0944"/>
    <w:rsid w:val="004B7C41"/>
    <w:rsid w:val="004C5353"/>
    <w:rsid w:val="004C6602"/>
    <w:rsid w:val="00513630"/>
    <w:rsid w:val="00516CBC"/>
    <w:rsid w:val="00560125"/>
    <w:rsid w:val="00574170"/>
    <w:rsid w:val="00585553"/>
    <w:rsid w:val="005A1CB3"/>
    <w:rsid w:val="005A52C3"/>
    <w:rsid w:val="005B34D9"/>
    <w:rsid w:val="005D0CCF"/>
    <w:rsid w:val="005E6444"/>
    <w:rsid w:val="005F3BCB"/>
    <w:rsid w:val="005F410F"/>
    <w:rsid w:val="005F5F7B"/>
    <w:rsid w:val="0060149A"/>
    <w:rsid w:val="00601924"/>
    <w:rsid w:val="00621931"/>
    <w:rsid w:val="00622D06"/>
    <w:rsid w:val="006238DC"/>
    <w:rsid w:val="0063464E"/>
    <w:rsid w:val="006443CB"/>
    <w:rsid w:val="006447EA"/>
    <w:rsid w:val="00646AD1"/>
    <w:rsid w:val="0064731F"/>
    <w:rsid w:val="00655AB7"/>
    <w:rsid w:val="006710F6"/>
    <w:rsid w:val="00674AA5"/>
    <w:rsid w:val="006C1B56"/>
    <w:rsid w:val="006D4761"/>
    <w:rsid w:val="006F334A"/>
    <w:rsid w:val="006F3EFB"/>
    <w:rsid w:val="006F5104"/>
    <w:rsid w:val="00700143"/>
    <w:rsid w:val="00726148"/>
    <w:rsid w:val="00726872"/>
    <w:rsid w:val="00744729"/>
    <w:rsid w:val="00760F1C"/>
    <w:rsid w:val="007657F0"/>
    <w:rsid w:val="0077252D"/>
    <w:rsid w:val="00784B8E"/>
    <w:rsid w:val="007A397C"/>
    <w:rsid w:val="007C3646"/>
    <w:rsid w:val="007D649D"/>
    <w:rsid w:val="007E5DD3"/>
    <w:rsid w:val="007F0635"/>
    <w:rsid w:val="007F350B"/>
    <w:rsid w:val="00810431"/>
    <w:rsid w:val="00811A7B"/>
    <w:rsid w:val="00820BE4"/>
    <w:rsid w:val="008451E8"/>
    <w:rsid w:val="00854F1F"/>
    <w:rsid w:val="0086748C"/>
    <w:rsid w:val="008818B5"/>
    <w:rsid w:val="00890BD4"/>
    <w:rsid w:val="00913B9C"/>
    <w:rsid w:val="00914A5C"/>
    <w:rsid w:val="009233FE"/>
    <w:rsid w:val="00952B50"/>
    <w:rsid w:val="009546B8"/>
    <w:rsid w:val="00956E77"/>
    <w:rsid w:val="00971104"/>
    <w:rsid w:val="009D38A8"/>
    <w:rsid w:val="009F4811"/>
    <w:rsid w:val="00A01225"/>
    <w:rsid w:val="00A05F48"/>
    <w:rsid w:val="00A06AF1"/>
    <w:rsid w:val="00A11B67"/>
    <w:rsid w:val="00A24148"/>
    <w:rsid w:val="00A77196"/>
    <w:rsid w:val="00A9536A"/>
    <w:rsid w:val="00AA390C"/>
    <w:rsid w:val="00AD4A75"/>
    <w:rsid w:val="00AF7AE5"/>
    <w:rsid w:val="00B0200A"/>
    <w:rsid w:val="00B175BF"/>
    <w:rsid w:val="00B45CE6"/>
    <w:rsid w:val="00B574DB"/>
    <w:rsid w:val="00B826C2"/>
    <w:rsid w:val="00B8298E"/>
    <w:rsid w:val="00B83845"/>
    <w:rsid w:val="00B84ECA"/>
    <w:rsid w:val="00B96BEF"/>
    <w:rsid w:val="00BB42A1"/>
    <w:rsid w:val="00BD0723"/>
    <w:rsid w:val="00BD2518"/>
    <w:rsid w:val="00BF1D1C"/>
    <w:rsid w:val="00C20C59"/>
    <w:rsid w:val="00C2727F"/>
    <w:rsid w:val="00C55B1F"/>
    <w:rsid w:val="00C73149"/>
    <w:rsid w:val="00C90165"/>
    <w:rsid w:val="00C9446B"/>
    <w:rsid w:val="00CA49DD"/>
    <w:rsid w:val="00CB551A"/>
    <w:rsid w:val="00CE3699"/>
    <w:rsid w:val="00CF1A67"/>
    <w:rsid w:val="00D2750E"/>
    <w:rsid w:val="00D62446"/>
    <w:rsid w:val="00DA4EA2"/>
    <w:rsid w:val="00DB37FE"/>
    <w:rsid w:val="00DB5E68"/>
    <w:rsid w:val="00DC3D3E"/>
    <w:rsid w:val="00DE2C90"/>
    <w:rsid w:val="00DE3B24"/>
    <w:rsid w:val="00E02384"/>
    <w:rsid w:val="00E06947"/>
    <w:rsid w:val="00E07704"/>
    <w:rsid w:val="00E3592D"/>
    <w:rsid w:val="00E40BFB"/>
    <w:rsid w:val="00E92DE8"/>
    <w:rsid w:val="00EB1212"/>
    <w:rsid w:val="00EC06C6"/>
    <w:rsid w:val="00ED1C25"/>
    <w:rsid w:val="00ED65AB"/>
    <w:rsid w:val="00F12850"/>
    <w:rsid w:val="00F1663D"/>
    <w:rsid w:val="00F22E10"/>
    <w:rsid w:val="00F33BF4"/>
    <w:rsid w:val="00F63E2F"/>
    <w:rsid w:val="00F7105E"/>
    <w:rsid w:val="00F75F57"/>
    <w:rsid w:val="00F82FEE"/>
    <w:rsid w:val="00FC366E"/>
    <w:rsid w:val="00FC6464"/>
    <w:rsid w:val="00FD57D3"/>
    <w:rsid w:val="00FE57EF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D73F7088-939D-47E0-A4F4-664BBF55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aliases w:val="超级链接,Style 58,超?级链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622D0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22D06"/>
    <w:rPr>
      <w:rFonts w:ascii="Segoe UI" w:hAnsi="Segoe UI" w:cs="Segoe UI"/>
      <w:sz w:val="18"/>
      <w:szCs w:val="18"/>
      <w:lang w:val="es-ES_tradnl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F5A01"/>
    <w:pPr>
      <w:ind w:left="720"/>
      <w:contextualSpacing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F5A01"/>
    <w:rPr>
      <w:rFonts w:ascii="Calibri" w:hAnsi="Calibri"/>
      <w:sz w:val="24"/>
      <w:lang w:val="en-GB" w:eastAsia="en-US"/>
    </w:rPr>
  </w:style>
  <w:style w:type="table" w:styleId="PlainTable2">
    <w:name w:val="Plain Table 2"/>
    <w:basedOn w:val="TableNormal"/>
    <w:uiPriority w:val="42"/>
    <w:rsid w:val="000F5A0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6F5104"/>
    <w:rPr>
      <w:rFonts w:ascii="Calibri" w:hAnsi="Calibri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https://www.itu.int/md/S19-CL-INF-0006/es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itu.int/en/general-secretariat/Pages/intersectoral-coordination.aspx" TargetMode="External"/><Relationship Id="rId17" Type="http://schemas.openxmlformats.org/officeDocument/2006/relationships/hyperlink" Target="https://www.itu.int/en/ITU-D/Conferences/TDAG/Pages/inter-sectoral-team-on-issues-of-mutual-interest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D/Conferences/TDAG/Pages/inter-sectoral-team-on-issues-of-mutual-interest.aspx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7-CL-INF-0019/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s://www.itu.int/md/S19-CL-INF-0006/es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RES-191-S.pdf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PS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CD555-E37B-4190-8E49-750A8466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PS_C19.dotx</Template>
  <TotalTime>1</TotalTime>
  <Pages>4</Pages>
  <Words>1764</Words>
  <Characters>9922</Characters>
  <Application>Microsoft Office Word</Application>
  <DocSecurity>4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11663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sobre la aplicación de la Resolución 191 (Rev. Dubái, 2018) "Estrategia de coordinación de los trabajos de los tres sectores de la Unión"</dc:title>
  <dc:subject>Consejo 2019</dc:subject>
  <dc:creator>Brouard, Ricarda</dc:creator>
  <cp:keywords>C2019, C19</cp:keywords>
  <dc:description/>
  <cp:lastModifiedBy>Brouard, Ricarda</cp:lastModifiedBy>
  <cp:revision>2</cp:revision>
  <cp:lastPrinted>2019-04-10T13:46:00Z</cp:lastPrinted>
  <dcterms:created xsi:type="dcterms:W3CDTF">2019-04-26T07:40:00Z</dcterms:created>
  <dcterms:modified xsi:type="dcterms:W3CDTF">2019-04-26T07:40:00Z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