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35DD6">
        <w:trPr>
          <w:cantSplit/>
        </w:trPr>
        <w:tc>
          <w:tcPr>
            <w:tcW w:w="6911" w:type="dxa"/>
          </w:tcPr>
          <w:p w:rsidR="00BC7BC0" w:rsidRPr="00235DD6" w:rsidRDefault="000569B4" w:rsidP="007B47B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35DD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235DD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235DD6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235DD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235DD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235DD6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235DD6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235DD6">
              <w:rPr>
                <w:b/>
                <w:bCs/>
                <w:lang w:val="ru-RU"/>
              </w:rPr>
              <w:t xml:space="preserve"> </w:t>
            </w:r>
            <w:r w:rsidR="00225368" w:rsidRPr="00235DD6">
              <w:rPr>
                <w:b/>
                <w:bCs/>
                <w:lang w:val="ru-RU"/>
              </w:rPr>
              <w:t>201</w:t>
            </w:r>
            <w:r w:rsidR="005B3DEC" w:rsidRPr="00235DD6">
              <w:rPr>
                <w:b/>
                <w:bCs/>
                <w:lang w:val="ru-RU"/>
              </w:rPr>
              <w:t>9</w:t>
            </w:r>
            <w:r w:rsidR="00225368" w:rsidRPr="00235DD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235DD6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235DD6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35DD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235DD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235DD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35DD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235DD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235DD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35DD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235DD6" w:rsidRDefault="00BC7BC0" w:rsidP="0085522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35DD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235DD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55228" w:rsidRPr="00235DD6">
              <w:rPr>
                <w:b/>
                <w:bCs/>
                <w:caps/>
                <w:color w:val="000000"/>
                <w:szCs w:val="22"/>
                <w:lang w:val="ru-RU"/>
              </w:rPr>
              <w:t>ADM 17</w:t>
            </w:r>
          </w:p>
        </w:tc>
        <w:tc>
          <w:tcPr>
            <w:tcW w:w="3120" w:type="dxa"/>
          </w:tcPr>
          <w:p w:rsidR="00BC7BC0" w:rsidRPr="00235DD6" w:rsidRDefault="00F82ADA" w:rsidP="00F82AD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35DD6">
              <w:rPr>
                <w:b/>
                <w:bCs/>
                <w:szCs w:val="22"/>
                <w:lang w:val="ru-RU"/>
              </w:rPr>
              <w:t>Пересмотр 1</w:t>
            </w:r>
            <w:r w:rsidRPr="00235DD6">
              <w:rPr>
                <w:b/>
                <w:bCs/>
                <w:szCs w:val="22"/>
                <w:lang w:val="ru-RU"/>
              </w:rPr>
              <w:br/>
            </w:r>
            <w:r w:rsidR="00BC7BC0" w:rsidRPr="00235DD6">
              <w:rPr>
                <w:b/>
                <w:bCs/>
                <w:szCs w:val="22"/>
                <w:lang w:val="ru-RU"/>
              </w:rPr>
              <w:t>Документ</w:t>
            </w:r>
            <w:r w:rsidRPr="00235DD6">
              <w:rPr>
                <w:b/>
                <w:bCs/>
                <w:szCs w:val="22"/>
                <w:lang w:val="ru-RU"/>
              </w:rPr>
              <w:t>а</w:t>
            </w:r>
            <w:r w:rsidR="00BC7BC0" w:rsidRPr="00235DD6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235DD6">
              <w:rPr>
                <w:b/>
                <w:bCs/>
                <w:szCs w:val="22"/>
                <w:lang w:val="ru-RU"/>
              </w:rPr>
              <w:t>1</w:t>
            </w:r>
            <w:r w:rsidR="005B3DEC" w:rsidRPr="00235DD6">
              <w:rPr>
                <w:b/>
                <w:bCs/>
                <w:szCs w:val="22"/>
                <w:lang w:val="ru-RU"/>
              </w:rPr>
              <w:t>9</w:t>
            </w:r>
            <w:r w:rsidR="00BC7BC0" w:rsidRPr="00235DD6">
              <w:rPr>
                <w:b/>
                <w:bCs/>
                <w:szCs w:val="22"/>
                <w:lang w:val="ru-RU"/>
              </w:rPr>
              <w:t>/</w:t>
            </w:r>
            <w:r w:rsidR="00855228" w:rsidRPr="00235DD6">
              <w:rPr>
                <w:b/>
                <w:bCs/>
                <w:szCs w:val="22"/>
                <w:lang w:val="ru-RU"/>
              </w:rPr>
              <w:t>38</w:t>
            </w:r>
            <w:r w:rsidR="00BC7BC0" w:rsidRPr="00235DD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35DD6">
        <w:trPr>
          <w:cantSplit/>
          <w:trHeight w:val="23"/>
        </w:trPr>
        <w:tc>
          <w:tcPr>
            <w:tcW w:w="6911" w:type="dxa"/>
            <w:vMerge/>
          </w:tcPr>
          <w:p w:rsidR="00BC7BC0" w:rsidRPr="00235DD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35DD6" w:rsidRDefault="00855228" w:rsidP="0085522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35DD6">
              <w:rPr>
                <w:b/>
                <w:bCs/>
                <w:szCs w:val="22"/>
                <w:lang w:val="ru-RU"/>
              </w:rPr>
              <w:t>1</w:t>
            </w:r>
            <w:r w:rsidR="00F82ADA" w:rsidRPr="00235DD6">
              <w:rPr>
                <w:b/>
                <w:bCs/>
                <w:szCs w:val="22"/>
                <w:lang w:val="ru-RU"/>
              </w:rPr>
              <w:t>8</w:t>
            </w:r>
            <w:r w:rsidRPr="00235DD6">
              <w:rPr>
                <w:b/>
                <w:bCs/>
                <w:szCs w:val="22"/>
                <w:lang w:val="ru-RU"/>
              </w:rPr>
              <w:t xml:space="preserve"> апреля</w:t>
            </w:r>
            <w:r w:rsidR="00EB4FCB" w:rsidRPr="00235DD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235DD6">
              <w:rPr>
                <w:b/>
                <w:bCs/>
                <w:szCs w:val="22"/>
                <w:lang w:val="ru-RU"/>
              </w:rPr>
              <w:t>20</w:t>
            </w:r>
            <w:r w:rsidR="003F099E" w:rsidRPr="00235DD6">
              <w:rPr>
                <w:b/>
                <w:bCs/>
                <w:szCs w:val="22"/>
                <w:lang w:val="ru-RU"/>
              </w:rPr>
              <w:t>1</w:t>
            </w:r>
            <w:r w:rsidR="005B3DEC" w:rsidRPr="00235DD6">
              <w:rPr>
                <w:b/>
                <w:bCs/>
                <w:szCs w:val="22"/>
                <w:lang w:val="ru-RU"/>
              </w:rPr>
              <w:t>9</w:t>
            </w:r>
            <w:r w:rsidR="00BC7BC0" w:rsidRPr="00235DD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35DD6">
        <w:trPr>
          <w:cantSplit/>
          <w:trHeight w:val="23"/>
        </w:trPr>
        <w:tc>
          <w:tcPr>
            <w:tcW w:w="6911" w:type="dxa"/>
            <w:vMerge/>
          </w:tcPr>
          <w:p w:rsidR="00BC7BC0" w:rsidRPr="00235DD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35DD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35DD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235DD6">
        <w:trPr>
          <w:cantSplit/>
        </w:trPr>
        <w:tc>
          <w:tcPr>
            <w:tcW w:w="10031" w:type="dxa"/>
            <w:gridSpan w:val="2"/>
          </w:tcPr>
          <w:p w:rsidR="00BC7BC0" w:rsidRPr="00235DD6" w:rsidRDefault="00BC7BC0" w:rsidP="00855228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235DD6">
              <w:rPr>
                <w:lang w:val="ru-RU"/>
              </w:rPr>
              <w:t>Отчет Генерального секретаря</w:t>
            </w:r>
          </w:p>
        </w:tc>
      </w:tr>
      <w:tr w:rsidR="00BC7BC0" w:rsidRPr="00E95E8C">
        <w:trPr>
          <w:cantSplit/>
        </w:trPr>
        <w:tc>
          <w:tcPr>
            <w:tcW w:w="10031" w:type="dxa"/>
            <w:gridSpan w:val="2"/>
          </w:tcPr>
          <w:p w:rsidR="00BC7BC0" w:rsidRPr="00235DD6" w:rsidRDefault="00855228" w:rsidP="00855228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235DD6">
              <w:rPr>
                <w:lang w:val="ru-RU" w:bidi="ru-RU"/>
              </w:rPr>
              <w:t>ОТЧЕТ О ВЫПОЛНЕНИИ РЕЗОЛЮЦИИ 191 (Пересм. дубай, 2018 г.)</w:t>
            </w:r>
            <w:r w:rsidRPr="00235DD6">
              <w:rPr>
                <w:lang w:val="ru-RU" w:bidi="ru-RU"/>
              </w:rPr>
              <w:br/>
              <w:t>"СТРАТЕГИЯ КООРДИНАЦИИ УСИЛИЙ ТРЕХ СЕКТОРОВ СОЮЗА"</w:t>
            </w:r>
          </w:p>
        </w:tc>
      </w:tr>
      <w:bookmarkEnd w:id="2"/>
    </w:tbl>
    <w:p w:rsidR="00855228" w:rsidRPr="00235DD6" w:rsidRDefault="00855228" w:rsidP="00855228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55228" w:rsidRPr="00235DD6" w:rsidTr="0070696D">
        <w:trPr>
          <w:trHeight w:val="301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228" w:rsidRPr="00235DD6" w:rsidRDefault="00855228" w:rsidP="0070696D">
            <w:pPr>
              <w:pStyle w:val="Headingb"/>
              <w:rPr>
                <w:szCs w:val="22"/>
                <w:lang w:val="ru-RU"/>
              </w:rPr>
            </w:pPr>
            <w:r w:rsidRPr="00235DD6">
              <w:rPr>
                <w:szCs w:val="22"/>
                <w:lang w:val="ru-RU"/>
              </w:rPr>
              <w:t>Резюме</w:t>
            </w:r>
          </w:p>
          <w:p w:rsidR="00855228" w:rsidRPr="00235DD6" w:rsidRDefault="00855228" w:rsidP="00855228">
            <w:pPr>
              <w:rPr>
                <w:szCs w:val="22"/>
                <w:lang w:val="ru-RU"/>
              </w:rPr>
            </w:pPr>
            <w:r w:rsidRPr="00235DD6">
              <w:rPr>
                <w:szCs w:val="22"/>
                <w:lang w:val="ru-RU" w:bidi="ru-RU"/>
              </w:rPr>
              <w:t>В настоящем документе представлен отчет о выполнении Резолюции 191 (Пересм. Дубай, 2018 г.) о стратегии координации усилий трех Секторов Союза.</w:t>
            </w:r>
          </w:p>
          <w:p w:rsidR="00855228" w:rsidRPr="00235DD6" w:rsidRDefault="00855228" w:rsidP="0070696D">
            <w:pPr>
              <w:pStyle w:val="Headingb"/>
              <w:rPr>
                <w:lang w:val="ru-RU"/>
              </w:rPr>
            </w:pPr>
            <w:r w:rsidRPr="00235DD6">
              <w:rPr>
                <w:lang w:val="ru-RU"/>
              </w:rPr>
              <w:t>Необходимые действия</w:t>
            </w:r>
          </w:p>
          <w:p w:rsidR="00855228" w:rsidRPr="00235DD6" w:rsidRDefault="00855228" w:rsidP="0070696D">
            <w:pPr>
              <w:rPr>
                <w:szCs w:val="22"/>
                <w:lang w:val="ru-RU"/>
              </w:rPr>
            </w:pPr>
            <w:r w:rsidRPr="00235DD6">
              <w:rPr>
                <w:szCs w:val="22"/>
                <w:lang w:val="ru-RU" w:bidi="ru-RU"/>
              </w:rPr>
              <w:t xml:space="preserve">Совету предлагается </w:t>
            </w:r>
            <w:r w:rsidRPr="00235DD6">
              <w:rPr>
                <w:b/>
                <w:szCs w:val="22"/>
                <w:lang w:val="ru-RU" w:bidi="ru-RU"/>
              </w:rPr>
              <w:t>принять к сведению</w:t>
            </w:r>
            <w:r w:rsidRPr="00235DD6">
              <w:rPr>
                <w:szCs w:val="22"/>
                <w:lang w:val="ru-RU" w:bidi="ru-RU"/>
              </w:rPr>
              <w:t xml:space="preserve"> настоящий отчет.</w:t>
            </w:r>
          </w:p>
          <w:p w:rsidR="00855228" w:rsidRPr="00235DD6" w:rsidRDefault="00855228" w:rsidP="0070696D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235DD6">
              <w:rPr>
                <w:caps/>
                <w:szCs w:val="22"/>
                <w:lang w:val="ru-RU"/>
              </w:rPr>
              <w:t>____________</w:t>
            </w:r>
          </w:p>
          <w:p w:rsidR="00855228" w:rsidRPr="00235DD6" w:rsidRDefault="00855228" w:rsidP="0070696D">
            <w:pPr>
              <w:pStyle w:val="Headingb"/>
              <w:rPr>
                <w:szCs w:val="22"/>
                <w:lang w:val="ru-RU"/>
              </w:rPr>
            </w:pPr>
            <w:r w:rsidRPr="00235DD6">
              <w:rPr>
                <w:szCs w:val="22"/>
                <w:lang w:val="ru-RU"/>
              </w:rPr>
              <w:t>Справочные материалы</w:t>
            </w:r>
          </w:p>
          <w:p w:rsidR="00855228" w:rsidRPr="00235DD6" w:rsidRDefault="00E95E8C" w:rsidP="00F82ADA">
            <w:pPr>
              <w:spacing w:after="120"/>
              <w:rPr>
                <w:i/>
                <w:iCs/>
                <w:lang w:val="ru-RU"/>
              </w:rPr>
            </w:pPr>
            <w:hyperlink r:id="rId8">
              <w:r w:rsidR="00855228" w:rsidRPr="00235DD6">
                <w:rPr>
                  <w:rStyle w:val="Hyperlink"/>
                  <w:i/>
                  <w:iCs/>
                  <w:szCs w:val="22"/>
                  <w:lang w:val="ru-RU" w:bidi="ru-RU"/>
                </w:rPr>
                <w:t xml:space="preserve">Резолюция 191 (Пересм. </w:t>
              </w:r>
              <w:r w:rsidR="00F82ADA" w:rsidRPr="00235DD6">
                <w:rPr>
                  <w:rStyle w:val="Hyperlink"/>
                  <w:i/>
                  <w:iCs/>
                  <w:szCs w:val="22"/>
                  <w:lang w:val="ru-RU" w:bidi="ru-RU"/>
                </w:rPr>
                <w:t>Дубай</w:t>
              </w:r>
              <w:r w:rsidR="00855228" w:rsidRPr="00235DD6">
                <w:rPr>
                  <w:rStyle w:val="Hyperlink"/>
                  <w:i/>
                  <w:iCs/>
                  <w:szCs w:val="22"/>
                  <w:lang w:val="ru-RU" w:bidi="ru-RU"/>
                </w:rPr>
                <w:t>, 201</w:t>
              </w:r>
              <w:r w:rsidR="00F82ADA" w:rsidRPr="00235DD6">
                <w:rPr>
                  <w:rStyle w:val="Hyperlink"/>
                  <w:i/>
                  <w:iCs/>
                  <w:szCs w:val="22"/>
                  <w:lang w:val="ru-RU" w:bidi="ru-RU"/>
                </w:rPr>
                <w:t>8</w:t>
              </w:r>
              <w:r w:rsidR="00855228" w:rsidRPr="00235DD6">
                <w:rPr>
                  <w:rStyle w:val="Hyperlink"/>
                  <w:i/>
                  <w:iCs/>
                  <w:szCs w:val="22"/>
                  <w:lang w:val="ru-RU" w:bidi="ru-RU"/>
                </w:rPr>
                <w:t> г.)</w:t>
              </w:r>
            </w:hyperlink>
          </w:p>
        </w:tc>
      </w:tr>
    </w:tbl>
    <w:p w:rsidR="00855228" w:rsidRPr="00235DD6" w:rsidRDefault="00855228" w:rsidP="00855228">
      <w:pPr>
        <w:pStyle w:val="Heading1"/>
        <w:rPr>
          <w:lang w:val="ru-RU"/>
        </w:rPr>
      </w:pPr>
      <w:r w:rsidRPr="00235DD6">
        <w:rPr>
          <w:lang w:val="ru-RU"/>
        </w:rPr>
        <w:t>1</w:t>
      </w:r>
      <w:r w:rsidRPr="00235DD6">
        <w:rPr>
          <w:lang w:val="ru-RU"/>
        </w:rPr>
        <w:tab/>
        <w:t>Базовая информация</w:t>
      </w:r>
    </w:p>
    <w:p w:rsidR="00855228" w:rsidRPr="00235DD6" w:rsidRDefault="00855228" w:rsidP="00AB5138">
      <w:pPr>
        <w:rPr>
          <w:lang w:val="ru-RU"/>
        </w:rPr>
      </w:pPr>
      <w:r w:rsidRPr="00235DD6">
        <w:rPr>
          <w:lang w:val="ru-RU"/>
        </w:rPr>
        <w:t>1.1</w:t>
      </w:r>
      <w:r w:rsidRPr="00235DD6">
        <w:rPr>
          <w:lang w:val="ru-RU"/>
        </w:rPr>
        <w:tab/>
        <w:t xml:space="preserve">Полномочная конференция 2018 года (ПК-18) </w:t>
      </w:r>
      <w:r w:rsidR="00AB5138" w:rsidRPr="00235DD6">
        <w:rPr>
          <w:lang w:val="ru-RU"/>
        </w:rPr>
        <w:t>пересмотрела</w:t>
      </w:r>
      <w:r w:rsidRPr="00235DD6">
        <w:rPr>
          <w:lang w:val="ru-RU"/>
        </w:rPr>
        <w:t xml:space="preserve"> Резолюцию 191 (Пересм. Дубай, 2018 г.) "Стратегия координации усилий трех Секторов Союза".</w:t>
      </w:r>
    </w:p>
    <w:p w:rsidR="00855228" w:rsidRPr="00235DD6" w:rsidRDefault="00855228" w:rsidP="00F82ADA">
      <w:pPr>
        <w:rPr>
          <w:lang w:val="ru-RU"/>
        </w:rPr>
      </w:pPr>
      <w:r w:rsidRPr="00235DD6">
        <w:rPr>
          <w:lang w:val="ru-RU"/>
        </w:rPr>
        <w:t>1.2</w:t>
      </w:r>
      <w:r w:rsidRPr="00235DD6">
        <w:rPr>
          <w:lang w:val="ru-RU"/>
        </w:rPr>
        <w:tab/>
        <w:t xml:space="preserve">В Резолюции Генеральному секретарю </w:t>
      </w:r>
      <w:r w:rsidRPr="00235DD6">
        <w:rPr>
          <w:i/>
          <w:lang w:val="ru-RU"/>
        </w:rPr>
        <w:t xml:space="preserve">поручается </w:t>
      </w:r>
      <w:r w:rsidR="00F82ADA" w:rsidRPr="00235DD6">
        <w:rPr>
          <w:i/>
          <w:lang w:val="ru-RU"/>
        </w:rPr>
        <w:t xml:space="preserve">i) </w:t>
      </w:r>
      <w:r w:rsidR="00F82ADA" w:rsidRPr="00235DD6">
        <w:rPr>
          <w:lang w:val="ru-RU"/>
        </w:rPr>
        <w:t xml:space="preserve">продолжать совершенствовать стратегию координации и сотрудничества для осуществления эффективных и действенных усилий в областях, представляющих взаимный интерес для трех Секторов МСЭ и Генерального секретариата, с тем чтобы не допускать дублирования усилий и оптимизировать использование ресурсов Союза; </w:t>
      </w:r>
      <w:r w:rsidR="00F82ADA" w:rsidRPr="00235DD6">
        <w:rPr>
          <w:i/>
          <w:iCs/>
          <w:lang w:val="ru-RU"/>
        </w:rPr>
        <w:t>ii)</w:t>
      </w:r>
      <w:r w:rsidR="00F82ADA" w:rsidRPr="00235DD6">
        <w:rPr>
          <w:lang w:val="ru-RU"/>
        </w:rPr>
        <w:t> определить все формы и примеры частично совпадающих функций и видов деятельности Секторов МСЭ, а также Генерального секретариата и предложить варианты решений, позволяющих устранить такое совпадение;</w:t>
      </w:r>
      <w:r w:rsidR="00C212CE" w:rsidRPr="00235DD6">
        <w:rPr>
          <w:lang w:val="ru-RU"/>
        </w:rPr>
        <w:t xml:space="preserve"> и</w:t>
      </w:r>
      <w:r w:rsidR="00F82ADA" w:rsidRPr="00235DD6">
        <w:rPr>
          <w:lang w:val="ru-RU"/>
        </w:rPr>
        <w:t xml:space="preserve"> iii) обновить перечень областей, представляющих взаимный интерес для трех Секторов и Генерального секретариата, в соответствии с мандатами каждой ассамблеи и конференции МСЭ</w:t>
      </w:r>
      <w:r w:rsidRPr="00235DD6">
        <w:rPr>
          <w:lang w:val="ru-RU"/>
        </w:rPr>
        <w:t xml:space="preserve">. </w:t>
      </w:r>
    </w:p>
    <w:p w:rsidR="00F82ADA" w:rsidRPr="00235DD6" w:rsidRDefault="00F82ADA" w:rsidP="00466F45">
      <w:pPr>
        <w:rPr>
          <w:lang w:val="ru-RU"/>
        </w:rPr>
      </w:pPr>
      <w:r w:rsidRPr="00235DD6">
        <w:rPr>
          <w:lang w:val="ru-RU"/>
        </w:rPr>
        <w:t>1.3</w:t>
      </w:r>
      <w:r w:rsidRPr="00235DD6">
        <w:rPr>
          <w:lang w:val="ru-RU"/>
        </w:rPr>
        <w:tab/>
      </w:r>
      <w:r w:rsidR="00C212CE" w:rsidRPr="00235DD6">
        <w:rPr>
          <w:lang w:val="ru-RU"/>
        </w:rPr>
        <w:t>Более</w:t>
      </w:r>
      <w:r w:rsidR="005327DF" w:rsidRPr="00235DD6">
        <w:rPr>
          <w:lang w:val="ru-RU"/>
        </w:rPr>
        <w:t xml:space="preserve"> подробные сведения </w:t>
      </w:r>
      <w:r w:rsidR="00C212CE" w:rsidRPr="00235DD6">
        <w:rPr>
          <w:lang w:val="ru-RU"/>
        </w:rPr>
        <w:t xml:space="preserve">об этом можно найти в </w:t>
      </w:r>
      <w:hyperlink r:id="rId9" w:history="1">
        <w:r w:rsidR="00466F45" w:rsidRPr="00235DD6">
          <w:rPr>
            <w:rStyle w:val="Hyperlink"/>
            <w:lang w:val="ru-RU"/>
          </w:rPr>
          <w:t>Д</w:t>
        </w:r>
        <w:r w:rsidR="00C212CE" w:rsidRPr="00235DD6">
          <w:rPr>
            <w:rStyle w:val="Hyperlink"/>
            <w:lang w:val="ru-RU"/>
          </w:rPr>
          <w:t xml:space="preserve">окументе </w:t>
        </w:r>
        <w:r w:rsidR="009755ED" w:rsidRPr="00235DD6">
          <w:rPr>
            <w:rStyle w:val="Hyperlink"/>
            <w:lang w:val="ru-RU"/>
          </w:rPr>
          <w:t>для информации </w:t>
        </w:r>
        <w:r w:rsidR="00C212CE" w:rsidRPr="00235DD6">
          <w:rPr>
            <w:rStyle w:val="Hyperlink"/>
            <w:lang w:val="ru-RU"/>
          </w:rPr>
          <w:t>C19/INF/6</w:t>
        </w:r>
      </w:hyperlink>
      <w:r w:rsidR="00C212CE" w:rsidRPr="00235DD6">
        <w:rPr>
          <w:lang w:val="ru-RU"/>
        </w:rPr>
        <w:t xml:space="preserve">, в котором </w:t>
      </w:r>
      <w:r w:rsidR="00B45069" w:rsidRPr="00235DD6">
        <w:rPr>
          <w:lang w:val="ru-RU"/>
        </w:rPr>
        <w:t>содержатся</w:t>
      </w:r>
      <w:r w:rsidR="00C212CE" w:rsidRPr="00235DD6">
        <w:rPr>
          <w:lang w:val="ru-RU"/>
        </w:rPr>
        <w:t xml:space="preserve">: а) </w:t>
      </w:r>
      <w:r w:rsidR="00D24F03" w:rsidRPr="00235DD6">
        <w:rPr>
          <w:lang w:val="ru-RU"/>
        </w:rPr>
        <w:t xml:space="preserve">перечень </w:t>
      </w:r>
      <w:r w:rsidR="00C212CE" w:rsidRPr="00235DD6">
        <w:rPr>
          <w:lang w:val="ru-RU"/>
        </w:rPr>
        <w:t xml:space="preserve">областей, </w:t>
      </w:r>
      <w:r w:rsidR="00D24F03" w:rsidRPr="00235DD6">
        <w:rPr>
          <w:lang w:val="ru-RU"/>
        </w:rPr>
        <w:t xml:space="preserve">которые могут представлять </w:t>
      </w:r>
      <w:r w:rsidR="00C212CE" w:rsidRPr="00235DD6">
        <w:rPr>
          <w:lang w:val="ru-RU"/>
        </w:rPr>
        <w:t>взаимный интерес; b</w:t>
      </w:r>
      <w:r w:rsidR="006A3C66" w:rsidRPr="00235DD6">
        <w:rPr>
          <w:lang w:val="ru-RU"/>
        </w:rPr>
        <w:t>) </w:t>
      </w:r>
      <w:r w:rsidR="00621AF4" w:rsidRPr="00235DD6">
        <w:rPr>
          <w:lang w:val="ru-RU"/>
        </w:rPr>
        <w:t>таблица сопоставления</w:t>
      </w:r>
      <w:r w:rsidR="00C212CE" w:rsidRPr="00235DD6">
        <w:rPr>
          <w:lang w:val="ru-RU"/>
        </w:rPr>
        <w:t xml:space="preserve"> Резолюций </w:t>
      </w:r>
      <w:r w:rsidR="00621AF4" w:rsidRPr="00235DD6">
        <w:rPr>
          <w:lang w:val="ru-RU"/>
        </w:rPr>
        <w:t>ПК, АР</w:t>
      </w:r>
      <w:r w:rsidR="00C212CE" w:rsidRPr="00235DD6">
        <w:rPr>
          <w:lang w:val="ru-RU"/>
        </w:rPr>
        <w:t>/ВКР, ВАСЭ и ВКРЭ</w:t>
      </w:r>
      <w:r w:rsidR="00621AF4" w:rsidRPr="00235DD6">
        <w:rPr>
          <w:lang w:val="ru-RU"/>
        </w:rPr>
        <w:t xml:space="preserve"> МСЭ</w:t>
      </w:r>
      <w:r w:rsidR="00C212CE" w:rsidRPr="00235DD6">
        <w:rPr>
          <w:lang w:val="ru-RU"/>
        </w:rPr>
        <w:t xml:space="preserve">; и c) </w:t>
      </w:r>
      <w:r w:rsidR="006D6248" w:rsidRPr="00235DD6">
        <w:rPr>
          <w:lang w:val="ru-RU"/>
        </w:rPr>
        <w:t xml:space="preserve">таблицы </w:t>
      </w:r>
      <w:r w:rsidR="00C212CE" w:rsidRPr="00235DD6">
        <w:rPr>
          <w:lang w:val="ru-RU"/>
        </w:rPr>
        <w:t xml:space="preserve">сопоставления </w:t>
      </w:r>
      <w:r w:rsidR="006F253F" w:rsidRPr="00235DD6">
        <w:rPr>
          <w:lang w:val="ru-RU"/>
        </w:rPr>
        <w:lastRenderedPageBreak/>
        <w:t>областей работы, представляющих общий интерес для исследовательских комиссий МСЭ</w:t>
      </w:r>
      <w:r w:rsidR="00C212CE" w:rsidRPr="00235DD6">
        <w:rPr>
          <w:lang w:val="ru-RU"/>
        </w:rPr>
        <w:t xml:space="preserve">. Этот </w:t>
      </w:r>
      <w:r w:rsidR="00B03195" w:rsidRPr="00235DD6">
        <w:rPr>
          <w:lang w:val="ru-RU"/>
        </w:rPr>
        <w:t>документ для информации </w:t>
      </w:r>
      <w:r w:rsidR="00C212CE" w:rsidRPr="00235DD6">
        <w:rPr>
          <w:lang w:val="ru-RU"/>
        </w:rPr>
        <w:t xml:space="preserve">был составлен на основе </w:t>
      </w:r>
      <w:r w:rsidR="00182F60" w:rsidRPr="00235DD6">
        <w:rPr>
          <w:lang w:val="ru-RU"/>
        </w:rPr>
        <w:t>сведений</w:t>
      </w:r>
      <w:r w:rsidR="00C212CE" w:rsidRPr="00235DD6">
        <w:rPr>
          <w:lang w:val="ru-RU"/>
        </w:rPr>
        <w:t>, представленн</w:t>
      </w:r>
      <w:r w:rsidR="008C6E07" w:rsidRPr="00235DD6">
        <w:rPr>
          <w:lang w:val="ru-RU"/>
        </w:rPr>
        <w:t>ых</w:t>
      </w:r>
      <w:r w:rsidR="00C212CE" w:rsidRPr="00235DD6">
        <w:rPr>
          <w:lang w:val="ru-RU"/>
        </w:rPr>
        <w:t xml:space="preserve"> </w:t>
      </w:r>
      <w:r w:rsidR="0004099B" w:rsidRPr="00235DD6">
        <w:rPr>
          <w:lang w:val="ru-RU"/>
        </w:rPr>
        <w:t>С</w:t>
      </w:r>
      <w:r w:rsidR="00C212CE" w:rsidRPr="00235DD6">
        <w:rPr>
          <w:lang w:val="ru-RU"/>
        </w:rPr>
        <w:t xml:space="preserve">екретариатом, консультативными группами </w:t>
      </w:r>
      <w:r w:rsidR="0004099B" w:rsidRPr="00235DD6">
        <w:rPr>
          <w:lang w:val="ru-RU"/>
        </w:rPr>
        <w:t xml:space="preserve">Секторов </w:t>
      </w:r>
      <w:r w:rsidR="00C212CE" w:rsidRPr="00235DD6">
        <w:rPr>
          <w:lang w:val="ru-RU"/>
        </w:rPr>
        <w:t xml:space="preserve">и </w:t>
      </w:r>
      <w:r w:rsidR="005F40C8" w:rsidRPr="00235DD6">
        <w:rPr>
          <w:lang w:val="ru-RU"/>
        </w:rPr>
        <w:t>МСКГ</w:t>
      </w:r>
      <w:r w:rsidR="00C212CE" w:rsidRPr="00235DD6">
        <w:rPr>
          <w:lang w:val="ru-RU"/>
        </w:rPr>
        <w:t>.</w:t>
      </w:r>
    </w:p>
    <w:p w:rsidR="00855228" w:rsidRPr="00235DD6" w:rsidRDefault="00855228" w:rsidP="00F82ADA">
      <w:pPr>
        <w:rPr>
          <w:lang w:val="ru-RU"/>
        </w:rPr>
      </w:pPr>
      <w:r w:rsidRPr="00235DD6">
        <w:rPr>
          <w:lang w:val="ru-RU"/>
        </w:rPr>
        <w:t>1.</w:t>
      </w:r>
      <w:r w:rsidR="00F82ADA" w:rsidRPr="00235DD6">
        <w:rPr>
          <w:lang w:val="ru-RU"/>
        </w:rPr>
        <w:t>4</w:t>
      </w:r>
      <w:r w:rsidRPr="00235DD6">
        <w:rPr>
          <w:lang w:val="ru-RU"/>
        </w:rPr>
        <w:tab/>
        <w:t xml:space="preserve">Далее в </w:t>
      </w:r>
      <w:r w:rsidR="00F82ADA" w:rsidRPr="00235DD6">
        <w:rPr>
          <w:lang w:val="ru-RU"/>
        </w:rPr>
        <w:t>Резолюции 191</w:t>
      </w:r>
      <w:r w:rsidRPr="00235DD6">
        <w:rPr>
          <w:lang w:val="ru-RU"/>
        </w:rPr>
        <w:t xml:space="preserve"> </w:t>
      </w:r>
      <w:r w:rsidRPr="00235DD6">
        <w:rPr>
          <w:i/>
          <w:lang w:val="ru-RU"/>
        </w:rPr>
        <w:t xml:space="preserve">поручается </w:t>
      </w:r>
      <w:r w:rsidRPr="00235DD6">
        <w:rPr>
          <w:iCs/>
          <w:lang w:val="ru-RU"/>
        </w:rPr>
        <w:t>Генеральному секретарю и Директорам тре</w:t>
      </w:r>
      <w:r w:rsidR="009C557A" w:rsidRPr="00235DD6">
        <w:rPr>
          <w:iCs/>
          <w:lang w:val="ru-RU"/>
        </w:rPr>
        <w:t>х</w:t>
      </w:r>
      <w:r w:rsidRPr="00235DD6">
        <w:rPr>
          <w:iCs/>
          <w:lang w:val="ru-RU"/>
        </w:rPr>
        <w:t xml:space="preserve"> Бюро</w:t>
      </w:r>
      <w:r w:rsidRPr="00235DD6">
        <w:rPr>
          <w:lang w:val="ru-RU"/>
        </w:rPr>
        <w:t xml:space="preserve"> </w:t>
      </w:r>
      <w:r w:rsidR="00532A03" w:rsidRPr="00235DD6">
        <w:rPr>
          <w:lang w:val="ru-RU"/>
        </w:rPr>
        <w:t xml:space="preserve">обеспечить представление Совету </w:t>
      </w:r>
      <w:r w:rsidR="00B04868" w:rsidRPr="00235DD6">
        <w:rPr>
          <w:lang w:val="ru-RU"/>
        </w:rPr>
        <w:t>от</w:t>
      </w:r>
      <w:bookmarkStart w:id="3" w:name="_GoBack"/>
      <w:bookmarkEnd w:id="3"/>
      <w:r w:rsidR="00B04868" w:rsidRPr="00235DD6">
        <w:rPr>
          <w:lang w:val="ru-RU"/>
        </w:rPr>
        <w:t xml:space="preserve">четов </w:t>
      </w:r>
      <w:r w:rsidR="00532A03" w:rsidRPr="00235DD6">
        <w:rPr>
          <w:lang w:val="ru-RU"/>
        </w:rPr>
        <w:t xml:space="preserve">о координационной деятельности, проводимой различными Секторами в каждой области, которая определена как представляющая взаимный интерес, а </w:t>
      </w:r>
      <w:r w:rsidR="008B15AD" w:rsidRPr="00235DD6">
        <w:rPr>
          <w:lang w:val="ru-RU"/>
        </w:rPr>
        <w:t xml:space="preserve">о </w:t>
      </w:r>
      <w:r w:rsidR="00532A03" w:rsidRPr="00235DD6">
        <w:rPr>
          <w:lang w:val="ru-RU"/>
        </w:rPr>
        <w:t>также полученны</w:t>
      </w:r>
      <w:r w:rsidR="00B04868" w:rsidRPr="00235DD6">
        <w:rPr>
          <w:lang w:val="ru-RU"/>
        </w:rPr>
        <w:t>х</w:t>
      </w:r>
      <w:r w:rsidR="00532A03" w:rsidRPr="00235DD6">
        <w:rPr>
          <w:lang w:val="ru-RU"/>
        </w:rPr>
        <w:t xml:space="preserve"> результата</w:t>
      </w:r>
      <w:r w:rsidR="00B04868" w:rsidRPr="00235DD6">
        <w:rPr>
          <w:lang w:val="ru-RU"/>
        </w:rPr>
        <w:t>х</w:t>
      </w:r>
      <w:r w:rsidRPr="00235DD6">
        <w:rPr>
          <w:lang w:val="ru-RU"/>
        </w:rPr>
        <w:t>.</w:t>
      </w:r>
    </w:p>
    <w:p w:rsidR="00855228" w:rsidRPr="00235DD6" w:rsidRDefault="00855228" w:rsidP="00F82ADA">
      <w:pPr>
        <w:rPr>
          <w:lang w:val="ru-RU"/>
        </w:rPr>
      </w:pPr>
      <w:r w:rsidRPr="00235DD6">
        <w:rPr>
          <w:lang w:val="ru-RU"/>
        </w:rPr>
        <w:t>1.</w:t>
      </w:r>
      <w:r w:rsidR="00F82ADA" w:rsidRPr="00235DD6">
        <w:rPr>
          <w:lang w:val="ru-RU"/>
        </w:rPr>
        <w:t>5</w:t>
      </w:r>
      <w:r w:rsidRPr="00235DD6">
        <w:rPr>
          <w:lang w:val="ru-RU"/>
        </w:rPr>
        <w:tab/>
        <w:t xml:space="preserve">В </w:t>
      </w:r>
      <w:r w:rsidR="00811F9C" w:rsidRPr="00235DD6">
        <w:rPr>
          <w:lang w:val="ru-RU"/>
        </w:rPr>
        <w:t>ней</w:t>
      </w:r>
      <w:r w:rsidRPr="00235DD6">
        <w:rPr>
          <w:lang w:val="ru-RU"/>
        </w:rPr>
        <w:t xml:space="preserve"> также </w:t>
      </w:r>
      <w:r w:rsidRPr="00235DD6">
        <w:rPr>
          <w:i/>
          <w:lang w:val="ru-RU"/>
        </w:rPr>
        <w:t xml:space="preserve">поручается </w:t>
      </w:r>
      <w:r w:rsidRPr="00235DD6">
        <w:rPr>
          <w:i/>
          <w:iCs/>
          <w:lang w:val="ru-RU"/>
        </w:rPr>
        <w:t>Генеральному секретарю и Директорам трех Бюро</w:t>
      </w:r>
      <w:r w:rsidRPr="00235DD6">
        <w:rPr>
          <w:lang w:val="ru-RU"/>
        </w:rPr>
        <w:t xml:space="preserve"> определить все формы и примеры частично совпадающих функций и видов деятельности Секторов МСЭ, а также Генерального секретариата и предложить варианты решений, позволяющих устранить такое совпадение.</w:t>
      </w:r>
    </w:p>
    <w:p w:rsidR="00855228" w:rsidRPr="00235DD6" w:rsidRDefault="00855228" w:rsidP="00855228">
      <w:pPr>
        <w:pStyle w:val="Heading1"/>
        <w:rPr>
          <w:lang w:val="ru-RU"/>
        </w:rPr>
      </w:pPr>
      <w:r w:rsidRPr="00235DD6">
        <w:rPr>
          <w:lang w:val="ru-RU"/>
        </w:rPr>
        <w:t>2</w:t>
      </w:r>
      <w:r w:rsidRPr="00235DD6">
        <w:rPr>
          <w:lang w:val="ru-RU"/>
        </w:rPr>
        <w:tab/>
        <w:t>Координация в рамках Секретариата</w:t>
      </w:r>
    </w:p>
    <w:p w:rsidR="00855228" w:rsidRPr="00235DD6" w:rsidRDefault="00855228" w:rsidP="00855228">
      <w:pPr>
        <w:pStyle w:val="Headingb"/>
        <w:rPr>
          <w:lang w:val="ru-RU"/>
        </w:rPr>
      </w:pPr>
      <w:r w:rsidRPr="00235DD6">
        <w:rPr>
          <w:lang w:val="ru-RU"/>
        </w:rPr>
        <w:t>Межсекторальная целевая группа по координации (ЦГ-МСК)</w:t>
      </w:r>
    </w:p>
    <w:p w:rsidR="00855228" w:rsidRPr="00235DD6" w:rsidRDefault="00855228" w:rsidP="00855228">
      <w:pPr>
        <w:rPr>
          <w:lang w:val="ru-RU"/>
        </w:rPr>
      </w:pPr>
      <w:r w:rsidRPr="00235DD6">
        <w:rPr>
          <w:lang w:val="ru-RU"/>
        </w:rPr>
        <w:t>2.1</w:t>
      </w:r>
      <w:r w:rsidRPr="00235DD6">
        <w:rPr>
          <w:lang w:val="ru-RU"/>
        </w:rPr>
        <w:tab/>
        <w:t>Была создана Межсекторальная целевая группа по координации (ЦГ</w:t>
      </w:r>
      <w:r w:rsidRPr="00235DD6">
        <w:rPr>
          <w:lang w:val="ru-RU"/>
        </w:rPr>
        <w:noBreakHyphen/>
        <w:t xml:space="preserve">МСК) для укрепления координации и сотрудничества между тремя Бюро и Генеральным секретариатом, с тем чтобы не допускать внутреннего дублирования усилий и оптимизировать использование ресурсов. Круг ведения ЦГ-МСК определен в </w:t>
      </w:r>
      <w:hyperlink r:id="rId10" w:history="1">
        <w:r w:rsidRPr="00235DD6">
          <w:rPr>
            <w:rStyle w:val="Hyperlink"/>
            <w:lang w:val="ru-RU"/>
          </w:rPr>
          <w:t>Служебном приказе № 16/13</w:t>
        </w:r>
      </w:hyperlink>
      <w:r w:rsidRPr="00235DD6">
        <w:rPr>
          <w:lang w:val="ru-RU"/>
        </w:rPr>
        <w:t>.</w:t>
      </w:r>
    </w:p>
    <w:p w:rsidR="00855228" w:rsidRPr="00235DD6" w:rsidRDefault="00C5054E" w:rsidP="00D722A6">
      <w:pPr>
        <w:rPr>
          <w:lang w:val="ru-RU"/>
        </w:rPr>
      </w:pPr>
      <w:r w:rsidRPr="00235DD6">
        <w:rPr>
          <w:lang w:val="ru-RU"/>
        </w:rPr>
        <w:t>2.2</w:t>
      </w:r>
      <w:r w:rsidRPr="00235DD6">
        <w:rPr>
          <w:lang w:val="ru-RU"/>
        </w:rPr>
        <w:tab/>
        <w:t>ЦГ-МСК</w:t>
      </w:r>
      <w:r w:rsidR="00855228" w:rsidRPr="00235DD6">
        <w:rPr>
          <w:lang w:val="ru-RU"/>
        </w:rPr>
        <w:t xml:space="preserve"> провела шесть собраний</w:t>
      </w:r>
      <w:r w:rsidR="0068654E" w:rsidRPr="00235DD6">
        <w:rPr>
          <w:lang w:val="ru-RU"/>
        </w:rPr>
        <w:t xml:space="preserve"> после представления ее предыдущего отчета Совету в апреле 2018 года (еще одно состоится в мае) </w:t>
      </w:r>
      <w:r w:rsidR="00855228" w:rsidRPr="00235DD6">
        <w:rPr>
          <w:lang w:val="ru-RU"/>
        </w:rPr>
        <w:t xml:space="preserve">и </w:t>
      </w:r>
      <w:r w:rsidR="0068654E" w:rsidRPr="00235DD6">
        <w:rPr>
          <w:lang w:val="ru-RU"/>
        </w:rPr>
        <w:t>всего 29 собраний</w:t>
      </w:r>
      <w:r w:rsidR="00855228" w:rsidRPr="00235DD6">
        <w:rPr>
          <w:lang w:val="ru-RU"/>
        </w:rPr>
        <w:t xml:space="preserve"> с момента своего образования в марте 2015 года</w:t>
      </w:r>
      <w:r w:rsidRPr="00235DD6">
        <w:rPr>
          <w:lang w:val="ru-RU"/>
        </w:rPr>
        <w:t xml:space="preserve">. </w:t>
      </w:r>
      <w:r w:rsidR="00A13973" w:rsidRPr="00235DD6">
        <w:rPr>
          <w:lang w:val="ru-RU"/>
        </w:rPr>
        <w:t xml:space="preserve">Председателем </w:t>
      </w:r>
      <w:r w:rsidR="00D722A6" w:rsidRPr="00235DD6">
        <w:rPr>
          <w:lang w:val="ru-RU"/>
        </w:rPr>
        <w:t>ЦГ-МСК выступает заместитель</w:t>
      </w:r>
      <w:r w:rsidRPr="00235DD6">
        <w:rPr>
          <w:lang w:val="ru-RU"/>
        </w:rPr>
        <w:t xml:space="preserve"> Генерального секретаря</w:t>
      </w:r>
      <w:r w:rsidR="00855228" w:rsidRPr="00235DD6">
        <w:rPr>
          <w:lang w:val="ru-RU"/>
        </w:rPr>
        <w:t xml:space="preserve">, </w:t>
      </w:r>
      <w:r w:rsidR="00D722A6" w:rsidRPr="00235DD6">
        <w:rPr>
          <w:lang w:val="ru-RU"/>
        </w:rPr>
        <w:t>и в ее работе участвуют</w:t>
      </w:r>
      <w:r w:rsidR="00855228" w:rsidRPr="00235DD6">
        <w:rPr>
          <w:lang w:val="ru-RU"/>
        </w:rPr>
        <w:t xml:space="preserve">: a) заместители Директоров трех Бюро и руководитель Департамента по стратегическому планированию и связям с членами, b) межсекторальные координаторы, отвечающие за определенные тематические области, c) директора региональных отделений, </w:t>
      </w:r>
      <w:r w:rsidR="00855228" w:rsidRPr="00235DD6">
        <w:rPr>
          <w:i/>
          <w:lang w:val="ru-RU"/>
        </w:rPr>
        <w:t>d)</w:t>
      </w:r>
      <w:r w:rsidR="00855228" w:rsidRPr="00235DD6">
        <w:rPr>
          <w:lang w:val="ru-RU"/>
        </w:rPr>
        <w:t xml:space="preserve"> руководители департаментов Генерального секретариата, </w:t>
      </w:r>
      <w:r w:rsidR="00855228" w:rsidRPr="00235DD6">
        <w:rPr>
          <w:i/>
          <w:lang w:val="ru-RU"/>
        </w:rPr>
        <w:t>e)</w:t>
      </w:r>
      <w:r w:rsidR="00855228" w:rsidRPr="00235DD6">
        <w:rPr>
          <w:lang w:val="ru-RU"/>
        </w:rPr>
        <w:t> в качестве наблюдателя – глава Службы внутреннего аудита и</w:t>
      </w:r>
      <w:r w:rsidR="004847AB" w:rsidRPr="00235DD6">
        <w:rPr>
          <w:lang w:val="ru-RU"/>
        </w:rPr>
        <w:t xml:space="preserve"> </w:t>
      </w:r>
      <w:r w:rsidR="004847AB" w:rsidRPr="00235DD6">
        <w:rPr>
          <w:i/>
          <w:iCs/>
          <w:lang w:val="ru-RU"/>
        </w:rPr>
        <w:t>f)</w:t>
      </w:r>
      <w:r w:rsidR="004847AB" w:rsidRPr="00235DD6">
        <w:rPr>
          <w:lang w:val="ru-RU"/>
        </w:rPr>
        <w:t xml:space="preserve"> по приглашению председателя</w:t>
      </w:r>
      <w:r w:rsidR="00855228" w:rsidRPr="00235DD6">
        <w:rPr>
          <w:lang w:val="ru-RU"/>
        </w:rPr>
        <w:t xml:space="preserve"> руководители департаментов Бюро.</w:t>
      </w:r>
    </w:p>
    <w:p w:rsidR="00855228" w:rsidRPr="00235DD6" w:rsidRDefault="00855228" w:rsidP="00AB5138">
      <w:pPr>
        <w:rPr>
          <w:lang w:val="ru-RU"/>
        </w:rPr>
      </w:pPr>
      <w:r w:rsidRPr="00235DD6">
        <w:rPr>
          <w:lang w:val="ru-RU"/>
        </w:rPr>
        <w:t>2.3</w:t>
      </w:r>
      <w:r w:rsidRPr="00235DD6">
        <w:rPr>
          <w:lang w:val="ru-RU"/>
        </w:rPr>
        <w:tab/>
        <w:t xml:space="preserve">К областям, представляющим межсекторальный интерес, по которым ЦГ-МСК осуществляет координацию, относятся следующие темы: доступность, </w:t>
      </w:r>
      <w:r w:rsidR="00A344E5" w:rsidRPr="00235DD6">
        <w:rPr>
          <w:lang w:val="ru-RU"/>
        </w:rPr>
        <w:t>искус</w:t>
      </w:r>
      <w:r w:rsidR="00FB2D43" w:rsidRPr="00235DD6">
        <w:rPr>
          <w:lang w:val="ru-RU"/>
        </w:rPr>
        <w:t>с</w:t>
      </w:r>
      <w:r w:rsidR="00A344E5" w:rsidRPr="00235DD6">
        <w:rPr>
          <w:lang w:val="ru-RU"/>
        </w:rPr>
        <w:t xml:space="preserve">твенный интеллект, </w:t>
      </w:r>
      <w:r w:rsidR="002F3E6E" w:rsidRPr="00235DD6">
        <w:rPr>
          <w:lang w:val="ru-RU"/>
        </w:rPr>
        <w:t>п</w:t>
      </w:r>
      <w:r w:rsidR="007A5448" w:rsidRPr="00235DD6">
        <w:rPr>
          <w:lang w:val="ru-RU"/>
        </w:rPr>
        <w:t>реодоление разрыва в стандартизации</w:t>
      </w:r>
      <w:r w:rsidR="00A344E5" w:rsidRPr="00235DD6">
        <w:rPr>
          <w:lang w:val="ru-RU"/>
        </w:rPr>
        <w:t xml:space="preserve">, </w:t>
      </w:r>
      <w:r w:rsidR="007A5448" w:rsidRPr="00235DD6">
        <w:rPr>
          <w:lang w:val="ru-RU"/>
        </w:rPr>
        <w:t>связь и редакционный совет веб-сайта</w:t>
      </w:r>
      <w:r w:rsidR="00A344E5" w:rsidRPr="00235DD6">
        <w:rPr>
          <w:lang w:val="ru-RU"/>
        </w:rPr>
        <w:t xml:space="preserve">, </w:t>
      </w:r>
      <w:r w:rsidR="003D5FAA" w:rsidRPr="00235DD6">
        <w:rPr>
          <w:lang w:val="ru-RU"/>
        </w:rPr>
        <w:t>возникающие тенденции</w:t>
      </w:r>
      <w:r w:rsidR="00A344E5" w:rsidRPr="00235DD6">
        <w:rPr>
          <w:lang w:val="ru-RU"/>
        </w:rPr>
        <w:t xml:space="preserve">, </w:t>
      </w:r>
      <w:r w:rsidR="009C13CC" w:rsidRPr="00235DD6">
        <w:rPr>
          <w:lang w:val="ru-RU"/>
        </w:rPr>
        <w:t>электросвяз</w:t>
      </w:r>
      <w:r w:rsidR="00AB5138" w:rsidRPr="00235DD6">
        <w:rPr>
          <w:lang w:val="ru-RU"/>
        </w:rPr>
        <w:t>ь</w:t>
      </w:r>
      <w:r w:rsidR="009C13CC" w:rsidRPr="00235DD6">
        <w:rPr>
          <w:lang w:val="ru-RU"/>
        </w:rPr>
        <w:t xml:space="preserve"> в чрезвычайных ситуациях</w:t>
      </w:r>
      <w:r w:rsidR="00A344E5" w:rsidRPr="00235DD6">
        <w:rPr>
          <w:lang w:val="ru-RU"/>
        </w:rPr>
        <w:t xml:space="preserve">, </w:t>
      </w:r>
      <w:r w:rsidR="00CD26C7" w:rsidRPr="00235DD6">
        <w:rPr>
          <w:lang w:val="ru-RU"/>
        </w:rPr>
        <w:t>окружающая среда</w:t>
      </w:r>
      <w:r w:rsidR="00A344E5" w:rsidRPr="00235DD6">
        <w:rPr>
          <w:lang w:val="ru-RU"/>
        </w:rPr>
        <w:t xml:space="preserve"> </w:t>
      </w:r>
      <w:r w:rsidR="00CD26C7" w:rsidRPr="00235DD6">
        <w:rPr>
          <w:lang w:val="ru-RU"/>
        </w:rPr>
        <w:t>и</w:t>
      </w:r>
      <w:r w:rsidR="00A344E5" w:rsidRPr="00235DD6">
        <w:rPr>
          <w:lang w:val="ru-RU"/>
        </w:rPr>
        <w:t xml:space="preserve"> </w:t>
      </w:r>
      <w:r w:rsidR="00E23B75" w:rsidRPr="00235DD6">
        <w:rPr>
          <w:lang w:val="ru-RU"/>
        </w:rPr>
        <w:t>"умные" устойчивые города</w:t>
      </w:r>
      <w:r w:rsidR="00A344E5" w:rsidRPr="00235DD6">
        <w:rPr>
          <w:lang w:val="ru-RU"/>
        </w:rPr>
        <w:t xml:space="preserve">, </w:t>
      </w:r>
      <w:r w:rsidR="007A5448" w:rsidRPr="00235DD6">
        <w:rPr>
          <w:lang w:val="ru-RU"/>
        </w:rPr>
        <w:t>координация мероприятий</w:t>
      </w:r>
      <w:r w:rsidR="00A344E5" w:rsidRPr="00235DD6">
        <w:rPr>
          <w:lang w:val="ru-RU"/>
        </w:rPr>
        <w:t xml:space="preserve">, </w:t>
      </w:r>
      <w:r w:rsidR="00E23B75" w:rsidRPr="00235DD6">
        <w:rPr>
          <w:lang w:val="ru-RU"/>
        </w:rPr>
        <w:t xml:space="preserve">гендерные </w:t>
      </w:r>
      <w:r w:rsidR="00E23B75" w:rsidRPr="00235DD6">
        <w:rPr>
          <w:lang w:val="ru-RU"/>
        </w:rPr>
        <w:lastRenderedPageBreak/>
        <w:t>вопросы</w:t>
      </w:r>
      <w:r w:rsidR="00A344E5" w:rsidRPr="00235DD6">
        <w:rPr>
          <w:lang w:val="ru-RU"/>
        </w:rPr>
        <w:t xml:space="preserve">, </w:t>
      </w:r>
      <w:r w:rsidR="00E23B75" w:rsidRPr="00235DD6">
        <w:rPr>
          <w:lang w:val="ru-RU"/>
        </w:rPr>
        <w:t>членство</w:t>
      </w:r>
      <w:r w:rsidR="00A344E5" w:rsidRPr="00235DD6">
        <w:rPr>
          <w:lang w:val="ru-RU"/>
        </w:rPr>
        <w:t xml:space="preserve">, </w:t>
      </w:r>
      <w:r w:rsidR="007A5448" w:rsidRPr="00235DD6">
        <w:rPr>
          <w:lang w:val="ru-RU"/>
        </w:rPr>
        <w:t>мобилизация ресурсов</w:t>
      </w:r>
      <w:r w:rsidR="00A344E5" w:rsidRPr="00235DD6">
        <w:rPr>
          <w:lang w:val="ru-RU"/>
        </w:rPr>
        <w:t xml:space="preserve"> </w:t>
      </w:r>
      <w:r w:rsidR="00FB2D43" w:rsidRPr="00235DD6">
        <w:rPr>
          <w:lang w:val="ru-RU"/>
        </w:rPr>
        <w:t>и МСП</w:t>
      </w:r>
      <w:r w:rsidRPr="00235DD6">
        <w:rPr>
          <w:lang w:val="ru-RU"/>
        </w:rPr>
        <w:t xml:space="preserve">. </w:t>
      </w:r>
      <w:r w:rsidR="00DA2F0C" w:rsidRPr="00235DD6">
        <w:rPr>
          <w:lang w:val="ru-RU"/>
        </w:rPr>
        <w:t>Со времени проведения сессии Совета в апреле 2018 года</w:t>
      </w:r>
      <w:r w:rsidRPr="00235DD6">
        <w:rPr>
          <w:lang w:val="ru-RU"/>
        </w:rPr>
        <w:t xml:space="preserve"> Группа:</w:t>
      </w:r>
    </w:p>
    <w:p w:rsidR="00855228" w:rsidRPr="00235DD6" w:rsidRDefault="00855228" w:rsidP="007A514D">
      <w:pPr>
        <w:pStyle w:val="enumlev1"/>
        <w:rPr>
          <w:lang w:val="ru-RU"/>
        </w:rPr>
      </w:pPr>
      <w:r w:rsidRPr="00235DD6">
        <w:rPr>
          <w:lang w:val="ru-RU"/>
        </w:rPr>
        <w:t>–</w:t>
      </w:r>
      <w:r w:rsidRPr="00235DD6">
        <w:rPr>
          <w:lang w:val="ru-RU"/>
        </w:rPr>
        <w:tab/>
        <w:t xml:space="preserve">содействовала обмену информацией между Секторами и Генеральным секретариатом по </w:t>
      </w:r>
      <w:r w:rsidR="00FE359F" w:rsidRPr="00235DD6">
        <w:rPr>
          <w:lang w:val="ru-RU"/>
        </w:rPr>
        <w:t>перечисленным выше</w:t>
      </w:r>
      <w:r w:rsidRPr="00235DD6">
        <w:rPr>
          <w:lang w:val="ru-RU"/>
        </w:rPr>
        <w:t xml:space="preserve"> тематическим областям, </w:t>
      </w:r>
      <w:r w:rsidR="006970FF" w:rsidRPr="00235DD6">
        <w:rPr>
          <w:lang w:val="ru-RU"/>
        </w:rPr>
        <w:t xml:space="preserve">предоставляя участникам </w:t>
      </w:r>
      <w:r w:rsidR="00D10814" w:rsidRPr="00235DD6">
        <w:rPr>
          <w:lang w:val="ru-RU"/>
        </w:rPr>
        <w:t>Г</w:t>
      </w:r>
      <w:r w:rsidR="006970FF" w:rsidRPr="00235DD6">
        <w:rPr>
          <w:lang w:val="ru-RU"/>
        </w:rPr>
        <w:t>руппы обновленную информацию об изменениях</w:t>
      </w:r>
      <w:r w:rsidRPr="00235DD6">
        <w:rPr>
          <w:lang w:val="ru-RU"/>
        </w:rPr>
        <w:t xml:space="preserve"> и прогресс</w:t>
      </w:r>
      <w:r w:rsidR="007A514D" w:rsidRPr="00235DD6">
        <w:rPr>
          <w:lang w:val="ru-RU"/>
        </w:rPr>
        <w:t>е, достигнутом</w:t>
      </w:r>
      <w:r w:rsidRPr="00235DD6">
        <w:rPr>
          <w:lang w:val="ru-RU"/>
        </w:rPr>
        <w:t xml:space="preserve"> в каждой из областей;</w:t>
      </w:r>
    </w:p>
    <w:p w:rsidR="00855228" w:rsidRPr="00235DD6" w:rsidRDefault="00855228" w:rsidP="008E1C61">
      <w:pPr>
        <w:pStyle w:val="enumlev1"/>
        <w:rPr>
          <w:lang w:val="ru-RU"/>
        </w:rPr>
      </w:pPr>
      <w:r w:rsidRPr="00235DD6">
        <w:rPr>
          <w:lang w:val="ru-RU"/>
        </w:rPr>
        <w:t>–</w:t>
      </w:r>
      <w:r w:rsidRPr="00235DD6">
        <w:rPr>
          <w:lang w:val="ru-RU"/>
        </w:rPr>
        <w:tab/>
        <w:t xml:space="preserve">обсуждала и предлагала решения по ключевым вопросам, поднимаемым координаторами, </w:t>
      </w:r>
      <w:r w:rsidR="003F2EC1" w:rsidRPr="00235DD6">
        <w:rPr>
          <w:lang w:val="ru-RU"/>
        </w:rPr>
        <w:t xml:space="preserve">передавая </w:t>
      </w:r>
      <w:r w:rsidRPr="00235DD6">
        <w:rPr>
          <w:lang w:val="ru-RU"/>
        </w:rPr>
        <w:t xml:space="preserve">данные вопросы </w:t>
      </w:r>
      <w:r w:rsidR="004371F2" w:rsidRPr="00235DD6">
        <w:rPr>
          <w:lang w:val="ru-RU"/>
        </w:rPr>
        <w:t xml:space="preserve">выше </w:t>
      </w:r>
      <w:r w:rsidRPr="00235DD6">
        <w:rPr>
          <w:lang w:val="ru-RU"/>
        </w:rPr>
        <w:t>по инстанции, если невозможно было принять решение или разрешить вопрос на уровне координатора;</w:t>
      </w:r>
    </w:p>
    <w:p w:rsidR="00855228" w:rsidRPr="00235DD6" w:rsidRDefault="00855228" w:rsidP="00855228">
      <w:pPr>
        <w:pStyle w:val="enumlev1"/>
        <w:rPr>
          <w:lang w:val="ru-RU"/>
        </w:rPr>
      </w:pPr>
      <w:r w:rsidRPr="00235DD6">
        <w:rPr>
          <w:lang w:val="ru-RU"/>
        </w:rPr>
        <w:t>–</w:t>
      </w:r>
      <w:r w:rsidRPr="00235DD6">
        <w:rPr>
          <w:lang w:val="ru-RU"/>
        </w:rPr>
        <w:tab/>
        <w:t>использовала участие и вклады региональных отделений, которые участвовали дистанционно в обсуждениях ЦГ-МСК;</w:t>
      </w:r>
    </w:p>
    <w:p w:rsidR="00855228" w:rsidRPr="00235DD6" w:rsidRDefault="00855228" w:rsidP="00855228">
      <w:pPr>
        <w:pStyle w:val="enumlev1"/>
        <w:rPr>
          <w:lang w:val="ru-RU"/>
        </w:rPr>
      </w:pPr>
      <w:r w:rsidRPr="00235DD6">
        <w:rPr>
          <w:lang w:val="ru-RU"/>
        </w:rPr>
        <w:t>−</w:t>
      </w:r>
      <w:r w:rsidRPr="00235DD6">
        <w:rPr>
          <w:lang w:val="ru-RU"/>
        </w:rPr>
        <w:tab/>
        <w:t>продолжала публикацию и обновление информации о работе МСЭ по тематическим областям на соответствующих веб-страницах МСЭ, основываясь на принципах открытости и прозрачности;</w:t>
      </w:r>
    </w:p>
    <w:p w:rsidR="00855228" w:rsidRPr="00235DD6" w:rsidRDefault="00855228" w:rsidP="00851098">
      <w:pPr>
        <w:pStyle w:val="enumlev1"/>
        <w:rPr>
          <w:lang w:val="ru-RU"/>
        </w:rPr>
      </w:pPr>
      <w:r w:rsidRPr="00235DD6">
        <w:rPr>
          <w:lang w:val="ru-RU"/>
        </w:rPr>
        <w:t>–</w:t>
      </w:r>
      <w:r w:rsidRPr="00235DD6">
        <w:rPr>
          <w:lang w:val="ru-RU"/>
        </w:rPr>
        <w:tab/>
        <w:t>координировала участ</w:t>
      </w:r>
      <w:r w:rsidR="00851098" w:rsidRPr="00235DD6">
        <w:rPr>
          <w:lang w:val="ru-RU"/>
        </w:rPr>
        <w:t>ие МСЭ в конференциях и форумах</w:t>
      </w:r>
      <w:r w:rsidRPr="00235DD6">
        <w:rPr>
          <w:lang w:val="ru-RU"/>
        </w:rPr>
        <w:t xml:space="preserve"> с целью рационализации направления делегаций/участия МСЭ, обеспечивая при этом представленность межсекторальных интересов; а также</w:t>
      </w:r>
    </w:p>
    <w:p w:rsidR="00855228" w:rsidRPr="00235DD6" w:rsidRDefault="00855228" w:rsidP="00855228">
      <w:pPr>
        <w:pStyle w:val="enumlev1"/>
        <w:rPr>
          <w:lang w:val="ru-RU"/>
        </w:rPr>
      </w:pPr>
      <w:r w:rsidRPr="00235DD6">
        <w:rPr>
          <w:lang w:val="ru-RU"/>
        </w:rPr>
        <w:t>–</w:t>
      </w:r>
      <w:r w:rsidRPr="00235DD6">
        <w:rPr>
          <w:lang w:val="ru-RU"/>
        </w:rPr>
        <w:tab/>
        <w:t>способствовала лучшей координации организации мероприятий и собраний МСЭ, благодаря работе, проводимой в этой конкретной области.</w:t>
      </w:r>
    </w:p>
    <w:p w:rsidR="00855228" w:rsidRPr="00235DD6" w:rsidRDefault="00855228" w:rsidP="00087EE7">
      <w:pPr>
        <w:rPr>
          <w:lang w:val="ru-RU"/>
        </w:rPr>
      </w:pPr>
      <w:r w:rsidRPr="00235DD6">
        <w:rPr>
          <w:lang w:val="ru-RU"/>
        </w:rPr>
        <w:t>2.4</w:t>
      </w:r>
      <w:r w:rsidRPr="00235DD6">
        <w:rPr>
          <w:lang w:val="ru-RU"/>
        </w:rPr>
        <w:tab/>
        <w:t xml:space="preserve">Наряду с этим Группа достигла следующих конкретных результатов </w:t>
      </w:r>
      <w:r w:rsidR="00087EE7" w:rsidRPr="00235DD6">
        <w:rPr>
          <w:lang w:val="ru-RU"/>
        </w:rPr>
        <w:t>со времени проведения предыдущей обычной сессии Совета</w:t>
      </w:r>
      <w:r w:rsidRPr="00235DD6">
        <w:rPr>
          <w:lang w:val="ru-RU"/>
        </w:rPr>
        <w:t>:</w:t>
      </w:r>
    </w:p>
    <w:p w:rsidR="00712E45" w:rsidRPr="00235DD6" w:rsidRDefault="00712E45" w:rsidP="00335DF0">
      <w:pPr>
        <w:pStyle w:val="enumlev1"/>
        <w:rPr>
          <w:lang w:val="ru-RU"/>
        </w:rPr>
      </w:pPr>
      <w:r w:rsidRPr="00235DD6">
        <w:rPr>
          <w:lang w:val="ru-RU"/>
        </w:rPr>
        <w:t>−</w:t>
      </w:r>
      <w:r w:rsidRPr="00235DD6">
        <w:rPr>
          <w:lang w:val="ru-RU"/>
        </w:rPr>
        <w:tab/>
      </w:r>
      <w:r w:rsidR="00335DF0" w:rsidRPr="00235DD6">
        <w:rPr>
          <w:lang w:val="ru-RU"/>
        </w:rPr>
        <w:t>разработал</w:t>
      </w:r>
      <w:r w:rsidR="000035FB" w:rsidRPr="00235DD6">
        <w:rPr>
          <w:lang w:val="ru-RU"/>
        </w:rPr>
        <w:t>а</w:t>
      </w:r>
      <w:r w:rsidR="00335DF0" w:rsidRPr="00235DD6">
        <w:rPr>
          <w:lang w:val="ru-RU"/>
        </w:rPr>
        <w:t xml:space="preserve"> новую веб-страницу по межсекторальной координации </w:t>
      </w:r>
      <w:r w:rsidRPr="00235DD6">
        <w:rPr>
          <w:lang w:val="ru-RU"/>
        </w:rPr>
        <w:t>(</w:t>
      </w:r>
      <w:hyperlink r:id="rId11" w:history="1">
        <w:r w:rsidRPr="00235DD6">
          <w:rPr>
            <w:rStyle w:val="Hyperlink"/>
            <w:lang w:val="ru-RU"/>
          </w:rPr>
          <w:t>www.itu.int/en/general-secretariat/Pages/intersectoral-coordination.aspx</w:t>
        </w:r>
      </w:hyperlink>
      <w:r w:rsidR="00335DF0" w:rsidRPr="00235DD6">
        <w:rPr>
          <w:lang w:val="ru-RU"/>
        </w:rPr>
        <w:t>)</w:t>
      </w:r>
      <w:r w:rsidRPr="00235DD6">
        <w:rPr>
          <w:lang w:val="ru-RU"/>
        </w:rPr>
        <w:t xml:space="preserve"> </w:t>
      </w:r>
      <w:r w:rsidR="00335DF0" w:rsidRPr="00235DD6">
        <w:rPr>
          <w:lang w:val="ru-RU"/>
        </w:rPr>
        <w:t>совместно с председателем Межсекторальной координационной группы по вопросам, представляющим взаимный интерес (МСКГ)</w:t>
      </w:r>
      <w:r w:rsidRPr="00235DD6">
        <w:rPr>
          <w:lang w:val="ru-RU"/>
        </w:rPr>
        <w:t>;</w:t>
      </w:r>
    </w:p>
    <w:p w:rsidR="00712E45" w:rsidRPr="00235DD6" w:rsidRDefault="00712E45" w:rsidP="00AE2A18">
      <w:pPr>
        <w:pStyle w:val="enumlev1"/>
        <w:rPr>
          <w:lang w:val="ru-RU"/>
        </w:rPr>
      </w:pPr>
      <w:r w:rsidRPr="00235DD6">
        <w:rPr>
          <w:lang w:val="ru-RU"/>
        </w:rPr>
        <w:t>−</w:t>
      </w:r>
      <w:r w:rsidRPr="00235DD6">
        <w:rPr>
          <w:lang w:val="ru-RU"/>
        </w:rPr>
        <w:tab/>
      </w:r>
      <w:r w:rsidR="00AE2A18" w:rsidRPr="00235DD6">
        <w:rPr>
          <w:lang w:val="ru-RU"/>
        </w:rPr>
        <w:t xml:space="preserve">обсуждала </w:t>
      </w:r>
      <w:r w:rsidR="000035FB" w:rsidRPr="00235DD6">
        <w:rPr>
          <w:lang w:val="ru-RU"/>
        </w:rPr>
        <w:t xml:space="preserve">предлагаемые </w:t>
      </w:r>
      <w:r w:rsidR="00D964D7" w:rsidRPr="00235DD6">
        <w:rPr>
          <w:lang w:val="ru-RU"/>
        </w:rPr>
        <w:t xml:space="preserve">руководящие указания МСЭ по спонсорской поддержке </w:t>
      </w:r>
      <w:r w:rsidR="000035FB" w:rsidRPr="00235DD6">
        <w:rPr>
          <w:lang w:val="ru-RU"/>
        </w:rPr>
        <w:t xml:space="preserve">и положения соответствующего </w:t>
      </w:r>
      <w:r w:rsidR="00357CC9" w:rsidRPr="00235DD6">
        <w:rPr>
          <w:lang w:val="ru-RU"/>
        </w:rPr>
        <w:t>служебного приказа</w:t>
      </w:r>
      <w:r w:rsidRPr="00235DD6">
        <w:rPr>
          <w:lang w:val="ru-RU"/>
        </w:rPr>
        <w:t>;</w:t>
      </w:r>
    </w:p>
    <w:p w:rsidR="00855228" w:rsidRPr="00235DD6" w:rsidRDefault="00712E45" w:rsidP="007B1664">
      <w:pPr>
        <w:pStyle w:val="enumlev1"/>
        <w:rPr>
          <w:lang w:val="ru-RU"/>
        </w:rPr>
      </w:pPr>
      <w:r w:rsidRPr="00235DD6">
        <w:rPr>
          <w:lang w:val="ru-RU"/>
        </w:rPr>
        <w:t>−</w:t>
      </w:r>
      <w:r w:rsidRPr="00235DD6">
        <w:rPr>
          <w:lang w:val="ru-RU"/>
        </w:rPr>
        <w:tab/>
      </w:r>
      <w:r w:rsidR="00AE2A18" w:rsidRPr="00235DD6">
        <w:rPr>
          <w:lang w:val="ru-RU"/>
        </w:rPr>
        <w:t xml:space="preserve">обсуждала </w:t>
      </w:r>
      <w:r w:rsidR="00855228" w:rsidRPr="00235DD6">
        <w:rPr>
          <w:lang w:val="ru-RU"/>
        </w:rPr>
        <w:t>вопрос о гендерном балансе в предусмотренных уставными документами комитетах МСЭ</w:t>
      </w:r>
      <w:r w:rsidRPr="00235DD6">
        <w:rPr>
          <w:lang w:val="ru-RU"/>
        </w:rPr>
        <w:t xml:space="preserve"> </w:t>
      </w:r>
      <w:r w:rsidR="00473A2A" w:rsidRPr="00235DD6">
        <w:rPr>
          <w:lang w:val="ru-RU"/>
        </w:rPr>
        <w:t xml:space="preserve">и координировала необходимые дальнейшие </w:t>
      </w:r>
      <w:r w:rsidR="00AB5138" w:rsidRPr="00235DD6">
        <w:rPr>
          <w:lang w:val="ru-RU"/>
        </w:rPr>
        <w:t>действия</w:t>
      </w:r>
      <w:r w:rsidR="00855228" w:rsidRPr="00235DD6">
        <w:rPr>
          <w:lang w:val="ru-RU"/>
        </w:rPr>
        <w:t>;</w:t>
      </w:r>
    </w:p>
    <w:p w:rsidR="00712E45" w:rsidRPr="00235DD6" w:rsidRDefault="00712E45" w:rsidP="0035383F">
      <w:pPr>
        <w:pStyle w:val="enumlev1"/>
        <w:rPr>
          <w:lang w:val="ru-RU"/>
        </w:rPr>
      </w:pPr>
      <w:r w:rsidRPr="00235DD6">
        <w:rPr>
          <w:lang w:val="ru-RU"/>
        </w:rPr>
        <w:t>−</w:t>
      </w:r>
      <w:r w:rsidRPr="00235DD6">
        <w:rPr>
          <w:lang w:val="ru-RU"/>
        </w:rPr>
        <w:tab/>
      </w:r>
      <w:r w:rsidR="00D20BE7" w:rsidRPr="00235DD6">
        <w:rPr>
          <w:lang w:val="ru-RU"/>
        </w:rPr>
        <w:t>отслеживала выполнение пилотного проекта по участию МСП в работе МСЭ путем участия в исследовательских комисси</w:t>
      </w:r>
      <w:r w:rsidR="0035383F" w:rsidRPr="00235DD6">
        <w:rPr>
          <w:lang w:val="ru-RU"/>
        </w:rPr>
        <w:t>ях</w:t>
      </w:r>
      <w:r w:rsidR="00D20BE7" w:rsidRPr="00235DD6">
        <w:rPr>
          <w:lang w:val="ru-RU"/>
        </w:rPr>
        <w:t xml:space="preserve"> МСЭ-Т и МСЭ-D</w:t>
      </w:r>
      <w:r w:rsidRPr="00235DD6">
        <w:rPr>
          <w:lang w:val="ru-RU"/>
        </w:rPr>
        <w:t>;</w:t>
      </w:r>
    </w:p>
    <w:p w:rsidR="00712E45" w:rsidRPr="00235DD6" w:rsidRDefault="00712E45" w:rsidP="00420877">
      <w:pPr>
        <w:pStyle w:val="enumlev1"/>
        <w:rPr>
          <w:lang w:val="ru-RU"/>
        </w:rPr>
      </w:pPr>
      <w:r w:rsidRPr="00235DD6">
        <w:rPr>
          <w:lang w:val="ru-RU"/>
        </w:rPr>
        <w:t>−</w:t>
      </w:r>
      <w:r w:rsidRPr="00235DD6">
        <w:rPr>
          <w:lang w:val="ru-RU"/>
        </w:rPr>
        <w:tab/>
      </w:r>
      <w:r w:rsidR="004F3233" w:rsidRPr="00235DD6">
        <w:rPr>
          <w:lang w:val="ru-RU"/>
        </w:rPr>
        <w:t>координировала участие Секретариата МСЭ в конференции COP24</w:t>
      </w:r>
      <w:r w:rsidRPr="00235DD6">
        <w:rPr>
          <w:lang w:val="ru-RU"/>
        </w:rPr>
        <w:t>;</w:t>
      </w:r>
    </w:p>
    <w:p w:rsidR="00712E45" w:rsidRPr="00235DD6" w:rsidRDefault="00712E45" w:rsidP="003656DC">
      <w:pPr>
        <w:pStyle w:val="enumlev1"/>
        <w:rPr>
          <w:lang w:val="ru-RU"/>
        </w:rPr>
      </w:pPr>
      <w:r w:rsidRPr="00235DD6">
        <w:rPr>
          <w:lang w:val="ru-RU"/>
        </w:rPr>
        <w:lastRenderedPageBreak/>
        <w:t>−</w:t>
      </w:r>
      <w:r w:rsidRPr="00235DD6">
        <w:rPr>
          <w:lang w:val="ru-RU"/>
        </w:rPr>
        <w:tab/>
      </w:r>
      <w:r w:rsidR="00771CF5" w:rsidRPr="00235DD6">
        <w:rPr>
          <w:lang w:val="ru-RU"/>
        </w:rPr>
        <w:t>рассм</w:t>
      </w:r>
      <w:r w:rsidR="003656DC" w:rsidRPr="00235DD6">
        <w:rPr>
          <w:lang w:val="ru-RU"/>
        </w:rPr>
        <w:t>атривала</w:t>
      </w:r>
      <w:r w:rsidR="000C3DF7" w:rsidRPr="00235DD6">
        <w:rPr>
          <w:lang w:val="ru-RU"/>
        </w:rPr>
        <w:t xml:space="preserve"> </w:t>
      </w:r>
      <w:r w:rsidR="00771CF5" w:rsidRPr="00235DD6">
        <w:rPr>
          <w:lang w:val="ru-RU"/>
        </w:rPr>
        <w:t xml:space="preserve">вопрос о разработке цифрового контента и стратегии </w:t>
      </w:r>
      <w:r w:rsidR="00B01D5E" w:rsidRPr="00235DD6">
        <w:rPr>
          <w:lang w:val="ru-RU"/>
        </w:rPr>
        <w:t>по привлечению заинтересованных сторон</w:t>
      </w:r>
      <w:r w:rsidRPr="00235DD6">
        <w:rPr>
          <w:lang w:val="ru-RU"/>
        </w:rPr>
        <w:t>;</w:t>
      </w:r>
    </w:p>
    <w:p w:rsidR="00855228" w:rsidRPr="00235DD6" w:rsidRDefault="00855228" w:rsidP="00242A70">
      <w:pPr>
        <w:pStyle w:val="enumlev1"/>
        <w:rPr>
          <w:lang w:val="ru-RU"/>
        </w:rPr>
      </w:pPr>
      <w:r w:rsidRPr="00235DD6">
        <w:rPr>
          <w:lang w:val="ru-RU"/>
        </w:rPr>
        <w:t>–</w:t>
      </w:r>
      <w:r w:rsidRPr="00235DD6">
        <w:rPr>
          <w:lang w:val="ru-RU"/>
        </w:rPr>
        <w:tab/>
        <w:t xml:space="preserve">продолжала рассматривать процесс представления подробных отчетов о состоянии членства в Секторах в разбивке по Секторам и регионам; </w:t>
      </w:r>
    </w:p>
    <w:p w:rsidR="00242A70" w:rsidRPr="00235DD6" w:rsidRDefault="00242A70" w:rsidP="0060084E">
      <w:pPr>
        <w:pStyle w:val="enumlev1"/>
        <w:rPr>
          <w:lang w:val="ru-RU"/>
        </w:rPr>
      </w:pPr>
      <w:r w:rsidRPr="00235DD6">
        <w:rPr>
          <w:lang w:val="ru-RU"/>
        </w:rPr>
        <w:t>−</w:t>
      </w:r>
      <w:r w:rsidRPr="00235DD6">
        <w:rPr>
          <w:lang w:val="ru-RU"/>
        </w:rPr>
        <w:tab/>
      </w:r>
      <w:r w:rsidR="0060084E" w:rsidRPr="00235DD6">
        <w:rPr>
          <w:lang w:val="ru-RU"/>
        </w:rPr>
        <w:t>рассматривала анализ управления рисками, который будет включен в оперативные планы МСЭ</w:t>
      </w:r>
      <w:r w:rsidRPr="00235DD6">
        <w:rPr>
          <w:lang w:val="ru-RU"/>
        </w:rPr>
        <w:t>; и</w:t>
      </w:r>
    </w:p>
    <w:p w:rsidR="00242A70" w:rsidRPr="00235DD6" w:rsidRDefault="00242A70" w:rsidP="00F20220">
      <w:pPr>
        <w:pStyle w:val="enumlev1"/>
        <w:rPr>
          <w:lang w:val="ru-RU"/>
        </w:rPr>
      </w:pPr>
      <w:r w:rsidRPr="00235DD6">
        <w:rPr>
          <w:lang w:val="ru-RU"/>
        </w:rPr>
        <w:t>−</w:t>
      </w:r>
      <w:r w:rsidRPr="00235DD6">
        <w:rPr>
          <w:lang w:val="ru-RU"/>
        </w:rPr>
        <w:tab/>
      </w:r>
      <w:r w:rsidR="00F20220" w:rsidRPr="00235DD6">
        <w:rPr>
          <w:lang w:val="ru-RU"/>
        </w:rPr>
        <w:t>рассматривала программу работы ОИГ на 2019 год с назначением соответствующих координаторов МСЭ</w:t>
      </w:r>
      <w:r w:rsidRPr="00235DD6">
        <w:rPr>
          <w:lang w:val="ru-RU"/>
        </w:rPr>
        <w:t>.</w:t>
      </w:r>
    </w:p>
    <w:p w:rsidR="00855228" w:rsidRPr="00235DD6" w:rsidRDefault="003447CA" w:rsidP="003447CA">
      <w:pPr>
        <w:pStyle w:val="Headingb"/>
        <w:rPr>
          <w:lang w:val="ru-RU"/>
        </w:rPr>
      </w:pPr>
      <w:r w:rsidRPr="00235DD6">
        <w:rPr>
          <w:lang w:val="ru-RU"/>
        </w:rPr>
        <w:t>Процесс укрепления межсекторальной координации в МСЭ</w:t>
      </w:r>
    </w:p>
    <w:p w:rsidR="00855228" w:rsidRPr="00235DD6" w:rsidRDefault="00855228" w:rsidP="006C1BE6">
      <w:pPr>
        <w:rPr>
          <w:lang w:val="ru-RU"/>
        </w:rPr>
      </w:pPr>
      <w:r w:rsidRPr="00235DD6">
        <w:rPr>
          <w:lang w:val="ru-RU"/>
        </w:rPr>
        <w:t>2.5</w:t>
      </w:r>
      <w:r w:rsidRPr="00235DD6">
        <w:rPr>
          <w:lang w:val="ru-RU"/>
        </w:rPr>
        <w:tab/>
      </w:r>
      <w:r w:rsidR="00850959" w:rsidRPr="00235DD6">
        <w:rPr>
          <w:lang w:val="ru-RU"/>
        </w:rPr>
        <w:t>Кроме того,</w:t>
      </w:r>
      <w:r w:rsidR="00213F2C" w:rsidRPr="00235DD6">
        <w:rPr>
          <w:lang w:val="ru-RU"/>
        </w:rPr>
        <w:t xml:space="preserve"> в качестве последующей деятельности по итогам Полномочной конференции МСЭ группа </w:t>
      </w:r>
      <w:r w:rsidR="009D06BA" w:rsidRPr="00235DD6">
        <w:rPr>
          <w:lang w:val="ru-RU"/>
        </w:rPr>
        <w:t xml:space="preserve">начала </w:t>
      </w:r>
      <w:r w:rsidR="005A1DAE" w:rsidRPr="00235DD6">
        <w:rPr>
          <w:lang w:val="ru-RU"/>
        </w:rPr>
        <w:t>рассмотрение</w:t>
      </w:r>
      <w:r w:rsidR="00213F2C" w:rsidRPr="00235DD6">
        <w:rPr>
          <w:lang w:val="ru-RU"/>
        </w:rPr>
        <w:t xml:space="preserve"> существующих механизмов </w:t>
      </w:r>
      <w:r w:rsidR="00B27D87" w:rsidRPr="00235DD6">
        <w:rPr>
          <w:lang w:val="ru-RU"/>
        </w:rPr>
        <w:t xml:space="preserve">межсекторальной координации </w:t>
      </w:r>
      <w:r w:rsidR="00213F2C" w:rsidRPr="00235DD6">
        <w:rPr>
          <w:lang w:val="ru-RU"/>
        </w:rPr>
        <w:t xml:space="preserve">для </w:t>
      </w:r>
      <w:r w:rsidR="00DF5069" w:rsidRPr="00235DD6">
        <w:rPr>
          <w:lang w:val="ru-RU"/>
        </w:rPr>
        <w:t>вы</w:t>
      </w:r>
      <w:r w:rsidR="00B4181B" w:rsidRPr="00235DD6">
        <w:rPr>
          <w:lang w:val="ru-RU"/>
        </w:rPr>
        <w:t>полнения</w:t>
      </w:r>
      <w:r w:rsidR="00213F2C" w:rsidRPr="00235DD6">
        <w:rPr>
          <w:lang w:val="ru-RU"/>
        </w:rPr>
        <w:t xml:space="preserve"> новой </w:t>
      </w:r>
      <w:r w:rsidR="006343A1" w:rsidRPr="00235DD6">
        <w:rPr>
          <w:lang w:val="ru-RU"/>
        </w:rPr>
        <w:t>м</w:t>
      </w:r>
      <w:r w:rsidR="00213F2C" w:rsidRPr="00235DD6">
        <w:rPr>
          <w:lang w:val="ru-RU"/>
        </w:rPr>
        <w:t xml:space="preserve">ежсекторальной </w:t>
      </w:r>
      <w:r w:rsidR="006343A1" w:rsidRPr="00235DD6">
        <w:rPr>
          <w:lang w:val="ru-RU"/>
        </w:rPr>
        <w:t xml:space="preserve">задачи </w:t>
      </w:r>
      <w:r w:rsidR="00213F2C" w:rsidRPr="00235DD6">
        <w:rPr>
          <w:lang w:val="ru-RU"/>
        </w:rPr>
        <w:t>I.6, как это было согласовано член</w:t>
      </w:r>
      <w:r w:rsidR="00ED2F18" w:rsidRPr="00235DD6">
        <w:rPr>
          <w:lang w:val="ru-RU"/>
        </w:rPr>
        <w:t>ами</w:t>
      </w:r>
      <w:r w:rsidR="00213F2C" w:rsidRPr="00235DD6">
        <w:rPr>
          <w:lang w:val="ru-RU"/>
        </w:rPr>
        <w:t xml:space="preserve"> в Стратегическом плане МСЭ на 2020−2023 годы (в таблице ниже представлены </w:t>
      </w:r>
      <w:r w:rsidR="00E27778" w:rsidRPr="00235DD6">
        <w:rPr>
          <w:lang w:val="ru-RU"/>
        </w:rPr>
        <w:t>задача</w:t>
      </w:r>
      <w:r w:rsidR="00213F2C" w:rsidRPr="00235DD6">
        <w:rPr>
          <w:lang w:val="ru-RU"/>
        </w:rPr>
        <w:t xml:space="preserve">, </w:t>
      </w:r>
      <w:r w:rsidR="00E27778" w:rsidRPr="00235DD6">
        <w:rPr>
          <w:lang w:val="ru-RU"/>
        </w:rPr>
        <w:t xml:space="preserve">конечные результаты </w:t>
      </w:r>
      <w:r w:rsidR="00213F2C" w:rsidRPr="00235DD6">
        <w:rPr>
          <w:lang w:val="ru-RU"/>
        </w:rPr>
        <w:t xml:space="preserve">и </w:t>
      </w:r>
      <w:r w:rsidR="00E27778" w:rsidRPr="00235DD6">
        <w:rPr>
          <w:lang w:val="ru-RU"/>
        </w:rPr>
        <w:t>намеченные результаты деятельности</w:t>
      </w:r>
      <w:r w:rsidR="00213F2C" w:rsidRPr="00235DD6">
        <w:rPr>
          <w:lang w:val="ru-RU"/>
        </w:rPr>
        <w:t>)</w:t>
      </w:r>
      <w:r w:rsidRPr="00235DD6">
        <w:rPr>
          <w:lang w:val="ru-RU"/>
        </w:rPr>
        <w:t>.</w:t>
      </w:r>
    </w:p>
    <w:p w:rsidR="00712E45" w:rsidRPr="00235DD6" w:rsidRDefault="00712E45" w:rsidP="00712E45">
      <w:pPr>
        <w:pStyle w:val="TableNo"/>
        <w:rPr>
          <w:lang w:val="ru-RU"/>
        </w:rPr>
      </w:pPr>
      <w:r w:rsidRPr="00235DD6">
        <w:rPr>
          <w:lang w:val="ru-RU"/>
        </w:rPr>
        <w:t>Таблица</w:t>
      </w:r>
      <w:r w:rsidR="00855228" w:rsidRPr="00235DD6">
        <w:rPr>
          <w:lang w:val="ru-RU"/>
        </w:rPr>
        <w:t xml:space="preserve"> 1</w:t>
      </w:r>
    </w:p>
    <w:p w:rsidR="00855228" w:rsidRPr="00235DD6" w:rsidRDefault="005E723E" w:rsidP="00DE2948">
      <w:pPr>
        <w:pStyle w:val="Tabletitle"/>
        <w:rPr>
          <w:lang w:val="ru-RU"/>
        </w:rPr>
      </w:pPr>
      <w:r w:rsidRPr="00235DD6">
        <w:rPr>
          <w:lang w:val="ru-RU"/>
        </w:rPr>
        <w:t xml:space="preserve">Новая межсекторальная задача </w:t>
      </w:r>
      <w:r w:rsidR="00CF6D6F" w:rsidRPr="00235DD6">
        <w:rPr>
          <w:lang w:val="ru-RU"/>
        </w:rPr>
        <w:t xml:space="preserve">по </w:t>
      </w:r>
      <w:r w:rsidR="00CF6D6F" w:rsidRPr="00235DD6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сокращению</w:t>
      </w:r>
      <w:r w:rsidRPr="00235DD6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частичного совпадения и дублирования</w:t>
      </w:r>
    </w:p>
    <w:tbl>
      <w:tblPr>
        <w:tblStyle w:val="PlainTable2"/>
        <w:tblW w:w="0" w:type="auto"/>
        <w:tblLook w:val="0400" w:firstRow="0" w:lastRow="0" w:firstColumn="0" w:lastColumn="0" w:noHBand="0" w:noVBand="1"/>
      </w:tblPr>
      <w:tblGrid>
        <w:gridCol w:w="3969"/>
        <w:gridCol w:w="5670"/>
      </w:tblGrid>
      <w:tr w:rsidR="00855228" w:rsidRPr="00E95E8C" w:rsidTr="00706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:rsidR="00855228" w:rsidRPr="00235DD6" w:rsidRDefault="00855228" w:rsidP="00712E45">
            <w:pPr>
              <w:pStyle w:val="Tabletext"/>
              <w:rPr>
                <w:b/>
                <w:bCs/>
                <w:sz w:val="22"/>
                <w:lang w:val="ru-RU"/>
              </w:rPr>
            </w:pPr>
            <w:r w:rsidRPr="00235DD6">
              <w:rPr>
                <w:b/>
                <w:bCs/>
                <w:sz w:val="22"/>
                <w:lang w:val="ru-RU"/>
              </w:rPr>
              <w:t>I.6 (</w:t>
            </w:r>
            <w:r w:rsidR="00712E45" w:rsidRPr="00235DD6">
              <w:rPr>
                <w:b/>
                <w:bCs/>
                <w:lang w:val="ru-RU"/>
              </w:rPr>
              <w:t>Сокращение частичного совпадения и дублирования</w:t>
            </w:r>
            <w:r w:rsidRPr="00235DD6">
              <w:rPr>
                <w:b/>
                <w:bCs/>
                <w:sz w:val="22"/>
                <w:lang w:val="ru-RU"/>
              </w:rPr>
              <w:t>)</w:t>
            </w:r>
            <w:r w:rsidRPr="00235DD6">
              <w:rPr>
                <w:sz w:val="22"/>
                <w:lang w:val="ru-RU"/>
              </w:rPr>
              <w:t xml:space="preserve"> </w:t>
            </w:r>
            <w:r w:rsidR="00712E45" w:rsidRPr="00235DD6">
              <w:rPr>
                <w:lang w:val="ru-RU"/>
              </w:rPr>
              <w:t>Сокращать области частичного совпадения 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 Союза и специальных знаний и опыта и мандата каждого из Секторов</w:t>
            </w:r>
          </w:p>
        </w:tc>
      </w:tr>
      <w:tr w:rsidR="00855228" w:rsidRPr="00235DD6" w:rsidTr="0070696D">
        <w:tc>
          <w:tcPr>
            <w:tcW w:w="3969" w:type="dxa"/>
          </w:tcPr>
          <w:p w:rsidR="00855228" w:rsidRPr="00235DD6" w:rsidRDefault="00712E45" w:rsidP="00712E45">
            <w:pPr>
              <w:pStyle w:val="Tabletext"/>
              <w:rPr>
                <w:i/>
                <w:iCs/>
                <w:lang w:val="ru-RU"/>
              </w:rPr>
            </w:pPr>
            <w:r w:rsidRPr="00235DD6">
              <w:rPr>
                <w:i/>
                <w:iCs/>
                <w:lang w:val="ru-RU"/>
              </w:rPr>
              <w:t>Конечные результаты</w:t>
            </w:r>
          </w:p>
        </w:tc>
        <w:tc>
          <w:tcPr>
            <w:tcW w:w="5670" w:type="dxa"/>
          </w:tcPr>
          <w:p w:rsidR="00855228" w:rsidRPr="00235DD6" w:rsidRDefault="00712E45" w:rsidP="00712E45">
            <w:pPr>
              <w:pStyle w:val="Tabletext"/>
              <w:rPr>
                <w:i/>
                <w:iCs/>
                <w:lang w:val="ru-RU"/>
              </w:rPr>
            </w:pPr>
            <w:r w:rsidRPr="00235DD6">
              <w:rPr>
                <w:i/>
                <w:iCs/>
                <w:lang w:val="ru-RU"/>
              </w:rPr>
              <w:t>Намеченные результаты деятельности</w:t>
            </w:r>
          </w:p>
        </w:tc>
      </w:tr>
      <w:tr w:rsidR="00855228" w:rsidRPr="00E95E8C" w:rsidTr="00706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9" w:type="dxa"/>
          </w:tcPr>
          <w:p w:rsidR="00712E45" w:rsidRPr="00235DD6" w:rsidRDefault="00712E45" w:rsidP="00712E45">
            <w:pPr>
              <w:pStyle w:val="Tabletext"/>
              <w:rPr>
                <w:lang w:val="ru-RU"/>
              </w:rPr>
            </w:pPr>
            <w:r w:rsidRPr="00235DD6">
              <w:rPr>
                <w:lang w:val="ru-RU"/>
              </w:rPr>
              <w:t>I.6-a: Более тесная и более прозрачная координации между Секторами, Генеральным секретариатом и тремя Бюро МСЭ</w:t>
            </w:r>
          </w:p>
          <w:p w:rsidR="00712E45" w:rsidRPr="00235DD6" w:rsidRDefault="00712E45" w:rsidP="00712E45">
            <w:pPr>
              <w:pStyle w:val="Tabletext"/>
              <w:rPr>
                <w:lang w:val="ru-RU"/>
              </w:rPr>
            </w:pPr>
            <w:r w:rsidRPr="00235DD6">
              <w:rPr>
                <w:lang w:val="ru-RU"/>
              </w:rPr>
              <w:t>I.6-b: Сокращение областей частичного совпадения и дублирования между Секторами МСЭ и работой Генерального секретариата и трех Бюро</w:t>
            </w:r>
          </w:p>
          <w:p w:rsidR="00855228" w:rsidRPr="00235DD6" w:rsidRDefault="00712E45" w:rsidP="00712E45">
            <w:pPr>
              <w:pStyle w:val="Tabletext"/>
              <w:rPr>
                <w:sz w:val="22"/>
                <w:szCs w:val="18"/>
                <w:highlight w:val="yellow"/>
                <w:lang w:val="ru-RU"/>
              </w:rPr>
            </w:pPr>
            <w:r w:rsidRPr="00235DD6">
              <w:rPr>
                <w:lang w:val="ru-RU"/>
              </w:rPr>
              <w:t>I.6-c: Достижение экономии благодаря исключению областей частичного совпадения и дублирования</w:t>
            </w:r>
          </w:p>
        </w:tc>
        <w:tc>
          <w:tcPr>
            <w:tcW w:w="5670" w:type="dxa"/>
          </w:tcPr>
          <w:p w:rsidR="00712E45" w:rsidRPr="00235DD6" w:rsidRDefault="00712E45" w:rsidP="00712E45">
            <w:pPr>
              <w:pStyle w:val="Tabletext"/>
              <w:rPr>
                <w:lang w:val="ru-RU"/>
              </w:rPr>
            </w:pPr>
            <w:r w:rsidRPr="00235DD6">
              <w:rPr>
                <w:lang w:val="ru-RU"/>
              </w:rPr>
              <w:t xml:space="preserve">I.6-1: </w:t>
            </w:r>
            <w:r w:rsidRPr="00235DD6">
              <w:rPr>
                <w:b/>
                <w:bCs/>
                <w:lang w:val="ru-RU"/>
              </w:rPr>
              <w:t>Процесс</w:t>
            </w:r>
            <w:r w:rsidRPr="00235DD6">
              <w:rPr>
                <w:lang w:val="ru-RU"/>
              </w:rPr>
              <w:t xml:space="preserve">, который позволяет выявлять и устранять все формы и случаи дублирования функций и деятельности всех структурных органов МСЭ, оптимизируя, в том числе, </w:t>
            </w:r>
            <w:r w:rsidRPr="00235DD6">
              <w:rPr>
                <w:b/>
                <w:bCs/>
                <w:lang w:val="ru-RU"/>
              </w:rPr>
              <w:t>методы</w:t>
            </w:r>
            <w:r w:rsidRPr="00235DD6">
              <w:rPr>
                <w:lang w:val="ru-RU"/>
              </w:rPr>
              <w:t xml:space="preserve"> </w:t>
            </w:r>
            <w:r w:rsidRPr="00235DD6">
              <w:rPr>
                <w:b/>
                <w:bCs/>
                <w:lang w:val="ru-RU"/>
              </w:rPr>
              <w:t>управления</w:t>
            </w:r>
            <w:r w:rsidRPr="00235DD6">
              <w:rPr>
                <w:lang w:val="ru-RU"/>
              </w:rPr>
              <w:t xml:space="preserve">, материально-технического обеспечения, </w:t>
            </w:r>
            <w:r w:rsidRPr="00235DD6">
              <w:rPr>
                <w:b/>
                <w:bCs/>
                <w:lang w:val="ru-RU"/>
              </w:rPr>
              <w:t>координации</w:t>
            </w:r>
            <w:r w:rsidRPr="00235DD6">
              <w:rPr>
                <w:lang w:val="ru-RU"/>
              </w:rPr>
              <w:t xml:space="preserve"> и поддержки со стороны Секретариата</w:t>
            </w:r>
          </w:p>
          <w:p w:rsidR="00855228" w:rsidRPr="00235DD6" w:rsidRDefault="00712E45" w:rsidP="00712E45">
            <w:pPr>
              <w:pStyle w:val="Tabletext"/>
              <w:rPr>
                <w:sz w:val="22"/>
                <w:szCs w:val="18"/>
                <w:highlight w:val="yellow"/>
                <w:lang w:val="ru-RU"/>
              </w:rPr>
            </w:pPr>
            <w:r w:rsidRPr="00235DD6">
              <w:rPr>
                <w:lang w:val="ru-RU"/>
              </w:rPr>
              <w:t xml:space="preserve">I.6-2: Реализация концепции "Единый МСЭ", согласование, в возможной степени, </w:t>
            </w:r>
            <w:r w:rsidRPr="00235DD6">
              <w:rPr>
                <w:b/>
                <w:bCs/>
                <w:lang w:val="ru-RU"/>
              </w:rPr>
              <w:t>процедур</w:t>
            </w:r>
            <w:r w:rsidRPr="00235DD6">
              <w:rPr>
                <w:lang w:val="ru-RU"/>
              </w:rPr>
              <w:t xml:space="preserve"> Секторов и региональных отделений/регионального присутствия при достижении целей и задач МСЭ и Секторов</w:t>
            </w:r>
          </w:p>
        </w:tc>
      </w:tr>
    </w:tbl>
    <w:p w:rsidR="00855228" w:rsidRPr="00235DD6" w:rsidRDefault="00855228" w:rsidP="00D72030">
      <w:pPr>
        <w:rPr>
          <w:lang w:val="ru-RU"/>
        </w:rPr>
      </w:pPr>
      <w:r w:rsidRPr="00235DD6">
        <w:rPr>
          <w:lang w:val="ru-RU"/>
        </w:rPr>
        <w:t>2.6</w:t>
      </w:r>
      <w:r w:rsidRPr="00235DD6">
        <w:rPr>
          <w:lang w:val="ru-RU"/>
        </w:rPr>
        <w:tab/>
      </w:r>
      <w:r w:rsidR="00FB50E7" w:rsidRPr="00235DD6">
        <w:rPr>
          <w:lang w:val="ru-RU"/>
        </w:rPr>
        <w:t xml:space="preserve">Группа рассмотрит стратегию координации и сотрудничества; </w:t>
      </w:r>
      <w:r w:rsidR="00D37411" w:rsidRPr="00235DD6">
        <w:rPr>
          <w:lang w:val="ru-RU"/>
        </w:rPr>
        <w:t xml:space="preserve">рассмотрит </w:t>
      </w:r>
      <w:r w:rsidR="00FB50E7" w:rsidRPr="00235DD6">
        <w:rPr>
          <w:lang w:val="ru-RU"/>
        </w:rPr>
        <w:t xml:space="preserve">механизм выявления и определения областей, представляющих взаимный интерес; и </w:t>
      </w:r>
      <w:r w:rsidR="002E1E95" w:rsidRPr="00235DD6">
        <w:rPr>
          <w:lang w:val="ru-RU"/>
        </w:rPr>
        <w:t>вновь рассмотрит</w:t>
      </w:r>
      <w:r w:rsidR="00FB50E7" w:rsidRPr="00235DD6">
        <w:rPr>
          <w:lang w:val="ru-RU"/>
        </w:rPr>
        <w:t xml:space="preserve"> методы </w:t>
      </w:r>
      <w:r w:rsidR="00D05D48" w:rsidRPr="00235DD6">
        <w:rPr>
          <w:lang w:val="ru-RU"/>
        </w:rPr>
        <w:t>своей</w:t>
      </w:r>
      <w:r w:rsidR="00FB50E7" w:rsidRPr="00235DD6">
        <w:rPr>
          <w:lang w:val="ru-RU"/>
        </w:rPr>
        <w:t xml:space="preserve"> работы, чтобы </w:t>
      </w:r>
      <w:r w:rsidR="00D72030" w:rsidRPr="00235DD6">
        <w:rPr>
          <w:lang w:val="ru-RU"/>
        </w:rPr>
        <w:t>укрепить свою</w:t>
      </w:r>
      <w:r w:rsidR="00FB50E7" w:rsidRPr="00235DD6">
        <w:rPr>
          <w:lang w:val="ru-RU"/>
        </w:rPr>
        <w:t xml:space="preserve"> роль и повысить эффективность</w:t>
      </w:r>
      <w:r w:rsidRPr="00235DD6">
        <w:rPr>
          <w:lang w:val="ru-RU"/>
        </w:rPr>
        <w:t>.</w:t>
      </w:r>
    </w:p>
    <w:p w:rsidR="00855228" w:rsidRPr="00235DD6" w:rsidRDefault="00855228" w:rsidP="00855228">
      <w:pPr>
        <w:pStyle w:val="Heading1"/>
        <w:rPr>
          <w:lang w:val="ru-RU"/>
        </w:rPr>
      </w:pPr>
      <w:r w:rsidRPr="00235DD6">
        <w:rPr>
          <w:lang w:val="ru-RU"/>
        </w:rPr>
        <w:lastRenderedPageBreak/>
        <w:t>3</w:t>
      </w:r>
      <w:r w:rsidRPr="00235DD6">
        <w:rPr>
          <w:lang w:val="ru-RU"/>
        </w:rPr>
        <w:tab/>
        <w:t>Координация членского состава</w:t>
      </w:r>
    </w:p>
    <w:p w:rsidR="00855228" w:rsidRPr="00235DD6" w:rsidRDefault="00855228" w:rsidP="00FB50E7">
      <w:pPr>
        <w:rPr>
          <w:spacing w:val="-2"/>
          <w:lang w:val="ru-RU"/>
        </w:rPr>
      </w:pPr>
      <w:r w:rsidRPr="00235DD6">
        <w:rPr>
          <w:szCs w:val="24"/>
          <w:lang w:val="ru-RU"/>
        </w:rPr>
        <w:t>3.1</w:t>
      </w:r>
      <w:r w:rsidRPr="00235DD6">
        <w:rPr>
          <w:szCs w:val="24"/>
          <w:lang w:val="ru-RU"/>
        </w:rPr>
        <w:tab/>
      </w:r>
      <w:r w:rsidRPr="00235DD6">
        <w:rPr>
          <w:spacing w:val="-2"/>
          <w:szCs w:val="24"/>
          <w:lang w:val="ru-RU"/>
        </w:rPr>
        <w:t xml:space="preserve">Консультативная группа по радиосвязи (КГР), Консультативная группа по стандартизации электросвязи (КГСЭ) и Консультативная группа по развитию электросвязи (КГРЭ) учредили совместно </w:t>
      </w:r>
      <w:r w:rsidRPr="00235DD6">
        <w:rPr>
          <w:lang w:val="ru-RU"/>
        </w:rPr>
        <w:t>МСКГ</w:t>
      </w:r>
      <w:r w:rsidRPr="00235DD6">
        <w:rPr>
          <w:spacing w:val="-2"/>
          <w:szCs w:val="24"/>
          <w:lang w:val="ru-RU"/>
        </w:rPr>
        <w:t>.</w:t>
      </w:r>
    </w:p>
    <w:p w:rsidR="00712E45" w:rsidRPr="00235DD6" w:rsidRDefault="00855228" w:rsidP="00AB5138">
      <w:pPr>
        <w:rPr>
          <w:lang w:val="ru-RU"/>
        </w:rPr>
      </w:pPr>
      <w:r w:rsidRPr="00235DD6">
        <w:rPr>
          <w:lang w:val="ru-RU"/>
        </w:rPr>
        <w:t>3.2</w:t>
      </w:r>
      <w:r w:rsidRPr="00235DD6">
        <w:rPr>
          <w:lang w:val="ru-RU"/>
        </w:rPr>
        <w:tab/>
      </w:r>
      <w:r w:rsidR="00AB5138" w:rsidRPr="00235DD6">
        <w:rPr>
          <w:lang w:val="ru-RU"/>
        </w:rPr>
        <w:t>В Резолюции</w:t>
      </w:r>
      <w:r w:rsidR="00712E45" w:rsidRPr="00235DD6">
        <w:rPr>
          <w:lang w:val="ru-RU"/>
        </w:rPr>
        <w:t xml:space="preserve"> 191 (Пересм. Дубай, 2018 г.) Полномочной конференции </w:t>
      </w:r>
      <w:r w:rsidR="008A2AE1" w:rsidRPr="00235DD6">
        <w:rPr>
          <w:lang w:val="ru-RU"/>
        </w:rPr>
        <w:t xml:space="preserve">КГР, КГСЭ и КГРЭ </w:t>
      </w:r>
      <w:r w:rsidR="00AB5138" w:rsidRPr="00235DD6">
        <w:rPr>
          <w:lang w:val="ru-RU"/>
        </w:rPr>
        <w:t xml:space="preserve">предлагается </w:t>
      </w:r>
      <w:r w:rsidR="008A2AE1" w:rsidRPr="00235DD6">
        <w:rPr>
          <w:lang w:val="ru-RU"/>
        </w:rPr>
        <w:t>продолжать оказывать МСКГ помощь в определении общих тем и механизмов укрепления сотрудничества и взаимодействия по вопросам, представляющим взаимный интерес</w:t>
      </w:r>
      <w:r w:rsidR="00712E45" w:rsidRPr="00235DD6">
        <w:rPr>
          <w:lang w:val="ru-RU"/>
        </w:rPr>
        <w:t>.</w:t>
      </w:r>
    </w:p>
    <w:p w:rsidR="00855228" w:rsidRPr="00235DD6" w:rsidRDefault="00855228" w:rsidP="00466F45">
      <w:pPr>
        <w:rPr>
          <w:lang w:val="ru-RU"/>
        </w:rPr>
      </w:pPr>
      <w:r w:rsidRPr="00235DD6">
        <w:rPr>
          <w:lang w:val="ru-RU"/>
        </w:rPr>
        <w:t>3.3</w:t>
      </w:r>
      <w:r w:rsidRPr="00235DD6">
        <w:rPr>
          <w:lang w:val="ru-RU"/>
        </w:rPr>
        <w:tab/>
        <w:t xml:space="preserve">МСКГ с момента ее создания провела </w:t>
      </w:r>
      <w:r w:rsidR="002E6F0D" w:rsidRPr="00235DD6">
        <w:rPr>
          <w:lang w:val="ru-RU"/>
        </w:rPr>
        <w:t>шесть</w:t>
      </w:r>
      <w:r w:rsidR="001B41B4" w:rsidRPr="00235DD6">
        <w:rPr>
          <w:lang w:val="ru-RU"/>
        </w:rPr>
        <w:t xml:space="preserve"> собраний</w:t>
      </w:r>
      <w:r w:rsidRPr="00235DD6">
        <w:rPr>
          <w:lang w:val="ru-RU"/>
        </w:rPr>
        <w:t xml:space="preserve"> параллельно с собраниями КГРЭ. На своем собрании, которое состоялось </w:t>
      </w:r>
      <w:r w:rsidR="001B41B4" w:rsidRPr="00235DD6">
        <w:rPr>
          <w:lang w:val="ru-RU"/>
        </w:rPr>
        <w:t>4</w:t>
      </w:r>
      <w:r w:rsidRPr="00235DD6">
        <w:rPr>
          <w:lang w:val="ru-RU"/>
        </w:rPr>
        <w:t> </w:t>
      </w:r>
      <w:r w:rsidR="001B41B4" w:rsidRPr="00235DD6">
        <w:rPr>
          <w:lang w:val="ru-RU"/>
        </w:rPr>
        <w:t>апреля 2019</w:t>
      </w:r>
      <w:r w:rsidRPr="00235DD6">
        <w:rPr>
          <w:lang w:val="ru-RU"/>
        </w:rPr>
        <w:t xml:space="preserve"> года, МСКГ обновила </w:t>
      </w:r>
      <w:r w:rsidR="00651D25" w:rsidRPr="00235DD6">
        <w:rPr>
          <w:color w:val="000000"/>
          <w:lang w:val="ru-RU"/>
        </w:rPr>
        <w:t xml:space="preserve">круг ведения, включив в </w:t>
      </w:r>
      <w:r w:rsidR="0079347F" w:rsidRPr="00235DD6">
        <w:rPr>
          <w:color w:val="000000"/>
          <w:lang w:val="ru-RU"/>
        </w:rPr>
        <w:t>сферу деятельности</w:t>
      </w:r>
      <w:r w:rsidR="00651D25" w:rsidRPr="00235DD6">
        <w:rPr>
          <w:color w:val="000000"/>
          <w:lang w:val="ru-RU"/>
        </w:rPr>
        <w:t xml:space="preserve"> Генеральный секретариат</w:t>
      </w:r>
      <w:r w:rsidRPr="00235DD6">
        <w:rPr>
          <w:lang w:val="ru-RU"/>
        </w:rPr>
        <w:t xml:space="preserve">. МСКГ рассмотрела таблицы сопоставления областей работы, представляющих </w:t>
      </w:r>
      <w:r w:rsidR="00466F45" w:rsidRPr="00235DD6">
        <w:rPr>
          <w:lang w:val="ru-RU"/>
        </w:rPr>
        <w:t>общий</w:t>
      </w:r>
      <w:r w:rsidR="00B84206" w:rsidRPr="00235DD6">
        <w:rPr>
          <w:lang w:val="ru-RU"/>
        </w:rPr>
        <w:t xml:space="preserve"> </w:t>
      </w:r>
      <w:r w:rsidRPr="00235DD6">
        <w:rPr>
          <w:lang w:val="ru-RU"/>
        </w:rPr>
        <w:t>интерес, исследовательских комиссий МСЭ-D и</w:t>
      </w:r>
      <w:r w:rsidR="00054D4F" w:rsidRPr="00235DD6">
        <w:rPr>
          <w:lang w:val="ru-RU"/>
        </w:rPr>
        <w:t xml:space="preserve"> МСЭ-R в дополнение к </w:t>
      </w:r>
      <w:r w:rsidR="00AB5138" w:rsidRPr="00235DD6">
        <w:rPr>
          <w:lang w:val="ru-RU"/>
        </w:rPr>
        <w:t xml:space="preserve">исследовательским комиссиям </w:t>
      </w:r>
      <w:r w:rsidR="00054D4F" w:rsidRPr="00235DD6">
        <w:rPr>
          <w:lang w:val="ru-RU"/>
        </w:rPr>
        <w:t xml:space="preserve">МСЭ-D и </w:t>
      </w:r>
      <w:r w:rsidR="00AB5138" w:rsidRPr="00235DD6">
        <w:rPr>
          <w:lang w:val="ru-RU"/>
        </w:rPr>
        <w:t>МСЭ-T, а также исследовательским</w:t>
      </w:r>
      <w:r w:rsidRPr="00235DD6">
        <w:rPr>
          <w:lang w:val="ru-RU"/>
        </w:rPr>
        <w:t xml:space="preserve"> комисси</w:t>
      </w:r>
      <w:r w:rsidR="00AB5138" w:rsidRPr="00235DD6">
        <w:rPr>
          <w:lang w:val="ru-RU"/>
        </w:rPr>
        <w:t>ям</w:t>
      </w:r>
      <w:r w:rsidRPr="00235DD6">
        <w:rPr>
          <w:lang w:val="ru-RU"/>
        </w:rPr>
        <w:t xml:space="preserve"> МСЭ-R и МСЭ-T.</w:t>
      </w:r>
      <w:r w:rsidR="000439F6" w:rsidRPr="00235DD6">
        <w:rPr>
          <w:lang w:val="ru-RU"/>
        </w:rPr>
        <w:t xml:space="preserve"> </w:t>
      </w:r>
      <w:r w:rsidR="00CD28DE" w:rsidRPr="00235DD6">
        <w:rPr>
          <w:lang w:val="ru-RU"/>
        </w:rPr>
        <w:t xml:space="preserve">Эта таблица сопоставления размещена на </w:t>
      </w:r>
      <w:hyperlink r:id="rId12" w:history="1">
        <w:r w:rsidR="00DA05C8" w:rsidRPr="00235DD6">
          <w:rPr>
            <w:rFonts w:eastAsia="MS Mincho"/>
            <w:color w:val="0000FF"/>
            <w:u w:val="single"/>
            <w:lang w:val="ru-RU"/>
          </w:rPr>
          <w:t>веб-сайте МСКГ</w:t>
        </w:r>
      </w:hyperlink>
      <w:r w:rsidR="00C576B2" w:rsidRPr="00235DD6">
        <w:rPr>
          <w:lang w:val="ru-RU"/>
        </w:rPr>
        <w:t>;</w:t>
      </w:r>
      <w:r w:rsidR="00CD28DE" w:rsidRPr="00235DD6">
        <w:rPr>
          <w:lang w:val="ru-RU"/>
        </w:rPr>
        <w:t xml:space="preserve"> КГР, КГСЭ и КГРЭ предлагается регулярно обновлять эту таблицу на собраниях, добавляя обновленные Вопросы и исследования, проведенные в соответствующих исследовательских комиссиях. </w:t>
      </w:r>
      <w:r w:rsidR="008105EF" w:rsidRPr="00235DD6">
        <w:rPr>
          <w:lang w:val="ru-RU"/>
        </w:rPr>
        <w:t xml:space="preserve">МСКГ </w:t>
      </w:r>
      <w:r w:rsidR="00CD28DE" w:rsidRPr="00235DD6">
        <w:rPr>
          <w:lang w:val="ru-RU"/>
        </w:rPr>
        <w:t xml:space="preserve">также рассмотрела </w:t>
      </w:r>
      <w:r w:rsidR="008105EF" w:rsidRPr="00235DD6">
        <w:rPr>
          <w:lang w:val="ru-RU"/>
        </w:rPr>
        <w:t xml:space="preserve">таблицу сопоставления </w:t>
      </w:r>
      <w:r w:rsidR="00F27117" w:rsidRPr="00235DD6">
        <w:rPr>
          <w:lang w:val="ru-RU"/>
        </w:rPr>
        <w:t>Резолюций ПК, АР/</w:t>
      </w:r>
      <w:r w:rsidR="00CD28DE" w:rsidRPr="00235DD6">
        <w:rPr>
          <w:lang w:val="ru-RU"/>
        </w:rPr>
        <w:t xml:space="preserve">ВКР, ВАСЭ и ВКРЭ. Эта таблица сопоставления также размещена на </w:t>
      </w:r>
      <w:hyperlink r:id="rId13" w:history="1">
        <w:r w:rsidR="00DA05C8" w:rsidRPr="00235DD6">
          <w:rPr>
            <w:rFonts w:eastAsia="MS Mincho"/>
            <w:color w:val="0000FF"/>
            <w:u w:val="single"/>
            <w:lang w:val="ru-RU"/>
          </w:rPr>
          <w:t>веб-сайте МСКГ</w:t>
        </w:r>
      </w:hyperlink>
      <w:r w:rsidR="00915C2C" w:rsidRPr="00235DD6">
        <w:rPr>
          <w:lang w:val="ru-RU"/>
        </w:rPr>
        <w:t>;</w:t>
      </w:r>
      <w:r w:rsidR="00CD28DE" w:rsidRPr="00235DD6">
        <w:rPr>
          <w:lang w:val="ru-RU"/>
        </w:rPr>
        <w:t xml:space="preserve"> каждому Сектору предлагается рассмотреть</w:t>
      </w:r>
      <w:r w:rsidR="00C85B08" w:rsidRPr="00235DD6">
        <w:rPr>
          <w:lang w:val="ru-RU"/>
        </w:rPr>
        <w:t xml:space="preserve"> эту таблицу сопоставления</w:t>
      </w:r>
      <w:r w:rsidR="00CD28DE" w:rsidRPr="00235DD6">
        <w:rPr>
          <w:lang w:val="ru-RU"/>
        </w:rPr>
        <w:t xml:space="preserve">, </w:t>
      </w:r>
      <w:r w:rsidR="00C85B08" w:rsidRPr="00235DD6">
        <w:rPr>
          <w:lang w:val="ru-RU"/>
        </w:rPr>
        <w:t>представить замечания к ней</w:t>
      </w:r>
      <w:r w:rsidR="00CD28DE" w:rsidRPr="00235DD6">
        <w:rPr>
          <w:lang w:val="ru-RU"/>
        </w:rPr>
        <w:t xml:space="preserve"> и использовать </w:t>
      </w:r>
      <w:r w:rsidR="00C85B08" w:rsidRPr="00235DD6">
        <w:rPr>
          <w:lang w:val="ru-RU"/>
        </w:rPr>
        <w:t xml:space="preserve">ее </w:t>
      </w:r>
      <w:r w:rsidR="00CD28DE" w:rsidRPr="00235DD6">
        <w:rPr>
          <w:lang w:val="ru-RU"/>
        </w:rPr>
        <w:t xml:space="preserve">с целью </w:t>
      </w:r>
      <w:r w:rsidR="00436480" w:rsidRPr="00235DD6">
        <w:rPr>
          <w:lang w:val="ru-RU"/>
        </w:rPr>
        <w:t>упорядочения резолюций</w:t>
      </w:r>
      <w:r w:rsidR="00F82ADA" w:rsidRPr="00235DD6">
        <w:rPr>
          <w:lang w:val="ru-RU"/>
        </w:rPr>
        <w:t>.</w:t>
      </w:r>
    </w:p>
    <w:p w:rsidR="003034FC" w:rsidRPr="00235DD6" w:rsidRDefault="003034FC" w:rsidP="00466F45">
      <w:pPr>
        <w:rPr>
          <w:lang w:val="ru-RU"/>
        </w:rPr>
      </w:pPr>
      <w:r w:rsidRPr="00235DD6">
        <w:rPr>
          <w:lang w:val="ru-RU"/>
        </w:rPr>
        <w:t>3.4</w:t>
      </w:r>
      <w:r w:rsidRPr="00235DD6">
        <w:rPr>
          <w:lang w:val="ru-RU"/>
        </w:rPr>
        <w:tab/>
      </w:r>
      <w:r w:rsidR="003E24E4" w:rsidRPr="00235DD6">
        <w:rPr>
          <w:lang w:val="ru-RU"/>
        </w:rPr>
        <w:t>Эт</w:t>
      </w:r>
      <w:r w:rsidR="00466F45" w:rsidRPr="00235DD6">
        <w:rPr>
          <w:lang w:val="ru-RU"/>
        </w:rPr>
        <w:t>и сведения</w:t>
      </w:r>
      <w:r w:rsidR="003E24E4" w:rsidRPr="00235DD6">
        <w:rPr>
          <w:lang w:val="ru-RU"/>
        </w:rPr>
        <w:t xml:space="preserve"> </w:t>
      </w:r>
      <w:r w:rsidR="004A6D46" w:rsidRPr="00235DD6">
        <w:rPr>
          <w:lang w:val="ru-RU"/>
        </w:rPr>
        <w:t xml:space="preserve">вместе с перечнем </w:t>
      </w:r>
      <w:r w:rsidR="003E24E4" w:rsidRPr="00235DD6">
        <w:rPr>
          <w:lang w:val="ru-RU"/>
        </w:rPr>
        <w:t>областей, которые могут представлять взаимный интерес</w:t>
      </w:r>
      <w:r w:rsidR="004A6D46" w:rsidRPr="00235DD6">
        <w:rPr>
          <w:lang w:val="ru-RU"/>
        </w:rPr>
        <w:t>,</w:t>
      </w:r>
      <w:r w:rsidR="003E24E4" w:rsidRPr="00235DD6">
        <w:rPr>
          <w:lang w:val="ru-RU"/>
        </w:rPr>
        <w:t xml:space="preserve"> также мо</w:t>
      </w:r>
      <w:r w:rsidR="00466F45" w:rsidRPr="00235DD6">
        <w:rPr>
          <w:lang w:val="ru-RU"/>
        </w:rPr>
        <w:t>гут</w:t>
      </w:r>
      <w:r w:rsidR="003E24E4" w:rsidRPr="00235DD6">
        <w:rPr>
          <w:lang w:val="ru-RU"/>
        </w:rPr>
        <w:t xml:space="preserve"> быть найден</w:t>
      </w:r>
      <w:r w:rsidR="00466F45" w:rsidRPr="00235DD6">
        <w:rPr>
          <w:lang w:val="ru-RU"/>
        </w:rPr>
        <w:t>ы</w:t>
      </w:r>
      <w:r w:rsidR="003E24E4" w:rsidRPr="00235DD6">
        <w:rPr>
          <w:lang w:val="ru-RU"/>
        </w:rPr>
        <w:t xml:space="preserve"> в </w:t>
      </w:r>
      <w:hyperlink r:id="rId14" w:history="1">
        <w:r w:rsidR="00466F45" w:rsidRPr="00235DD6">
          <w:rPr>
            <w:rStyle w:val="Hyperlink"/>
            <w:lang w:val="ru-RU"/>
          </w:rPr>
          <w:t>Д</w:t>
        </w:r>
        <w:r w:rsidR="003E24E4" w:rsidRPr="00235DD6">
          <w:rPr>
            <w:rStyle w:val="Hyperlink"/>
            <w:lang w:val="ru-RU"/>
          </w:rPr>
          <w:t>окументе для информации</w:t>
        </w:r>
        <w:r w:rsidRPr="00235DD6">
          <w:rPr>
            <w:rStyle w:val="Hyperlink"/>
            <w:lang w:val="ru-RU"/>
          </w:rPr>
          <w:t xml:space="preserve"> C19/INF/6</w:t>
        </w:r>
      </w:hyperlink>
      <w:r w:rsidRPr="00235DD6">
        <w:rPr>
          <w:lang w:val="ru-RU"/>
        </w:rPr>
        <w:t>.</w:t>
      </w:r>
    </w:p>
    <w:p w:rsidR="003034FC" w:rsidRPr="00235DD6" w:rsidRDefault="003034FC" w:rsidP="00D644A2">
      <w:pPr>
        <w:rPr>
          <w:rFonts w:asciiTheme="minorHAnsi" w:hAnsiTheme="minorHAnsi"/>
          <w:szCs w:val="24"/>
          <w:lang w:val="ru-RU"/>
        </w:rPr>
      </w:pPr>
      <w:r w:rsidRPr="00235DD6">
        <w:rPr>
          <w:lang w:val="ru-RU"/>
        </w:rPr>
        <w:t>3.5</w:t>
      </w:r>
      <w:r w:rsidRPr="00235DD6">
        <w:rPr>
          <w:lang w:val="ru-RU"/>
        </w:rPr>
        <w:tab/>
      </w:r>
      <w:r w:rsidR="00C44151" w:rsidRPr="00235DD6">
        <w:rPr>
          <w:lang w:val="ru-RU"/>
        </w:rPr>
        <w:t>Следующее очное собрание группы будет приурочено к следующему собрани</w:t>
      </w:r>
      <w:r w:rsidR="00D644A2" w:rsidRPr="00235DD6">
        <w:rPr>
          <w:lang w:val="ru-RU"/>
        </w:rPr>
        <w:t>ю</w:t>
      </w:r>
      <w:r w:rsidR="00C44151" w:rsidRPr="00235DD6">
        <w:rPr>
          <w:lang w:val="ru-RU"/>
        </w:rPr>
        <w:t xml:space="preserve"> КГРЭ в 2020 году</w:t>
      </w:r>
      <w:r w:rsidRPr="00235DD6">
        <w:rPr>
          <w:lang w:val="ru-RU"/>
        </w:rPr>
        <w:t>.</w:t>
      </w:r>
    </w:p>
    <w:p w:rsidR="002D2F57" w:rsidRPr="00235DD6" w:rsidRDefault="00855228" w:rsidP="00855228">
      <w:pPr>
        <w:spacing w:before="480"/>
        <w:jc w:val="center"/>
        <w:rPr>
          <w:lang w:val="ru-RU"/>
        </w:rPr>
      </w:pPr>
      <w:r w:rsidRPr="00235DD6">
        <w:rPr>
          <w:lang w:val="ru-RU"/>
        </w:rPr>
        <w:t>______________</w:t>
      </w:r>
    </w:p>
    <w:sectPr w:rsidR="002D2F57" w:rsidRPr="00235DD6" w:rsidSect="00CF629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7B6" w:rsidRDefault="007B47B6">
      <w:r>
        <w:separator/>
      </w:r>
    </w:p>
  </w:endnote>
  <w:endnote w:type="continuationSeparator" w:id="0">
    <w:p w:rsidR="007B47B6" w:rsidRDefault="007B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E95E8C" w:rsidRDefault="00707304" w:rsidP="003034FC">
    <w:pPr>
      <w:pStyle w:val="Footer"/>
      <w:tabs>
        <w:tab w:val="clear" w:pos="5954"/>
        <w:tab w:val="left" w:pos="6804"/>
      </w:tabs>
      <w:rPr>
        <w:color w:val="D9D9D9" w:themeColor="background1" w:themeShade="D9"/>
        <w:sz w:val="18"/>
        <w:szCs w:val="18"/>
      </w:rPr>
    </w:pPr>
    <w:r w:rsidRPr="00E95E8C">
      <w:rPr>
        <w:color w:val="D9D9D9" w:themeColor="background1" w:themeShade="D9"/>
      </w:rPr>
      <w:fldChar w:fldCharType="begin"/>
    </w:r>
    <w:r w:rsidRPr="00E95E8C">
      <w:rPr>
        <w:color w:val="D9D9D9" w:themeColor="background1" w:themeShade="D9"/>
      </w:rPr>
      <w:instrText xml:space="preserve"> FILENAME \p  \* MERGEFORMAT </w:instrText>
    </w:r>
    <w:r w:rsidRPr="00E95E8C">
      <w:rPr>
        <w:color w:val="D9D9D9" w:themeColor="background1" w:themeShade="D9"/>
      </w:rPr>
      <w:fldChar w:fldCharType="separate"/>
    </w:r>
    <w:r w:rsidR="00112600" w:rsidRPr="00E95E8C">
      <w:rPr>
        <w:color w:val="D9D9D9" w:themeColor="background1" w:themeShade="D9"/>
      </w:rPr>
      <w:t>M:\RUSSIAN\Loskutova\SG\CONSEIL\C19\038REV1R.docx</w:t>
    </w:r>
    <w:r w:rsidRPr="00E95E8C">
      <w:rPr>
        <w:color w:val="D9D9D9" w:themeColor="background1" w:themeShade="D9"/>
        <w:lang w:val="en-US"/>
      </w:rPr>
      <w:fldChar w:fldCharType="end"/>
    </w:r>
    <w:r w:rsidR="000E568E" w:rsidRPr="00E95E8C">
      <w:rPr>
        <w:color w:val="D9D9D9" w:themeColor="background1" w:themeShade="D9"/>
      </w:rPr>
      <w:t xml:space="preserve"> (</w:t>
    </w:r>
    <w:r w:rsidR="003034FC" w:rsidRPr="00E95E8C">
      <w:rPr>
        <w:color w:val="D9D9D9" w:themeColor="background1" w:themeShade="D9"/>
      </w:rPr>
      <w:t>453811</w:t>
    </w:r>
    <w:r w:rsidR="000E568E" w:rsidRPr="00E95E8C">
      <w:rPr>
        <w:color w:val="D9D9D9" w:themeColor="background1" w:themeShade="D9"/>
      </w:rPr>
      <w:t>)</w:t>
    </w:r>
    <w:r w:rsidR="000E568E" w:rsidRPr="00E95E8C">
      <w:rPr>
        <w:color w:val="D9D9D9" w:themeColor="background1" w:themeShade="D9"/>
      </w:rPr>
      <w:tab/>
    </w:r>
    <w:r w:rsidR="002D48C5" w:rsidRPr="00E95E8C">
      <w:rPr>
        <w:color w:val="D9D9D9" w:themeColor="background1" w:themeShade="D9"/>
      </w:rPr>
      <w:fldChar w:fldCharType="begin"/>
    </w:r>
    <w:r w:rsidR="000E568E" w:rsidRPr="00E95E8C">
      <w:rPr>
        <w:color w:val="D9D9D9" w:themeColor="background1" w:themeShade="D9"/>
      </w:rPr>
      <w:instrText xml:space="preserve"> SAVEDATE \@ DD.MM.YY </w:instrText>
    </w:r>
    <w:r w:rsidR="002D48C5" w:rsidRPr="00E95E8C">
      <w:rPr>
        <w:color w:val="D9D9D9" w:themeColor="background1" w:themeShade="D9"/>
      </w:rPr>
      <w:fldChar w:fldCharType="separate"/>
    </w:r>
    <w:r w:rsidR="00E95E8C" w:rsidRPr="00E95E8C">
      <w:rPr>
        <w:color w:val="D9D9D9" w:themeColor="background1" w:themeShade="D9"/>
      </w:rPr>
      <w:t>10.05.19</w:t>
    </w:r>
    <w:r w:rsidR="002D48C5" w:rsidRPr="00E95E8C">
      <w:rPr>
        <w:color w:val="D9D9D9" w:themeColor="background1" w:themeShade="D9"/>
      </w:rPr>
      <w:fldChar w:fldCharType="end"/>
    </w:r>
    <w:r w:rsidR="000E568E" w:rsidRPr="00E95E8C">
      <w:rPr>
        <w:color w:val="D9D9D9" w:themeColor="background1" w:themeShade="D9"/>
      </w:rPr>
      <w:tab/>
    </w:r>
    <w:r w:rsidR="002D48C5" w:rsidRPr="00E95E8C">
      <w:rPr>
        <w:color w:val="D9D9D9" w:themeColor="background1" w:themeShade="D9"/>
      </w:rPr>
      <w:fldChar w:fldCharType="begin"/>
    </w:r>
    <w:r w:rsidR="000E568E" w:rsidRPr="00E95E8C">
      <w:rPr>
        <w:color w:val="D9D9D9" w:themeColor="background1" w:themeShade="D9"/>
      </w:rPr>
      <w:instrText xml:space="preserve"> PRINTDATE \@ DD.MM.YY </w:instrText>
    </w:r>
    <w:r w:rsidR="002D48C5" w:rsidRPr="00E95E8C">
      <w:rPr>
        <w:color w:val="D9D9D9" w:themeColor="background1" w:themeShade="D9"/>
      </w:rPr>
      <w:fldChar w:fldCharType="separate"/>
    </w:r>
    <w:r w:rsidR="00112600" w:rsidRPr="00E95E8C">
      <w:rPr>
        <w:color w:val="D9D9D9" w:themeColor="background1" w:themeShade="D9"/>
      </w:rPr>
      <w:t>08.05.19</w:t>
    </w:r>
    <w:r w:rsidR="002D48C5" w:rsidRPr="00E95E8C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E95E8C" w:rsidRDefault="005B3DEC" w:rsidP="003034FC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E95E8C">
      <w:rPr>
        <w:color w:val="D9D9D9" w:themeColor="background1" w:themeShade="D9"/>
        <w:lang w:val="en-US"/>
      </w:rPr>
      <w:fldChar w:fldCharType="begin"/>
    </w:r>
    <w:r w:rsidRPr="00E95E8C">
      <w:rPr>
        <w:color w:val="D9D9D9" w:themeColor="background1" w:themeShade="D9"/>
      </w:rPr>
      <w:instrText xml:space="preserve"> FILENAME \p  \* MERGEFORMAT </w:instrText>
    </w:r>
    <w:r w:rsidRPr="00E95E8C">
      <w:rPr>
        <w:color w:val="D9D9D9" w:themeColor="background1" w:themeShade="D9"/>
        <w:lang w:val="en-US"/>
      </w:rPr>
      <w:fldChar w:fldCharType="separate"/>
    </w:r>
    <w:r w:rsidR="00112600" w:rsidRPr="00E95E8C">
      <w:rPr>
        <w:color w:val="D9D9D9" w:themeColor="background1" w:themeShade="D9"/>
      </w:rPr>
      <w:t>M:\RUSSIAN\Loskutova\SG\CONSEIL\C19\038REV1R.docx</w:t>
    </w:r>
    <w:r w:rsidRPr="00E95E8C">
      <w:rPr>
        <w:color w:val="D9D9D9" w:themeColor="background1" w:themeShade="D9"/>
        <w:lang w:val="en-US"/>
      </w:rPr>
      <w:fldChar w:fldCharType="end"/>
    </w:r>
    <w:r w:rsidR="000E568E" w:rsidRPr="00E95E8C">
      <w:rPr>
        <w:color w:val="D9D9D9" w:themeColor="background1" w:themeShade="D9"/>
      </w:rPr>
      <w:t xml:space="preserve"> (</w:t>
    </w:r>
    <w:r w:rsidR="003034FC" w:rsidRPr="00E95E8C">
      <w:rPr>
        <w:color w:val="D9D9D9" w:themeColor="background1" w:themeShade="D9"/>
      </w:rPr>
      <w:t>453811</w:t>
    </w:r>
    <w:r w:rsidR="000E568E" w:rsidRPr="00E95E8C">
      <w:rPr>
        <w:color w:val="D9D9D9" w:themeColor="background1" w:themeShade="D9"/>
      </w:rPr>
      <w:t>)</w:t>
    </w:r>
    <w:r w:rsidR="000E568E" w:rsidRPr="00E95E8C">
      <w:rPr>
        <w:color w:val="D9D9D9" w:themeColor="background1" w:themeShade="D9"/>
      </w:rPr>
      <w:tab/>
    </w:r>
    <w:r w:rsidR="002D48C5" w:rsidRPr="00E95E8C">
      <w:rPr>
        <w:color w:val="D9D9D9" w:themeColor="background1" w:themeShade="D9"/>
      </w:rPr>
      <w:fldChar w:fldCharType="begin"/>
    </w:r>
    <w:r w:rsidR="000E568E" w:rsidRPr="00E95E8C">
      <w:rPr>
        <w:color w:val="D9D9D9" w:themeColor="background1" w:themeShade="D9"/>
      </w:rPr>
      <w:instrText xml:space="preserve"> SAVEDATE \@ DD.MM.YY </w:instrText>
    </w:r>
    <w:r w:rsidR="002D48C5" w:rsidRPr="00E95E8C">
      <w:rPr>
        <w:color w:val="D9D9D9" w:themeColor="background1" w:themeShade="D9"/>
      </w:rPr>
      <w:fldChar w:fldCharType="separate"/>
    </w:r>
    <w:r w:rsidR="00E95E8C" w:rsidRPr="00E95E8C">
      <w:rPr>
        <w:color w:val="D9D9D9" w:themeColor="background1" w:themeShade="D9"/>
      </w:rPr>
      <w:t>10.05.19</w:t>
    </w:r>
    <w:r w:rsidR="002D48C5" w:rsidRPr="00E95E8C">
      <w:rPr>
        <w:color w:val="D9D9D9" w:themeColor="background1" w:themeShade="D9"/>
      </w:rPr>
      <w:fldChar w:fldCharType="end"/>
    </w:r>
    <w:r w:rsidR="000E568E" w:rsidRPr="00E95E8C">
      <w:rPr>
        <w:color w:val="D9D9D9" w:themeColor="background1" w:themeShade="D9"/>
      </w:rPr>
      <w:tab/>
    </w:r>
    <w:r w:rsidR="002D48C5" w:rsidRPr="00E95E8C">
      <w:rPr>
        <w:color w:val="D9D9D9" w:themeColor="background1" w:themeShade="D9"/>
      </w:rPr>
      <w:fldChar w:fldCharType="begin"/>
    </w:r>
    <w:r w:rsidR="000E568E" w:rsidRPr="00E95E8C">
      <w:rPr>
        <w:color w:val="D9D9D9" w:themeColor="background1" w:themeShade="D9"/>
      </w:rPr>
      <w:instrText xml:space="preserve"> PRINTDATE \@ DD.MM.YY </w:instrText>
    </w:r>
    <w:r w:rsidR="002D48C5" w:rsidRPr="00E95E8C">
      <w:rPr>
        <w:color w:val="D9D9D9" w:themeColor="background1" w:themeShade="D9"/>
      </w:rPr>
      <w:fldChar w:fldCharType="separate"/>
    </w:r>
    <w:r w:rsidR="00112600" w:rsidRPr="00E95E8C">
      <w:rPr>
        <w:color w:val="D9D9D9" w:themeColor="background1" w:themeShade="D9"/>
      </w:rPr>
      <w:t>08.05.19</w:t>
    </w:r>
    <w:r w:rsidR="002D48C5" w:rsidRPr="00E95E8C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7B6" w:rsidRDefault="007B47B6">
      <w:r>
        <w:t>____________________</w:t>
      </w:r>
    </w:p>
  </w:footnote>
  <w:footnote w:type="continuationSeparator" w:id="0">
    <w:p w:rsidR="007B47B6" w:rsidRDefault="007B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95E8C">
      <w:rPr>
        <w:noProof/>
      </w:rPr>
      <w:t>2</w:t>
    </w:r>
    <w:r>
      <w:rPr>
        <w:noProof/>
      </w:rPr>
      <w:fldChar w:fldCharType="end"/>
    </w:r>
  </w:p>
  <w:p w:rsidR="000E568E" w:rsidRDefault="000E568E" w:rsidP="003034FC">
    <w:pPr>
      <w:pStyle w:val="Header"/>
      <w:spacing w:after="480"/>
    </w:pPr>
    <w:r>
      <w:t>C</w:t>
    </w:r>
    <w:r w:rsidR="003F099E">
      <w:t>1</w:t>
    </w:r>
    <w:r w:rsidR="005B3DEC">
      <w:t>9</w:t>
    </w:r>
    <w:r w:rsidR="00855228">
      <w:t>/38</w:t>
    </w:r>
    <w:r w:rsidR="003034FC">
      <w:rPr>
        <w:lang w:val="ru-RU"/>
      </w:rPr>
      <w:t>(</w:t>
    </w:r>
    <w:r w:rsidR="003034FC">
      <w:rPr>
        <w:lang w:val="en-GB"/>
      </w:rPr>
      <w:t>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B6"/>
    <w:rsid w:val="000035FB"/>
    <w:rsid w:val="0002183E"/>
    <w:rsid w:val="00027593"/>
    <w:rsid w:val="0004099B"/>
    <w:rsid w:val="000439F6"/>
    <w:rsid w:val="00054D4F"/>
    <w:rsid w:val="000569B4"/>
    <w:rsid w:val="00080E82"/>
    <w:rsid w:val="00087EE7"/>
    <w:rsid w:val="000C3DF7"/>
    <w:rsid w:val="000E568E"/>
    <w:rsid w:val="00112600"/>
    <w:rsid w:val="0014734F"/>
    <w:rsid w:val="0015710D"/>
    <w:rsid w:val="00163A32"/>
    <w:rsid w:val="00182F60"/>
    <w:rsid w:val="00184F25"/>
    <w:rsid w:val="00192B41"/>
    <w:rsid w:val="00193B20"/>
    <w:rsid w:val="001B41B4"/>
    <w:rsid w:val="001B50C3"/>
    <w:rsid w:val="001B7B09"/>
    <w:rsid w:val="001D2A40"/>
    <w:rsid w:val="001E4AD7"/>
    <w:rsid w:val="001E6719"/>
    <w:rsid w:val="0020616F"/>
    <w:rsid w:val="00213F2C"/>
    <w:rsid w:val="00225368"/>
    <w:rsid w:val="00227FF0"/>
    <w:rsid w:val="00235DD6"/>
    <w:rsid w:val="00242A70"/>
    <w:rsid w:val="00291EB6"/>
    <w:rsid w:val="002D1D1A"/>
    <w:rsid w:val="002D2F57"/>
    <w:rsid w:val="002D48C5"/>
    <w:rsid w:val="002E1E95"/>
    <w:rsid w:val="002E6F0D"/>
    <w:rsid w:val="002F3E6E"/>
    <w:rsid w:val="003034FC"/>
    <w:rsid w:val="00335DF0"/>
    <w:rsid w:val="003447CA"/>
    <w:rsid w:val="0035383F"/>
    <w:rsid w:val="00357CC9"/>
    <w:rsid w:val="003656DC"/>
    <w:rsid w:val="00397452"/>
    <w:rsid w:val="003B0A3A"/>
    <w:rsid w:val="003B40EE"/>
    <w:rsid w:val="003D5FAA"/>
    <w:rsid w:val="003E24E4"/>
    <w:rsid w:val="003F099E"/>
    <w:rsid w:val="003F235E"/>
    <w:rsid w:val="003F2EC1"/>
    <w:rsid w:val="004023E0"/>
    <w:rsid w:val="00403255"/>
    <w:rsid w:val="00403DD8"/>
    <w:rsid w:val="00420219"/>
    <w:rsid w:val="00420877"/>
    <w:rsid w:val="00436480"/>
    <w:rsid w:val="004371F2"/>
    <w:rsid w:val="00445B79"/>
    <w:rsid w:val="0045686C"/>
    <w:rsid w:val="00466F45"/>
    <w:rsid w:val="00473A2A"/>
    <w:rsid w:val="004806CF"/>
    <w:rsid w:val="004847AB"/>
    <w:rsid w:val="004918C4"/>
    <w:rsid w:val="00497703"/>
    <w:rsid w:val="004A0374"/>
    <w:rsid w:val="004A45B5"/>
    <w:rsid w:val="004A6D46"/>
    <w:rsid w:val="004B3FE6"/>
    <w:rsid w:val="004B6EAD"/>
    <w:rsid w:val="004C694F"/>
    <w:rsid w:val="004D0129"/>
    <w:rsid w:val="004F3233"/>
    <w:rsid w:val="005327DF"/>
    <w:rsid w:val="00532A03"/>
    <w:rsid w:val="0058110A"/>
    <w:rsid w:val="005A1DAE"/>
    <w:rsid w:val="005A64D5"/>
    <w:rsid w:val="005B3DEC"/>
    <w:rsid w:val="005E723E"/>
    <w:rsid w:val="005F40C8"/>
    <w:rsid w:val="0060084E"/>
    <w:rsid w:val="00601994"/>
    <w:rsid w:val="00621AF4"/>
    <w:rsid w:val="006343A1"/>
    <w:rsid w:val="00651D25"/>
    <w:rsid w:val="0068654E"/>
    <w:rsid w:val="006970FF"/>
    <w:rsid w:val="006A3C66"/>
    <w:rsid w:val="006B4E6B"/>
    <w:rsid w:val="006B4EB5"/>
    <w:rsid w:val="006C1BE6"/>
    <w:rsid w:val="006D6248"/>
    <w:rsid w:val="006E2D42"/>
    <w:rsid w:val="006F253F"/>
    <w:rsid w:val="00702770"/>
    <w:rsid w:val="00702773"/>
    <w:rsid w:val="00703676"/>
    <w:rsid w:val="00707304"/>
    <w:rsid w:val="00712E45"/>
    <w:rsid w:val="00732269"/>
    <w:rsid w:val="00771CF5"/>
    <w:rsid w:val="00781C11"/>
    <w:rsid w:val="00785ABD"/>
    <w:rsid w:val="00786965"/>
    <w:rsid w:val="0079347F"/>
    <w:rsid w:val="007A2DD4"/>
    <w:rsid w:val="007A514D"/>
    <w:rsid w:val="007A5448"/>
    <w:rsid w:val="007B1664"/>
    <w:rsid w:val="007B47B6"/>
    <w:rsid w:val="007D38B5"/>
    <w:rsid w:val="007E7EA0"/>
    <w:rsid w:val="00807255"/>
    <w:rsid w:val="0081023E"/>
    <w:rsid w:val="008105EF"/>
    <w:rsid w:val="00811F9C"/>
    <w:rsid w:val="008173AA"/>
    <w:rsid w:val="00840A14"/>
    <w:rsid w:val="00850959"/>
    <w:rsid w:val="00851098"/>
    <w:rsid w:val="00855228"/>
    <w:rsid w:val="00882522"/>
    <w:rsid w:val="008A2AE1"/>
    <w:rsid w:val="008B15AD"/>
    <w:rsid w:val="008B62B4"/>
    <w:rsid w:val="008C6E07"/>
    <w:rsid w:val="008D2D7B"/>
    <w:rsid w:val="008E0737"/>
    <w:rsid w:val="008E1C61"/>
    <w:rsid w:val="008F7C2C"/>
    <w:rsid w:val="00915C2C"/>
    <w:rsid w:val="00940E96"/>
    <w:rsid w:val="009755ED"/>
    <w:rsid w:val="009805FB"/>
    <w:rsid w:val="009B0BAE"/>
    <w:rsid w:val="009B7936"/>
    <w:rsid w:val="009C13CC"/>
    <w:rsid w:val="009C1C89"/>
    <w:rsid w:val="009C557A"/>
    <w:rsid w:val="009C7263"/>
    <w:rsid w:val="009D06BA"/>
    <w:rsid w:val="009F3448"/>
    <w:rsid w:val="00A01CF9"/>
    <w:rsid w:val="00A13973"/>
    <w:rsid w:val="00A344E5"/>
    <w:rsid w:val="00A71773"/>
    <w:rsid w:val="00A85ED6"/>
    <w:rsid w:val="00AB5138"/>
    <w:rsid w:val="00AE2A18"/>
    <w:rsid w:val="00AE2C85"/>
    <w:rsid w:val="00AF762E"/>
    <w:rsid w:val="00B01D5E"/>
    <w:rsid w:val="00B03195"/>
    <w:rsid w:val="00B04868"/>
    <w:rsid w:val="00B12A37"/>
    <w:rsid w:val="00B27D87"/>
    <w:rsid w:val="00B4181B"/>
    <w:rsid w:val="00B45069"/>
    <w:rsid w:val="00B47CDC"/>
    <w:rsid w:val="00B63EF2"/>
    <w:rsid w:val="00B84206"/>
    <w:rsid w:val="00B97847"/>
    <w:rsid w:val="00BA3E16"/>
    <w:rsid w:val="00BA7D89"/>
    <w:rsid w:val="00BC0D39"/>
    <w:rsid w:val="00BC7BC0"/>
    <w:rsid w:val="00BD57B7"/>
    <w:rsid w:val="00BE63E2"/>
    <w:rsid w:val="00C212CE"/>
    <w:rsid w:val="00C44151"/>
    <w:rsid w:val="00C5054E"/>
    <w:rsid w:val="00C576B2"/>
    <w:rsid w:val="00C85B08"/>
    <w:rsid w:val="00CD2009"/>
    <w:rsid w:val="00CD26C7"/>
    <w:rsid w:val="00CD28DE"/>
    <w:rsid w:val="00CD70A1"/>
    <w:rsid w:val="00CE625D"/>
    <w:rsid w:val="00CF629C"/>
    <w:rsid w:val="00CF6D6F"/>
    <w:rsid w:val="00D0592A"/>
    <w:rsid w:val="00D05D48"/>
    <w:rsid w:val="00D10814"/>
    <w:rsid w:val="00D20BE7"/>
    <w:rsid w:val="00D21246"/>
    <w:rsid w:val="00D24F03"/>
    <w:rsid w:val="00D37411"/>
    <w:rsid w:val="00D644A2"/>
    <w:rsid w:val="00D72030"/>
    <w:rsid w:val="00D722A6"/>
    <w:rsid w:val="00D92EEA"/>
    <w:rsid w:val="00D94E12"/>
    <w:rsid w:val="00D964D7"/>
    <w:rsid w:val="00DA05C8"/>
    <w:rsid w:val="00DA2F0C"/>
    <w:rsid w:val="00DA5D4E"/>
    <w:rsid w:val="00DE2948"/>
    <w:rsid w:val="00DF5069"/>
    <w:rsid w:val="00E176BA"/>
    <w:rsid w:val="00E23B75"/>
    <w:rsid w:val="00E27778"/>
    <w:rsid w:val="00E40CBE"/>
    <w:rsid w:val="00E423EC"/>
    <w:rsid w:val="00E441B3"/>
    <w:rsid w:val="00E55121"/>
    <w:rsid w:val="00E55F75"/>
    <w:rsid w:val="00E91706"/>
    <w:rsid w:val="00E95E8C"/>
    <w:rsid w:val="00EB4FCB"/>
    <w:rsid w:val="00EC1173"/>
    <w:rsid w:val="00EC6BC5"/>
    <w:rsid w:val="00ED2F18"/>
    <w:rsid w:val="00F20220"/>
    <w:rsid w:val="00F27117"/>
    <w:rsid w:val="00F35898"/>
    <w:rsid w:val="00F5225B"/>
    <w:rsid w:val="00F81DF2"/>
    <w:rsid w:val="00F82ADA"/>
    <w:rsid w:val="00FA7537"/>
    <w:rsid w:val="00FB2D43"/>
    <w:rsid w:val="00FB50E7"/>
    <w:rsid w:val="00FE359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D9375B4-2793-45A0-976F-DEEB1CB8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link w:val="ListParagraphChar"/>
    <w:uiPriority w:val="34"/>
    <w:qFormat/>
    <w:rsid w:val="008552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55228"/>
    <w:rPr>
      <w:rFonts w:ascii="Calibri" w:hAnsi="Calibri"/>
      <w:sz w:val="24"/>
      <w:lang w:val="en-GB" w:eastAsia="en-US"/>
    </w:rPr>
  </w:style>
  <w:style w:type="table" w:styleId="PlainTable2">
    <w:name w:val="Plain Table 2"/>
    <w:basedOn w:val="TableNormal"/>
    <w:uiPriority w:val="42"/>
    <w:rsid w:val="008552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91-R.pdf" TargetMode="External"/><Relationship Id="rId13" Type="http://schemas.openxmlformats.org/officeDocument/2006/relationships/hyperlink" Target="https://www.itu.int/en/ITU-D/Conferences/TDAG/Pages/inter-sectoral-team-on-issues-of-mutual-interest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ITU-D/Conferences/TDAG/Pages/inter-sectoral-team-on-issues-of-mutual-interest.asp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general-secretariat/Pages/intersectoral-coordination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7-CL-INF-0019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INF-0006/en" TargetMode="External"/><Relationship Id="rId14" Type="http://schemas.openxmlformats.org/officeDocument/2006/relationships/hyperlink" Target="https://www.itu.int/md/S19-CL-INF-000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4</Pages>
  <Words>1262</Words>
  <Characters>9503</Characters>
  <Application>Microsoft Office Word</Application>
  <DocSecurity>4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Resolution 191 (Rev. Dubai, 2018) - Strategy for the coordination of efforts among the three Sectors of the Union</dc:title>
  <dc:subject>Council 2019</dc:subject>
  <dc:creator>Antipina, Nadezda</dc:creator>
  <cp:keywords>C2019, C19</cp:keywords>
  <dc:description/>
  <cp:lastModifiedBy>Brouard, Ricarda</cp:lastModifiedBy>
  <cp:revision>2</cp:revision>
  <cp:lastPrinted>2019-05-08T11:22:00Z</cp:lastPrinted>
  <dcterms:created xsi:type="dcterms:W3CDTF">2019-05-10T16:00:00Z</dcterms:created>
  <dcterms:modified xsi:type="dcterms:W3CDTF">2019-05-10T16:00:00Z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