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66FB2">
        <w:trPr>
          <w:cantSplit/>
        </w:trPr>
        <w:tc>
          <w:tcPr>
            <w:tcW w:w="6912" w:type="dxa"/>
          </w:tcPr>
          <w:p w:rsidR="00093EEB" w:rsidRPr="00666FB2" w:rsidRDefault="00093EEB" w:rsidP="009E177A">
            <w:pPr>
              <w:spacing w:before="360"/>
              <w:rPr>
                <w:szCs w:val="24"/>
              </w:rPr>
            </w:pPr>
            <w:bookmarkStart w:id="0" w:name="dc06"/>
            <w:bookmarkStart w:id="1" w:name="dbluepink" w:colFirst="0" w:colLast="0"/>
            <w:bookmarkEnd w:id="0"/>
            <w:r w:rsidRPr="00666FB2">
              <w:rPr>
                <w:b/>
                <w:bCs/>
                <w:sz w:val="30"/>
                <w:szCs w:val="30"/>
              </w:rPr>
              <w:t>Consejo 201</w:t>
            </w:r>
            <w:r w:rsidR="00C2727F" w:rsidRPr="00666FB2">
              <w:rPr>
                <w:b/>
                <w:bCs/>
                <w:sz w:val="30"/>
                <w:szCs w:val="30"/>
              </w:rPr>
              <w:t>9</w:t>
            </w:r>
            <w:r w:rsidRPr="00666FB2">
              <w:rPr>
                <w:b/>
                <w:bCs/>
                <w:sz w:val="26"/>
                <w:szCs w:val="26"/>
              </w:rPr>
              <w:br/>
            </w:r>
            <w:r w:rsidRPr="00666FB2">
              <w:rPr>
                <w:b/>
                <w:bCs/>
                <w:szCs w:val="24"/>
              </w:rPr>
              <w:t>Ginebra, 1</w:t>
            </w:r>
            <w:r w:rsidR="00C2727F" w:rsidRPr="00666FB2">
              <w:rPr>
                <w:b/>
                <w:bCs/>
                <w:szCs w:val="24"/>
              </w:rPr>
              <w:t>0</w:t>
            </w:r>
            <w:r w:rsidRPr="00666FB2">
              <w:rPr>
                <w:b/>
                <w:bCs/>
                <w:szCs w:val="24"/>
              </w:rPr>
              <w:t>-2</w:t>
            </w:r>
            <w:r w:rsidR="00C2727F" w:rsidRPr="00666FB2">
              <w:rPr>
                <w:b/>
                <w:bCs/>
                <w:szCs w:val="24"/>
              </w:rPr>
              <w:t>0</w:t>
            </w:r>
            <w:r w:rsidRPr="00666FB2">
              <w:rPr>
                <w:b/>
                <w:bCs/>
                <w:szCs w:val="24"/>
              </w:rPr>
              <w:t xml:space="preserve"> de </w:t>
            </w:r>
            <w:r w:rsidR="00C2727F" w:rsidRPr="00666FB2">
              <w:rPr>
                <w:b/>
                <w:bCs/>
                <w:szCs w:val="24"/>
              </w:rPr>
              <w:t>junio</w:t>
            </w:r>
            <w:r w:rsidRPr="00666FB2">
              <w:rPr>
                <w:b/>
                <w:bCs/>
                <w:szCs w:val="24"/>
              </w:rPr>
              <w:t xml:space="preserve"> de 201</w:t>
            </w:r>
            <w:r w:rsidR="00C2727F" w:rsidRPr="00666FB2">
              <w:rPr>
                <w:b/>
                <w:bCs/>
                <w:szCs w:val="24"/>
              </w:rPr>
              <w:t>9</w:t>
            </w:r>
          </w:p>
        </w:tc>
        <w:tc>
          <w:tcPr>
            <w:tcW w:w="3261" w:type="dxa"/>
          </w:tcPr>
          <w:p w:rsidR="00093EEB" w:rsidRPr="00666FB2" w:rsidRDefault="00093EEB" w:rsidP="009E177A">
            <w:pPr>
              <w:spacing w:before="0"/>
              <w:jc w:val="right"/>
              <w:rPr>
                <w:szCs w:val="24"/>
              </w:rPr>
            </w:pPr>
            <w:bookmarkStart w:id="2" w:name="ditulogo"/>
            <w:bookmarkEnd w:id="2"/>
            <w:r w:rsidRPr="00666FB2">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66FB2">
        <w:trPr>
          <w:cantSplit/>
          <w:trHeight w:val="20"/>
        </w:trPr>
        <w:tc>
          <w:tcPr>
            <w:tcW w:w="10173" w:type="dxa"/>
            <w:gridSpan w:val="2"/>
            <w:tcBorders>
              <w:bottom w:val="single" w:sz="12" w:space="0" w:color="auto"/>
            </w:tcBorders>
          </w:tcPr>
          <w:p w:rsidR="00093EEB" w:rsidRPr="00666FB2" w:rsidRDefault="00093EEB" w:rsidP="009E177A">
            <w:pPr>
              <w:spacing w:before="0"/>
              <w:rPr>
                <w:b/>
                <w:bCs/>
                <w:szCs w:val="24"/>
              </w:rPr>
            </w:pPr>
          </w:p>
        </w:tc>
      </w:tr>
      <w:tr w:rsidR="00093EEB" w:rsidRPr="00666FB2">
        <w:trPr>
          <w:cantSplit/>
          <w:trHeight w:val="20"/>
        </w:trPr>
        <w:tc>
          <w:tcPr>
            <w:tcW w:w="6912" w:type="dxa"/>
            <w:tcBorders>
              <w:top w:val="single" w:sz="12" w:space="0" w:color="auto"/>
            </w:tcBorders>
          </w:tcPr>
          <w:p w:rsidR="00093EEB" w:rsidRPr="00666FB2" w:rsidRDefault="00093EEB" w:rsidP="009E177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666FB2" w:rsidRDefault="00093EEB" w:rsidP="009E177A">
            <w:pPr>
              <w:spacing w:before="0"/>
              <w:rPr>
                <w:b/>
                <w:bCs/>
                <w:szCs w:val="24"/>
              </w:rPr>
            </w:pPr>
          </w:p>
        </w:tc>
      </w:tr>
      <w:tr w:rsidR="00093EEB" w:rsidRPr="00666FB2">
        <w:trPr>
          <w:cantSplit/>
          <w:trHeight w:val="20"/>
        </w:trPr>
        <w:tc>
          <w:tcPr>
            <w:tcW w:w="6912" w:type="dxa"/>
            <w:shd w:val="clear" w:color="auto" w:fill="auto"/>
          </w:tcPr>
          <w:p w:rsidR="00093EEB" w:rsidRPr="00666FB2" w:rsidRDefault="00E87198" w:rsidP="009E177A">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666FB2">
              <w:rPr>
                <w:rFonts w:cs="Times"/>
                <w:b/>
                <w:szCs w:val="24"/>
              </w:rPr>
              <w:t>Punto del orden del día: ADM 21</w:t>
            </w:r>
          </w:p>
        </w:tc>
        <w:tc>
          <w:tcPr>
            <w:tcW w:w="3261" w:type="dxa"/>
          </w:tcPr>
          <w:p w:rsidR="00093EEB" w:rsidRPr="00666FB2" w:rsidRDefault="00005244" w:rsidP="00005244">
            <w:pPr>
              <w:spacing w:before="0"/>
              <w:rPr>
                <w:b/>
                <w:bCs/>
                <w:szCs w:val="24"/>
              </w:rPr>
            </w:pPr>
            <w:r w:rsidRPr="00666FB2">
              <w:rPr>
                <w:b/>
                <w:bCs/>
                <w:szCs w:val="24"/>
              </w:rPr>
              <w:t>Revisión 1 al</w:t>
            </w:r>
            <w:r w:rsidRPr="00666FB2">
              <w:rPr>
                <w:b/>
                <w:bCs/>
                <w:szCs w:val="24"/>
              </w:rPr>
              <w:br/>
            </w:r>
            <w:r w:rsidR="00093EEB" w:rsidRPr="00666FB2">
              <w:rPr>
                <w:b/>
                <w:bCs/>
                <w:szCs w:val="24"/>
              </w:rPr>
              <w:t>Documento C1</w:t>
            </w:r>
            <w:r w:rsidR="00C2727F" w:rsidRPr="00666FB2">
              <w:rPr>
                <w:b/>
                <w:bCs/>
                <w:szCs w:val="24"/>
              </w:rPr>
              <w:t>9</w:t>
            </w:r>
            <w:r w:rsidR="00093EEB" w:rsidRPr="00666FB2">
              <w:rPr>
                <w:b/>
                <w:bCs/>
                <w:szCs w:val="24"/>
              </w:rPr>
              <w:t>/</w:t>
            </w:r>
            <w:r w:rsidR="00E87198" w:rsidRPr="00666FB2">
              <w:rPr>
                <w:b/>
                <w:bCs/>
                <w:szCs w:val="24"/>
              </w:rPr>
              <w:t>25</w:t>
            </w:r>
            <w:r w:rsidR="00093EEB" w:rsidRPr="00666FB2">
              <w:rPr>
                <w:b/>
                <w:bCs/>
                <w:szCs w:val="24"/>
              </w:rPr>
              <w:t>-S</w:t>
            </w:r>
          </w:p>
        </w:tc>
      </w:tr>
      <w:tr w:rsidR="00093EEB" w:rsidRPr="00666FB2">
        <w:trPr>
          <w:cantSplit/>
          <w:trHeight w:val="20"/>
        </w:trPr>
        <w:tc>
          <w:tcPr>
            <w:tcW w:w="6912" w:type="dxa"/>
            <w:shd w:val="clear" w:color="auto" w:fill="auto"/>
          </w:tcPr>
          <w:p w:rsidR="00093EEB" w:rsidRPr="00666FB2" w:rsidRDefault="00093EEB" w:rsidP="009E177A">
            <w:pPr>
              <w:shd w:val="solid" w:color="FFFFFF" w:fill="FFFFFF"/>
              <w:spacing w:before="0"/>
              <w:rPr>
                <w:smallCaps/>
                <w:szCs w:val="24"/>
              </w:rPr>
            </w:pPr>
            <w:bookmarkStart w:id="5" w:name="ddate" w:colFirst="1" w:colLast="1"/>
            <w:bookmarkEnd w:id="3"/>
            <w:bookmarkEnd w:id="4"/>
          </w:p>
        </w:tc>
        <w:tc>
          <w:tcPr>
            <w:tcW w:w="3261" w:type="dxa"/>
          </w:tcPr>
          <w:p w:rsidR="00093EEB" w:rsidRPr="00666FB2" w:rsidRDefault="008F6AC1" w:rsidP="009E177A">
            <w:pPr>
              <w:spacing w:before="0"/>
              <w:rPr>
                <w:b/>
                <w:bCs/>
                <w:szCs w:val="24"/>
              </w:rPr>
            </w:pPr>
            <w:r w:rsidRPr="00666FB2">
              <w:rPr>
                <w:b/>
                <w:bCs/>
                <w:szCs w:val="24"/>
              </w:rPr>
              <w:t>3 de junio</w:t>
            </w:r>
            <w:r w:rsidR="00093EEB" w:rsidRPr="00666FB2">
              <w:rPr>
                <w:b/>
                <w:bCs/>
                <w:szCs w:val="24"/>
              </w:rPr>
              <w:t xml:space="preserve"> de 201</w:t>
            </w:r>
            <w:r w:rsidR="00C2727F" w:rsidRPr="00666FB2">
              <w:rPr>
                <w:b/>
                <w:bCs/>
                <w:szCs w:val="24"/>
              </w:rPr>
              <w:t>9</w:t>
            </w:r>
          </w:p>
        </w:tc>
      </w:tr>
      <w:tr w:rsidR="00093EEB" w:rsidRPr="00666FB2">
        <w:trPr>
          <w:cantSplit/>
          <w:trHeight w:val="20"/>
        </w:trPr>
        <w:tc>
          <w:tcPr>
            <w:tcW w:w="6912" w:type="dxa"/>
            <w:shd w:val="clear" w:color="auto" w:fill="auto"/>
          </w:tcPr>
          <w:p w:rsidR="00093EEB" w:rsidRPr="00666FB2" w:rsidRDefault="00093EEB" w:rsidP="009E177A">
            <w:pPr>
              <w:shd w:val="solid" w:color="FFFFFF" w:fill="FFFFFF"/>
              <w:spacing w:before="0"/>
              <w:rPr>
                <w:smallCaps/>
                <w:szCs w:val="24"/>
              </w:rPr>
            </w:pPr>
            <w:bookmarkStart w:id="6" w:name="dorlang" w:colFirst="1" w:colLast="1"/>
            <w:bookmarkEnd w:id="5"/>
          </w:p>
        </w:tc>
        <w:tc>
          <w:tcPr>
            <w:tcW w:w="3261" w:type="dxa"/>
          </w:tcPr>
          <w:p w:rsidR="00093EEB" w:rsidRPr="00666FB2" w:rsidRDefault="00093EEB" w:rsidP="009E177A">
            <w:pPr>
              <w:spacing w:before="0"/>
              <w:rPr>
                <w:b/>
                <w:bCs/>
                <w:szCs w:val="24"/>
              </w:rPr>
            </w:pPr>
            <w:r w:rsidRPr="00666FB2">
              <w:rPr>
                <w:b/>
                <w:bCs/>
                <w:szCs w:val="24"/>
              </w:rPr>
              <w:t>Original: inglés</w:t>
            </w:r>
          </w:p>
        </w:tc>
      </w:tr>
      <w:tr w:rsidR="00093EEB" w:rsidRPr="00666FB2">
        <w:trPr>
          <w:cantSplit/>
        </w:trPr>
        <w:tc>
          <w:tcPr>
            <w:tcW w:w="10173" w:type="dxa"/>
            <w:gridSpan w:val="2"/>
          </w:tcPr>
          <w:p w:rsidR="00093EEB" w:rsidRPr="00666FB2" w:rsidRDefault="00E87198" w:rsidP="009E177A">
            <w:pPr>
              <w:pStyle w:val="Source"/>
            </w:pPr>
            <w:bookmarkStart w:id="7" w:name="dsource" w:colFirst="0" w:colLast="0"/>
            <w:bookmarkEnd w:id="1"/>
            <w:bookmarkEnd w:id="6"/>
            <w:r w:rsidRPr="00666FB2">
              <w:t>Informe del Secretario General</w:t>
            </w:r>
          </w:p>
        </w:tc>
      </w:tr>
      <w:tr w:rsidR="00093EEB" w:rsidRPr="00666FB2">
        <w:trPr>
          <w:cantSplit/>
        </w:trPr>
        <w:tc>
          <w:tcPr>
            <w:tcW w:w="10173" w:type="dxa"/>
            <w:gridSpan w:val="2"/>
          </w:tcPr>
          <w:p w:rsidR="00093EEB" w:rsidRPr="00666FB2" w:rsidRDefault="00E87198" w:rsidP="009E177A">
            <w:pPr>
              <w:pStyle w:val="Title1"/>
            </w:pPr>
            <w:bookmarkStart w:id="8" w:name="dtitle1" w:colFirst="0" w:colLast="0"/>
            <w:bookmarkEnd w:id="7"/>
            <w:r w:rsidRPr="00666FB2">
              <w:t>FORTALECIMIENTO DE LA PREsEnCIA REGIONAL</w:t>
            </w:r>
          </w:p>
        </w:tc>
      </w:tr>
      <w:bookmarkEnd w:id="8"/>
    </w:tbl>
    <w:p w:rsidR="00093EEB" w:rsidRPr="00666FB2" w:rsidRDefault="00093EEB" w:rsidP="009E177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66FB2">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66FB2" w:rsidRDefault="00093EEB" w:rsidP="009E177A">
            <w:pPr>
              <w:pStyle w:val="Headingb"/>
            </w:pPr>
            <w:r w:rsidRPr="00666FB2">
              <w:t>Resumen</w:t>
            </w:r>
          </w:p>
          <w:p w:rsidR="00093EEB" w:rsidRPr="00666FB2" w:rsidRDefault="007C1DB4" w:rsidP="009E177A">
            <w:r w:rsidRPr="00666FB2">
              <w:t xml:space="preserve">El presente documento tiene por objeto informar sobre la aplicación de la Resolución 25 (Rev. Dubái, 2018). El </w:t>
            </w:r>
            <w:hyperlink r:id="rId8" w:history="1">
              <w:r w:rsidRPr="00666FB2">
                <w:rPr>
                  <w:rStyle w:val="Hyperlink"/>
                </w:rPr>
                <w:t>Documento C19/INF/7</w:t>
              </w:r>
            </w:hyperlink>
            <w:r w:rsidRPr="00666FB2">
              <w:t xml:space="preserve"> contiene </w:t>
            </w:r>
            <w:r w:rsidR="003B52CA" w:rsidRPr="00666FB2">
              <w:t>nueve</w:t>
            </w:r>
            <w:r w:rsidRPr="00666FB2">
              <w:t xml:space="preserve"> </w:t>
            </w:r>
            <w:r w:rsidR="00D33768" w:rsidRPr="00666FB2">
              <w:t xml:space="preserve">Anexos </w:t>
            </w:r>
            <w:r w:rsidRPr="00666FB2">
              <w:t>en relación con el presente documento.</w:t>
            </w:r>
          </w:p>
          <w:p w:rsidR="00093EEB" w:rsidRPr="00666FB2" w:rsidRDefault="00093EEB" w:rsidP="009E177A">
            <w:pPr>
              <w:pStyle w:val="Headingb"/>
            </w:pPr>
            <w:r w:rsidRPr="00666FB2">
              <w:t>Acción solicitada</w:t>
            </w:r>
          </w:p>
          <w:p w:rsidR="00093EEB" w:rsidRPr="00666FB2" w:rsidRDefault="007C1DB4" w:rsidP="009E177A">
            <w:r w:rsidRPr="00666FB2">
              <w:t xml:space="preserve">Se invita al Consejo a </w:t>
            </w:r>
            <w:r w:rsidRPr="00666FB2">
              <w:rPr>
                <w:b/>
                <w:bCs/>
              </w:rPr>
              <w:t xml:space="preserve">tomar nota </w:t>
            </w:r>
            <w:r w:rsidRPr="00666FB2">
              <w:t>del presente informe.</w:t>
            </w:r>
          </w:p>
          <w:p w:rsidR="00093EEB" w:rsidRPr="00666FB2" w:rsidRDefault="00093EEB" w:rsidP="009E177A">
            <w:pPr>
              <w:pStyle w:val="Table"/>
              <w:keepNext w:val="0"/>
              <w:spacing w:before="0" w:after="0"/>
              <w:rPr>
                <w:caps w:val="0"/>
                <w:sz w:val="22"/>
                <w:lang w:val="es-ES_tradnl"/>
              </w:rPr>
            </w:pPr>
            <w:r w:rsidRPr="00666FB2">
              <w:rPr>
                <w:caps w:val="0"/>
                <w:sz w:val="22"/>
                <w:lang w:val="es-ES_tradnl"/>
              </w:rPr>
              <w:t>____________</w:t>
            </w:r>
          </w:p>
          <w:p w:rsidR="00093EEB" w:rsidRPr="00666FB2" w:rsidRDefault="00093EEB" w:rsidP="009E177A">
            <w:pPr>
              <w:pStyle w:val="Headingb"/>
            </w:pPr>
            <w:r w:rsidRPr="00666FB2">
              <w:t>Referencia</w:t>
            </w:r>
          </w:p>
          <w:p w:rsidR="00093EEB" w:rsidRPr="00666FB2" w:rsidRDefault="00666FB2" w:rsidP="00E3741A">
            <w:pPr>
              <w:spacing w:after="120"/>
              <w:rPr>
                <w:i/>
                <w:iCs/>
              </w:rPr>
            </w:pPr>
            <w:hyperlink r:id="rId9" w:history="1">
              <w:r w:rsidR="007C1DB4" w:rsidRPr="00666FB2">
                <w:rPr>
                  <w:rStyle w:val="Hyperlink"/>
                  <w:i/>
                  <w:iCs/>
                </w:rPr>
                <w:t>Resolución 25 (Rev. Dubái, 2018)</w:t>
              </w:r>
            </w:hyperlink>
            <w:r w:rsidR="007C1DB4" w:rsidRPr="00666FB2">
              <w:rPr>
                <w:rStyle w:val="Hyperlink"/>
                <w:i/>
                <w:iCs/>
                <w:color w:val="auto"/>
                <w:u w:val="none"/>
              </w:rPr>
              <w:t xml:space="preserve">; Documentos </w:t>
            </w:r>
            <w:hyperlink r:id="rId10" w:history="1">
              <w:r w:rsidR="007C1DB4" w:rsidRPr="00666FB2">
                <w:rPr>
                  <w:rStyle w:val="Hyperlink"/>
                  <w:i/>
                  <w:iCs/>
                </w:rPr>
                <w:t>C17/INF/12</w:t>
              </w:r>
            </w:hyperlink>
            <w:r w:rsidR="007C1DB4" w:rsidRPr="00666FB2">
              <w:t xml:space="preserve">, </w:t>
            </w:r>
            <w:hyperlink r:id="rId11" w:history="1">
              <w:r w:rsidR="007C1DB4" w:rsidRPr="00666FB2">
                <w:rPr>
                  <w:rStyle w:val="Hyperlink"/>
                  <w:i/>
                  <w:iCs/>
                </w:rPr>
                <w:t>C19/INF/7</w:t>
              </w:r>
            </w:hyperlink>
            <w:r w:rsidR="007C1DB4" w:rsidRPr="00666FB2">
              <w:rPr>
                <w:rStyle w:val="Hyperlink"/>
                <w:i/>
                <w:iCs/>
              </w:rPr>
              <w:t xml:space="preserve"> </w:t>
            </w:r>
            <w:r w:rsidR="0027709E" w:rsidRPr="00666FB2">
              <w:t>del </w:t>
            </w:r>
            <w:r w:rsidR="007C1DB4" w:rsidRPr="00666FB2">
              <w:t>Consejo</w:t>
            </w:r>
            <w:r w:rsidR="00EF1DB4" w:rsidRPr="00666FB2">
              <w:t>.</w:t>
            </w:r>
          </w:p>
        </w:tc>
      </w:tr>
    </w:tbl>
    <w:p w:rsidR="00DB34C7" w:rsidRPr="00666FB2" w:rsidRDefault="00DB34C7" w:rsidP="009E177A">
      <w:pPr>
        <w:pStyle w:val="Heading1"/>
      </w:pPr>
      <w:r w:rsidRPr="00666FB2">
        <w:t>1</w:t>
      </w:r>
      <w:r w:rsidRPr="00666FB2">
        <w:tab/>
        <w:t>Antecedentes</w:t>
      </w:r>
    </w:p>
    <w:p w:rsidR="00DB34C7" w:rsidRPr="00666FB2" w:rsidRDefault="00DB34C7" w:rsidP="009E177A">
      <w:pPr>
        <w:rPr>
          <w:rFonts w:eastAsia="Arial Unicode MS"/>
        </w:rPr>
      </w:pPr>
      <w:r w:rsidRPr="00666FB2">
        <w:t>1.1</w:t>
      </w:r>
      <w:r w:rsidRPr="00666FB2">
        <w:tab/>
      </w:r>
      <w:bookmarkStart w:id="9" w:name="lt_pId023"/>
      <w:r w:rsidR="0096423F" w:rsidRPr="00666FB2">
        <w:t xml:space="preserve">La </w:t>
      </w:r>
      <w:r w:rsidR="00BC33DB" w:rsidRPr="00666FB2">
        <w:rPr>
          <w:rFonts w:eastAsia="Arial Unicode MS" w:cstheme="minorHAnsi"/>
          <w:szCs w:val="24"/>
        </w:rPr>
        <w:t>Resolución</w:t>
      </w:r>
      <w:r w:rsidR="00B541C4" w:rsidRPr="00666FB2">
        <w:rPr>
          <w:rFonts w:eastAsia="Arial Unicode MS" w:cstheme="minorHAnsi"/>
          <w:szCs w:val="24"/>
        </w:rPr>
        <w:t xml:space="preserve"> 25 (</w:t>
      </w:r>
      <w:r w:rsidR="0096423F" w:rsidRPr="00666FB2">
        <w:rPr>
          <w:rFonts w:eastAsia="Arial Unicode MS" w:cstheme="minorHAnsi"/>
          <w:szCs w:val="24"/>
        </w:rPr>
        <w:t>Fortalecimiento de la presencia regional</w:t>
      </w:r>
      <w:r w:rsidR="00B541C4" w:rsidRPr="00666FB2">
        <w:rPr>
          <w:rFonts w:eastAsia="Arial Unicode MS" w:cstheme="minorHAnsi"/>
          <w:szCs w:val="24"/>
        </w:rPr>
        <w:t xml:space="preserve">) </w:t>
      </w:r>
      <w:r w:rsidR="0096423F" w:rsidRPr="00666FB2">
        <w:rPr>
          <w:rFonts w:eastAsia="Arial Unicode MS" w:cstheme="minorHAnsi"/>
          <w:szCs w:val="24"/>
        </w:rPr>
        <w:t xml:space="preserve">fue revisada por la Conferencia de Plenipotenciarios de la UIT de </w:t>
      </w:r>
      <w:r w:rsidR="00B541C4" w:rsidRPr="00666FB2">
        <w:rPr>
          <w:rFonts w:eastAsia="Arial Unicode MS" w:cstheme="minorHAnsi"/>
          <w:szCs w:val="24"/>
        </w:rPr>
        <w:t xml:space="preserve">2018 (PP-18) </w:t>
      </w:r>
      <w:r w:rsidR="0096423F" w:rsidRPr="00666FB2">
        <w:rPr>
          <w:rFonts w:eastAsia="Arial Unicode MS" w:cstheme="minorHAnsi"/>
          <w:szCs w:val="24"/>
        </w:rPr>
        <w:t>celebrada</w:t>
      </w:r>
      <w:r w:rsidR="0011411E" w:rsidRPr="00666FB2">
        <w:rPr>
          <w:rFonts w:eastAsia="Arial Unicode MS" w:cstheme="minorHAnsi"/>
          <w:szCs w:val="24"/>
        </w:rPr>
        <w:t xml:space="preserve"> en</w:t>
      </w:r>
      <w:r w:rsidR="0096423F" w:rsidRPr="00666FB2">
        <w:rPr>
          <w:rFonts w:eastAsia="Arial Unicode MS" w:cstheme="minorHAnsi"/>
          <w:szCs w:val="24"/>
        </w:rPr>
        <w:t xml:space="preserve"> </w:t>
      </w:r>
      <w:r w:rsidR="00B541C4" w:rsidRPr="00666FB2">
        <w:rPr>
          <w:rFonts w:eastAsia="Arial Unicode MS" w:cstheme="minorHAnsi"/>
          <w:szCs w:val="24"/>
        </w:rPr>
        <w:t>Dub</w:t>
      </w:r>
      <w:r w:rsidR="0096423F" w:rsidRPr="00666FB2">
        <w:rPr>
          <w:rFonts w:eastAsia="Arial Unicode MS" w:cstheme="minorHAnsi"/>
          <w:szCs w:val="24"/>
        </w:rPr>
        <w:t>á</w:t>
      </w:r>
      <w:r w:rsidR="00B541C4" w:rsidRPr="00666FB2">
        <w:rPr>
          <w:rFonts w:eastAsia="Arial Unicode MS" w:cstheme="minorHAnsi"/>
          <w:szCs w:val="24"/>
        </w:rPr>
        <w:t>i.</w:t>
      </w:r>
      <w:bookmarkEnd w:id="9"/>
      <w:r w:rsidR="00B541C4" w:rsidRPr="00666FB2">
        <w:rPr>
          <w:rFonts w:eastAsia="Arial Unicode MS" w:cstheme="minorHAnsi"/>
          <w:szCs w:val="24"/>
        </w:rPr>
        <w:t xml:space="preserve"> </w:t>
      </w:r>
      <w:r w:rsidR="0096423F" w:rsidRPr="00666FB2">
        <w:rPr>
          <w:rFonts w:eastAsia="Arial Unicode MS" w:cstheme="minorHAnsi"/>
          <w:szCs w:val="24"/>
        </w:rPr>
        <w:t xml:space="preserve">En esta </w:t>
      </w:r>
      <w:r w:rsidR="00BC33DB" w:rsidRPr="00666FB2">
        <w:rPr>
          <w:rFonts w:eastAsia="Arial Unicode MS" w:cstheme="minorHAnsi"/>
          <w:szCs w:val="24"/>
        </w:rPr>
        <w:t>Conferencia</w:t>
      </w:r>
      <w:r w:rsidR="00B541C4" w:rsidRPr="00666FB2">
        <w:rPr>
          <w:rFonts w:eastAsia="Arial Unicode MS" w:cstheme="minorHAnsi"/>
          <w:szCs w:val="24"/>
        </w:rPr>
        <w:t xml:space="preserve">, </w:t>
      </w:r>
      <w:r w:rsidR="0096423F" w:rsidRPr="00666FB2">
        <w:rPr>
          <w:rFonts w:eastAsia="Arial Unicode MS" w:cstheme="minorHAnsi"/>
          <w:szCs w:val="24"/>
        </w:rPr>
        <w:t xml:space="preserve">los </w:t>
      </w:r>
      <w:r w:rsidR="00FD0220" w:rsidRPr="00666FB2">
        <w:rPr>
          <w:rFonts w:eastAsia="Arial Unicode MS" w:cstheme="minorHAnsi"/>
          <w:szCs w:val="24"/>
        </w:rPr>
        <w:t xml:space="preserve">miembros </w:t>
      </w:r>
      <w:r w:rsidR="0096423F" w:rsidRPr="00666FB2">
        <w:rPr>
          <w:rFonts w:eastAsia="Arial Unicode MS" w:cstheme="minorHAnsi"/>
          <w:szCs w:val="24"/>
        </w:rPr>
        <w:t>de la U</w:t>
      </w:r>
      <w:r w:rsidR="00B541C4" w:rsidRPr="00666FB2">
        <w:rPr>
          <w:rFonts w:eastAsia="Arial Unicode MS" w:cstheme="minorHAnsi"/>
          <w:szCs w:val="24"/>
        </w:rPr>
        <w:t xml:space="preserve">IT </w:t>
      </w:r>
      <w:r w:rsidR="0096423F" w:rsidRPr="00666FB2">
        <w:rPr>
          <w:rFonts w:eastAsia="Arial Unicode MS" w:cstheme="minorHAnsi"/>
          <w:szCs w:val="24"/>
        </w:rPr>
        <w:t xml:space="preserve">resolvieron </w:t>
      </w:r>
      <w:r w:rsidR="00387055" w:rsidRPr="00666FB2">
        <w:rPr>
          <w:rFonts w:eastAsia="Arial Unicode MS" w:cstheme="minorHAnsi"/>
          <w:szCs w:val="24"/>
        </w:rPr>
        <w:t>"</w:t>
      </w:r>
      <w:r w:rsidR="00387055" w:rsidRPr="00666FB2">
        <w:t>que se refuercen las funciones de las Oficinas Regionales para que puedan participar en la ejecución del Plan Estratégico, los programas y proyectos de la UIT, y las iniciativas regionales establecidas en la Resolución 17 (Rev. Buenos Aires, 2017) de la CMDT</w:t>
      </w:r>
      <w:r w:rsidR="00387055" w:rsidRPr="00666FB2">
        <w:rPr>
          <w:rFonts w:eastAsia="Arial Unicode MS" w:cstheme="minorHAnsi"/>
          <w:szCs w:val="24"/>
        </w:rPr>
        <w:t>"</w:t>
      </w:r>
      <w:r w:rsidRPr="00666FB2">
        <w:rPr>
          <w:rFonts w:eastAsia="Arial Unicode MS"/>
        </w:rPr>
        <w:t>.</w:t>
      </w:r>
    </w:p>
    <w:p w:rsidR="00DB34C7" w:rsidRPr="00666FB2" w:rsidRDefault="00DB34C7" w:rsidP="009E177A">
      <w:pPr>
        <w:rPr>
          <w:szCs w:val="24"/>
        </w:rPr>
      </w:pPr>
      <w:r w:rsidRPr="00666FB2">
        <w:rPr>
          <w:rFonts w:eastAsia="Arial Unicode MS" w:cstheme="minorHAnsi"/>
          <w:szCs w:val="24"/>
        </w:rPr>
        <w:t>1.2</w:t>
      </w:r>
      <w:r w:rsidRPr="00666FB2">
        <w:rPr>
          <w:rFonts w:eastAsia="Arial Unicode MS" w:cstheme="minorHAnsi"/>
          <w:szCs w:val="24"/>
        </w:rPr>
        <w:tab/>
        <w:t>En 201</w:t>
      </w:r>
      <w:r w:rsidR="00D679F9" w:rsidRPr="00666FB2">
        <w:rPr>
          <w:rFonts w:eastAsia="Arial Unicode MS" w:cstheme="minorHAnsi"/>
          <w:szCs w:val="24"/>
        </w:rPr>
        <w:t>8</w:t>
      </w:r>
      <w:r w:rsidRPr="00666FB2">
        <w:rPr>
          <w:rFonts w:eastAsia="Arial Unicode MS" w:cstheme="minorHAnsi"/>
          <w:szCs w:val="24"/>
        </w:rPr>
        <w:t xml:space="preserve"> se desplegaron asimismo esfuerzos para mejorar la presencia regional de la UIT mediante una serie de medidas encaminadas a facilitar a la UIT la adaptación de su labor a las necesidades específicas de las regiones y a proporcionar productos y servicios de gran calidad, de forma oportuna y eficaz a escalas nacional y regional</w:t>
      </w:r>
      <w:r w:rsidRPr="00666FB2">
        <w:rPr>
          <w:szCs w:val="24"/>
        </w:rPr>
        <w:t>.</w:t>
      </w:r>
    </w:p>
    <w:p w:rsidR="00DB34C7" w:rsidRPr="00666FB2" w:rsidRDefault="00DB34C7" w:rsidP="009E177A">
      <w:pPr>
        <w:rPr>
          <w:rFonts w:eastAsia="Arial Unicode MS"/>
        </w:rPr>
      </w:pPr>
      <w:r w:rsidRPr="00666FB2">
        <w:rPr>
          <w:rFonts w:eastAsia="Arial Unicode MS"/>
        </w:rPr>
        <w:t>1.3</w:t>
      </w:r>
      <w:r w:rsidRPr="00666FB2">
        <w:rPr>
          <w:rFonts w:eastAsia="Arial Unicode MS"/>
        </w:rPr>
        <w:tab/>
        <w:t>En el presente informe se aborda la ejecución del Plan de Acción y de las iniciativas regionales. Contiene asimismo información pormenorizada sobre la aplicación del presupuesto de </w:t>
      </w:r>
      <w:r w:rsidR="00D679F9" w:rsidRPr="00666FB2">
        <w:rPr>
          <w:rFonts w:eastAsia="Arial Unicode MS"/>
        </w:rPr>
        <w:t>2018</w:t>
      </w:r>
      <w:r w:rsidRPr="00666FB2">
        <w:rPr>
          <w:rFonts w:eastAsia="Arial Unicode MS"/>
        </w:rPr>
        <w:t xml:space="preserve">, tanto para las fuentes de financiación ordinarias como para las extrapresupuestarias. También se proporciona información actualizada sobre el grado de dotación de personal de cada </w:t>
      </w:r>
      <w:r w:rsidR="00D33768" w:rsidRPr="00666FB2">
        <w:rPr>
          <w:rFonts w:eastAsia="Arial Unicode MS"/>
        </w:rPr>
        <w:t xml:space="preserve">Oficina Regional </w:t>
      </w:r>
      <w:r w:rsidRPr="00666FB2">
        <w:rPr>
          <w:rFonts w:eastAsia="Arial Unicode MS"/>
        </w:rPr>
        <w:t xml:space="preserve">y </w:t>
      </w:r>
      <w:r w:rsidR="00D33768" w:rsidRPr="00666FB2">
        <w:rPr>
          <w:rFonts w:eastAsia="Arial Unicode MS"/>
        </w:rPr>
        <w:t>Zonal</w:t>
      </w:r>
      <w:r w:rsidRPr="00666FB2">
        <w:rPr>
          <w:rFonts w:eastAsia="Arial Unicode MS"/>
        </w:rPr>
        <w:t xml:space="preserve">, así como otro tipo de información operacional, en particular sobre becas, </w:t>
      </w:r>
      <w:r w:rsidRPr="00666FB2">
        <w:rPr>
          <w:rFonts w:eastAsia="Arial Unicode MS"/>
        </w:rPr>
        <w:lastRenderedPageBreak/>
        <w:t xml:space="preserve">expertos y misiones internas de expertos. El informe se complementa mediante el Documento de información </w:t>
      </w:r>
      <w:hyperlink r:id="rId12" w:history="1">
        <w:r w:rsidR="00D679F9" w:rsidRPr="00666FB2">
          <w:rPr>
            <w:rStyle w:val="Hyperlink"/>
          </w:rPr>
          <w:t>C19/INF/7</w:t>
        </w:r>
      </w:hyperlink>
      <w:r w:rsidRPr="00666FB2">
        <w:rPr>
          <w:rFonts w:eastAsia="Arial Unicode MS"/>
        </w:rPr>
        <w:t xml:space="preserve"> que contiene los anexos siguientes:</w:t>
      </w:r>
    </w:p>
    <w:p w:rsidR="0096423F" w:rsidRPr="00666FB2" w:rsidRDefault="0096423F" w:rsidP="00FD0220">
      <w:pPr>
        <w:pStyle w:val="enumlev1"/>
        <w:rPr>
          <w:rFonts w:eastAsia="Arial Unicode MS"/>
        </w:rPr>
      </w:pPr>
      <w:r w:rsidRPr="00666FB2">
        <w:rPr>
          <w:rFonts w:eastAsia="Arial Unicode MS"/>
        </w:rPr>
        <w:t>•</w:t>
      </w:r>
      <w:r w:rsidRPr="00666FB2">
        <w:rPr>
          <w:rFonts w:eastAsia="Arial Unicode MS"/>
        </w:rPr>
        <w:tab/>
        <w:t>Anexo 1:</w:t>
      </w:r>
      <w:r w:rsidRPr="00666FB2">
        <w:rPr>
          <w:rFonts w:eastAsia="Arial Unicode MS"/>
        </w:rPr>
        <w:tab/>
        <w:t>Principales logros por región en 2018.</w:t>
      </w:r>
    </w:p>
    <w:p w:rsidR="0096423F" w:rsidRPr="00666FB2" w:rsidRDefault="0096423F" w:rsidP="00FD0220">
      <w:pPr>
        <w:pStyle w:val="enumlev1"/>
        <w:rPr>
          <w:rFonts w:eastAsia="Arial Unicode MS"/>
        </w:rPr>
      </w:pPr>
      <w:r w:rsidRPr="00666FB2">
        <w:rPr>
          <w:rFonts w:eastAsia="Arial Unicode MS"/>
        </w:rPr>
        <w:t>•</w:t>
      </w:r>
      <w:r w:rsidRPr="00666FB2">
        <w:rPr>
          <w:rFonts w:eastAsia="Arial Unicode MS"/>
        </w:rPr>
        <w:tab/>
        <w:t>Anexo 2:</w:t>
      </w:r>
      <w:r w:rsidRPr="00666FB2">
        <w:rPr>
          <w:rFonts w:eastAsia="Arial Unicode MS"/>
        </w:rPr>
        <w:tab/>
        <w:t>Contribución a otros Sectores y a la Secretaría General.</w:t>
      </w:r>
    </w:p>
    <w:p w:rsidR="0096423F" w:rsidRPr="00666FB2" w:rsidRDefault="0096423F" w:rsidP="00FD0220">
      <w:pPr>
        <w:pStyle w:val="enumlev1"/>
        <w:rPr>
          <w:rFonts w:eastAsia="Arial Unicode MS"/>
        </w:rPr>
      </w:pPr>
      <w:r w:rsidRPr="00666FB2">
        <w:rPr>
          <w:rFonts w:eastAsia="Arial Unicode MS"/>
        </w:rPr>
        <w:t>•</w:t>
      </w:r>
      <w:r w:rsidRPr="00666FB2">
        <w:rPr>
          <w:rFonts w:eastAsia="Arial Unicode MS"/>
        </w:rPr>
        <w:tab/>
        <w:t>Anexo 3:</w:t>
      </w:r>
      <w:r w:rsidRPr="00666FB2">
        <w:rPr>
          <w:rFonts w:eastAsia="Arial Unicode MS"/>
        </w:rPr>
        <w:tab/>
        <w:t xml:space="preserve">Actividades en pro del empoderamiento regional y de la Oficinas </w:t>
      </w:r>
      <w:r w:rsidR="008F6AC1" w:rsidRPr="00666FB2">
        <w:rPr>
          <w:rFonts w:eastAsia="Arial Unicode MS"/>
        </w:rPr>
        <w:t>de Zona</w:t>
      </w:r>
      <w:r w:rsidRPr="00666FB2">
        <w:rPr>
          <w:rFonts w:eastAsia="Arial Unicode MS"/>
        </w:rPr>
        <w:t>.</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4</w:t>
      </w:r>
      <w:r w:rsidRPr="00666FB2">
        <w:rPr>
          <w:rFonts w:eastAsia="Arial Unicode MS"/>
        </w:rPr>
        <w:t>:</w:t>
      </w:r>
      <w:r w:rsidRPr="00666FB2">
        <w:rPr>
          <w:rFonts w:eastAsia="Arial Unicode MS"/>
        </w:rPr>
        <w:tab/>
        <w:t xml:space="preserve">Resumen del nivel de </w:t>
      </w:r>
      <w:r w:rsidR="0096423F" w:rsidRPr="00666FB2">
        <w:rPr>
          <w:rFonts w:eastAsia="Arial Unicode MS"/>
        </w:rPr>
        <w:t>ejecución</w:t>
      </w:r>
      <w:r w:rsidRPr="00666FB2">
        <w:rPr>
          <w:rFonts w:eastAsia="Arial Unicode MS"/>
        </w:rPr>
        <w:t xml:space="preserve"> del plan operacional y de los proyectos en 201</w:t>
      </w:r>
      <w:r w:rsidR="0096423F" w:rsidRPr="00666FB2">
        <w:rPr>
          <w:rFonts w:eastAsia="Arial Unicode MS"/>
        </w:rPr>
        <w:t>8</w:t>
      </w:r>
      <w:r w:rsidRPr="00666FB2">
        <w:rPr>
          <w:rFonts w:eastAsia="Arial Unicode MS"/>
        </w:rPr>
        <w:t xml:space="preserve">, incluidos los gastos de las Oficinas Regionales y </w:t>
      </w:r>
      <w:r w:rsidR="008F6AC1" w:rsidRPr="00666FB2">
        <w:rPr>
          <w:rFonts w:eastAsia="Arial Unicode MS"/>
        </w:rPr>
        <w:t xml:space="preserve">de Zona </w:t>
      </w:r>
      <w:r w:rsidRPr="00666FB2">
        <w:rPr>
          <w:rFonts w:eastAsia="Arial Unicode MS"/>
        </w:rPr>
        <w:t>en dicho año.</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5</w:t>
      </w:r>
      <w:r w:rsidRPr="00666FB2">
        <w:rPr>
          <w:rFonts w:eastAsia="Arial Unicode MS"/>
        </w:rPr>
        <w:t>:</w:t>
      </w:r>
      <w:r w:rsidRPr="00666FB2">
        <w:rPr>
          <w:rFonts w:eastAsia="Arial Unicode MS"/>
        </w:rPr>
        <w:tab/>
        <w:t xml:space="preserve">Nivel de </w:t>
      </w:r>
      <w:r w:rsidR="0096423F" w:rsidRPr="00666FB2">
        <w:rPr>
          <w:rFonts w:eastAsia="Arial Unicode MS"/>
        </w:rPr>
        <w:t>ejecución</w:t>
      </w:r>
      <w:r w:rsidRPr="00666FB2">
        <w:rPr>
          <w:rFonts w:eastAsia="Arial Unicode MS"/>
        </w:rPr>
        <w:t xml:space="preserve"> del plan operacional en 201</w:t>
      </w:r>
      <w:r w:rsidR="0096423F" w:rsidRPr="00666FB2">
        <w:rPr>
          <w:rFonts w:eastAsia="Arial Unicode MS"/>
        </w:rPr>
        <w:t>8</w:t>
      </w:r>
      <w:r w:rsidRPr="00666FB2">
        <w:rPr>
          <w:rFonts w:eastAsia="Arial Unicode MS"/>
        </w:rPr>
        <w:t>, por región y objetivo.</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6</w:t>
      </w:r>
      <w:r w:rsidRPr="00666FB2">
        <w:rPr>
          <w:rFonts w:eastAsia="Arial Unicode MS"/>
        </w:rPr>
        <w:t>:</w:t>
      </w:r>
      <w:r w:rsidRPr="00666FB2">
        <w:rPr>
          <w:rFonts w:eastAsia="Arial Unicode MS"/>
        </w:rPr>
        <w:tab/>
        <w:t xml:space="preserve">Desglose de los gastos de las Oficinas Regionales y </w:t>
      </w:r>
      <w:r w:rsidR="008F6AC1" w:rsidRPr="00666FB2">
        <w:rPr>
          <w:rFonts w:eastAsia="Arial Unicode MS"/>
        </w:rPr>
        <w:t xml:space="preserve">de Zona </w:t>
      </w:r>
      <w:r w:rsidRPr="00666FB2">
        <w:rPr>
          <w:rFonts w:eastAsia="Arial Unicode MS"/>
        </w:rPr>
        <w:t>en 201</w:t>
      </w:r>
      <w:r w:rsidR="0096423F" w:rsidRPr="00666FB2">
        <w:rPr>
          <w:rFonts w:eastAsia="Arial Unicode MS"/>
        </w:rPr>
        <w:t>8</w:t>
      </w:r>
      <w:r w:rsidRPr="00666FB2">
        <w:rPr>
          <w:rFonts w:eastAsia="Arial Unicode MS"/>
        </w:rPr>
        <w:t>, por categoría de gastos.</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7</w:t>
      </w:r>
      <w:r w:rsidRPr="00666FB2">
        <w:rPr>
          <w:rFonts w:eastAsia="Arial Unicode MS"/>
        </w:rPr>
        <w:t>:</w:t>
      </w:r>
      <w:r w:rsidRPr="00666FB2">
        <w:rPr>
          <w:rFonts w:eastAsia="Arial Unicode MS"/>
        </w:rPr>
        <w:tab/>
        <w:t>Becas concedidas y expertos contratados en 201</w:t>
      </w:r>
      <w:r w:rsidR="0096423F" w:rsidRPr="00666FB2">
        <w:rPr>
          <w:rFonts w:eastAsia="Arial Unicode MS"/>
        </w:rPr>
        <w:t>8</w:t>
      </w:r>
      <w:r w:rsidRPr="00666FB2">
        <w:rPr>
          <w:rFonts w:eastAsia="Arial Unicode MS"/>
        </w:rPr>
        <w:t>.</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8</w:t>
      </w:r>
      <w:r w:rsidRPr="00666FB2">
        <w:rPr>
          <w:rFonts w:eastAsia="Arial Unicode MS"/>
        </w:rPr>
        <w:t>:</w:t>
      </w:r>
      <w:r w:rsidRPr="00666FB2">
        <w:rPr>
          <w:rFonts w:eastAsia="Arial Unicode MS"/>
        </w:rPr>
        <w:tab/>
        <w:t xml:space="preserve">Resumen del nivel de dotación de personal por Oficina Regional y </w:t>
      </w:r>
      <w:r w:rsidR="008F6AC1" w:rsidRPr="00666FB2">
        <w:rPr>
          <w:rFonts w:eastAsia="Arial Unicode MS"/>
        </w:rPr>
        <w:t>de Zona</w:t>
      </w:r>
      <w:r w:rsidRPr="00666FB2">
        <w:rPr>
          <w:rFonts w:eastAsia="Arial Unicode MS"/>
        </w:rPr>
        <w:t>.</w:t>
      </w:r>
    </w:p>
    <w:p w:rsidR="00DB34C7" w:rsidRPr="00666FB2" w:rsidRDefault="00DB34C7" w:rsidP="00FD0220">
      <w:pPr>
        <w:pStyle w:val="enumlev1"/>
        <w:rPr>
          <w:rFonts w:eastAsia="Arial Unicode MS"/>
        </w:rPr>
      </w:pPr>
      <w:r w:rsidRPr="00666FB2">
        <w:rPr>
          <w:rFonts w:eastAsia="Arial Unicode MS"/>
        </w:rPr>
        <w:t>•</w:t>
      </w:r>
      <w:r w:rsidRPr="00666FB2">
        <w:rPr>
          <w:rFonts w:eastAsia="Arial Unicode MS"/>
        </w:rPr>
        <w:tab/>
        <w:t xml:space="preserve">Anexo </w:t>
      </w:r>
      <w:r w:rsidR="0096423F" w:rsidRPr="00666FB2">
        <w:rPr>
          <w:rFonts w:eastAsia="Arial Unicode MS"/>
        </w:rPr>
        <w:t>9</w:t>
      </w:r>
      <w:r w:rsidRPr="00666FB2">
        <w:rPr>
          <w:rFonts w:eastAsia="Arial Unicode MS"/>
        </w:rPr>
        <w:t>:</w:t>
      </w:r>
      <w:r w:rsidRPr="00666FB2">
        <w:rPr>
          <w:rFonts w:eastAsia="Arial Unicode MS"/>
        </w:rPr>
        <w:tab/>
        <w:t xml:space="preserve">Desglose del nivel de dotación de personal por Oficina Regional y </w:t>
      </w:r>
      <w:r w:rsidR="008F6AC1" w:rsidRPr="00666FB2">
        <w:rPr>
          <w:rFonts w:eastAsia="Arial Unicode MS"/>
        </w:rPr>
        <w:t>de Zona</w:t>
      </w:r>
      <w:r w:rsidRPr="00666FB2">
        <w:rPr>
          <w:rFonts w:eastAsia="Arial Unicode MS"/>
        </w:rPr>
        <w:t>.</w:t>
      </w:r>
    </w:p>
    <w:p w:rsidR="00D705CA" w:rsidRPr="00666FB2" w:rsidRDefault="00D705CA" w:rsidP="009E177A">
      <w:pPr>
        <w:pStyle w:val="Heading1"/>
        <w:rPr>
          <w:rFonts w:eastAsia="Arial Unicode MS"/>
        </w:rPr>
      </w:pPr>
      <w:r w:rsidRPr="00666FB2">
        <w:t>2</w:t>
      </w:r>
      <w:r w:rsidRPr="00666FB2">
        <w:tab/>
      </w:r>
      <w:bookmarkStart w:id="10" w:name="lt_pId051"/>
      <w:r w:rsidR="0096423F" w:rsidRPr="00666FB2">
        <w:t>Encuesta sobre la satisfacción de la presencia regional de la U</w:t>
      </w:r>
      <w:r w:rsidRPr="00666FB2">
        <w:t>IT</w:t>
      </w:r>
      <w:bookmarkEnd w:id="10"/>
      <w:r w:rsidR="0096423F" w:rsidRPr="00666FB2">
        <w:t xml:space="preserve"> y panorama general</w:t>
      </w:r>
    </w:p>
    <w:p w:rsidR="00DB34C7" w:rsidRPr="00666FB2" w:rsidRDefault="00D705CA" w:rsidP="009E177A">
      <w:r w:rsidRPr="00666FB2">
        <w:t>2.1</w:t>
      </w:r>
      <w:r w:rsidR="00DB34C7" w:rsidRPr="00666FB2">
        <w:tab/>
      </w:r>
      <w:r w:rsidR="0096423F" w:rsidRPr="00666FB2">
        <w:t>E</w:t>
      </w:r>
      <w:r w:rsidR="00F947AB" w:rsidRPr="00666FB2">
        <w:t>n la Resolución 25</w:t>
      </w:r>
      <w:r w:rsidR="00DB34C7" w:rsidRPr="00666FB2">
        <w:t xml:space="preserve"> se pide que se organice una encuesta cuadrienal acerca </w:t>
      </w:r>
      <w:r w:rsidR="00243B86" w:rsidRPr="00666FB2">
        <w:t>"</w:t>
      </w:r>
      <w:r w:rsidR="00DB34C7" w:rsidRPr="00666FB2">
        <w:t>del nivel de satisfacción de los Estados Miembros, los Miembros de Sector y las organizaciones regionales de telecomunicaciones en lo tocante a la presencia regional de la UIT".</w:t>
      </w:r>
    </w:p>
    <w:p w:rsidR="00DB34C7" w:rsidRPr="00666FB2" w:rsidRDefault="00D705CA" w:rsidP="009E177A">
      <w:r w:rsidRPr="00666FB2">
        <w:t>2.2</w:t>
      </w:r>
      <w:r w:rsidR="00DB34C7" w:rsidRPr="00666FB2">
        <w:tab/>
        <w:t>Cabe recordar que dicha encuesta se llevó a cabo en 2016, y que sus resultados se presentaron, acompañados de un informe, en la reunión de 2017 del Consejo (</w:t>
      </w:r>
      <w:hyperlink r:id="rId13" w:history="1">
        <w:r w:rsidR="00DB34C7" w:rsidRPr="00666FB2">
          <w:rPr>
            <w:rStyle w:val="Hyperlink"/>
            <w:szCs w:val="24"/>
          </w:rPr>
          <w:t>C17/INF/12</w:t>
        </w:r>
      </w:hyperlink>
      <w:r w:rsidR="00DB34C7" w:rsidRPr="00666FB2">
        <w:t>). En dicha reunión se tomó nota del Documento C17/25 (Fortalecimiento de la presencia regional), en el que se aborda la encuesta de satisfacción descrita en el Documento C17/INF/12. La UIT recibió 129 respuestas a la encuesta, 88 de Estados Miembros y 41 de Miembros de Sector, Asociados, organizaciones regionales y organizaciones internacionales. Los resultados globales son, por lo general, satisfactorios en relación con tod</w:t>
      </w:r>
      <w:r w:rsidR="003109B5" w:rsidRPr="00666FB2">
        <w:t>os los aspectos de la encuesta.</w:t>
      </w:r>
    </w:p>
    <w:p w:rsidR="00826DF2" w:rsidRPr="00666FB2" w:rsidRDefault="00416459" w:rsidP="001802FB">
      <w:r w:rsidRPr="00666FB2">
        <w:t>2.3</w:t>
      </w:r>
      <w:r w:rsidRPr="00666FB2">
        <w:tab/>
      </w:r>
      <w:r w:rsidR="0096423F" w:rsidRPr="00666FB2">
        <w:t>La Resolución</w:t>
      </w:r>
      <w:r w:rsidRPr="00666FB2">
        <w:t xml:space="preserve"> 25 (Rev. Dub</w:t>
      </w:r>
      <w:r w:rsidR="0096423F" w:rsidRPr="00666FB2">
        <w:t>á</w:t>
      </w:r>
      <w:r w:rsidRPr="00666FB2">
        <w:t xml:space="preserve">i, 2018) </w:t>
      </w:r>
      <w:r w:rsidR="0096423F" w:rsidRPr="00666FB2">
        <w:t xml:space="preserve">encarga al Secretario </w:t>
      </w:r>
      <w:r w:rsidRPr="00666FB2">
        <w:t>General que realice un examen general de la presencia regional de la UIT e informe a la reunión de 2020 del Consejo de, entre otras cosas, las medidas convenientes sugeridas para garantizar la eficacia y eficiencia continuas de la presencia regional de la UIT.</w:t>
      </w:r>
      <w:r w:rsidR="0042687D" w:rsidRPr="00666FB2">
        <w:t xml:space="preserve"> </w:t>
      </w:r>
      <w:bookmarkStart w:id="11" w:name="lt_pId063"/>
      <w:r w:rsidR="00826DF2" w:rsidRPr="00666FB2">
        <w:t>Entre los elementos que deben incluirse en el examen están los indicados en el Anexo a la Resolución 25 (Rev. Dubái, 2018). La UIT tiene previsto realizar dicho examen de la presencia regional de la organización, de conformidad con los requisitos y disposiciones de la Resolución 25 (Rev. Dubá</w:t>
      </w:r>
      <w:r w:rsidR="00BC33DB" w:rsidRPr="00666FB2">
        <w:t xml:space="preserve">i, 2018). </w:t>
      </w:r>
      <w:r w:rsidR="00826DF2" w:rsidRPr="00666FB2">
        <w:t xml:space="preserve">En el </w:t>
      </w:r>
      <w:r w:rsidR="00826DF2" w:rsidRPr="00666FB2">
        <w:rPr>
          <w:b/>
          <w:bCs/>
        </w:rPr>
        <w:t>Apéndice</w:t>
      </w:r>
      <w:r w:rsidR="00826DF2" w:rsidRPr="00666FB2">
        <w:t xml:space="preserve"> del presente documento se ofrecen más detalles sobre la finalidad, las necesidades y los resultados de la revisión prevista de la presencia regional de la UIT.</w:t>
      </w:r>
    </w:p>
    <w:bookmarkEnd w:id="11"/>
    <w:p w:rsidR="00826DF2" w:rsidRPr="00666FB2" w:rsidRDefault="0042687D" w:rsidP="008F6AC1">
      <w:r w:rsidRPr="00666FB2">
        <w:t>2.4</w:t>
      </w:r>
      <w:r w:rsidRPr="00666FB2">
        <w:tab/>
      </w:r>
      <w:bookmarkStart w:id="12" w:name="lt_pId073"/>
      <w:r w:rsidR="00826DF2" w:rsidRPr="00666FB2">
        <w:t>La reunión de 2019 del Grupo Asesor de Desarrollo de las Telecomunicaciones (GADT-19) se celebró del 3 al 5 de abril en</w:t>
      </w:r>
      <w:r w:rsidR="00BC33DB" w:rsidRPr="00666FB2">
        <w:t xml:space="preserve"> la Sede de la UIT en Ginebra. </w:t>
      </w:r>
      <w:r w:rsidR="00826DF2" w:rsidRPr="00666FB2">
        <w:t>El orden del día era amplio, por cuanto era la primera reunión</w:t>
      </w:r>
      <w:r w:rsidR="00BC33DB" w:rsidRPr="00666FB2">
        <w:t xml:space="preserve"> del GADT después de la PP-18. </w:t>
      </w:r>
      <w:r w:rsidR="00826DF2" w:rsidRPr="00666FB2">
        <w:t xml:space="preserve">Se debatieron ampliamente los temas de la presencia regional y la aplicación de las iniciativas regionales. Durante la reunión del GADT se organizaron sesiones complementarias para fomentar debates fructíferos e intercambios de opiniones y posiciones. </w:t>
      </w:r>
      <w:r w:rsidR="00907681" w:rsidRPr="00666FB2">
        <w:t>E</w:t>
      </w:r>
      <w:r w:rsidR="00C53924" w:rsidRPr="00666FB2">
        <w:t>n e</w:t>
      </w:r>
      <w:r w:rsidR="00826DF2" w:rsidRPr="00666FB2">
        <w:t xml:space="preserve">stas sesiones </w:t>
      </w:r>
      <w:r w:rsidR="00C53924" w:rsidRPr="00666FB2">
        <w:t xml:space="preserve">se formularon </w:t>
      </w:r>
      <w:r w:rsidR="00826DF2" w:rsidRPr="00666FB2">
        <w:t xml:space="preserve">sugerencias </w:t>
      </w:r>
      <w:r w:rsidR="00C53924" w:rsidRPr="00666FB2">
        <w:t xml:space="preserve">acerca de cómo pueden </w:t>
      </w:r>
      <w:r w:rsidR="00826DF2" w:rsidRPr="00666FB2">
        <w:t xml:space="preserve">las oficinas regionales y </w:t>
      </w:r>
      <w:r w:rsidR="008F6AC1" w:rsidRPr="00666FB2">
        <w:t>de zona</w:t>
      </w:r>
      <w:r w:rsidR="00826DF2" w:rsidRPr="00666FB2">
        <w:t xml:space="preserve"> responder mejor a las necesidades de los </w:t>
      </w:r>
      <w:r w:rsidR="00C53924" w:rsidRPr="00666FB2">
        <w:t>Miembros</w:t>
      </w:r>
      <w:r w:rsidR="00826DF2" w:rsidRPr="00666FB2">
        <w:t xml:space="preserve">, representar a </w:t>
      </w:r>
      <w:r w:rsidR="00826DF2" w:rsidRPr="00666FB2">
        <w:lastRenderedPageBreak/>
        <w:t>la</w:t>
      </w:r>
      <w:r w:rsidR="001802FB" w:rsidRPr="00666FB2">
        <w:t> </w:t>
      </w:r>
      <w:r w:rsidR="00826DF2" w:rsidRPr="00666FB2">
        <w:t xml:space="preserve">UIT en su conjunto y aprovechar la participación de los </w:t>
      </w:r>
      <w:r w:rsidR="00C53924" w:rsidRPr="00666FB2">
        <w:t xml:space="preserve">Miembros </w:t>
      </w:r>
      <w:r w:rsidR="00826DF2" w:rsidRPr="00666FB2">
        <w:t xml:space="preserve">de la UIT en el sistema de las Naciones Unidas en general, trabajando con los Coordinadores Residentes de las Naciones Unidas. También se subrayó la necesidad de velar por que las </w:t>
      </w:r>
      <w:r w:rsidR="00C53924" w:rsidRPr="00666FB2">
        <w:t xml:space="preserve">Oficinas Regionales </w:t>
      </w:r>
      <w:r w:rsidR="00826DF2" w:rsidRPr="00666FB2">
        <w:t xml:space="preserve">y </w:t>
      </w:r>
      <w:r w:rsidR="008F6AC1" w:rsidRPr="00666FB2">
        <w:t xml:space="preserve">de Zona </w:t>
      </w:r>
      <w:r w:rsidR="00826DF2" w:rsidRPr="00666FB2">
        <w:t xml:space="preserve">posean las competencias adecuadas para poder prestar asistencia directa a los miembros. También se </w:t>
      </w:r>
      <w:r w:rsidR="00DF3991" w:rsidRPr="00666FB2">
        <w:t>subrayó</w:t>
      </w:r>
      <w:r w:rsidR="00826DF2" w:rsidRPr="00666FB2">
        <w:t xml:space="preserve"> la necesidad de que los trabajos de las Comisiones de Estudio </w:t>
      </w:r>
      <w:r w:rsidR="00DF3991" w:rsidRPr="00666FB2">
        <w:t xml:space="preserve">se acercaran </w:t>
      </w:r>
      <w:r w:rsidR="00826DF2" w:rsidRPr="00666FB2">
        <w:t xml:space="preserve">a los países. Las funciones y relaciones de los sectores y las </w:t>
      </w:r>
      <w:r w:rsidR="00DF3991" w:rsidRPr="00666FB2">
        <w:t xml:space="preserve">Oficinas Regionales </w:t>
      </w:r>
      <w:r w:rsidR="00826DF2" w:rsidRPr="00666FB2">
        <w:t xml:space="preserve">y </w:t>
      </w:r>
      <w:r w:rsidR="008F6AC1" w:rsidRPr="00666FB2">
        <w:t xml:space="preserve">de Zona </w:t>
      </w:r>
      <w:r w:rsidR="00826DF2" w:rsidRPr="00666FB2">
        <w:t>deberían aclararse más para fortalecer la colaboración y las sinergias. En las sesiones de grupo también se hizo hincapié en la necesidad de cumplir las recomendaciones de la DCI</w:t>
      </w:r>
      <w:r w:rsidR="00DF3991" w:rsidRPr="00666FB2">
        <w:t>.</w:t>
      </w:r>
    </w:p>
    <w:bookmarkEnd w:id="12"/>
    <w:p w:rsidR="0042687D" w:rsidRPr="00666FB2" w:rsidRDefault="0042687D" w:rsidP="008F6AC1">
      <w:pPr>
        <w:pStyle w:val="Heading1"/>
      </w:pPr>
      <w:r w:rsidRPr="00666FB2">
        <w:t>3</w:t>
      </w:r>
      <w:r w:rsidRPr="00666FB2">
        <w:tab/>
      </w:r>
      <w:bookmarkStart w:id="13" w:name="lt_pId075"/>
      <w:r w:rsidR="00094F83" w:rsidRPr="00666FB2">
        <w:t xml:space="preserve">Establecimiento de una Oficina </w:t>
      </w:r>
      <w:r w:rsidR="008F6AC1" w:rsidRPr="00666FB2">
        <w:t xml:space="preserve">de </w:t>
      </w:r>
      <w:r w:rsidR="00094F83" w:rsidRPr="00666FB2">
        <w:t>Zona de la UIT para Asia meridional</w:t>
      </w:r>
      <w:bookmarkEnd w:id="13"/>
    </w:p>
    <w:p w:rsidR="00094F83" w:rsidRPr="00666FB2" w:rsidRDefault="0042687D" w:rsidP="001802FB">
      <w:r w:rsidRPr="00666FB2">
        <w:t>3.1</w:t>
      </w:r>
      <w:r w:rsidRPr="00666FB2">
        <w:tab/>
      </w:r>
      <w:bookmarkStart w:id="14" w:name="lt_pId083"/>
      <w:r w:rsidR="00094F83" w:rsidRPr="00666FB2">
        <w:t>En la última sesión del Consejo de la UIT de 2018 se acordó el establecimiento en la India de la Oficina Zonal de la UIT para Asia meridional. El Consejo invitó al Secretario General a iniciar las negociaciones del acuerdo con el país anfitrión, incluidas las disposiciones financieras. En cumplimiento de esta decisión del Consejo, la Secretaría ha preparado el proyecto de acuerdo con el país anfitrión y lo ha transmitido al Gobierno de la India para que éste formule sus observaciones y comentarios. El proyecto de acuerdo con el país anfitrión abarca temas como los objetivos y la esfera de actividad de la Oficina Zonal, las obligaciones del gobierno anfitrión, las modalidades financieras, los privilegios e inmunidades, la segur</w:t>
      </w:r>
      <w:r w:rsidR="00BC33DB" w:rsidRPr="00666FB2">
        <w:t>idad y la protección, y otros.</w:t>
      </w:r>
    </w:p>
    <w:p w:rsidR="0042687D" w:rsidRPr="00666FB2" w:rsidRDefault="00B715AB" w:rsidP="0072517B">
      <w:pPr>
        <w:rPr>
          <w:rStyle w:val="Hyperlink"/>
          <w:rFonts w:asciiTheme="minorHAnsi" w:hAnsiTheme="minorHAnsi" w:cstheme="minorHAnsi"/>
          <w:color w:val="auto"/>
          <w:szCs w:val="24"/>
          <w:u w:val="none"/>
        </w:rPr>
      </w:pPr>
      <w:r w:rsidRPr="00666FB2">
        <w:t>3.2</w:t>
      </w:r>
      <w:r w:rsidR="00094F83" w:rsidRPr="00666FB2">
        <w:tab/>
      </w:r>
      <w:r w:rsidR="008F6AC1" w:rsidRPr="00666FB2">
        <w:t xml:space="preserve">A fin de facilitar los preparativos </w:t>
      </w:r>
      <w:r w:rsidR="00612E70" w:rsidRPr="00666FB2">
        <w:t>relativos a</w:t>
      </w:r>
      <w:r w:rsidR="008F6AC1" w:rsidRPr="00666FB2">
        <w:t xml:space="preserve">l establecimiento de la Oficina de Zona de la UIT para Asia Meridional, se realizó una visita previa a la apertura </w:t>
      </w:r>
      <w:r w:rsidR="009F3E88" w:rsidRPr="00666FB2">
        <w:t>de</w:t>
      </w:r>
      <w:r w:rsidR="00612E70" w:rsidRPr="00666FB2">
        <w:t xml:space="preserve"> la Oficina de Zona de la UIT para Asia Meridional, a las instalaciones del C-DOT</w:t>
      </w:r>
      <w:r w:rsidR="008F6AC1" w:rsidRPr="00666FB2">
        <w:t xml:space="preserve"> </w:t>
      </w:r>
      <w:r w:rsidR="00612E70" w:rsidRPr="00666FB2">
        <w:t>en Nueva Delhi</w:t>
      </w:r>
      <w:r w:rsidR="00F9639F" w:rsidRPr="00666FB2">
        <w:t xml:space="preserve"> (India),</w:t>
      </w:r>
      <w:r w:rsidR="00612E70" w:rsidRPr="00666FB2">
        <w:t xml:space="preserve"> del 22 al 24 de mayo de 2019. Los principales asuntos discutidos fueron los requisitos de la Oficina de Zona con arreglo al proyecto de acuerdo de país anfitrión, las instalaciones, el mobiliario, los equipos, la TI y la seguridad, y las disposiciones transitorias para la apertura. Está previsto que la ceremonia de inauguración de la Oficina de Zona tenga lugar en julio de 2019.</w:t>
      </w:r>
      <w:bookmarkEnd w:id="14"/>
    </w:p>
    <w:p w:rsidR="00DB34C7" w:rsidRPr="00666FB2" w:rsidRDefault="0042687D" w:rsidP="009E177A">
      <w:pPr>
        <w:pStyle w:val="Heading1"/>
        <w:rPr>
          <w:rFonts w:eastAsia="Arial Unicode MS"/>
        </w:rPr>
      </w:pPr>
      <w:r w:rsidRPr="00666FB2">
        <w:t>4</w:t>
      </w:r>
      <w:r w:rsidRPr="00666FB2">
        <w:tab/>
      </w:r>
      <w:bookmarkStart w:id="15" w:name="lt_pId085"/>
      <w:r w:rsidR="00094F83" w:rsidRPr="00666FB2">
        <w:t xml:space="preserve">Logros a escala </w:t>
      </w:r>
      <w:r w:rsidRPr="00666FB2">
        <w:t xml:space="preserve">regional </w:t>
      </w:r>
      <w:r w:rsidR="00094F83" w:rsidRPr="00666FB2">
        <w:t xml:space="preserve">durante </w:t>
      </w:r>
      <w:r w:rsidRPr="00666FB2">
        <w:t>2018 (plan</w:t>
      </w:r>
      <w:r w:rsidR="00094F83" w:rsidRPr="00666FB2">
        <w:t xml:space="preserve"> operacional</w:t>
      </w:r>
      <w:r w:rsidRPr="00666FB2">
        <w:t xml:space="preserve">, </w:t>
      </w:r>
      <w:r w:rsidR="00094F83" w:rsidRPr="00666FB2">
        <w:t xml:space="preserve">iniciativas </w:t>
      </w:r>
      <w:r w:rsidRPr="00666FB2">
        <w:t>regional</w:t>
      </w:r>
      <w:r w:rsidR="00094F83" w:rsidRPr="00666FB2">
        <w:t>es y proyectos</w:t>
      </w:r>
      <w:r w:rsidRPr="00666FB2">
        <w:t>)</w:t>
      </w:r>
      <w:bookmarkEnd w:id="15"/>
    </w:p>
    <w:p w:rsidR="00DB34C7" w:rsidRPr="00666FB2" w:rsidRDefault="008329A1" w:rsidP="008F6AC1">
      <w:r w:rsidRPr="00666FB2">
        <w:t>4</w:t>
      </w:r>
      <w:r w:rsidR="00DB34C7" w:rsidRPr="00666FB2">
        <w:t>.1</w:t>
      </w:r>
      <w:r w:rsidR="00DB34C7" w:rsidRPr="00666FB2">
        <w:tab/>
        <w:t xml:space="preserve">La ejecución de Iniciativas Regionales y de los programas, proyectos y actividades se realiza sobre el terreno bajo los auspicios de las Oficinas Regionales y </w:t>
      </w:r>
      <w:r w:rsidR="008F6AC1" w:rsidRPr="00666FB2">
        <w:t>de Zona</w:t>
      </w:r>
      <w:r w:rsidR="00DB34C7" w:rsidRPr="00666FB2">
        <w:t xml:space="preserve">. Se informa al GADT y al Consejo de los principales resultados. También figuran en los informes trimestrales, que la Oficina publica desde 2013 con el fin de informar en detalle de la ejecución de los Planes Estratégico, Financiero y Operacional, a nivel regional inclusive. Los informes trimestrales figuran en la siguiente dirección: </w:t>
      </w:r>
      <w:r w:rsidR="00DB34C7" w:rsidRPr="00666FB2">
        <w:br/>
      </w:r>
      <w:hyperlink r:id="rId14" w:history="1">
        <w:r w:rsidR="00CE1FB0" w:rsidRPr="00666FB2">
          <w:rPr>
            <w:rStyle w:val="Hyperlink"/>
            <w:rFonts w:asciiTheme="minorHAnsi" w:hAnsiTheme="minorHAnsi"/>
          </w:rPr>
          <w:t>https://www.itu.int/en/ITU-D/Pages/OperationalPlansPerformanceReports.aspx</w:t>
        </w:r>
      </w:hyperlink>
      <w:r w:rsidR="00DB34C7" w:rsidRPr="00666FB2">
        <w:rPr>
          <w:rStyle w:val="Hyperlink"/>
          <w:rFonts w:asciiTheme="minorHAnsi" w:hAnsiTheme="minorHAnsi"/>
          <w:color w:val="auto"/>
          <w:u w:val="none"/>
        </w:rPr>
        <w:t>.</w:t>
      </w:r>
    </w:p>
    <w:p w:rsidR="00DB34C7" w:rsidRPr="00666FB2" w:rsidRDefault="008329A1" w:rsidP="008F6AC1">
      <w:r w:rsidRPr="00666FB2">
        <w:t>4</w:t>
      </w:r>
      <w:r w:rsidR="00DB34C7" w:rsidRPr="00666FB2">
        <w:t>.2</w:t>
      </w:r>
      <w:r w:rsidR="00DB34C7" w:rsidRPr="00666FB2">
        <w:tab/>
        <w:t>El informe sobre el rendimiento del UIT-D en 201</w:t>
      </w:r>
      <w:r w:rsidRPr="00666FB2">
        <w:t>8</w:t>
      </w:r>
      <w:r w:rsidR="00DB34C7" w:rsidRPr="00666FB2">
        <w:t xml:space="preserve"> explica en detalle la contribución de las Oficinas Regionales y </w:t>
      </w:r>
      <w:r w:rsidR="008F6AC1" w:rsidRPr="00666FB2">
        <w:t xml:space="preserve">de Zona </w:t>
      </w:r>
      <w:r w:rsidR="00DB34C7" w:rsidRPr="00666FB2">
        <w:t>a la ejecución de los Planes Estratégico y Operac</w:t>
      </w:r>
      <w:r w:rsidRPr="00666FB2">
        <w:t>ional del UIT-D para el año 2018</w:t>
      </w:r>
      <w:r w:rsidR="00DB34C7" w:rsidRPr="00666FB2">
        <w:t xml:space="preserve">. Ese Informe se puede consultar en la dirección </w:t>
      </w:r>
      <w:hyperlink r:id="rId15" w:history="1">
        <w:r w:rsidR="00DB34C7" w:rsidRPr="00666FB2">
          <w:rPr>
            <w:rStyle w:val="Hyperlink"/>
            <w:szCs w:val="24"/>
          </w:rPr>
          <w:t>https://www.itu.int/en/ITU-D/TIES_Protected/PerfReport2017.pdf</w:t>
        </w:r>
      </w:hyperlink>
      <w:r w:rsidR="00DB34C7" w:rsidRPr="00666FB2">
        <w:t>.</w:t>
      </w:r>
    </w:p>
    <w:p w:rsidR="009E368A" w:rsidRPr="00666FB2" w:rsidRDefault="009E368A" w:rsidP="00AD35A5">
      <w:r w:rsidRPr="00666FB2">
        <w:br w:type="page"/>
      </w:r>
    </w:p>
    <w:p w:rsidR="00DB34C7" w:rsidRPr="00666FB2" w:rsidRDefault="008329A1" w:rsidP="00AD35A5">
      <w:r w:rsidRPr="00666FB2">
        <w:lastRenderedPageBreak/>
        <w:t>4</w:t>
      </w:r>
      <w:r w:rsidR="00DB34C7" w:rsidRPr="00666FB2">
        <w:t>.3</w:t>
      </w:r>
      <w:r w:rsidR="00DB34C7" w:rsidRPr="00666FB2">
        <w:tab/>
        <w:t>En 201</w:t>
      </w:r>
      <w:r w:rsidRPr="00666FB2">
        <w:t>8</w:t>
      </w:r>
      <w:r w:rsidR="00DB34C7" w:rsidRPr="00666FB2">
        <w:t>, la ejecución del Plan Operacional de la BDT (p</w:t>
      </w:r>
      <w:r w:rsidR="00AD35A5" w:rsidRPr="00666FB2">
        <w:t>resupuesto ordinario) abarcó 186</w:t>
      </w:r>
      <w:r w:rsidR="00DB34C7" w:rsidRPr="00666FB2">
        <w:t> intervenciones relativas a un</w:t>
      </w:r>
      <w:r w:rsidR="00AD35A5" w:rsidRPr="00666FB2">
        <w:t xml:space="preserve"> nivel de ejecución total de 2,6</w:t>
      </w:r>
      <w:r w:rsidR="00DB34C7" w:rsidRPr="00666FB2">
        <w:t xml:space="preserve"> millones CHF (Cuadro 1). El nivel de ejecución de proyectos de co</w:t>
      </w:r>
      <w:r w:rsidR="00AD35A5" w:rsidRPr="00666FB2">
        <w:t>operación técnica se elevó a 3,9</w:t>
      </w:r>
      <w:r w:rsidR="00DB34C7" w:rsidRPr="00666FB2">
        <w:t xml:space="preserve"> millones USD para 4</w:t>
      </w:r>
      <w:r w:rsidR="00AD35A5" w:rsidRPr="00666FB2">
        <w:t>4</w:t>
      </w:r>
      <w:r w:rsidR="009E368A" w:rsidRPr="00666FB2">
        <w:t> </w:t>
      </w:r>
      <w:r w:rsidR="00DB34C7" w:rsidRPr="00666FB2">
        <w:t>proyectos (Cuadro 2).</w:t>
      </w:r>
      <w:r w:rsidR="00DB34C7" w:rsidRPr="00666FB2">
        <w:rPr>
          <w:rStyle w:val="FootnoteReference"/>
        </w:rPr>
        <w:footnoteReference w:id="1"/>
      </w:r>
    </w:p>
    <w:p w:rsidR="00DB34C7" w:rsidRPr="00666FB2" w:rsidRDefault="00DB34C7" w:rsidP="00AD6E53">
      <w:pPr>
        <w:pStyle w:val="Tabletitle"/>
        <w:spacing w:before="480" w:after="0"/>
      </w:pPr>
      <w:r w:rsidRPr="00666FB2">
        <w:t>Cuadro 1</w:t>
      </w:r>
      <w:r w:rsidR="00AD6E53" w:rsidRPr="00666FB2">
        <w:t xml:space="preserve"> – </w:t>
      </w:r>
      <w:r w:rsidRPr="00666FB2">
        <w:t>Ejecución del plan operacional de la BDT en</w:t>
      </w:r>
      <w:r w:rsidR="008329A1" w:rsidRPr="00666FB2">
        <w:t xml:space="preserve"> 2018</w:t>
      </w:r>
    </w:p>
    <w:p w:rsidR="00DB34C7" w:rsidRPr="00666FB2" w:rsidRDefault="00DB34C7" w:rsidP="009E177A">
      <w:pPr>
        <w:keepNext/>
        <w:keepLines/>
        <w:tabs>
          <w:tab w:val="clear" w:pos="567"/>
          <w:tab w:val="clear" w:pos="1134"/>
          <w:tab w:val="clear" w:pos="1701"/>
          <w:tab w:val="clear" w:pos="2268"/>
          <w:tab w:val="clear" w:pos="2835"/>
        </w:tabs>
        <w:spacing w:before="0" w:after="120"/>
        <w:jc w:val="center"/>
        <w:rPr>
          <w:i/>
          <w:iCs/>
        </w:rPr>
      </w:pPr>
      <w:r w:rsidRPr="00666FB2">
        <w:rPr>
          <w:i/>
          <w:iCs/>
        </w:rPr>
        <w:t>(en miles de francos suizos (CHF))</w:t>
      </w:r>
    </w:p>
    <w:tbl>
      <w:tblPr>
        <w:tblStyle w:val="TableGrid"/>
        <w:tblW w:w="0" w:type="auto"/>
        <w:tblLayout w:type="fixed"/>
        <w:tblLook w:val="04A0" w:firstRow="1" w:lastRow="0" w:firstColumn="1" w:lastColumn="0" w:noHBand="0" w:noVBand="1"/>
      </w:tblPr>
      <w:tblGrid>
        <w:gridCol w:w="846"/>
        <w:gridCol w:w="850"/>
        <w:gridCol w:w="921"/>
        <w:gridCol w:w="922"/>
        <w:gridCol w:w="831"/>
        <w:gridCol w:w="870"/>
        <w:gridCol w:w="885"/>
        <w:gridCol w:w="958"/>
        <w:gridCol w:w="797"/>
        <w:gridCol w:w="904"/>
        <w:gridCol w:w="845"/>
      </w:tblGrid>
      <w:tr w:rsidR="00E53660" w:rsidRPr="00666FB2" w:rsidTr="00E53660">
        <w:trPr>
          <w:trHeight w:val="356"/>
        </w:trPr>
        <w:tc>
          <w:tcPr>
            <w:tcW w:w="846" w:type="dxa"/>
            <w:vMerge w:val="restart"/>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i/>
                <w:iCs/>
                <w:sz w:val="14"/>
                <w:szCs w:val="14"/>
              </w:rPr>
            </w:pPr>
            <w:r w:rsidRPr="00666FB2">
              <w:rPr>
                <w:i/>
                <w:iCs/>
                <w:sz w:val="14"/>
                <w:szCs w:val="14"/>
              </w:rPr>
              <w:t>Región</w:t>
            </w:r>
          </w:p>
        </w:tc>
        <w:tc>
          <w:tcPr>
            <w:tcW w:w="1771" w:type="dxa"/>
            <w:gridSpan w:val="2"/>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Objetivo 2</w:t>
            </w:r>
          </w:p>
        </w:tc>
        <w:tc>
          <w:tcPr>
            <w:tcW w:w="1753" w:type="dxa"/>
            <w:gridSpan w:val="2"/>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Objetivo 3</w:t>
            </w:r>
          </w:p>
        </w:tc>
        <w:tc>
          <w:tcPr>
            <w:tcW w:w="1755" w:type="dxa"/>
            <w:gridSpan w:val="2"/>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Objetivo 4</w:t>
            </w:r>
          </w:p>
        </w:tc>
        <w:tc>
          <w:tcPr>
            <w:tcW w:w="1755" w:type="dxa"/>
            <w:gridSpan w:val="2"/>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Objetivo 5</w:t>
            </w:r>
          </w:p>
        </w:tc>
        <w:tc>
          <w:tcPr>
            <w:tcW w:w="1749" w:type="dxa"/>
            <w:gridSpan w:val="2"/>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TOTAL</w:t>
            </w:r>
          </w:p>
        </w:tc>
      </w:tr>
      <w:tr w:rsidR="00E53660" w:rsidRPr="00666FB2" w:rsidTr="002B0CD6">
        <w:trPr>
          <w:trHeight w:val="340"/>
        </w:trPr>
        <w:tc>
          <w:tcPr>
            <w:tcW w:w="846" w:type="dxa"/>
            <w:vMerge/>
            <w:tcBorders>
              <w:bottom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i/>
                <w:iCs/>
                <w:sz w:val="14"/>
                <w:szCs w:val="14"/>
              </w:rPr>
            </w:pPr>
          </w:p>
        </w:tc>
        <w:tc>
          <w:tcPr>
            <w:tcW w:w="850"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Núm. de interven</w:t>
            </w:r>
            <w:r w:rsidR="00BC185E" w:rsidRPr="00666FB2">
              <w:rPr>
                <w:i/>
                <w:iCs/>
                <w:sz w:val="14"/>
                <w:szCs w:val="14"/>
              </w:rPr>
              <w:t>-</w:t>
            </w:r>
            <w:r w:rsidRPr="00666FB2">
              <w:rPr>
                <w:i/>
                <w:iCs/>
                <w:sz w:val="14"/>
                <w:szCs w:val="14"/>
              </w:rPr>
              <w:t>ciones</w:t>
            </w:r>
          </w:p>
        </w:tc>
        <w:tc>
          <w:tcPr>
            <w:tcW w:w="921"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Nivel de impl</w:t>
            </w:r>
            <w:bookmarkStart w:id="17" w:name="_GoBack"/>
            <w:bookmarkEnd w:id="17"/>
            <w:r w:rsidRPr="00666FB2">
              <w:rPr>
                <w:i/>
                <w:iCs/>
                <w:sz w:val="14"/>
                <w:szCs w:val="14"/>
              </w:rPr>
              <w:t xml:space="preserve">. </w:t>
            </w:r>
            <w:r w:rsidRPr="00666FB2">
              <w:rPr>
                <w:i/>
                <w:iCs/>
                <w:sz w:val="14"/>
                <w:szCs w:val="14"/>
              </w:rPr>
              <w:br/>
              <w:t>CHF (000)</w:t>
            </w:r>
          </w:p>
        </w:tc>
        <w:tc>
          <w:tcPr>
            <w:tcW w:w="922"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Núm. de interven</w:t>
            </w:r>
            <w:r w:rsidR="00BC185E" w:rsidRPr="00666FB2">
              <w:rPr>
                <w:i/>
                <w:iCs/>
                <w:sz w:val="14"/>
                <w:szCs w:val="14"/>
              </w:rPr>
              <w:t>-</w:t>
            </w:r>
            <w:r w:rsidRPr="00666FB2">
              <w:rPr>
                <w:i/>
                <w:iCs/>
                <w:sz w:val="14"/>
                <w:szCs w:val="14"/>
              </w:rPr>
              <w:t>ciones</w:t>
            </w:r>
          </w:p>
        </w:tc>
        <w:tc>
          <w:tcPr>
            <w:tcW w:w="831"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 xml:space="preserve">Nivel de impl. </w:t>
            </w:r>
            <w:r w:rsidRPr="00666FB2">
              <w:rPr>
                <w:i/>
                <w:iCs/>
                <w:sz w:val="14"/>
                <w:szCs w:val="14"/>
              </w:rPr>
              <w:br/>
              <w:t>CHF (000)</w:t>
            </w:r>
          </w:p>
        </w:tc>
        <w:tc>
          <w:tcPr>
            <w:tcW w:w="870"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Núm. de interven</w:t>
            </w:r>
            <w:r w:rsidR="00BC185E" w:rsidRPr="00666FB2">
              <w:rPr>
                <w:i/>
                <w:iCs/>
                <w:sz w:val="14"/>
                <w:szCs w:val="14"/>
              </w:rPr>
              <w:t>-</w:t>
            </w:r>
            <w:r w:rsidRPr="00666FB2">
              <w:rPr>
                <w:i/>
                <w:iCs/>
                <w:sz w:val="14"/>
                <w:szCs w:val="14"/>
              </w:rPr>
              <w:t>ciones</w:t>
            </w:r>
          </w:p>
        </w:tc>
        <w:tc>
          <w:tcPr>
            <w:tcW w:w="885"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 xml:space="preserve">Nivel de impl. </w:t>
            </w:r>
            <w:r w:rsidRPr="00666FB2">
              <w:rPr>
                <w:i/>
                <w:iCs/>
                <w:sz w:val="14"/>
                <w:szCs w:val="14"/>
              </w:rPr>
              <w:br/>
              <w:t>CHF (000)</w:t>
            </w:r>
          </w:p>
        </w:tc>
        <w:tc>
          <w:tcPr>
            <w:tcW w:w="958"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Núm. de interven</w:t>
            </w:r>
            <w:r w:rsidR="00BC185E" w:rsidRPr="00666FB2">
              <w:rPr>
                <w:i/>
                <w:iCs/>
                <w:sz w:val="14"/>
                <w:szCs w:val="14"/>
              </w:rPr>
              <w:t>-</w:t>
            </w:r>
            <w:r w:rsidRPr="00666FB2">
              <w:rPr>
                <w:i/>
                <w:iCs/>
                <w:sz w:val="14"/>
                <w:szCs w:val="14"/>
              </w:rPr>
              <w:t>ciones</w:t>
            </w:r>
          </w:p>
        </w:tc>
        <w:tc>
          <w:tcPr>
            <w:tcW w:w="797"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 xml:space="preserve">Nivel de impl. </w:t>
            </w:r>
            <w:r w:rsidRPr="00666FB2">
              <w:rPr>
                <w:i/>
                <w:iCs/>
                <w:sz w:val="14"/>
                <w:szCs w:val="14"/>
              </w:rPr>
              <w:br/>
              <w:t>CHF (000)</w:t>
            </w:r>
          </w:p>
        </w:tc>
        <w:tc>
          <w:tcPr>
            <w:tcW w:w="904" w:type="dxa"/>
            <w:tcBorders>
              <w:bottom w:val="single" w:sz="4" w:space="0" w:color="auto"/>
            </w:tcBorders>
            <w:shd w:val="clear" w:color="auto" w:fill="C6D9F1" w:themeFill="text2" w:themeFillTint="33"/>
            <w:vAlign w:val="center"/>
          </w:tcPr>
          <w:p w:rsidR="00E53660" w:rsidRPr="00666FB2" w:rsidRDefault="00E53660" w:rsidP="00BC185E">
            <w:pPr>
              <w:keepNext/>
              <w:keepLines/>
              <w:spacing w:before="0"/>
              <w:jc w:val="center"/>
              <w:rPr>
                <w:i/>
                <w:iCs/>
                <w:sz w:val="14"/>
                <w:szCs w:val="14"/>
              </w:rPr>
            </w:pPr>
            <w:r w:rsidRPr="00666FB2">
              <w:rPr>
                <w:i/>
                <w:iCs/>
                <w:sz w:val="14"/>
                <w:szCs w:val="14"/>
              </w:rPr>
              <w:t>Núm. de interven</w:t>
            </w:r>
            <w:r w:rsidR="00BC185E" w:rsidRPr="00666FB2">
              <w:rPr>
                <w:i/>
                <w:iCs/>
                <w:sz w:val="14"/>
                <w:szCs w:val="14"/>
              </w:rPr>
              <w:t>-</w:t>
            </w:r>
            <w:r w:rsidRPr="00666FB2">
              <w:rPr>
                <w:i/>
                <w:iCs/>
                <w:sz w:val="14"/>
                <w:szCs w:val="14"/>
              </w:rPr>
              <w:t>ciones</w:t>
            </w:r>
          </w:p>
        </w:tc>
        <w:tc>
          <w:tcPr>
            <w:tcW w:w="845" w:type="dxa"/>
            <w:tcBorders>
              <w:bottom w:val="single" w:sz="4" w:space="0" w:color="auto"/>
            </w:tcBorders>
            <w:shd w:val="clear" w:color="auto" w:fill="C6D9F1" w:themeFill="text2" w:themeFillTint="33"/>
            <w:vAlign w:val="center"/>
          </w:tcPr>
          <w:p w:rsidR="00E53660" w:rsidRPr="00666FB2" w:rsidRDefault="00E53660" w:rsidP="00E53660">
            <w:pPr>
              <w:keepNext/>
              <w:keepLines/>
              <w:spacing w:before="0"/>
              <w:jc w:val="center"/>
              <w:rPr>
                <w:i/>
                <w:iCs/>
                <w:sz w:val="14"/>
                <w:szCs w:val="14"/>
              </w:rPr>
            </w:pPr>
            <w:r w:rsidRPr="00666FB2">
              <w:rPr>
                <w:i/>
                <w:iCs/>
                <w:sz w:val="14"/>
                <w:szCs w:val="14"/>
              </w:rPr>
              <w:t xml:space="preserve">Nivel de impl. </w:t>
            </w:r>
            <w:r w:rsidRPr="00666FB2">
              <w:rPr>
                <w:i/>
                <w:iCs/>
                <w:sz w:val="14"/>
                <w:szCs w:val="14"/>
              </w:rPr>
              <w:br/>
              <w:t>CHF (000)</w:t>
            </w:r>
          </w:p>
        </w:tc>
      </w:tr>
      <w:tr w:rsidR="00E53660" w:rsidRPr="00666FB2" w:rsidTr="002B0CD6">
        <w:tc>
          <w:tcPr>
            <w:tcW w:w="846"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África</w:t>
            </w:r>
          </w:p>
        </w:tc>
        <w:tc>
          <w:tcPr>
            <w:tcW w:w="850"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19</w:t>
            </w:r>
          </w:p>
        </w:tc>
        <w:tc>
          <w:tcPr>
            <w:tcW w:w="921"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580</w:t>
            </w:r>
          </w:p>
        </w:tc>
        <w:tc>
          <w:tcPr>
            <w:tcW w:w="922"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w:t>
            </w:r>
          </w:p>
        </w:tc>
        <w:tc>
          <w:tcPr>
            <w:tcW w:w="831"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68</w:t>
            </w:r>
          </w:p>
        </w:tc>
        <w:tc>
          <w:tcPr>
            <w:tcW w:w="870"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15</w:t>
            </w:r>
          </w:p>
        </w:tc>
        <w:tc>
          <w:tcPr>
            <w:tcW w:w="885"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168</w:t>
            </w:r>
          </w:p>
        </w:tc>
        <w:tc>
          <w:tcPr>
            <w:tcW w:w="958"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w:t>
            </w:r>
          </w:p>
        </w:tc>
        <w:tc>
          <w:tcPr>
            <w:tcW w:w="797"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8</w:t>
            </w:r>
          </w:p>
        </w:tc>
        <w:tc>
          <w:tcPr>
            <w:tcW w:w="904"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41</w:t>
            </w:r>
          </w:p>
        </w:tc>
        <w:tc>
          <w:tcPr>
            <w:tcW w:w="845" w:type="dxa"/>
            <w:tcBorders>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821</w:t>
            </w:r>
          </w:p>
        </w:tc>
      </w:tr>
      <w:tr w:rsidR="00E53660" w:rsidRPr="00666FB2" w:rsidTr="002B0CD6">
        <w:tc>
          <w:tcPr>
            <w:tcW w:w="846"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Américas</w:t>
            </w:r>
          </w:p>
        </w:tc>
        <w:tc>
          <w:tcPr>
            <w:tcW w:w="85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15</w:t>
            </w:r>
          </w:p>
        </w:tc>
        <w:tc>
          <w:tcPr>
            <w:tcW w:w="92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222</w:t>
            </w:r>
          </w:p>
        </w:tc>
        <w:tc>
          <w:tcPr>
            <w:tcW w:w="922"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w:t>
            </w:r>
          </w:p>
        </w:tc>
        <w:tc>
          <w:tcPr>
            <w:tcW w:w="83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41</w:t>
            </w:r>
          </w:p>
        </w:tc>
        <w:tc>
          <w:tcPr>
            <w:tcW w:w="87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16</w:t>
            </w:r>
          </w:p>
        </w:tc>
        <w:tc>
          <w:tcPr>
            <w:tcW w:w="88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220</w:t>
            </w:r>
          </w:p>
        </w:tc>
        <w:tc>
          <w:tcPr>
            <w:tcW w:w="958"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w:t>
            </w:r>
          </w:p>
        </w:tc>
        <w:tc>
          <w:tcPr>
            <w:tcW w:w="797"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89</w:t>
            </w:r>
          </w:p>
        </w:tc>
        <w:tc>
          <w:tcPr>
            <w:tcW w:w="904"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35</w:t>
            </w:r>
          </w:p>
        </w:tc>
        <w:tc>
          <w:tcPr>
            <w:tcW w:w="84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572</w:t>
            </w:r>
          </w:p>
        </w:tc>
      </w:tr>
      <w:tr w:rsidR="00E53660" w:rsidRPr="00666FB2" w:rsidTr="002B0CD6">
        <w:tc>
          <w:tcPr>
            <w:tcW w:w="846"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Estados Árabes</w:t>
            </w:r>
          </w:p>
        </w:tc>
        <w:tc>
          <w:tcPr>
            <w:tcW w:w="85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16</w:t>
            </w:r>
          </w:p>
        </w:tc>
        <w:tc>
          <w:tcPr>
            <w:tcW w:w="92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225</w:t>
            </w:r>
          </w:p>
        </w:tc>
        <w:tc>
          <w:tcPr>
            <w:tcW w:w="922"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w:t>
            </w:r>
          </w:p>
        </w:tc>
        <w:tc>
          <w:tcPr>
            <w:tcW w:w="83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23</w:t>
            </w:r>
          </w:p>
        </w:tc>
        <w:tc>
          <w:tcPr>
            <w:tcW w:w="87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w:t>
            </w:r>
          </w:p>
        </w:tc>
        <w:tc>
          <w:tcPr>
            <w:tcW w:w="88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62</w:t>
            </w:r>
          </w:p>
        </w:tc>
        <w:tc>
          <w:tcPr>
            <w:tcW w:w="958"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w:t>
            </w:r>
          </w:p>
        </w:tc>
        <w:tc>
          <w:tcPr>
            <w:tcW w:w="797"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31</w:t>
            </w:r>
          </w:p>
        </w:tc>
        <w:tc>
          <w:tcPr>
            <w:tcW w:w="904"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29</w:t>
            </w:r>
          </w:p>
        </w:tc>
        <w:tc>
          <w:tcPr>
            <w:tcW w:w="84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341</w:t>
            </w:r>
          </w:p>
        </w:tc>
      </w:tr>
      <w:tr w:rsidR="00E53660" w:rsidRPr="00666FB2" w:rsidTr="002B0CD6">
        <w:tc>
          <w:tcPr>
            <w:tcW w:w="846"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Asia-Pacífico</w:t>
            </w:r>
          </w:p>
        </w:tc>
        <w:tc>
          <w:tcPr>
            <w:tcW w:w="85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18</w:t>
            </w:r>
          </w:p>
        </w:tc>
        <w:tc>
          <w:tcPr>
            <w:tcW w:w="92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179</w:t>
            </w:r>
          </w:p>
        </w:tc>
        <w:tc>
          <w:tcPr>
            <w:tcW w:w="922"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w:t>
            </w:r>
          </w:p>
        </w:tc>
        <w:tc>
          <w:tcPr>
            <w:tcW w:w="83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117</w:t>
            </w:r>
          </w:p>
        </w:tc>
        <w:tc>
          <w:tcPr>
            <w:tcW w:w="87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10</w:t>
            </w:r>
          </w:p>
        </w:tc>
        <w:tc>
          <w:tcPr>
            <w:tcW w:w="88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83</w:t>
            </w:r>
          </w:p>
        </w:tc>
        <w:tc>
          <w:tcPr>
            <w:tcW w:w="958"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35</w:t>
            </w:r>
          </w:p>
        </w:tc>
        <w:tc>
          <w:tcPr>
            <w:tcW w:w="84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379</w:t>
            </w:r>
          </w:p>
        </w:tc>
      </w:tr>
      <w:tr w:rsidR="00E53660" w:rsidRPr="00666FB2" w:rsidTr="002B0CD6">
        <w:tc>
          <w:tcPr>
            <w:tcW w:w="846"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CIS</w:t>
            </w:r>
          </w:p>
        </w:tc>
        <w:tc>
          <w:tcPr>
            <w:tcW w:w="85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w:t>
            </w:r>
          </w:p>
        </w:tc>
        <w:tc>
          <w:tcPr>
            <w:tcW w:w="92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109</w:t>
            </w:r>
          </w:p>
        </w:tc>
        <w:tc>
          <w:tcPr>
            <w:tcW w:w="922"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w:t>
            </w:r>
          </w:p>
        </w:tc>
        <w:tc>
          <w:tcPr>
            <w:tcW w:w="831"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82</w:t>
            </w:r>
          </w:p>
        </w:tc>
        <w:tc>
          <w:tcPr>
            <w:tcW w:w="870"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w:t>
            </w:r>
          </w:p>
        </w:tc>
        <w:tc>
          <w:tcPr>
            <w:tcW w:w="88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76</w:t>
            </w:r>
          </w:p>
        </w:tc>
        <w:tc>
          <w:tcPr>
            <w:tcW w:w="958"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20</w:t>
            </w:r>
          </w:p>
        </w:tc>
        <w:tc>
          <w:tcPr>
            <w:tcW w:w="845" w:type="dxa"/>
            <w:tcBorders>
              <w:top w:val="nil"/>
              <w:bottom w:val="nil"/>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267</w:t>
            </w:r>
          </w:p>
        </w:tc>
      </w:tr>
      <w:tr w:rsidR="00E53660" w:rsidRPr="00666FB2" w:rsidTr="002B0CD6">
        <w:tc>
          <w:tcPr>
            <w:tcW w:w="846"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Europa</w:t>
            </w:r>
          </w:p>
        </w:tc>
        <w:tc>
          <w:tcPr>
            <w:tcW w:w="850"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14</w:t>
            </w:r>
          </w:p>
        </w:tc>
        <w:tc>
          <w:tcPr>
            <w:tcW w:w="921"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113</w:t>
            </w:r>
          </w:p>
        </w:tc>
        <w:tc>
          <w:tcPr>
            <w:tcW w:w="922"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7</w:t>
            </w:r>
          </w:p>
        </w:tc>
        <w:tc>
          <w:tcPr>
            <w:tcW w:w="831"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60</w:t>
            </w:r>
          </w:p>
        </w:tc>
        <w:tc>
          <w:tcPr>
            <w:tcW w:w="870"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5</w:t>
            </w:r>
          </w:p>
        </w:tc>
        <w:tc>
          <w:tcPr>
            <w:tcW w:w="885"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24</w:t>
            </w:r>
          </w:p>
        </w:tc>
        <w:tc>
          <w:tcPr>
            <w:tcW w:w="958"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26</w:t>
            </w:r>
          </w:p>
        </w:tc>
        <w:tc>
          <w:tcPr>
            <w:tcW w:w="845" w:type="dxa"/>
            <w:tcBorders>
              <w:top w:val="nil"/>
              <w:bottom w:val="single" w:sz="4" w:space="0" w:color="auto"/>
            </w:tcBorders>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197</w:t>
            </w:r>
          </w:p>
        </w:tc>
      </w:tr>
      <w:tr w:rsidR="00E53660" w:rsidRPr="00666FB2" w:rsidTr="002B0CD6">
        <w:tc>
          <w:tcPr>
            <w:tcW w:w="846"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center"/>
              <w:rPr>
                <w:b/>
                <w:bCs/>
                <w:sz w:val="14"/>
                <w:szCs w:val="14"/>
              </w:rPr>
            </w:pPr>
            <w:r w:rsidRPr="00666FB2">
              <w:rPr>
                <w:b/>
                <w:bCs/>
                <w:sz w:val="14"/>
                <w:szCs w:val="14"/>
              </w:rPr>
              <w:t>Total</w:t>
            </w:r>
          </w:p>
        </w:tc>
        <w:tc>
          <w:tcPr>
            <w:tcW w:w="850"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89</w:t>
            </w:r>
          </w:p>
        </w:tc>
        <w:tc>
          <w:tcPr>
            <w:tcW w:w="921"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1 428</w:t>
            </w:r>
          </w:p>
        </w:tc>
        <w:tc>
          <w:tcPr>
            <w:tcW w:w="922"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33</w:t>
            </w:r>
          </w:p>
        </w:tc>
        <w:tc>
          <w:tcPr>
            <w:tcW w:w="831"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391</w:t>
            </w:r>
          </w:p>
        </w:tc>
        <w:tc>
          <w:tcPr>
            <w:tcW w:w="870"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59</w:t>
            </w:r>
          </w:p>
        </w:tc>
        <w:tc>
          <w:tcPr>
            <w:tcW w:w="885"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633</w:t>
            </w:r>
          </w:p>
        </w:tc>
        <w:tc>
          <w:tcPr>
            <w:tcW w:w="958"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5</w:t>
            </w:r>
          </w:p>
        </w:tc>
        <w:tc>
          <w:tcPr>
            <w:tcW w:w="797"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125</w:t>
            </w:r>
          </w:p>
        </w:tc>
        <w:tc>
          <w:tcPr>
            <w:tcW w:w="904"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186</w:t>
            </w:r>
          </w:p>
        </w:tc>
        <w:tc>
          <w:tcPr>
            <w:tcW w:w="845" w:type="dxa"/>
            <w:tcBorders>
              <w:top w:val="single" w:sz="4" w:space="0" w:color="auto"/>
            </w:tcBorders>
            <w:shd w:val="clear" w:color="auto" w:fill="C6D9F1" w:themeFill="text2" w:themeFillTint="33"/>
            <w:vAlign w:val="center"/>
          </w:tcPr>
          <w:p w:rsidR="00E53660" w:rsidRPr="00666FB2" w:rsidRDefault="00E53660" w:rsidP="00E53660">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2 577</w:t>
            </w:r>
          </w:p>
        </w:tc>
      </w:tr>
    </w:tbl>
    <w:p w:rsidR="00DB34C7" w:rsidRPr="00666FB2" w:rsidRDefault="00DB34C7" w:rsidP="00AD6E53">
      <w:pPr>
        <w:pStyle w:val="Tabletitle"/>
        <w:keepLines/>
        <w:spacing w:before="480" w:after="0"/>
      </w:pPr>
      <w:r w:rsidRPr="00666FB2">
        <w:t>Cuadro 2</w:t>
      </w:r>
      <w:r w:rsidR="00AD6E53" w:rsidRPr="00666FB2">
        <w:t xml:space="preserve"> – </w:t>
      </w:r>
      <w:r w:rsidRPr="00666FB2">
        <w:t>Ejecución de proyectos en 201</w:t>
      </w:r>
      <w:r w:rsidR="008329A1" w:rsidRPr="00666FB2">
        <w:t>8</w:t>
      </w:r>
    </w:p>
    <w:p w:rsidR="00DB34C7" w:rsidRPr="00666FB2" w:rsidRDefault="00DB34C7" w:rsidP="00E2792E">
      <w:pPr>
        <w:keepNext/>
        <w:keepLines/>
        <w:tabs>
          <w:tab w:val="clear" w:pos="567"/>
          <w:tab w:val="clear" w:pos="1134"/>
          <w:tab w:val="clear" w:pos="1701"/>
          <w:tab w:val="clear" w:pos="2268"/>
          <w:tab w:val="clear" w:pos="2835"/>
        </w:tabs>
        <w:spacing w:before="0" w:after="120"/>
        <w:jc w:val="center"/>
        <w:rPr>
          <w:i/>
          <w:iCs/>
        </w:rPr>
      </w:pPr>
      <w:r w:rsidRPr="00666FB2">
        <w:rPr>
          <w:i/>
          <w:iCs/>
        </w:rPr>
        <w:t>(en miles de dólares de Estados Unidos (USD))</w:t>
      </w:r>
    </w:p>
    <w:tbl>
      <w:tblPr>
        <w:tblStyle w:val="TableGrid"/>
        <w:tblW w:w="0" w:type="auto"/>
        <w:tblLayout w:type="fixed"/>
        <w:tblLook w:val="04A0" w:firstRow="1" w:lastRow="0" w:firstColumn="1" w:lastColumn="0" w:noHBand="0" w:noVBand="1"/>
      </w:tblPr>
      <w:tblGrid>
        <w:gridCol w:w="846"/>
        <w:gridCol w:w="850"/>
        <w:gridCol w:w="921"/>
        <w:gridCol w:w="922"/>
        <w:gridCol w:w="831"/>
        <w:gridCol w:w="870"/>
        <w:gridCol w:w="885"/>
        <w:gridCol w:w="958"/>
        <w:gridCol w:w="797"/>
        <w:gridCol w:w="904"/>
        <w:gridCol w:w="845"/>
      </w:tblGrid>
      <w:tr w:rsidR="00F65828" w:rsidRPr="00666FB2" w:rsidTr="00DF2C1E">
        <w:trPr>
          <w:trHeight w:val="356"/>
        </w:trPr>
        <w:tc>
          <w:tcPr>
            <w:tcW w:w="846" w:type="dxa"/>
            <w:vMerge w:val="restart"/>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i/>
                <w:iCs/>
                <w:sz w:val="14"/>
                <w:szCs w:val="14"/>
              </w:rPr>
            </w:pPr>
            <w:r w:rsidRPr="00666FB2">
              <w:rPr>
                <w:i/>
                <w:iCs/>
                <w:sz w:val="14"/>
                <w:szCs w:val="14"/>
              </w:rPr>
              <w:t>Región</w:t>
            </w:r>
          </w:p>
        </w:tc>
        <w:tc>
          <w:tcPr>
            <w:tcW w:w="1771" w:type="dxa"/>
            <w:gridSpan w:val="2"/>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FIT</w:t>
            </w:r>
          </w:p>
        </w:tc>
        <w:tc>
          <w:tcPr>
            <w:tcW w:w="1753" w:type="dxa"/>
            <w:gridSpan w:val="2"/>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FD-TIC</w:t>
            </w:r>
          </w:p>
        </w:tc>
        <w:tc>
          <w:tcPr>
            <w:tcW w:w="1755" w:type="dxa"/>
            <w:gridSpan w:val="2"/>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Plan operacional</w:t>
            </w:r>
          </w:p>
        </w:tc>
        <w:tc>
          <w:tcPr>
            <w:tcW w:w="1755" w:type="dxa"/>
            <w:gridSpan w:val="2"/>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PNUD</w:t>
            </w:r>
          </w:p>
        </w:tc>
        <w:tc>
          <w:tcPr>
            <w:tcW w:w="1749" w:type="dxa"/>
            <w:gridSpan w:val="2"/>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i/>
                <w:iCs/>
                <w:sz w:val="14"/>
                <w:szCs w:val="14"/>
              </w:rPr>
            </w:pPr>
            <w:r w:rsidRPr="00666FB2">
              <w:rPr>
                <w:b/>
                <w:bCs/>
                <w:i/>
                <w:iCs/>
                <w:sz w:val="14"/>
                <w:szCs w:val="14"/>
              </w:rPr>
              <w:t>TOTAL</w:t>
            </w:r>
          </w:p>
        </w:tc>
      </w:tr>
      <w:tr w:rsidR="00F65828" w:rsidRPr="00666FB2" w:rsidTr="00DF2C1E">
        <w:trPr>
          <w:trHeight w:val="340"/>
        </w:trPr>
        <w:tc>
          <w:tcPr>
            <w:tcW w:w="846" w:type="dxa"/>
            <w:vMerge/>
            <w:tcBorders>
              <w:bottom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i/>
                <w:iCs/>
                <w:sz w:val="14"/>
                <w:szCs w:val="14"/>
              </w:rPr>
            </w:pPr>
          </w:p>
        </w:tc>
        <w:tc>
          <w:tcPr>
            <w:tcW w:w="850" w:type="dxa"/>
            <w:tcBorders>
              <w:bottom w:val="single" w:sz="4" w:space="0" w:color="auto"/>
            </w:tcBorders>
            <w:shd w:val="clear" w:color="auto" w:fill="C6D9F1" w:themeFill="text2" w:themeFillTint="33"/>
            <w:vAlign w:val="center"/>
          </w:tcPr>
          <w:p w:rsidR="00F65828" w:rsidRPr="00666FB2" w:rsidRDefault="00F65828" w:rsidP="00F65828">
            <w:pPr>
              <w:keepNext/>
              <w:keepLines/>
              <w:spacing w:before="0"/>
              <w:jc w:val="center"/>
              <w:rPr>
                <w:i/>
                <w:iCs/>
                <w:sz w:val="14"/>
                <w:szCs w:val="14"/>
              </w:rPr>
            </w:pPr>
            <w:r w:rsidRPr="00666FB2">
              <w:rPr>
                <w:i/>
                <w:iCs/>
                <w:sz w:val="14"/>
                <w:szCs w:val="14"/>
              </w:rPr>
              <w:t>Núm. de proyectos</w:t>
            </w:r>
          </w:p>
        </w:tc>
        <w:tc>
          <w:tcPr>
            <w:tcW w:w="921"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 xml:space="preserve">Nivel de impl. </w:t>
            </w:r>
            <w:r w:rsidRPr="00666FB2">
              <w:rPr>
                <w:i/>
                <w:iCs/>
                <w:sz w:val="14"/>
                <w:szCs w:val="14"/>
              </w:rPr>
              <w:br/>
              <w:t>US$ (000)</w:t>
            </w:r>
          </w:p>
        </w:tc>
        <w:tc>
          <w:tcPr>
            <w:tcW w:w="922"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Núm. de proyectos</w:t>
            </w:r>
          </w:p>
        </w:tc>
        <w:tc>
          <w:tcPr>
            <w:tcW w:w="831"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 xml:space="preserve">Nivel de impl. </w:t>
            </w:r>
            <w:r w:rsidRPr="00666FB2">
              <w:rPr>
                <w:i/>
                <w:iCs/>
                <w:sz w:val="14"/>
                <w:szCs w:val="14"/>
              </w:rPr>
              <w:br/>
              <w:t>US$ (000)</w:t>
            </w:r>
          </w:p>
        </w:tc>
        <w:tc>
          <w:tcPr>
            <w:tcW w:w="870"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Núm. de proyectos</w:t>
            </w:r>
          </w:p>
        </w:tc>
        <w:tc>
          <w:tcPr>
            <w:tcW w:w="885"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 xml:space="preserve">Nivel de impl. </w:t>
            </w:r>
            <w:r w:rsidRPr="00666FB2">
              <w:rPr>
                <w:i/>
                <w:iCs/>
                <w:sz w:val="14"/>
                <w:szCs w:val="14"/>
              </w:rPr>
              <w:br/>
              <w:t>US$ (000)</w:t>
            </w:r>
          </w:p>
        </w:tc>
        <w:tc>
          <w:tcPr>
            <w:tcW w:w="958"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Núm. de proyectos</w:t>
            </w:r>
          </w:p>
        </w:tc>
        <w:tc>
          <w:tcPr>
            <w:tcW w:w="797"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 xml:space="preserve">Nivel de impl. </w:t>
            </w:r>
            <w:r w:rsidRPr="00666FB2">
              <w:rPr>
                <w:i/>
                <w:iCs/>
                <w:sz w:val="14"/>
                <w:szCs w:val="14"/>
              </w:rPr>
              <w:br/>
              <w:t>US$ (000)</w:t>
            </w:r>
          </w:p>
        </w:tc>
        <w:tc>
          <w:tcPr>
            <w:tcW w:w="904"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Núm. de proyectos</w:t>
            </w:r>
          </w:p>
        </w:tc>
        <w:tc>
          <w:tcPr>
            <w:tcW w:w="845" w:type="dxa"/>
            <w:tcBorders>
              <w:bottom w:val="single" w:sz="4" w:space="0" w:color="auto"/>
            </w:tcBorders>
            <w:shd w:val="clear" w:color="auto" w:fill="C6D9F1" w:themeFill="text2" w:themeFillTint="33"/>
            <w:vAlign w:val="center"/>
          </w:tcPr>
          <w:p w:rsidR="00F65828" w:rsidRPr="00666FB2" w:rsidRDefault="00F65828" w:rsidP="00DF2C1E">
            <w:pPr>
              <w:keepNext/>
              <w:keepLines/>
              <w:spacing w:before="0"/>
              <w:jc w:val="center"/>
              <w:rPr>
                <w:i/>
                <w:iCs/>
                <w:sz w:val="14"/>
                <w:szCs w:val="14"/>
              </w:rPr>
            </w:pPr>
            <w:r w:rsidRPr="00666FB2">
              <w:rPr>
                <w:i/>
                <w:iCs/>
                <w:sz w:val="14"/>
                <w:szCs w:val="14"/>
              </w:rPr>
              <w:t xml:space="preserve">Nivel de impl. </w:t>
            </w:r>
            <w:r w:rsidRPr="00666FB2">
              <w:rPr>
                <w:i/>
                <w:iCs/>
                <w:sz w:val="14"/>
                <w:szCs w:val="14"/>
              </w:rPr>
              <w:br/>
              <w:t>US$ (000)</w:t>
            </w:r>
          </w:p>
        </w:tc>
      </w:tr>
      <w:tr w:rsidR="00F65828" w:rsidRPr="00666FB2" w:rsidTr="00DF2C1E">
        <w:tc>
          <w:tcPr>
            <w:tcW w:w="846"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África</w:t>
            </w:r>
          </w:p>
        </w:tc>
        <w:tc>
          <w:tcPr>
            <w:tcW w:w="850"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w:t>
            </w:r>
          </w:p>
        </w:tc>
        <w:tc>
          <w:tcPr>
            <w:tcW w:w="921"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131</w:t>
            </w:r>
          </w:p>
        </w:tc>
        <w:tc>
          <w:tcPr>
            <w:tcW w:w="922"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w:t>
            </w:r>
          </w:p>
        </w:tc>
        <w:tc>
          <w:tcPr>
            <w:tcW w:w="831"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1 125</w:t>
            </w:r>
          </w:p>
        </w:tc>
        <w:tc>
          <w:tcPr>
            <w:tcW w:w="870"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w:t>
            </w:r>
          </w:p>
        </w:tc>
        <w:tc>
          <w:tcPr>
            <w:tcW w:w="885"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47</w:t>
            </w:r>
          </w:p>
        </w:tc>
        <w:tc>
          <w:tcPr>
            <w:tcW w:w="958"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13</w:t>
            </w:r>
          </w:p>
        </w:tc>
        <w:tc>
          <w:tcPr>
            <w:tcW w:w="845" w:type="dxa"/>
            <w:tcBorders>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1 303</w:t>
            </w:r>
          </w:p>
        </w:tc>
      </w:tr>
      <w:tr w:rsidR="00F65828" w:rsidRPr="00666FB2" w:rsidTr="00DF2C1E">
        <w:tc>
          <w:tcPr>
            <w:tcW w:w="846"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Américas</w:t>
            </w:r>
          </w:p>
        </w:tc>
        <w:tc>
          <w:tcPr>
            <w:tcW w:w="85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9</w:t>
            </w:r>
          </w:p>
        </w:tc>
        <w:tc>
          <w:tcPr>
            <w:tcW w:w="92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1 177</w:t>
            </w:r>
          </w:p>
        </w:tc>
        <w:tc>
          <w:tcPr>
            <w:tcW w:w="922"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w:t>
            </w:r>
          </w:p>
        </w:tc>
        <w:tc>
          <w:tcPr>
            <w:tcW w:w="83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w:t>
            </w:r>
          </w:p>
        </w:tc>
        <w:tc>
          <w:tcPr>
            <w:tcW w:w="87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w:t>
            </w:r>
          </w:p>
        </w:tc>
        <w:tc>
          <w:tcPr>
            <w:tcW w:w="88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203</w:t>
            </w:r>
          </w:p>
        </w:tc>
        <w:tc>
          <w:tcPr>
            <w:tcW w:w="958"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13</w:t>
            </w:r>
          </w:p>
        </w:tc>
        <w:tc>
          <w:tcPr>
            <w:tcW w:w="84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1 383</w:t>
            </w:r>
          </w:p>
        </w:tc>
      </w:tr>
      <w:tr w:rsidR="00F65828" w:rsidRPr="00666FB2" w:rsidTr="00DF2C1E">
        <w:tc>
          <w:tcPr>
            <w:tcW w:w="846"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Estados Árabes</w:t>
            </w:r>
          </w:p>
        </w:tc>
        <w:tc>
          <w:tcPr>
            <w:tcW w:w="85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w:t>
            </w:r>
          </w:p>
        </w:tc>
        <w:tc>
          <w:tcPr>
            <w:tcW w:w="92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673</w:t>
            </w:r>
          </w:p>
        </w:tc>
        <w:tc>
          <w:tcPr>
            <w:tcW w:w="922"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w:t>
            </w:r>
          </w:p>
        </w:tc>
        <w:tc>
          <w:tcPr>
            <w:tcW w:w="83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0</w:t>
            </w:r>
          </w:p>
        </w:tc>
        <w:tc>
          <w:tcPr>
            <w:tcW w:w="87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w:t>
            </w:r>
          </w:p>
        </w:tc>
        <w:tc>
          <w:tcPr>
            <w:tcW w:w="88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0</w:t>
            </w:r>
          </w:p>
        </w:tc>
        <w:tc>
          <w:tcPr>
            <w:tcW w:w="958"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6</w:t>
            </w:r>
          </w:p>
        </w:tc>
        <w:tc>
          <w:tcPr>
            <w:tcW w:w="84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673</w:t>
            </w:r>
          </w:p>
        </w:tc>
      </w:tr>
      <w:tr w:rsidR="00F65828" w:rsidRPr="00666FB2" w:rsidTr="00DF2C1E">
        <w:tc>
          <w:tcPr>
            <w:tcW w:w="846"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Asia-Pacífico</w:t>
            </w:r>
          </w:p>
        </w:tc>
        <w:tc>
          <w:tcPr>
            <w:tcW w:w="85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9</w:t>
            </w:r>
          </w:p>
        </w:tc>
        <w:tc>
          <w:tcPr>
            <w:tcW w:w="92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492</w:t>
            </w:r>
          </w:p>
        </w:tc>
        <w:tc>
          <w:tcPr>
            <w:tcW w:w="922"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1</w:t>
            </w:r>
          </w:p>
        </w:tc>
        <w:tc>
          <w:tcPr>
            <w:tcW w:w="83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34</w:t>
            </w:r>
          </w:p>
        </w:tc>
        <w:tc>
          <w:tcPr>
            <w:tcW w:w="87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8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58"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10</w:t>
            </w:r>
          </w:p>
        </w:tc>
        <w:tc>
          <w:tcPr>
            <w:tcW w:w="84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526</w:t>
            </w:r>
          </w:p>
        </w:tc>
      </w:tr>
      <w:tr w:rsidR="00F65828" w:rsidRPr="00666FB2" w:rsidTr="00DF2C1E">
        <w:tc>
          <w:tcPr>
            <w:tcW w:w="846"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CIS</w:t>
            </w:r>
          </w:p>
        </w:tc>
        <w:tc>
          <w:tcPr>
            <w:tcW w:w="85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2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22"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31"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70"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8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58"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0</w:t>
            </w:r>
          </w:p>
        </w:tc>
        <w:tc>
          <w:tcPr>
            <w:tcW w:w="845" w:type="dxa"/>
            <w:tcBorders>
              <w:top w:val="nil"/>
              <w:bottom w:val="nil"/>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0</w:t>
            </w:r>
          </w:p>
        </w:tc>
      </w:tr>
      <w:tr w:rsidR="00F65828" w:rsidRPr="00666FB2" w:rsidTr="00DF2C1E">
        <w:tc>
          <w:tcPr>
            <w:tcW w:w="846"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rPr>
                <w:b/>
                <w:bCs/>
                <w:i/>
                <w:iCs/>
                <w:sz w:val="14"/>
                <w:szCs w:val="14"/>
              </w:rPr>
            </w:pPr>
            <w:r w:rsidRPr="00666FB2">
              <w:rPr>
                <w:b/>
                <w:bCs/>
                <w:i/>
                <w:iCs/>
                <w:sz w:val="14"/>
                <w:szCs w:val="14"/>
              </w:rPr>
              <w:t>Europa</w:t>
            </w:r>
          </w:p>
        </w:tc>
        <w:tc>
          <w:tcPr>
            <w:tcW w:w="850"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2</w:t>
            </w:r>
          </w:p>
        </w:tc>
        <w:tc>
          <w:tcPr>
            <w:tcW w:w="921"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r w:rsidRPr="00666FB2">
              <w:rPr>
                <w:sz w:val="14"/>
                <w:szCs w:val="14"/>
              </w:rPr>
              <w:t>47</w:t>
            </w:r>
          </w:p>
        </w:tc>
        <w:tc>
          <w:tcPr>
            <w:tcW w:w="922"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31"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70"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885"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58"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797"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sz w:val="14"/>
                <w:szCs w:val="14"/>
              </w:rPr>
            </w:pPr>
          </w:p>
        </w:tc>
        <w:tc>
          <w:tcPr>
            <w:tcW w:w="904" w:type="dxa"/>
            <w:tcBorders>
              <w:top w:val="nil"/>
              <w:bottom w:val="single" w:sz="4" w:space="0" w:color="auto"/>
            </w:tcBorders>
            <w:vAlign w:val="center"/>
          </w:tcPr>
          <w:p w:rsidR="00F65828" w:rsidRPr="00666FB2" w:rsidRDefault="00F65828" w:rsidP="00F65828">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w:t>
            </w:r>
          </w:p>
        </w:tc>
        <w:tc>
          <w:tcPr>
            <w:tcW w:w="845" w:type="dxa"/>
            <w:tcBorders>
              <w:top w:val="nil"/>
              <w:bottom w:val="single" w:sz="4" w:space="0" w:color="auto"/>
            </w:tcBorders>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47</w:t>
            </w:r>
          </w:p>
        </w:tc>
      </w:tr>
      <w:tr w:rsidR="00F65828" w:rsidRPr="00666FB2" w:rsidTr="00DF2C1E">
        <w:tc>
          <w:tcPr>
            <w:tcW w:w="846"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center"/>
              <w:rPr>
                <w:b/>
                <w:bCs/>
                <w:sz w:val="14"/>
                <w:szCs w:val="14"/>
              </w:rPr>
            </w:pPr>
            <w:r w:rsidRPr="00666FB2">
              <w:rPr>
                <w:b/>
                <w:bCs/>
                <w:sz w:val="14"/>
                <w:szCs w:val="14"/>
              </w:rPr>
              <w:t>Total</w:t>
            </w:r>
          </w:p>
        </w:tc>
        <w:tc>
          <w:tcPr>
            <w:tcW w:w="850"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27</w:t>
            </w:r>
          </w:p>
        </w:tc>
        <w:tc>
          <w:tcPr>
            <w:tcW w:w="921"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2 520</w:t>
            </w:r>
          </w:p>
        </w:tc>
        <w:tc>
          <w:tcPr>
            <w:tcW w:w="922"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8</w:t>
            </w:r>
          </w:p>
        </w:tc>
        <w:tc>
          <w:tcPr>
            <w:tcW w:w="831"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1 162</w:t>
            </w:r>
          </w:p>
        </w:tc>
        <w:tc>
          <w:tcPr>
            <w:tcW w:w="870"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9</w:t>
            </w:r>
          </w:p>
        </w:tc>
        <w:tc>
          <w:tcPr>
            <w:tcW w:w="885"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250</w:t>
            </w:r>
          </w:p>
        </w:tc>
        <w:tc>
          <w:tcPr>
            <w:tcW w:w="958"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0</w:t>
            </w:r>
          </w:p>
        </w:tc>
        <w:tc>
          <w:tcPr>
            <w:tcW w:w="797"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0</w:t>
            </w:r>
          </w:p>
        </w:tc>
        <w:tc>
          <w:tcPr>
            <w:tcW w:w="904"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44</w:t>
            </w:r>
          </w:p>
        </w:tc>
        <w:tc>
          <w:tcPr>
            <w:tcW w:w="845" w:type="dxa"/>
            <w:tcBorders>
              <w:top w:val="single" w:sz="4" w:space="0" w:color="auto"/>
            </w:tcBorders>
            <w:shd w:val="clear" w:color="auto" w:fill="C6D9F1" w:themeFill="text2" w:themeFillTint="33"/>
            <w:vAlign w:val="center"/>
          </w:tcPr>
          <w:p w:rsidR="00F65828" w:rsidRPr="00666FB2" w:rsidRDefault="00F65828" w:rsidP="00DF2C1E">
            <w:pPr>
              <w:keepNext/>
              <w:keepLines/>
              <w:tabs>
                <w:tab w:val="clear" w:pos="567"/>
                <w:tab w:val="clear" w:pos="1134"/>
                <w:tab w:val="clear" w:pos="1701"/>
                <w:tab w:val="clear" w:pos="2268"/>
                <w:tab w:val="clear" w:pos="2835"/>
              </w:tabs>
              <w:spacing w:before="0"/>
              <w:jc w:val="right"/>
              <w:rPr>
                <w:b/>
                <w:bCs/>
                <w:sz w:val="14"/>
                <w:szCs w:val="14"/>
              </w:rPr>
            </w:pPr>
            <w:r w:rsidRPr="00666FB2">
              <w:rPr>
                <w:b/>
                <w:bCs/>
                <w:sz w:val="14"/>
                <w:szCs w:val="14"/>
              </w:rPr>
              <w:t>3 932</w:t>
            </w:r>
          </w:p>
        </w:tc>
      </w:tr>
    </w:tbl>
    <w:p w:rsidR="00332DB8" w:rsidRPr="00666FB2" w:rsidRDefault="00CF12FE" w:rsidP="001802FB">
      <w:pPr>
        <w:pStyle w:val="Normalaftertitle"/>
      </w:pPr>
      <w:r w:rsidRPr="00666FB2">
        <w:t>4.4</w:t>
      </w:r>
      <w:r w:rsidRPr="00666FB2">
        <w:tab/>
      </w:r>
      <w:r w:rsidR="00094F83" w:rsidRPr="00666FB2">
        <w:t>Cabe recordar que el Consejo de la UIT de 2018 decidió atribuir recursos p</w:t>
      </w:r>
      <w:r w:rsidRPr="00666FB2">
        <w:t xml:space="preserve">ara la financiación de proyectos destinados a </w:t>
      </w:r>
      <w:r w:rsidR="00094F83" w:rsidRPr="00666FB2">
        <w:t xml:space="preserve">poner </w:t>
      </w:r>
      <w:r w:rsidR="00AD35A5" w:rsidRPr="00666FB2">
        <w:t>en marcha</w:t>
      </w:r>
      <w:r w:rsidRPr="00666FB2">
        <w:t xml:space="preserve"> las iniciativas regionales de la CMDT-17</w:t>
      </w:r>
      <w:r w:rsidR="00094F83" w:rsidRPr="00666FB2">
        <w:t xml:space="preserve">. Se aprobaron </w:t>
      </w:r>
      <w:r w:rsidRPr="00666FB2">
        <w:t>2 millones CHF para el periodo 2018</w:t>
      </w:r>
      <w:r w:rsidRPr="00666FB2">
        <w:noBreakHyphen/>
        <w:t xml:space="preserve">2019 </w:t>
      </w:r>
      <w:r w:rsidR="00094F83" w:rsidRPr="00666FB2">
        <w:t xml:space="preserve">y otros </w:t>
      </w:r>
      <w:r w:rsidRPr="00666FB2">
        <w:t>3 millones CHF para 2020-2021 en el Plan Financiero 2020-2023. Estos fondos se asignaron como fondos iniciales para atraer fondos de asociados. Como primera etapa en el proceso de ejecución de las iniciativas regionales, se elaboraron diez (10) nuevos proyectos de todas las regiones que est</w:t>
      </w:r>
      <w:r w:rsidR="00CC5874" w:rsidRPr="00666FB2">
        <w:t>aban en desarrollo a finales de </w:t>
      </w:r>
      <w:r w:rsidRPr="00666FB2">
        <w:t>2018 y que comenzarán a ejecutarse en 2019.</w:t>
      </w:r>
      <w:r w:rsidR="00332DB8" w:rsidRPr="00666FB2">
        <w:t xml:space="preserve"> Las Iniciativas Regionales están destinadas a abordar las esferas prioritarias específicas de las telecomunicaciones/TIC a través de asociaciones y de la movilización de recursos. Para cada Iniciativa Regional, los proyectos se elaboran y ejecutan de modo que respondan a las necesidades de la región. </w:t>
      </w:r>
      <w:bookmarkStart w:id="18" w:name="lt_pId111"/>
      <w:r w:rsidR="00261329" w:rsidRPr="00666FB2">
        <w:t>Durante el GADT de 2019, se organizaron sesiones informales en cada región para discutir las iniciativas regionales y su implementación. El Director de la BDT está haciendo todo lo posible para que las iniciativas estén bien coordinadas con los programas, las Comisiones de Estudio y la labor de los demás sectores a fin de evitar la fragmentación y maximizar sus efectos y resultados.</w:t>
      </w:r>
      <w:bookmarkEnd w:id="18"/>
    </w:p>
    <w:p w:rsidR="00332DB8" w:rsidRPr="00666FB2" w:rsidRDefault="00332DB8" w:rsidP="008F6AC1">
      <w:r w:rsidRPr="00666FB2">
        <w:lastRenderedPageBreak/>
        <w:t>4.5</w:t>
      </w:r>
      <w:r w:rsidRPr="00666FB2">
        <w:rPr>
          <w:b/>
          <w:bCs/>
        </w:rPr>
        <w:tab/>
      </w:r>
      <w:bookmarkStart w:id="19" w:name="lt_pId114"/>
      <w:r w:rsidR="00261329" w:rsidRPr="00666FB2">
        <w:t xml:space="preserve">Las Oficinas Regionales y </w:t>
      </w:r>
      <w:r w:rsidR="008F6AC1" w:rsidRPr="00666FB2">
        <w:t xml:space="preserve">de Zona </w:t>
      </w:r>
      <w:r w:rsidR="00261329" w:rsidRPr="00666FB2">
        <w:t xml:space="preserve">contribuyeron a la </w:t>
      </w:r>
      <w:r w:rsidR="00BC33DB" w:rsidRPr="00666FB2">
        <w:t>ejecución</w:t>
      </w:r>
      <w:r w:rsidR="00261329" w:rsidRPr="00666FB2">
        <w:t xml:space="preserve"> del Plan Estratégico de la UIT y de los Planes Operacionales del UIT-D. En el </w:t>
      </w:r>
      <w:r w:rsidR="00261329" w:rsidRPr="00666FB2">
        <w:rPr>
          <w:b/>
          <w:bCs/>
        </w:rPr>
        <w:t>Anexo 1</w:t>
      </w:r>
      <w:r w:rsidR="00261329" w:rsidRPr="00666FB2">
        <w:t xml:space="preserve"> figura un resumen de los principales logros por región.</w:t>
      </w:r>
      <w:bookmarkEnd w:id="19"/>
    </w:p>
    <w:p w:rsidR="00DB34C7" w:rsidRPr="00666FB2" w:rsidRDefault="00332DB8" w:rsidP="009E177A">
      <w:pPr>
        <w:pStyle w:val="Heading1"/>
      </w:pPr>
      <w:r w:rsidRPr="00666FB2">
        <w:t>5</w:t>
      </w:r>
      <w:r w:rsidR="00DB34C7" w:rsidRPr="00666FB2">
        <w:tab/>
        <w:t xml:space="preserve">Contribución a otros </w:t>
      </w:r>
      <w:r w:rsidR="00A40D74" w:rsidRPr="00666FB2">
        <w:t xml:space="preserve">Sectores </w:t>
      </w:r>
      <w:r w:rsidR="00DB34C7" w:rsidRPr="00666FB2">
        <w:t>y a la Secretaría General</w:t>
      </w:r>
    </w:p>
    <w:p w:rsidR="00332DB8" w:rsidRPr="00666FB2" w:rsidRDefault="00DB34C7" w:rsidP="008F6AC1">
      <w:r w:rsidRPr="00666FB2">
        <w:t xml:space="preserve">Las Oficinas Regionales y </w:t>
      </w:r>
      <w:r w:rsidR="008F6AC1" w:rsidRPr="00666FB2">
        <w:t xml:space="preserve">de Zona </w:t>
      </w:r>
      <w:r w:rsidRPr="00666FB2">
        <w:t>contribuyeron a la ejecución de los Planes Estratégico y Operacional del UIT-R</w:t>
      </w:r>
      <w:r w:rsidR="00332DB8" w:rsidRPr="00666FB2">
        <w:t>, UIT-T y la Secretaría General</w:t>
      </w:r>
      <w:r w:rsidR="00261329" w:rsidRPr="00666FB2">
        <w:t xml:space="preserve">, como se describe en el </w:t>
      </w:r>
      <w:r w:rsidR="00261329" w:rsidRPr="00666FB2">
        <w:rPr>
          <w:b/>
          <w:bCs/>
        </w:rPr>
        <w:t>Anexo 2</w:t>
      </w:r>
      <w:r w:rsidR="00332DB8" w:rsidRPr="00666FB2">
        <w:t>.</w:t>
      </w:r>
    </w:p>
    <w:p w:rsidR="00DB34C7" w:rsidRPr="00666FB2" w:rsidRDefault="00332DB8" w:rsidP="009E177A">
      <w:pPr>
        <w:pStyle w:val="Heading1"/>
      </w:pPr>
      <w:r w:rsidRPr="00666FB2">
        <w:t>6</w:t>
      </w:r>
      <w:r w:rsidR="00DB34C7" w:rsidRPr="00666FB2">
        <w:tab/>
        <w:t>Es</w:t>
      </w:r>
      <w:r w:rsidR="006D0011" w:rsidRPr="00666FB2">
        <w:t>tructura y dotación de personal</w:t>
      </w:r>
    </w:p>
    <w:p w:rsidR="00DB34C7" w:rsidRPr="00666FB2" w:rsidRDefault="00332DB8" w:rsidP="008F6AC1">
      <w:r w:rsidRPr="00666FB2">
        <w:rPr>
          <w:rFonts w:asciiTheme="minorHAnsi" w:hAnsiTheme="minorHAnsi"/>
        </w:rPr>
        <w:t>6</w:t>
      </w:r>
      <w:r w:rsidR="00DB34C7" w:rsidRPr="00666FB2">
        <w:rPr>
          <w:rFonts w:asciiTheme="minorHAnsi" w:hAnsiTheme="minorHAnsi"/>
        </w:rPr>
        <w:t>.1</w:t>
      </w:r>
      <w:r w:rsidR="00DB34C7" w:rsidRPr="00666FB2">
        <w:rPr>
          <w:rFonts w:asciiTheme="minorHAnsi" w:hAnsiTheme="minorHAnsi"/>
        </w:rPr>
        <w:tab/>
        <w:t>En los Anexos</w:t>
      </w:r>
      <w:r w:rsidRPr="00666FB2">
        <w:rPr>
          <w:rFonts w:asciiTheme="minorHAnsi" w:hAnsiTheme="minorHAnsi"/>
        </w:rPr>
        <w:t xml:space="preserve"> 8</w:t>
      </w:r>
      <w:r w:rsidR="00DB34C7" w:rsidRPr="00666FB2">
        <w:rPr>
          <w:rFonts w:asciiTheme="minorHAnsi" w:hAnsiTheme="minorHAnsi"/>
        </w:rPr>
        <w:t xml:space="preserve"> y </w:t>
      </w:r>
      <w:r w:rsidRPr="00666FB2">
        <w:rPr>
          <w:rFonts w:asciiTheme="minorHAnsi" w:hAnsiTheme="minorHAnsi"/>
        </w:rPr>
        <w:t>9</w:t>
      </w:r>
      <w:r w:rsidR="00DB34C7" w:rsidRPr="00666FB2">
        <w:rPr>
          <w:rFonts w:asciiTheme="minorHAnsi" w:hAnsiTheme="minorHAnsi"/>
        </w:rPr>
        <w:t xml:space="preserve"> del </w:t>
      </w:r>
      <w:hyperlink r:id="rId16" w:history="1">
        <w:r w:rsidRPr="00666FB2">
          <w:rPr>
            <w:rStyle w:val="Hyperlink"/>
          </w:rPr>
          <w:t>Documento C19/INF/7</w:t>
        </w:r>
      </w:hyperlink>
      <w:r w:rsidR="00DB34C7" w:rsidRPr="00666FB2">
        <w:rPr>
          <w:rFonts w:asciiTheme="minorHAnsi" w:hAnsiTheme="minorHAnsi"/>
        </w:rPr>
        <w:t xml:space="preserve"> se </w:t>
      </w:r>
      <w:r w:rsidR="00261329" w:rsidRPr="00666FB2">
        <w:rPr>
          <w:rFonts w:asciiTheme="minorHAnsi" w:hAnsiTheme="minorHAnsi"/>
        </w:rPr>
        <w:t xml:space="preserve">indica </w:t>
      </w:r>
      <w:r w:rsidR="00DB34C7" w:rsidRPr="00666FB2">
        <w:rPr>
          <w:rFonts w:asciiTheme="minorHAnsi" w:hAnsiTheme="minorHAnsi"/>
        </w:rPr>
        <w:t xml:space="preserve">el nivel de dotación de personal a partir de </w:t>
      </w:r>
      <w:r w:rsidR="00261329" w:rsidRPr="00666FB2">
        <w:rPr>
          <w:rFonts w:asciiTheme="minorHAnsi" w:hAnsiTheme="minorHAnsi"/>
        </w:rPr>
        <w:t xml:space="preserve">finales de </w:t>
      </w:r>
      <w:r w:rsidR="00DB34C7" w:rsidRPr="00666FB2">
        <w:rPr>
          <w:rFonts w:asciiTheme="minorHAnsi" w:hAnsiTheme="minorHAnsi"/>
        </w:rPr>
        <w:t>201</w:t>
      </w:r>
      <w:r w:rsidR="00261329" w:rsidRPr="00666FB2">
        <w:rPr>
          <w:rFonts w:asciiTheme="minorHAnsi" w:hAnsiTheme="minorHAnsi"/>
        </w:rPr>
        <w:t>8</w:t>
      </w:r>
      <w:r w:rsidR="00DB34C7" w:rsidRPr="00666FB2">
        <w:rPr>
          <w:rFonts w:asciiTheme="minorHAnsi" w:hAnsiTheme="minorHAnsi"/>
        </w:rPr>
        <w:t xml:space="preserve"> para las </w:t>
      </w:r>
      <w:r w:rsidR="00DB34C7" w:rsidRPr="00666FB2">
        <w:t xml:space="preserve">Oficinas Regionales y </w:t>
      </w:r>
      <w:r w:rsidR="008F6AC1" w:rsidRPr="00666FB2">
        <w:t xml:space="preserve">de Zona </w:t>
      </w:r>
      <w:r w:rsidR="00261329" w:rsidRPr="00666FB2">
        <w:rPr>
          <w:rFonts w:asciiTheme="minorHAnsi" w:hAnsiTheme="minorHAnsi"/>
        </w:rPr>
        <w:t xml:space="preserve">desglosado por </w:t>
      </w:r>
      <w:r w:rsidR="00DB34C7" w:rsidRPr="00666FB2">
        <w:rPr>
          <w:rFonts w:asciiTheme="minorHAnsi" w:hAnsiTheme="minorHAnsi"/>
        </w:rPr>
        <w:t>cargo, región y oficina.</w:t>
      </w:r>
      <w:r w:rsidR="00DB34C7" w:rsidRPr="00666FB2">
        <w:t xml:space="preserve"> Las estructuras y el nivel de dotación de personal de las diversas Oficinas Regionales y </w:t>
      </w:r>
      <w:r w:rsidR="008F6AC1" w:rsidRPr="00666FB2">
        <w:t xml:space="preserve">de Zona </w:t>
      </w:r>
      <w:r w:rsidR="00DB34C7" w:rsidRPr="00666FB2">
        <w:t>toman en consideración las recomendaciones de la Dependencia Común de Inspección de las Naciones Unidas sobre las formas de mejorar la presencia regional de la UIT, y de atender mejor a las expectativas de los Miembros.</w:t>
      </w:r>
      <w:r w:rsidR="007F0C88" w:rsidRPr="00666FB2">
        <w:t xml:space="preserve"> El Consejo de 2018 aprobó la </w:t>
      </w:r>
      <w:r w:rsidR="00A129B2" w:rsidRPr="00666FB2">
        <w:t>conversión</w:t>
      </w:r>
      <w:r w:rsidR="007F0C88" w:rsidRPr="00666FB2">
        <w:t xml:space="preserve"> de la Oficina Zona</w:t>
      </w:r>
      <w:r w:rsidR="00A129B2" w:rsidRPr="00666FB2">
        <w:t>l</w:t>
      </w:r>
      <w:r w:rsidR="007F0C88" w:rsidRPr="00666FB2">
        <w:t xml:space="preserve"> para los países de la CEI en Oficina Regional de la UIT para la Región de la CEI y la creación del p</w:t>
      </w:r>
      <w:r w:rsidR="00BC33DB" w:rsidRPr="00666FB2">
        <w:t xml:space="preserve">uesto D1 de Director Regional. </w:t>
      </w:r>
      <w:r w:rsidR="007F0C88" w:rsidRPr="00666FB2">
        <w:t>El puesto de D1 se ha anunciado para su contratación por concurso</w:t>
      </w:r>
      <w:r w:rsidR="00A129B2" w:rsidRPr="00666FB2">
        <w:t xml:space="preserve"> y el proceso de </w:t>
      </w:r>
      <w:r w:rsidR="007F0C88" w:rsidRPr="00666FB2">
        <w:t>selección está en curs</w:t>
      </w:r>
      <w:r w:rsidR="00A129B2" w:rsidRPr="00666FB2">
        <w:t>o.</w:t>
      </w:r>
    </w:p>
    <w:p w:rsidR="00A129B2" w:rsidRPr="00666FB2" w:rsidRDefault="00332DB8" w:rsidP="008F6AC1">
      <w:r w:rsidRPr="00666FB2">
        <w:t>6</w:t>
      </w:r>
      <w:r w:rsidR="00DB34C7" w:rsidRPr="00666FB2">
        <w:t>.2</w:t>
      </w:r>
      <w:r w:rsidR="00DB34C7" w:rsidRPr="00666FB2">
        <w:tab/>
        <w:t xml:space="preserve">La capacidad de las Oficinas Regionales y </w:t>
      </w:r>
      <w:r w:rsidR="008F6AC1" w:rsidRPr="00666FB2">
        <w:t xml:space="preserve">de Zona </w:t>
      </w:r>
      <w:r w:rsidR="00DB34C7" w:rsidRPr="00666FB2">
        <w:t xml:space="preserve">en determinadas esferas de especialización sigue fortaleciéndose mediante la contratación de expertos técnicos asociados y de personal de apoyo en el marco de iniciativas y proyectos regionales, sobre la base de redes de expertos altamente especializados. </w:t>
      </w:r>
      <w:bookmarkStart w:id="20" w:name="lt_pId128"/>
      <w:r w:rsidR="00A129B2" w:rsidRPr="00666FB2">
        <w:t>Actualmente se está estudiando la contratación de jóvenes funcionarios profesionales.</w:t>
      </w:r>
    </w:p>
    <w:bookmarkEnd w:id="20"/>
    <w:p w:rsidR="00DB34C7" w:rsidRPr="00666FB2" w:rsidRDefault="00332DB8" w:rsidP="008F6AC1">
      <w:pPr>
        <w:pStyle w:val="Heading1"/>
      </w:pPr>
      <w:r w:rsidRPr="00666FB2">
        <w:t>7</w:t>
      </w:r>
      <w:r w:rsidR="00DB34C7" w:rsidRPr="00666FB2">
        <w:tab/>
        <w:t xml:space="preserve">Ayuda a las actividades de empoderamiento de las Oficinas Regionales y </w:t>
      </w:r>
      <w:r w:rsidR="008F6AC1" w:rsidRPr="00666FB2">
        <w:t>de Zona</w:t>
      </w:r>
    </w:p>
    <w:p w:rsidR="00332DB8" w:rsidRPr="00666FB2" w:rsidRDefault="00A129B2" w:rsidP="008F6AC1">
      <w:pPr>
        <w:rPr>
          <w:rFonts w:asciiTheme="minorHAnsi" w:hAnsiTheme="minorHAnsi"/>
          <w:szCs w:val="24"/>
        </w:rPr>
      </w:pPr>
      <w:bookmarkStart w:id="21" w:name="lt_pId131"/>
      <w:r w:rsidRPr="00666FB2">
        <w:rPr>
          <w:rFonts w:asciiTheme="minorHAnsi" w:hAnsiTheme="minorHAnsi"/>
          <w:szCs w:val="24"/>
        </w:rPr>
        <w:t xml:space="preserve">En el </w:t>
      </w:r>
      <w:r w:rsidRPr="00666FB2">
        <w:rPr>
          <w:rFonts w:asciiTheme="minorHAnsi" w:hAnsiTheme="minorHAnsi"/>
          <w:b/>
          <w:bCs/>
          <w:szCs w:val="24"/>
        </w:rPr>
        <w:t xml:space="preserve">Anexo 3 </w:t>
      </w:r>
      <w:r w:rsidRPr="00666FB2">
        <w:rPr>
          <w:rFonts w:asciiTheme="minorHAnsi" w:hAnsiTheme="minorHAnsi"/>
          <w:szCs w:val="24"/>
        </w:rPr>
        <w:t xml:space="preserve">se describen las actividades realizadas durante 2018 para habilitar a las Oficinas Regionales y </w:t>
      </w:r>
      <w:r w:rsidR="008F6AC1" w:rsidRPr="00666FB2">
        <w:rPr>
          <w:rFonts w:asciiTheme="minorHAnsi" w:hAnsiTheme="minorHAnsi"/>
          <w:szCs w:val="24"/>
        </w:rPr>
        <w:t>de Zona</w:t>
      </w:r>
      <w:r w:rsidR="00332DB8" w:rsidRPr="00666FB2">
        <w:rPr>
          <w:rFonts w:asciiTheme="minorHAnsi" w:hAnsiTheme="minorHAnsi"/>
          <w:szCs w:val="24"/>
        </w:rPr>
        <w:t>.</w:t>
      </w:r>
      <w:bookmarkEnd w:id="21"/>
    </w:p>
    <w:p w:rsidR="00332DB8" w:rsidRPr="00666FB2" w:rsidRDefault="00332DB8" w:rsidP="00E5080A">
      <w:r w:rsidRPr="00666FB2">
        <w:br w:type="page"/>
      </w:r>
    </w:p>
    <w:p w:rsidR="00332DB8" w:rsidRPr="00666FB2" w:rsidRDefault="0049334C" w:rsidP="001802FB">
      <w:pPr>
        <w:pStyle w:val="AppendixNo"/>
      </w:pPr>
      <w:bookmarkStart w:id="22" w:name="lt_pId132"/>
      <w:r w:rsidRPr="00666FB2">
        <w:lastRenderedPageBreak/>
        <w:t>APé</w:t>
      </w:r>
      <w:r w:rsidR="00332DB8" w:rsidRPr="00666FB2">
        <w:t>NDI</w:t>
      </w:r>
      <w:bookmarkEnd w:id="22"/>
      <w:r w:rsidRPr="00666FB2">
        <w:t>ce</w:t>
      </w:r>
    </w:p>
    <w:p w:rsidR="00332DB8" w:rsidRPr="00666FB2" w:rsidRDefault="00A129B2" w:rsidP="001802FB">
      <w:pPr>
        <w:pStyle w:val="Appendixtitle"/>
      </w:pPr>
      <w:bookmarkStart w:id="23" w:name="lt_pId133"/>
      <w:r w:rsidRPr="00666FB2">
        <w:t>Examen de la presencia r</w:t>
      </w:r>
      <w:r w:rsidR="00332DB8" w:rsidRPr="00666FB2">
        <w:t>egional</w:t>
      </w:r>
      <w:r w:rsidR="007D4F4B" w:rsidRPr="00666FB2">
        <w:t xml:space="preserve"> </w:t>
      </w:r>
      <w:r w:rsidR="00332DB8" w:rsidRPr="00666FB2">
        <w:t xml:space="preserve">– </w:t>
      </w:r>
      <w:bookmarkEnd w:id="23"/>
      <w:r w:rsidRPr="00666FB2">
        <w:t>Mandato</w:t>
      </w:r>
    </w:p>
    <w:p w:rsidR="00332DB8" w:rsidRPr="00666FB2" w:rsidRDefault="001802FB" w:rsidP="001802FB">
      <w:pPr>
        <w:pStyle w:val="Heading1"/>
      </w:pPr>
      <w:bookmarkStart w:id="24" w:name="lt_pId134"/>
      <w:r w:rsidRPr="00666FB2">
        <w:t>1</w:t>
      </w:r>
      <w:r w:rsidRPr="00666FB2">
        <w:tab/>
      </w:r>
      <w:r w:rsidR="00A129B2" w:rsidRPr="00666FB2">
        <w:t>Objeto</w:t>
      </w:r>
      <w:bookmarkEnd w:id="24"/>
    </w:p>
    <w:p w:rsidR="00A129B2" w:rsidRPr="00666FB2" w:rsidRDefault="00A129B2" w:rsidP="001802FB">
      <w:bookmarkStart w:id="25" w:name="lt_pId135"/>
      <w:r w:rsidRPr="00666FB2">
        <w:t>La UIT tiene previsto realizar un examen de la presencia regional de la organización, de conformidad con los requisitos y disposiciones de la Resolución 25 (Rev. Dubái, 2018).</w:t>
      </w:r>
    </w:p>
    <w:bookmarkEnd w:id="25"/>
    <w:p w:rsidR="00332DB8" w:rsidRPr="00666FB2" w:rsidRDefault="00A129B2" w:rsidP="009E177A">
      <w:r w:rsidRPr="00666FB2">
        <w:t>Desde esta perspectiva,</w:t>
      </w:r>
      <w:r w:rsidR="00CD382D" w:rsidRPr="00666FB2">
        <w:t xml:space="preserve"> es fundamental evaluar si la organización y la actividad de las oficinas en el terreno contribuyen sustancialmente al acercamiento de las actividades institucionales de la UIT a sus miembros.</w:t>
      </w:r>
    </w:p>
    <w:p w:rsidR="00CD382D" w:rsidRPr="00666FB2" w:rsidRDefault="00A129B2" w:rsidP="009E177A">
      <w:pPr>
        <w:rPr>
          <w:szCs w:val="24"/>
        </w:rPr>
      </w:pPr>
      <w:bookmarkStart w:id="26" w:name="lt_pId137"/>
      <w:r w:rsidRPr="00666FB2">
        <w:rPr>
          <w:szCs w:val="24"/>
        </w:rPr>
        <w:t>Esta revisión tiene por objeto definir y poner en marcha un plan de acción que permita</w:t>
      </w:r>
      <w:r w:rsidR="00CD382D" w:rsidRPr="00666FB2">
        <w:rPr>
          <w:szCs w:val="24"/>
        </w:rPr>
        <w:t>:</w:t>
      </w:r>
      <w:bookmarkEnd w:id="26"/>
    </w:p>
    <w:p w:rsidR="00CD382D" w:rsidRPr="00666FB2" w:rsidRDefault="00CD382D" w:rsidP="009E177A">
      <w:pPr>
        <w:pStyle w:val="enumlev1"/>
      </w:pPr>
      <w:bookmarkStart w:id="27" w:name="_Toc527449772"/>
      <w:r w:rsidRPr="00666FB2">
        <w:t>a)</w:t>
      </w:r>
      <w:r w:rsidRPr="00666FB2">
        <w:tab/>
        <w:t xml:space="preserve">medir </w:t>
      </w:r>
      <w:r w:rsidR="00A129B2" w:rsidRPr="00666FB2">
        <w:t xml:space="preserve">el rendimiento </w:t>
      </w:r>
      <w:r w:rsidRPr="00666FB2">
        <w:t>de las Oficinas Regionales (OR) con el conjunto actual de reglas</w:t>
      </w:r>
      <w:bookmarkEnd w:id="27"/>
      <w:r w:rsidR="009525A0" w:rsidRPr="00666FB2">
        <w:t>;</w:t>
      </w:r>
    </w:p>
    <w:p w:rsidR="00CD382D" w:rsidRPr="00666FB2" w:rsidRDefault="00CD382D" w:rsidP="009E177A">
      <w:pPr>
        <w:pStyle w:val="enumlev1"/>
      </w:pPr>
      <w:bookmarkStart w:id="28" w:name="_Toc527449773"/>
      <w:r w:rsidRPr="00666FB2">
        <w:t>b)</w:t>
      </w:r>
      <w:r w:rsidRPr="00666FB2">
        <w:tab/>
      </w:r>
      <w:r w:rsidR="00A129B2" w:rsidRPr="00666FB2">
        <w:t xml:space="preserve">desarrollar </w:t>
      </w:r>
      <w:r w:rsidRPr="00666FB2">
        <w:t>un proceso de gestión de riesgos efectivo (ERM), que incluye la evaluación de riesgos de las actividades a nivel de Oficina Regional</w:t>
      </w:r>
      <w:bookmarkEnd w:id="28"/>
      <w:r w:rsidR="009525A0" w:rsidRPr="00666FB2">
        <w:t>;</w:t>
      </w:r>
    </w:p>
    <w:p w:rsidR="00CD382D" w:rsidRPr="00666FB2" w:rsidRDefault="00CD382D" w:rsidP="009E177A">
      <w:pPr>
        <w:pStyle w:val="enumlev1"/>
      </w:pPr>
      <w:bookmarkStart w:id="29" w:name="_Toc527449774"/>
      <w:r w:rsidRPr="00666FB2">
        <w:t>c)</w:t>
      </w:r>
      <w:r w:rsidRPr="00666FB2">
        <w:tab/>
      </w:r>
      <w:r w:rsidR="00A129B2" w:rsidRPr="00666FB2">
        <w:t xml:space="preserve">elaborar instrumentos que faciliten la </w:t>
      </w:r>
      <w:r w:rsidRPr="00666FB2">
        <w:t xml:space="preserve">coordinación </w:t>
      </w:r>
      <w:r w:rsidR="00A129B2" w:rsidRPr="00666FB2">
        <w:t xml:space="preserve">efectiva </w:t>
      </w:r>
      <w:r w:rsidRPr="00666FB2">
        <w:t xml:space="preserve">entre las Oficinas </w:t>
      </w:r>
      <w:r w:rsidR="00680471" w:rsidRPr="00666FB2">
        <w:t>Regionales y la </w:t>
      </w:r>
      <w:r w:rsidRPr="00666FB2">
        <w:t>Sede</w:t>
      </w:r>
      <w:bookmarkEnd w:id="29"/>
      <w:r w:rsidR="009525A0" w:rsidRPr="00666FB2">
        <w:t>;</w:t>
      </w:r>
    </w:p>
    <w:p w:rsidR="00CD382D" w:rsidRPr="00666FB2" w:rsidRDefault="00CD382D" w:rsidP="009E177A">
      <w:pPr>
        <w:pStyle w:val="enumlev1"/>
      </w:pPr>
      <w:bookmarkStart w:id="30" w:name="_Toc527449775"/>
      <w:r w:rsidRPr="00666FB2">
        <w:t>d)</w:t>
      </w:r>
      <w:r w:rsidRPr="00666FB2">
        <w:tab/>
      </w:r>
      <w:r w:rsidR="00A129B2" w:rsidRPr="00666FB2">
        <w:t xml:space="preserve">garantizar que las </w:t>
      </w:r>
      <w:r w:rsidRPr="00666FB2">
        <w:t xml:space="preserve">Oficinas Regionales </w:t>
      </w:r>
      <w:r w:rsidR="00A129B2" w:rsidRPr="00666FB2">
        <w:t xml:space="preserve">cumplan </w:t>
      </w:r>
      <w:r w:rsidRPr="00666FB2">
        <w:t>las reglas y los procedimientos establecidos por la Sede relativos a la gestión financiera, los proyectos y las adquisiciones</w:t>
      </w:r>
      <w:bookmarkEnd w:id="30"/>
      <w:r w:rsidR="009525A0" w:rsidRPr="00666FB2">
        <w:t>.</w:t>
      </w:r>
    </w:p>
    <w:p w:rsidR="00123ED8" w:rsidRPr="00666FB2" w:rsidRDefault="00A129B2" w:rsidP="009E177A">
      <w:pPr>
        <w:spacing w:after="80"/>
        <w:rPr>
          <w:szCs w:val="24"/>
        </w:rPr>
      </w:pPr>
      <w:bookmarkStart w:id="31" w:name="lt_pId142"/>
      <w:r w:rsidRPr="00666FB2">
        <w:rPr>
          <w:szCs w:val="24"/>
        </w:rPr>
        <w:t>En el examen se debe tomar en consideración los siguientes elementos</w:t>
      </w:r>
      <w:r w:rsidR="00123ED8" w:rsidRPr="00666FB2">
        <w:rPr>
          <w:szCs w:val="24"/>
        </w:rPr>
        <w:t>:</w:t>
      </w:r>
      <w:bookmarkEnd w:id="31"/>
    </w:p>
    <w:p w:rsidR="00123ED8" w:rsidRPr="00666FB2" w:rsidRDefault="00123ED8" w:rsidP="009E177A">
      <w:pPr>
        <w:pStyle w:val="enumlev1"/>
      </w:pPr>
      <w:r w:rsidRPr="00666FB2">
        <w:t>a)</w:t>
      </w:r>
      <w:r w:rsidRPr="00666FB2">
        <w:tab/>
        <w:t>la medida en que la Oficina de Desarrollo de las Telecomunicaciones, la Secretaría General y las otras dos Oficinas han cumplido las disposiciones de la Resolución 25 (Rev. Dubái, 2018) de la Conferencia de Plenipotenciarios, según proceda;</w:t>
      </w:r>
    </w:p>
    <w:p w:rsidR="00123ED8" w:rsidRPr="00666FB2" w:rsidRDefault="00123ED8" w:rsidP="009E177A">
      <w:pPr>
        <w:pStyle w:val="enumlev1"/>
      </w:pPr>
      <w:r w:rsidRPr="00666FB2">
        <w:t>b)</w:t>
      </w:r>
      <w:r w:rsidRPr="00666FB2">
        <w:tab/>
        <w:t>el grado en que una mayor descentralización puede mejorar la eficiencia con menores costes, teniendo en cuenta los factores de responsabilidad y transparencia;</w:t>
      </w:r>
    </w:p>
    <w:p w:rsidR="00123ED8" w:rsidRPr="00666FB2" w:rsidRDefault="00123ED8" w:rsidP="009E177A">
      <w:pPr>
        <w:pStyle w:val="enumlev1"/>
      </w:pPr>
      <w:r w:rsidRPr="00666FB2">
        <w:t>c)</w:t>
      </w:r>
      <w:r w:rsidRPr="00666FB2">
        <w:tab/>
        <w:t>los resultados de las últimas encuestas del nivel de satisfacción de los Estados Miembros, los Miembros de Sector y las organizaciones regionales de telecomunicaciones</w:t>
      </w:r>
      <w:r w:rsidR="00A129B2" w:rsidRPr="00666FB2">
        <w:t>/TIC</w:t>
      </w:r>
      <w:r w:rsidRPr="00666FB2">
        <w:t xml:space="preserve"> en lo tocante a la presencia regional de la UIT;</w:t>
      </w:r>
    </w:p>
    <w:p w:rsidR="00123ED8" w:rsidRPr="00666FB2" w:rsidRDefault="00123ED8" w:rsidP="009E177A">
      <w:pPr>
        <w:pStyle w:val="enumlev1"/>
      </w:pPr>
      <w:r w:rsidRPr="00666FB2">
        <w:t>d)</w:t>
      </w:r>
      <w:r w:rsidRPr="00666FB2">
        <w:tab/>
        <w:t>la asistencia facilitada a los países en desarrollo para participar en las actividades de la UIT;</w:t>
      </w:r>
    </w:p>
    <w:p w:rsidR="00123ED8" w:rsidRPr="00666FB2" w:rsidRDefault="00123ED8" w:rsidP="009E177A">
      <w:pPr>
        <w:pStyle w:val="enumlev1"/>
      </w:pPr>
      <w:r w:rsidRPr="00666FB2">
        <w:t>e)</w:t>
      </w:r>
      <w:r w:rsidRPr="00666FB2">
        <w:tab/>
        <w:t>la incidencia de posibles duplicaciones de actividades entre las funciones de la Sede de la UIT y sus Oficinas Regionales;</w:t>
      </w:r>
    </w:p>
    <w:p w:rsidR="00123ED8" w:rsidRPr="00666FB2" w:rsidRDefault="00123ED8" w:rsidP="009E177A">
      <w:pPr>
        <w:pStyle w:val="enumlev1"/>
      </w:pPr>
      <w:r w:rsidRPr="00666FB2">
        <w:t>f)</w:t>
      </w:r>
      <w:r w:rsidRPr="00666FB2">
        <w:tab/>
        <w:t>la medida en que se han cumplido las disposiciones de la Resolución 17 (Rev. Buenos Aires, 2017) de la Conferencia Mundial de Desarrollo de las Telecomunicaciones;</w:t>
      </w:r>
    </w:p>
    <w:p w:rsidR="00123ED8" w:rsidRPr="00666FB2" w:rsidRDefault="00123ED8" w:rsidP="009E177A">
      <w:pPr>
        <w:pStyle w:val="enumlev1"/>
      </w:pPr>
      <w:r w:rsidRPr="00666FB2">
        <w:t>g)</w:t>
      </w:r>
      <w:r w:rsidRPr="00666FB2">
        <w:tab/>
        <w:t>el nivel de autonomía que tienen actualmente las Oficinas Regionales para adoptar decisiones, y si una mayor autonomía mejoraría su eficiencia y eficacia;</w:t>
      </w:r>
    </w:p>
    <w:p w:rsidR="00123ED8" w:rsidRPr="00666FB2" w:rsidRDefault="00123ED8" w:rsidP="009E177A">
      <w:pPr>
        <w:pStyle w:val="enumlev1"/>
      </w:pPr>
      <w:r w:rsidRPr="00666FB2">
        <w:t>h)</w:t>
      </w:r>
      <w:r w:rsidRPr="00666FB2">
        <w:tab/>
        <w:t>la eficacia de la colaboración y coordinación entre las Oficinas Regionales de la UIT, las organizaciones regionales de telecomunicaciones</w:t>
      </w:r>
      <w:r w:rsidR="00A129B2" w:rsidRPr="00666FB2">
        <w:t>/TIC</w:t>
      </w:r>
      <w:r w:rsidRPr="00666FB2">
        <w:t xml:space="preserve"> y otras organizaciones regionales e internacionales de desarrollo y financieras;</w:t>
      </w:r>
    </w:p>
    <w:p w:rsidR="00123ED8" w:rsidRPr="00666FB2" w:rsidRDefault="00123ED8" w:rsidP="009E177A">
      <w:pPr>
        <w:pStyle w:val="enumlev1"/>
      </w:pPr>
      <w:r w:rsidRPr="00666FB2">
        <w:t>i)</w:t>
      </w:r>
      <w:r w:rsidRPr="00666FB2">
        <w:tab/>
        <w:t>la medida en que la presencia regional y la organización de las actividades en las regiones puede potenciar la participación de todos los países en las actividades de la UIT;</w:t>
      </w:r>
    </w:p>
    <w:p w:rsidR="00123ED8" w:rsidRPr="00666FB2" w:rsidRDefault="00123ED8" w:rsidP="009E177A">
      <w:pPr>
        <w:pStyle w:val="enumlev1"/>
      </w:pPr>
      <w:r w:rsidRPr="00666FB2">
        <w:t>j)</w:t>
      </w:r>
      <w:r w:rsidRPr="00666FB2">
        <w:tab/>
        <w:t>los recursos de que disponen actualmente las Oficinas Regionales de la UIT para reducir la brecha digital;</w:t>
      </w:r>
    </w:p>
    <w:p w:rsidR="00123ED8" w:rsidRPr="00666FB2" w:rsidRDefault="00123ED8" w:rsidP="008F6AC1">
      <w:pPr>
        <w:pStyle w:val="enumlev1"/>
      </w:pPr>
      <w:r w:rsidRPr="00666FB2">
        <w:lastRenderedPageBreak/>
        <w:t>k)</w:t>
      </w:r>
      <w:r w:rsidRPr="00666FB2">
        <w:tab/>
        <w:t xml:space="preserve">la estructura general de la presencia regional de la UIT, incluida la ubicación y el número de Oficinas Regionales y </w:t>
      </w:r>
      <w:r w:rsidR="008F6AC1" w:rsidRPr="00666FB2">
        <w:t>de Zona</w:t>
      </w:r>
      <w:r w:rsidRPr="00666FB2">
        <w:t>.</w:t>
      </w:r>
    </w:p>
    <w:p w:rsidR="00123ED8" w:rsidRPr="00666FB2" w:rsidRDefault="001802FB" w:rsidP="001802FB">
      <w:pPr>
        <w:pStyle w:val="Heading1"/>
      </w:pPr>
      <w:bookmarkStart w:id="32" w:name="lt_pId154"/>
      <w:r w:rsidRPr="00666FB2">
        <w:t>2</w:t>
      </w:r>
      <w:r w:rsidRPr="00666FB2">
        <w:tab/>
      </w:r>
      <w:r w:rsidR="00A129B2" w:rsidRPr="00666FB2">
        <w:t>Requisitos funcionales</w:t>
      </w:r>
      <w:bookmarkEnd w:id="32"/>
    </w:p>
    <w:p w:rsidR="00A129B2" w:rsidRPr="00666FB2" w:rsidRDefault="001802FB" w:rsidP="001802FB">
      <w:pPr>
        <w:pStyle w:val="enumlev1"/>
      </w:pPr>
      <w:bookmarkStart w:id="33" w:name="lt_pId163"/>
      <w:r w:rsidRPr="00666FB2">
        <w:t>1</w:t>
      </w:r>
      <w:r w:rsidR="00BF7EF4" w:rsidRPr="00666FB2">
        <w:t>)</w:t>
      </w:r>
      <w:r w:rsidRPr="00666FB2">
        <w:tab/>
      </w:r>
      <w:r w:rsidR="00A129B2" w:rsidRPr="00666FB2">
        <w:t xml:space="preserve">Analizar el </w:t>
      </w:r>
      <w:r w:rsidR="007C10AA" w:rsidRPr="00666FB2">
        <w:t xml:space="preserve">objeto </w:t>
      </w:r>
      <w:r w:rsidR="00A129B2" w:rsidRPr="00666FB2">
        <w:t xml:space="preserve">y </w:t>
      </w:r>
      <w:r w:rsidR="007C10AA" w:rsidRPr="00666FB2">
        <w:t>la función</w:t>
      </w:r>
      <w:r w:rsidR="00A129B2" w:rsidRPr="00666FB2">
        <w:t xml:space="preserve"> de la presencia regional de la UIT para contribuir a la aplicación del Plan </w:t>
      </w:r>
      <w:r w:rsidR="00FF1D89" w:rsidRPr="00666FB2">
        <w:t>Estratégico de la UIT 2020-2023.</w:t>
      </w:r>
    </w:p>
    <w:p w:rsidR="00A129B2" w:rsidRPr="00666FB2" w:rsidRDefault="001802FB" w:rsidP="0079373E">
      <w:pPr>
        <w:pStyle w:val="enumlev1"/>
      </w:pPr>
      <w:r w:rsidRPr="00666FB2">
        <w:t>2</w:t>
      </w:r>
      <w:r w:rsidR="00540C2E" w:rsidRPr="00666FB2">
        <w:t>)</w:t>
      </w:r>
      <w:r w:rsidRPr="00666FB2">
        <w:tab/>
      </w:r>
      <w:r w:rsidR="00A129B2" w:rsidRPr="00666FB2">
        <w:t xml:space="preserve">Analizar </w:t>
      </w:r>
      <w:r w:rsidR="0079373E" w:rsidRPr="00666FB2">
        <w:t>"</w:t>
      </w:r>
      <w:r w:rsidR="007C10AA" w:rsidRPr="00666FB2">
        <w:t>cuán adecuada</w:t>
      </w:r>
      <w:r w:rsidR="0079373E" w:rsidRPr="00666FB2">
        <w:t>"</w:t>
      </w:r>
      <w:r w:rsidR="007C10AA" w:rsidRPr="00666FB2">
        <w:t xml:space="preserve"> es </w:t>
      </w:r>
      <w:r w:rsidR="00A129B2" w:rsidRPr="00666FB2">
        <w:t xml:space="preserve">la presencia regional de la UIT para </w:t>
      </w:r>
      <w:r w:rsidR="007C10AA" w:rsidRPr="00666FB2">
        <w:t xml:space="preserve">ejecutar </w:t>
      </w:r>
      <w:r w:rsidR="00540C2E" w:rsidRPr="00666FB2">
        <w:t>los Planes de Acción de la CMDT.</w:t>
      </w:r>
    </w:p>
    <w:p w:rsidR="00A129B2" w:rsidRPr="00666FB2" w:rsidRDefault="001802FB" w:rsidP="001802FB">
      <w:pPr>
        <w:pStyle w:val="enumlev1"/>
      </w:pPr>
      <w:r w:rsidRPr="00666FB2">
        <w:t>3</w:t>
      </w:r>
      <w:r w:rsidR="00A005A1" w:rsidRPr="00666FB2">
        <w:t>)</w:t>
      </w:r>
      <w:r w:rsidRPr="00666FB2">
        <w:tab/>
      </w:r>
      <w:r w:rsidR="007C10AA" w:rsidRPr="00666FB2">
        <w:t>Analizar, d</w:t>
      </w:r>
      <w:r w:rsidR="00A129B2" w:rsidRPr="00666FB2">
        <w:t>e conformidad con la Res</w:t>
      </w:r>
      <w:r w:rsidR="007C10AA" w:rsidRPr="00666FB2">
        <w:t>olución</w:t>
      </w:r>
      <w:r w:rsidR="00A129B2" w:rsidRPr="00666FB2">
        <w:t xml:space="preserve"> 25 (Dub</w:t>
      </w:r>
      <w:r w:rsidR="007C10AA" w:rsidRPr="00666FB2">
        <w:t>á</w:t>
      </w:r>
      <w:r w:rsidR="00A129B2" w:rsidRPr="00666FB2">
        <w:t>i, 2018), cómo la presencia regional llevará a cabo las actividades regionales del conjunto de la UIT, incluidas la BR, la T</w:t>
      </w:r>
      <w:r w:rsidR="00A005A1" w:rsidRPr="00666FB2">
        <w:t>SB y la Secretaría General.</w:t>
      </w:r>
    </w:p>
    <w:p w:rsidR="00A129B2" w:rsidRPr="00666FB2" w:rsidRDefault="001802FB" w:rsidP="001802FB">
      <w:pPr>
        <w:pStyle w:val="enumlev1"/>
      </w:pPr>
      <w:r w:rsidRPr="00666FB2">
        <w:t>4</w:t>
      </w:r>
      <w:r w:rsidR="00353D18" w:rsidRPr="00666FB2">
        <w:t>)</w:t>
      </w:r>
      <w:r w:rsidRPr="00666FB2">
        <w:tab/>
      </w:r>
      <w:r w:rsidR="00A129B2" w:rsidRPr="00666FB2">
        <w:t>Analizar el papel de las Oficinas Regionales/presencia</w:t>
      </w:r>
      <w:r w:rsidR="007C10AA" w:rsidRPr="00666FB2">
        <w:t xml:space="preserve"> regional</w:t>
      </w:r>
      <w:r w:rsidR="00A129B2" w:rsidRPr="00666FB2">
        <w:t xml:space="preserve"> dentro del sistema de desarrollo de las Naciones Unidas y el ecosistema de la industria, </w:t>
      </w:r>
      <w:r w:rsidR="007C10AA" w:rsidRPr="00666FB2">
        <w:t>en los planos</w:t>
      </w:r>
      <w:r w:rsidR="00353D18" w:rsidRPr="00666FB2">
        <w:t xml:space="preserve"> nacional y regional.</w:t>
      </w:r>
    </w:p>
    <w:p w:rsidR="00A129B2" w:rsidRPr="00666FB2" w:rsidRDefault="001802FB" w:rsidP="001802FB">
      <w:pPr>
        <w:pStyle w:val="enumlev1"/>
      </w:pPr>
      <w:r w:rsidRPr="00666FB2">
        <w:t>5</w:t>
      </w:r>
      <w:r w:rsidR="00EC48EE" w:rsidRPr="00666FB2">
        <w:t>)</w:t>
      </w:r>
      <w:r w:rsidRPr="00666FB2">
        <w:tab/>
      </w:r>
      <w:r w:rsidR="00A129B2" w:rsidRPr="00666FB2">
        <w:t xml:space="preserve">Ayudar </w:t>
      </w:r>
      <w:r w:rsidR="007C10AA" w:rsidRPr="00666FB2">
        <w:t>a la dirección</w:t>
      </w:r>
      <w:r w:rsidR="00A129B2" w:rsidRPr="00666FB2">
        <w:t xml:space="preserve"> de la UIT a (re)definir </w:t>
      </w:r>
      <w:r w:rsidR="007C10AA" w:rsidRPr="00666FB2">
        <w:t>la función</w:t>
      </w:r>
      <w:r w:rsidR="00A129B2" w:rsidRPr="00666FB2">
        <w:t xml:space="preserve">, la estructura y los objetivos de </w:t>
      </w:r>
      <w:r w:rsidR="00EC48EE" w:rsidRPr="00666FB2">
        <w:t>la presencia regional de la UIT.</w:t>
      </w:r>
    </w:p>
    <w:p w:rsidR="00A129B2" w:rsidRPr="00666FB2" w:rsidRDefault="001802FB" w:rsidP="001802FB">
      <w:pPr>
        <w:pStyle w:val="enumlev1"/>
      </w:pPr>
      <w:r w:rsidRPr="00666FB2">
        <w:t>6</w:t>
      </w:r>
      <w:r w:rsidR="00C56D19" w:rsidRPr="00666FB2">
        <w:t>)</w:t>
      </w:r>
      <w:r w:rsidRPr="00666FB2">
        <w:tab/>
      </w:r>
      <w:r w:rsidR="00A129B2" w:rsidRPr="00666FB2">
        <w:t xml:space="preserve">Evaluar el compromiso de la presencia regional de la UIT con los diferentes asociados en el ecosistema de las TIC a fin de </w:t>
      </w:r>
      <w:r w:rsidR="007C10AA" w:rsidRPr="00666FB2">
        <w:t>propiciar</w:t>
      </w:r>
      <w:r w:rsidR="00A129B2" w:rsidRPr="00666FB2">
        <w:t xml:space="preserve"> </w:t>
      </w:r>
      <w:r w:rsidR="007C10AA" w:rsidRPr="00666FB2">
        <w:t>e</w:t>
      </w:r>
      <w:r w:rsidR="00A129B2" w:rsidRPr="00666FB2">
        <w:t>l debate sobre cuestiones regio</w:t>
      </w:r>
      <w:r w:rsidR="00C56D19" w:rsidRPr="00666FB2">
        <w:t>nales.</w:t>
      </w:r>
    </w:p>
    <w:p w:rsidR="00A129B2" w:rsidRPr="00666FB2" w:rsidRDefault="001802FB" w:rsidP="001802FB">
      <w:pPr>
        <w:pStyle w:val="enumlev1"/>
      </w:pPr>
      <w:r w:rsidRPr="00666FB2">
        <w:t>7</w:t>
      </w:r>
      <w:r w:rsidR="00216695" w:rsidRPr="00666FB2">
        <w:t>)</w:t>
      </w:r>
      <w:r w:rsidRPr="00666FB2">
        <w:tab/>
      </w:r>
      <w:r w:rsidR="00A129B2" w:rsidRPr="00666FB2">
        <w:t>Evaluar el papel de la presencia regional en el fortalecimiento de la función de la UIT como organismo de ejecución de proyectos (de conformidad con la Resolución 135 de</w:t>
      </w:r>
      <w:r w:rsidR="00E10DE2" w:rsidRPr="00666FB2">
        <w:t xml:space="preserve"> </w:t>
      </w:r>
      <w:r w:rsidR="00A129B2" w:rsidRPr="00666FB2">
        <w:t>l</w:t>
      </w:r>
      <w:r w:rsidR="00E10DE2" w:rsidRPr="00666FB2">
        <w:t>a</w:t>
      </w:r>
      <w:r w:rsidR="00A129B2" w:rsidRPr="00666FB2">
        <w:t xml:space="preserve"> PP sobre la prestación de asistencia técni</w:t>
      </w:r>
      <w:r w:rsidR="00216695" w:rsidRPr="00666FB2">
        <w:t>ca y la ejecución de proyectos).</w:t>
      </w:r>
    </w:p>
    <w:p w:rsidR="00A129B2" w:rsidRPr="00666FB2" w:rsidRDefault="001802FB" w:rsidP="001802FB">
      <w:pPr>
        <w:pStyle w:val="enumlev1"/>
      </w:pPr>
      <w:r w:rsidRPr="00666FB2">
        <w:t>8</w:t>
      </w:r>
      <w:r w:rsidR="0034249E" w:rsidRPr="00666FB2">
        <w:t>)</w:t>
      </w:r>
      <w:r w:rsidRPr="00666FB2">
        <w:tab/>
      </w:r>
      <w:r w:rsidR="00A129B2" w:rsidRPr="00666FB2">
        <w:t>Examinar el apoyo prestado por las Oficinas Regionales en los procesos preparatorios regionales de las principales conferencias de la UIT, incluid</w:t>
      </w:r>
      <w:r w:rsidR="0079373E" w:rsidRPr="00666FB2">
        <w:t>as la PP, la AMNT, la CMDT y la </w:t>
      </w:r>
      <w:r w:rsidR="00A129B2" w:rsidRPr="00666FB2">
        <w:t xml:space="preserve">CMR, y el </w:t>
      </w:r>
      <w:r w:rsidR="00A91A1D" w:rsidRPr="00666FB2">
        <w:t>que brindan</w:t>
      </w:r>
      <w:r w:rsidR="00A129B2" w:rsidRPr="00666FB2">
        <w:t xml:space="preserve"> las Oficinas Regionales a los principales eventos mundiales de la UIT que se celeb</w:t>
      </w:r>
      <w:r w:rsidR="0034249E" w:rsidRPr="00666FB2">
        <w:t>ran en las respectivas regiones.</w:t>
      </w:r>
    </w:p>
    <w:p w:rsidR="00123ED8" w:rsidRPr="00666FB2" w:rsidRDefault="001802FB" w:rsidP="001802FB">
      <w:pPr>
        <w:pStyle w:val="enumlev1"/>
      </w:pPr>
      <w:r w:rsidRPr="00666FB2">
        <w:t>9</w:t>
      </w:r>
      <w:r w:rsidR="005E27B8" w:rsidRPr="00666FB2">
        <w:t>)</w:t>
      </w:r>
      <w:r w:rsidRPr="00666FB2">
        <w:tab/>
      </w:r>
      <w:r w:rsidR="00A129B2" w:rsidRPr="00666FB2">
        <w:t xml:space="preserve">Examinar el papel </w:t>
      </w:r>
      <w:r w:rsidR="00A91A1D" w:rsidRPr="00666FB2">
        <w:t>que desempeñan</w:t>
      </w:r>
      <w:r w:rsidR="00A129B2" w:rsidRPr="00666FB2">
        <w:t xml:space="preserve"> las Oficinas Regionales </w:t>
      </w:r>
      <w:r w:rsidR="00A91A1D" w:rsidRPr="00666FB2">
        <w:t xml:space="preserve">en apoyo a las </w:t>
      </w:r>
      <w:r w:rsidR="00A129B2" w:rsidRPr="00666FB2">
        <w:t>Comisiones Regionales de Estudio (de conformidad con las Resoluciones</w:t>
      </w:r>
      <w:r w:rsidR="0079373E" w:rsidRPr="00666FB2">
        <w:t xml:space="preserve"> pertinentes de la AMNT y de la </w:t>
      </w:r>
      <w:r w:rsidR="00A129B2" w:rsidRPr="00666FB2">
        <w:t>CMDT)</w:t>
      </w:r>
      <w:bookmarkEnd w:id="33"/>
      <w:r w:rsidR="005E27B8" w:rsidRPr="00666FB2">
        <w:t>.</w:t>
      </w:r>
    </w:p>
    <w:p w:rsidR="00123ED8" w:rsidRPr="00666FB2" w:rsidRDefault="001802FB" w:rsidP="001802FB">
      <w:pPr>
        <w:pStyle w:val="enumlev1"/>
      </w:pPr>
      <w:bookmarkStart w:id="34" w:name="lt_pId164"/>
      <w:r w:rsidRPr="00666FB2">
        <w:t>10</w:t>
      </w:r>
      <w:r w:rsidR="004111C6" w:rsidRPr="00666FB2">
        <w:t>)</w:t>
      </w:r>
      <w:r w:rsidRPr="00666FB2">
        <w:tab/>
      </w:r>
      <w:r w:rsidR="007C10AA" w:rsidRPr="00666FB2">
        <w:t>Revisar</w:t>
      </w:r>
      <w:r w:rsidR="00A91A1D" w:rsidRPr="00666FB2">
        <w:t xml:space="preserve"> </w:t>
      </w:r>
      <w:r w:rsidR="00123ED8" w:rsidRPr="00666FB2">
        <w:t>los procedimientos administrativos internos relativos a las Oficinas Regionales, con miras a su simplificación y transparencia</w:t>
      </w:r>
      <w:r w:rsidR="00A91A1D" w:rsidRPr="00666FB2">
        <w:t xml:space="preserve"> y a mejorar su labor </w:t>
      </w:r>
      <w:r w:rsidR="00123ED8" w:rsidRPr="00666FB2">
        <w:t>(</w:t>
      </w:r>
      <w:r w:rsidR="00A91A1D" w:rsidRPr="00666FB2">
        <w:t xml:space="preserve">especialmente sobre el procedimiento para la reglamentación </w:t>
      </w:r>
      <w:r w:rsidR="00123ED8" w:rsidRPr="00666FB2">
        <w:rPr>
          <w:i/>
          <w:iCs/>
        </w:rPr>
        <w:t>ex ante</w:t>
      </w:r>
      <w:r w:rsidR="00123ED8" w:rsidRPr="00666FB2">
        <w:t xml:space="preserve"> </w:t>
      </w:r>
      <w:r w:rsidR="00A91A1D" w:rsidRPr="00666FB2">
        <w:t xml:space="preserve">y </w:t>
      </w:r>
      <w:r w:rsidR="00123ED8" w:rsidRPr="00666FB2">
        <w:rPr>
          <w:i/>
          <w:iCs/>
        </w:rPr>
        <w:t>ex post</w:t>
      </w:r>
      <w:r w:rsidR="00123ED8" w:rsidRPr="00666FB2">
        <w:t xml:space="preserve">), </w:t>
      </w:r>
      <w:r w:rsidR="00A91A1D" w:rsidRPr="00666FB2">
        <w:t>en particular</w:t>
      </w:r>
      <w:r w:rsidR="00123ED8" w:rsidRPr="00666FB2">
        <w:t>:</w:t>
      </w:r>
      <w:bookmarkEnd w:id="34"/>
    </w:p>
    <w:p w:rsidR="00A91A1D" w:rsidRPr="00666FB2" w:rsidRDefault="001802FB" w:rsidP="001802FB">
      <w:pPr>
        <w:pStyle w:val="enumlev2"/>
      </w:pPr>
      <w:bookmarkStart w:id="35" w:name="lt_pId165"/>
      <w:r w:rsidRPr="00666FB2">
        <w:t>a)</w:t>
      </w:r>
      <w:r w:rsidRPr="00666FB2">
        <w:tab/>
      </w:r>
      <w:r w:rsidR="00A91A1D" w:rsidRPr="00666FB2">
        <w:t>Analizar la comunicación interna de las Oficinas Regionales/presencia regional con la Sede y, en particular, con la BDT, la TSB</w:t>
      </w:r>
      <w:r w:rsidR="001E6DBA" w:rsidRPr="00666FB2">
        <w:t>, la BR y la Secretaría General.</w:t>
      </w:r>
    </w:p>
    <w:p w:rsidR="00A91A1D" w:rsidRPr="00666FB2" w:rsidRDefault="001802FB" w:rsidP="001802FB">
      <w:pPr>
        <w:pStyle w:val="enumlev2"/>
      </w:pPr>
      <w:r w:rsidRPr="00666FB2">
        <w:t>b)</w:t>
      </w:r>
      <w:r w:rsidRPr="00666FB2">
        <w:tab/>
      </w:r>
      <w:r w:rsidR="00A91A1D" w:rsidRPr="00666FB2">
        <w:t xml:space="preserve">Evaluar los mecanismos para reforzar la experiencia de las Oficinas Regionales, incluida la posibilidad de aplicar la </w:t>
      </w:r>
      <w:r w:rsidR="00C55125" w:rsidRPr="00666FB2">
        <w:t>política de movilidad en la UIT.</w:t>
      </w:r>
    </w:p>
    <w:p w:rsidR="00123ED8" w:rsidRPr="00666FB2" w:rsidRDefault="001802FB" w:rsidP="008F6AC1">
      <w:pPr>
        <w:pStyle w:val="enumlev2"/>
      </w:pPr>
      <w:r w:rsidRPr="00666FB2">
        <w:t>c)</w:t>
      </w:r>
      <w:r w:rsidRPr="00666FB2">
        <w:tab/>
      </w:r>
      <w:r w:rsidR="00A91A1D" w:rsidRPr="00666FB2">
        <w:t xml:space="preserve">Examinar la gestión financiera y las actividades de adquisición realizadas en las Oficinas Regionales y </w:t>
      </w:r>
      <w:r w:rsidR="008F6AC1" w:rsidRPr="00666FB2">
        <w:t>de Zona</w:t>
      </w:r>
      <w:bookmarkEnd w:id="35"/>
      <w:r w:rsidR="0086120C" w:rsidRPr="00666FB2">
        <w:t>.</w:t>
      </w:r>
    </w:p>
    <w:p w:rsidR="00123ED8" w:rsidRPr="00666FB2" w:rsidRDefault="001802FB" w:rsidP="001802FB">
      <w:pPr>
        <w:pStyle w:val="enumlev1"/>
      </w:pPr>
      <w:bookmarkStart w:id="36" w:name="lt_pId168"/>
      <w:r w:rsidRPr="00666FB2">
        <w:t>11</w:t>
      </w:r>
      <w:r w:rsidR="009618D3" w:rsidRPr="00666FB2">
        <w:t>)</w:t>
      </w:r>
      <w:r w:rsidRPr="00666FB2">
        <w:tab/>
      </w:r>
      <w:r w:rsidR="00A91A1D" w:rsidRPr="00666FB2">
        <w:t>Emprender todas las actividades necesarias para llevar a cabo el examen y consulta con todas las partes interesadas, en particular</w:t>
      </w:r>
      <w:r w:rsidR="00123ED8" w:rsidRPr="00666FB2">
        <w:t>:</w:t>
      </w:r>
      <w:bookmarkEnd w:id="36"/>
    </w:p>
    <w:p w:rsidR="00A91A1D" w:rsidRPr="00666FB2" w:rsidRDefault="001802FB" w:rsidP="001802FB">
      <w:pPr>
        <w:pStyle w:val="enumlev2"/>
      </w:pPr>
      <w:bookmarkStart w:id="37" w:name="lt_pId169"/>
      <w:r w:rsidRPr="00666FB2">
        <w:t>a)</w:t>
      </w:r>
      <w:r w:rsidRPr="00666FB2">
        <w:tab/>
      </w:r>
      <w:r w:rsidR="00A91A1D" w:rsidRPr="00666FB2">
        <w:t>Preparar ejemplos de cuestionari</w:t>
      </w:r>
      <w:r w:rsidR="0068260D" w:rsidRPr="00666FB2">
        <w:t>os/directrices para entrevistas.</w:t>
      </w:r>
    </w:p>
    <w:p w:rsidR="00A91A1D" w:rsidRPr="00666FB2" w:rsidRDefault="001802FB" w:rsidP="001802FB">
      <w:pPr>
        <w:pStyle w:val="enumlev2"/>
      </w:pPr>
      <w:r w:rsidRPr="00666FB2">
        <w:t>b)</w:t>
      </w:r>
      <w:r w:rsidRPr="00666FB2">
        <w:tab/>
      </w:r>
      <w:r w:rsidR="00A91A1D" w:rsidRPr="00666FB2">
        <w:t>Preparar el plan de comunicación y la iniciativa de comunic</w:t>
      </w:r>
      <w:r w:rsidR="001341EB" w:rsidRPr="00666FB2">
        <w:t>ación en la propia organización.</w:t>
      </w:r>
    </w:p>
    <w:p w:rsidR="00A91A1D" w:rsidRPr="00666FB2" w:rsidRDefault="001802FB" w:rsidP="001802FB">
      <w:pPr>
        <w:pStyle w:val="enumlev2"/>
      </w:pPr>
      <w:r w:rsidRPr="00666FB2">
        <w:lastRenderedPageBreak/>
        <w:t>c)</w:t>
      </w:r>
      <w:r w:rsidRPr="00666FB2">
        <w:tab/>
      </w:r>
      <w:r w:rsidR="00A91A1D" w:rsidRPr="00666FB2">
        <w:t>Recopilar datos, entrevistas y consultas con representantes de todas las partes interesadas de la UIT, incluidos los representantes de los Estados Miembros, los Miembros de Sector y d</w:t>
      </w:r>
      <w:r w:rsidR="00E93F58" w:rsidRPr="00666FB2">
        <w:t>el personal de la UIT.</w:t>
      </w:r>
    </w:p>
    <w:p w:rsidR="00A91A1D" w:rsidRPr="00666FB2" w:rsidRDefault="001802FB" w:rsidP="001802FB">
      <w:pPr>
        <w:pStyle w:val="enumlev2"/>
      </w:pPr>
      <w:r w:rsidRPr="00666FB2">
        <w:t>d)</w:t>
      </w:r>
      <w:r w:rsidRPr="00666FB2">
        <w:tab/>
      </w:r>
      <w:r w:rsidR="00A91A1D" w:rsidRPr="00666FB2">
        <w:t>Procesamiento de datos, aná</w:t>
      </w:r>
      <w:r w:rsidR="00F673D5" w:rsidRPr="00666FB2">
        <w:t>lisis y elaboración de informes.</w:t>
      </w:r>
    </w:p>
    <w:p w:rsidR="00A91A1D" w:rsidRPr="00666FB2" w:rsidRDefault="001802FB" w:rsidP="001802FB">
      <w:pPr>
        <w:pStyle w:val="enumlev2"/>
      </w:pPr>
      <w:r w:rsidRPr="00666FB2">
        <w:t>e)</w:t>
      </w:r>
      <w:r w:rsidRPr="00666FB2">
        <w:tab/>
      </w:r>
      <w:r w:rsidR="00A91A1D" w:rsidRPr="00666FB2">
        <w:t xml:space="preserve">Presentar las conclusiones del estudio y proponer las medidas adecuadas para garantizar la eficacia y eficiencia de </w:t>
      </w:r>
      <w:r w:rsidR="00A23626" w:rsidRPr="00666FB2">
        <w:t>la presencia regional de la UIT.</w:t>
      </w:r>
    </w:p>
    <w:p w:rsidR="00123ED8" w:rsidRPr="00666FB2" w:rsidRDefault="001802FB" w:rsidP="001802FB">
      <w:pPr>
        <w:pStyle w:val="enumlev1"/>
      </w:pPr>
      <w:bookmarkStart w:id="38" w:name="lt_pId174"/>
      <w:bookmarkEnd w:id="37"/>
      <w:r w:rsidRPr="00666FB2">
        <w:t>12</w:t>
      </w:r>
      <w:r w:rsidR="00057686" w:rsidRPr="00666FB2">
        <w:t>)</w:t>
      </w:r>
      <w:r w:rsidRPr="00666FB2">
        <w:tab/>
      </w:r>
      <w:r w:rsidR="00D33768" w:rsidRPr="00666FB2">
        <w:t>Proponer un plan de acción para la aplicación de las medidas propuestas</w:t>
      </w:r>
      <w:r w:rsidR="00123ED8" w:rsidRPr="00666FB2">
        <w:t>.</w:t>
      </w:r>
      <w:bookmarkEnd w:id="38"/>
    </w:p>
    <w:p w:rsidR="00123ED8" w:rsidRPr="00666FB2" w:rsidRDefault="001802FB" w:rsidP="001802FB">
      <w:pPr>
        <w:pStyle w:val="Heading1"/>
      </w:pPr>
      <w:r w:rsidRPr="00666FB2">
        <w:t>3</w:t>
      </w:r>
      <w:r w:rsidRPr="00666FB2">
        <w:tab/>
      </w:r>
      <w:r w:rsidR="00D33768" w:rsidRPr="00666FB2">
        <w:t>Resultados</w:t>
      </w:r>
    </w:p>
    <w:p w:rsidR="00123ED8" w:rsidRPr="00666FB2" w:rsidRDefault="00D33768" w:rsidP="009E177A">
      <w:pPr>
        <w:spacing w:after="80"/>
        <w:rPr>
          <w:szCs w:val="24"/>
        </w:rPr>
      </w:pPr>
      <w:bookmarkStart w:id="39" w:name="lt_pId176"/>
      <w:r w:rsidRPr="00666FB2">
        <w:rPr>
          <w:szCs w:val="24"/>
        </w:rPr>
        <w:t>El proyecto debe producir los siguientes resultados</w:t>
      </w:r>
      <w:r w:rsidR="00123ED8" w:rsidRPr="00666FB2">
        <w:rPr>
          <w:szCs w:val="24"/>
        </w:rPr>
        <w:t>:</w:t>
      </w:r>
      <w:bookmarkEnd w:id="39"/>
    </w:p>
    <w:p w:rsidR="00D33768" w:rsidRPr="00666FB2" w:rsidRDefault="001802FB" w:rsidP="001802FB">
      <w:pPr>
        <w:pStyle w:val="enumlev1"/>
      </w:pPr>
      <w:bookmarkStart w:id="40" w:name="lt_pId177"/>
      <w:r w:rsidRPr="00666FB2">
        <w:t>1</w:t>
      </w:r>
      <w:r w:rsidR="00202958" w:rsidRPr="00666FB2">
        <w:t>)</w:t>
      </w:r>
      <w:r w:rsidRPr="00666FB2">
        <w:tab/>
      </w:r>
      <w:r w:rsidR="00D33768" w:rsidRPr="00666FB2">
        <w:t>Perfil de la estructura actual de las Oficinas Regionales/presencia regional, en particular los procedimientos e indicadores de rendimiento para realizar un análisis de las deficiencias (en el que se tendrán en cuenta los recursos, las aptitudes y las herramientas</w:t>
      </w:r>
      <w:r w:rsidR="00202958" w:rsidRPr="00666FB2">
        <w:t>).</w:t>
      </w:r>
    </w:p>
    <w:p w:rsidR="00D33768" w:rsidRPr="00666FB2" w:rsidRDefault="001802FB" w:rsidP="001802FB">
      <w:pPr>
        <w:pStyle w:val="enumlev1"/>
      </w:pPr>
      <w:r w:rsidRPr="00666FB2">
        <w:t>2</w:t>
      </w:r>
      <w:r w:rsidR="00085421" w:rsidRPr="00666FB2">
        <w:t>)</w:t>
      </w:r>
      <w:r w:rsidRPr="00666FB2">
        <w:tab/>
      </w:r>
      <w:r w:rsidR="00D33768" w:rsidRPr="00666FB2">
        <w:t>Nivel actual de parámetros de eficacia/</w:t>
      </w:r>
      <w:r w:rsidR="00085421" w:rsidRPr="00666FB2">
        <w:t>rendimiento de la organización.</w:t>
      </w:r>
    </w:p>
    <w:p w:rsidR="00D33768" w:rsidRPr="00666FB2" w:rsidRDefault="001802FB" w:rsidP="001802FB">
      <w:pPr>
        <w:pStyle w:val="enumlev1"/>
      </w:pPr>
      <w:r w:rsidRPr="00666FB2">
        <w:t>3</w:t>
      </w:r>
      <w:r w:rsidR="00FA27C4" w:rsidRPr="00666FB2">
        <w:t>)</w:t>
      </w:r>
      <w:r w:rsidRPr="00666FB2">
        <w:tab/>
      </w:r>
      <w:r w:rsidR="00D33768" w:rsidRPr="00666FB2">
        <w:t xml:space="preserve">Perfil de la estructura deseada de las Oficinas Regionales/presencia regional, incluidos los objetivos de gestión que respondan a la orientación estratégica de la organización y las aptitudes del personal necesarias para alcanzar dichos </w:t>
      </w:r>
      <w:r w:rsidR="00FA27C4" w:rsidRPr="00666FB2">
        <w:t>objetivos.</w:t>
      </w:r>
    </w:p>
    <w:p w:rsidR="00D33768" w:rsidRPr="00666FB2" w:rsidRDefault="001802FB" w:rsidP="001802FB">
      <w:pPr>
        <w:pStyle w:val="enumlev1"/>
      </w:pPr>
      <w:r w:rsidRPr="00666FB2">
        <w:t>4</w:t>
      </w:r>
      <w:r w:rsidR="00143BB0" w:rsidRPr="00666FB2">
        <w:t>)</w:t>
      </w:r>
      <w:r w:rsidRPr="00666FB2">
        <w:tab/>
      </w:r>
      <w:r w:rsidR="00D33768" w:rsidRPr="00666FB2">
        <w:t>Objetivos de gestión para mejorar el rendimiento de la organización (incluidas las personas/aptitudes, la</w:t>
      </w:r>
      <w:r w:rsidR="00143BB0" w:rsidRPr="00666FB2">
        <w:t xml:space="preserve"> tecnología y las herramientas).</w:t>
      </w:r>
    </w:p>
    <w:p w:rsidR="00D33768" w:rsidRPr="00666FB2" w:rsidRDefault="001802FB" w:rsidP="001802FB">
      <w:pPr>
        <w:pStyle w:val="enumlev1"/>
      </w:pPr>
      <w:r w:rsidRPr="00666FB2">
        <w:t>5</w:t>
      </w:r>
      <w:r w:rsidR="005A0774" w:rsidRPr="00666FB2">
        <w:t>)</w:t>
      </w:r>
      <w:r w:rsidRPr="00666FB2">
        <w:tab/>
      </w:r>
      <w:r w:rsidR="00D33768" w:rsidRPr="00666FB2">
        <w:t>Elaborar y ampliar el modelo de gestión basada en los resultados para las Oficinas Regionales/presencia regional</w:t>
      </w:r>
      <w:r w:rsidR="005A0774" w:rsidRPr="00666FB2">
        <w:t>.</w:t>
      </w:r>
    </w:p>
    <w:p w:rsidR="00D33768" w:rsidRPr="00666FB2" w:rsidRDefault="001802FB" w:rsidP="001802FB">
      <w:pPr>
        <w:pStyle w:val="enumlev1"/>
      </w:pPr>
      <w:r w:rsidRPr="00666FB2">
        <w:t>6</w:t>
      </w:r>
      <w:r w:rsidR="0084183F" w:rsidRPr="00666FB2">
        <w:t>)</w:t>
      </w:r>
      <w:r w:rsidRPr="00666FB2">
        <w:tab/>
      </w:r>
      <w:r w:rsidR="00D33768" w:rsidRPr="00666FB2">
        <w:t>Plan de acción para el cambio.</w:t>
      </w:r>
    </w:p>
    <w:bookmarkEnd w:id="40"/>
    <w:p w:rsidR="007C56F8" w:rsidRPr="00666FB2" w:rsidRDefault="007C56F8" w:rsidP="009E177A">
      <w:pPr>
        <w:pStyle w:val="Reasons"/>
      </w:pPr>
    </w:p>
    <w:p w:rsidR="007C56F8" w:rsidRPr="00666FB2" w:rsidRDefault="007C56F8" w:rsidP="009E177A">
      <w:pPr>
        <w:jc w:val="center"/>
      </w:pPr>
      <w:r w:rsidRPr="00666FB2">
        <w:t>______________</w:t>
      </w:r>
    </w:p>
    <w:sectPr w:rsidR="007C56F8" w:rsidRPr="00666FB2"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92" w:rsidRDefault="00BB7592">
      <w:r>
        <w:separator/>
      </w:r>
    </w:p>
  </w:endnote>
  <w:endnote w:type="continuationSeparator" w:id="0">
    <w:p w:rsidR="00BB7592" w:rsidRDefault="00BB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95" w:rsidRPr="00BC33DB" w:rsidRDefault="00063E95" w:rsidP="00063E95">
    <w:pPr>
      <w:pStyle w:val="Footer"/>
      <w:rPr>
        <w:lang w:val="fr-CH"/>
      </w:rPr>
    </w:pPr>
    <w:r>
      <w:rPr>
        <w:lang w:val="en-US"/>
      </w:rPr>
      <w:fldChar w:fldCharType="begin"/>
    </w:r>
    <w:r w:rsidRPr="00BC33DB">
      <w:rPr>
        <w:lang w:val="fr-CH"/>
      </w:rPr>
      <w:instrText xml:space="preserve"> FILENAME \p \* MERGEFORMAT </w:instrText>
    </w:r>
    <w:r>
      <w:rPr>
        <w:lang w:val="en-US"/>
      </w:rPr>
      <w:fldChar w:fldCharType="separate"/>
    </w:r>
    <w:r>
      <w:rPr>
        <w:lang w:val="fr-CH"/>
      </w:rPr>
      <w:t>P:\ESP\SG\CONSEIL\C19\000\025REV1S.docx</w:t>
    </w:r>
    <w:r>
      <w:rPr>
        <w:lang w:val="en-US"/>
      </w:rPr>
      <w:fldChar w:fldCharType="end"/>
    </w:r>
    <w:r>
      <w:rPr>
        <w:lang w:val="en-US"/>
      </w:rPr>
      <w:t xml:space="preserve"> (456360)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B34C7" w:rsidRDefault="00760F1C" w:rsidP="00DB34C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92" w:rsidRDefault="00BB7592">
      <w:r>
        <w:t>____________________</w:t>
      </w:r>
    </w:p>
  </w:footnote>
  <w:footnote w:type="continuationSeparator" w:id="0">
    <w:p w:rsidR="00BB7592" w:rsidRDefault="00BB7592">
      <w:r>
        <w:continuationSeparator/>
      </w:r>
    </w:p>
  </w:footnote>
  <w:footnote w:id="1">
    <w:p w:rsidR="00DB34C7" w:rsidRPr="009065C6" w:rsidRDefault="00DB34C7" w:rsidP="009065C6">
      <w:pPr>
        <w:pStyle w:val="FootnoteText"/>
        <w:rPr>
          <w:lang w:val="es-ES"/>
        </w:rPr>
      </w:pPr>
      <w:r>
        <w:rPr>
          <w:rStyle w:val="FootnoteReference"/>
        </w:rPr>
        <w:footnoteRef/>
      </w:r>
      <w:r w:rsidRPr="009065C6">
        <w:rPr>
          <w:lang w:val="es-ES"/>
        </w:rPr>
        <w:tab/>
      </w:r>
      <w:bookmarkStart w:id="16" w:name="lt_pId183"/>
      <w:r w:rsidR="009065C6" w:rsidRPr="00AD6E53">
        <w:t>Nivel de ejecución</w:t>
      </w:r>
      <w:r w:rsidR="008329A1" w:rsidRPr="00AD6E53">
        <w:t xml:space="preserve"> = </w:t>
      </w:r>
      <w:r w:rsidR="009065C6" w:rsidRPr="00AD6E53">
        <w:t xml:space="preserve">Cifras del gasto real después de cerrar las cuentas de </w:t>
      </w:r>
      <w:r w:rsidR="008329A1" w:rsidRPr="00AD6E53">
        <w:t>2018</w:t>
      </w:r>
      <w:bookmarkEnd w:id="16"/>
      <w:r w:rsidRPr="00AD6E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66FB2">
      <w:rPr>
        <w:noProof/>
      </w:rPr>
      <w:t>5</w:t>
    </w:r>
    <w:r>
      <w:rPr>
        <w:noProof/>
      </w:rPr>
      <w:fldChar w:fldCharType="end"/>
    </w:r>
  </w:p>
  <w:p w:rsidR="00760F1C" w:rsidRDefault="00760F1C" w:rsidP="00C2727F">
    <w:pPr>
      <w:pStyle w:val="Header"/>
    </w:pPr>
    <w:r>
      <w:t>C</w:t>
    </w:r>
    <w:r w:rsidR="007F350B">
      <w:t>1</w:t>
    </w:r>
    <w:r w:rsidR="00C2727F">
      <w:t>9</w:t>
    </w:r>
    <w:r w:rsidR="00DB34C7">
      <w:t>/25</w:t>
    </w:r>
    <w:r w:rsidR="00612E70">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2" w15:restartNumberingAfterBreak="0">
    <w:nsid w:val="5EFF2C78"/>
    <w:multiLevelType w:val="hybridMultilevel"/>
    <w:tmpl w:val="E2628C18"/>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92"/>
    <w:rsid w:val="00005244"/>
    <w:rsid w:val="00057686"/>
    <w:rsid w:val="00063E95"/>
    <w:rsid w:val="00085421"/>
    <w:rsid w:val="00093EEB"/>
    <w:rsid w:val="00094F83"/>
    <w:rsid w:val="000B0D00"/>
    <w:rsid w:val="000B7C15"/>
    <w:rsid w:val="000D1D0F"/>
    <w:rsid w:val="000F5290"/>
    <w:rsid w:val="0010165C"/>
    <w:rsid w:val="0011411E"/>
    <w:rsid w:val="00123ED8"/>
    <w:rsid w:val="001341EB"/>
    <w:rsid w:val="00143BB0"/>
    <w:rsid w:val="00146BFB"/>
    <w:rsid w:val="001802FB"/>
    <w:rsid w:val="001E5616"/>
    <w:rsid w:val="001E6DBA"/>
    <w:rsid w:val="001F14A2"/>
    <w:rsid w:val="00202958"/>
    <w:rsid w:val="00216695"/>
    <w:rsid w:val="00237647"/>
    <w:rsid w:val="00243B86"/>
    <w:rsid w:val="00261329"/>
    <w:rsid w:val="0027709E"/>
    <w:rsid w:val="002801AA"/>
    <w:rsid w:val="002B0CD6"/>
    <w:rsid w:val="002B572B"/>
    <w:rsid w:val="002C4676"/>
    <w:rsid w:val="002C70B0"/>
    <w:rsid w:val="002F3CC4"/>
    <w:rsid w:val="0030574F"/>
    <w:rsid w:val="003109B5"/>
    <w:rsid w:val="003273A0"/>
    <w:rsid w:val="00332DB8"/>
    <w:rsid w:val="0034249E"/>
    <w:rsid w:val="00347CE9"/>
    <w:rsid w:val="00353D18"/>
    <w:rsid w:val="0037536D"/>
    <w:rsid w:val="00387055"/>
    <w:rsid w:val="003934C8"/>
    <w:rsid w:val="003B52CA"/>
    <w:rsid w:val="004111C6"/>
    <w:rsid w:val="00416459"/>
    <w:rsid w:val="0042687D"/>
    <w:rsid w:val="00454EFA"/>
    <w:rsid w:val="00482979"/>
    <w:rsid w:val="0049334C"/>
    <w:rsid w:val="004A130D"/>
    <w:rsid w:val="004A56BF"/>
    <w:rsid w:val="00513630"/>
    <w:rsid w:val="00540C2E"/>
    <w:rsid w:val="00560125"/>
    <w:rsid w:val="00585553"/>
    <w:rsid w:val="005A0774"/>
    <w:rsid w:val="005A3855"/>
    <w:rsid w:val="005B0335"/>
    <w:rsid w:val="005B34D9"/>
    <w:rsid w:val="005D0CCF"/>
    <w:rsid w:val="005E27B8"/>
    <w:rsid w:val="005F3BCB"/>
    <w:rsid w:val="005F410F"/>
    <w:rsid w:val="0060149A"/>
    <w:rsid w:val="00601924"/>
    <w:rsid w:val="00612E70"/>
    <w:rsid w:val="00637DE4"/>
    <w:rsid w:val="006447EA"/>
    <w:rsid w:val="0064731F"/>
    <w:rsid w:val="00666FB2"/>
    <w:rsid w:val="006710F6"/>
    <w:rsid w:val="00680471"/>
    <w:rsid w:val="0068260D"/>
    <w:rsid w:val="006C1B56"/>
    <w:rsid w:val="006D0011"/>
    <w:rsid w:val="006D4761"/>
    <w:rsid w:val="0072517B"/>
    <w:rsid w:val="00726872"/>
    <w:rsid w:val="00760F1C"/>
    <w:rsid w:val="007657F0"/>
    <w:rsid w:val="0077252D"/>
    <w:rsid w:val="0079373E"/>
    <w:rsid w:val="007C10AA"/>
    <w:rsid w:val="007C1DB4"/>
    <w:rsid w:val="007C56F8"/>
    <w:rsid w:val="007D4F4B"/>
    <w:rsid w:val="007E5DD3"/>
    <w:rsid w:val="007F0C88"/>
    <w:rsid w:val="007F350B"/>
    <w:rsid w:val="008121EE"/>
    <w:rsid w:val="00820BE4"/>
    <w:rsid w:val="00826DF2"/>
    <w:rsid w:val="008329A1"/>
    <w:rsid w:val="0084183F"/>
    <w:rsid w:val="008451E8"/>
    <w:rsid w:val="0086120C"/>
    <w:rsid w:val="008E7700"/>
    <w:rsid w:val="008F6AC1"/>
    <w:rsid w:val="009065C6"/>
    <w:rsid w:val="00907681"/>
    <w:rsid w:val="00913B9C"/>
    <w:rsid w:val="009525A0"/>
    <w:rsid w:val="00956E77"/>
    <w:rsid w:val="009618D3"/>
    <w:rsid w:val="0096423F"/>
    <w:rsid w:val="00986063"/>
    <w:rsid w:val="009E177A"/>
    <w:rsid w:val="009E368A"/>
    <w:rsid w:val="009E5723"/>
    <w:rsid w:val="009F3E88"/>
    <w:rsid w:val="009F4811"/>
    <w:rsid w:val="00A005A1"/>
    <w:rsid w:val="00A129B2"/>
    <w:rsid w:val="00A23626"/>
    <w:rsid w:val="00A40D74"/>
    <w:rsid w:val="00A52BB2"/>
    <w:rsid w:val="00A91A1D"/>
    <w:rsid w:val="00AA390C"/>
    <w:rsid w:val="00AA7807"/>
    <w:rsid w:val="00AD35A5"/>
    <w:rsid w:val="00AD6E53"/>
    <w:rsid w:val="00B0200A"/>
    <w:rsid w:val="00B541C4"/>
    <w:rsid w:val="00B574DB"/>
    <w:rsid w:val="00B715AB"/>
    <w:rsid w:val="00B826C2"/>
    <w:rsid w:val="00B8298E"/>
    <w:rsid w:val="00BB7592"/>
    <w:rsid w:val="00BC185E"/>
    <w:rsid w:val="00BC33DB"/>
    <w:rsid w:val="00BC5F14"/>
    <w:rsid w:val="00BD0723"/>
    <w:rsid w:val="00BD2518"/>
    <w:rsid w:val="00BF1D1C"/>
    <w:rsid w:val="00BF7EF4"/>
    <w:rsid w:val="00C20C59"/>
    <w:rsid w:val="00C2727F"/>
    <w:rsid w:val="00C30EEC"/>
    <w:rsid w:val="00C53924"/>
    <w:rsid w:val="00C55125"/>
    <w:rsid w:val="00C55B1F"/>
    <w:rsid w:val="00C56D19"/>
    <w:rsid w:val="00C66667"/>
    <w:rsid w:val="00C675C9"/>
    <w:rsid w:val="00CA2E22"/>
    <w:rsid w:val="00CC5874"/>
    <w:rsid w:val="00CD382D"/>
    <w:rsid w:val="00CE1FB0"/>
    <w:rsid w:val="00CF12FE"/>
    <w:rsid w:val="00CF1A67"/>
    <w:rsid w:val="00D2750E"/>
    <w:rsid w:val="00D33768"/>
    <w:rsid w:val="00D62446"/>
    <w:rsid w:val="00D679F9"/>
    <w:rsid w:val="00D705CA"/>
    <w:rsid w:val="00DA4EA2"/>
    <w:rsid w:val="00DB34C7"/>
    <w:rsid w:val="00DC3D3E"/>
    <w:rsid w:val="00DE2C90"/>
    <w:rsid w:val="00DE3B24"/>
    <w:rsid w:val="00DF19A5"/>
    <w:rsid w:val="00DF3991"/>
    <w:rsid w:val="00E057EA"/>
    <w:rsid w:val="00E06947"/>
    <w:rsid w:val="00E10DE2"/>
    <w:rsid w:val="00E23808"/>
    <w:rsid w:val="00E2792E"/>
    <w:rsid w:val="00E3592D"/>
    <w:rsid w:val="00E3741A"/>
    <w:rsid w:val="00E5080A"/>
    <w:rsid w:val="00E53660"/>
    <w:rsid w:val="00E755D2"/>
    <w:rsid w:val="00E87198"/>
    <w:rsid w:val="00E92DE8"/>
    <w:rsid w:val="00E93F58"/>
    <w:rsid w:val="00EB1212"/>
    <w:rsid w:val="00EC48EE"/>
    <w:rsid w:val="00ED0125"/>
    <w:rsid w:val="00ED65AB"/>
    <w:rsid w:val="00EF1DB4"/>
    <w:rsid w:val="00F001BB"/>
    <w:rsid w:val="00F0449D"/>
    <w:rsid w:val="00F12850"/>
    <w:rsid w:val="00F33BF4"/>
    <w:rsid w:val="00F65828"/>
    <w:rsid w:val="00F673D5"/>
    <w:rsid w:val="00F7105E"/>
    <w:rsid w:val="00F75F57"/>
    <w:rsid w:val="00F82FEE"/>
    <w:rsid w:val="00F9105D"/>
    <w:rsid w:val="00F947AB"/>
    <w:rsid w:val="00F9639F"/>
    <w:rsid w:val="00FA27C4"/>
    <w:rsid w:val="00FB5FA2"/>
    <w:rsid w:val="00FD0220"/>
    <w:rsid w:val="00FD57D3"/>
    <w:rsid w:val="00FF11BD"/>
    <w:rsid w:val="00FF1D89"/>
    <w:rsid w:val="00FF28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7F40ED2-31B4-42A3-974B-0C8E7169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하이퍼링크21"/>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DB34C7"/>
    <w:rPr>
      <w:rFonts w:ascii="Calibri" w:hAnsi="Calibri"/>
      <w:sz w:val="24"/>
      <w:lang w:val="es-ES_tradnl" w:eastAsia="en-US"/>
    </w:rPr>
  </w:style>
  <w:style w:type="paragraph" w:customStyle="1" w:styleId="SimpleHeading">
    <w:name w:val="Simple Heading"/>
    <w:basedOn w:val="Normal"/>
    <w:link w:val="SimpleHeadingChar"/>
    <w:qFormat/>
    <w:rsid w:val="00332DB8"/>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32DB8"/>
    <w:rPr>
      <w:rFonts w:asciiTheme="minorHAnsi" w:eastAsiaTheme="minorHAnsi" w:hAnsiTheme="minorHAnsi" w:cstheme="minorBidi"/>
      <w:b/>
      <w:sz w:val="22"/>
      <w:szCs w:val="22"/>
      <w:lang w:eastAsia="en-US"/>
    </w:rPr>
  </w:style>
  <w:style w:type="character" w:customStyle="1" w:styleId="enumlev1Char">
    <w:name w:val="enumlev1 Char"/>
    <w:basedOn w:val="DefaultParagraphFont"/>
    <w:link w:val="enumlev1"/>
    <w:rsid w:val="00123ED8"/>
    <w:rPr>
      <w:rFonts w:ascii="Calibri" w:hAnsi="Calibri"/>
      <w:sz w:val="24"/>
      <w:lang w:val="es-ES_tradnl"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123ED8"/>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123ED8"/>
    <w:rPr>
      <w:rFonts w:asciiTheme="minorHAnsi" w:eastAsiaTheme="minorEastAsia" w:hAnsiTheme="minorHAnsi" w:cstheme="minorBidi"/>
      <w:sz w:val="22"/>
      <w:szCs w:val="22"/>
      <w:lang w:val="fr-CH"/>
    </w:rPr>
  </w:style>
  <w:style w:type="table" w:styleId="TableGrid">
    <w:name w:val="Table Grid"/>
    <w:basedOn w:val="TableNormal"/>
    <w:rsid w:val="00E5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6AC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6AC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INF-0007/es" TargetMode="External"/><Relationship Id="rId13" Type="http://schemas.openxmlformats.org/officeDocument/2006/relationships/hyperlink" Target="http://www.itu.int/md/S17-CL-INF-0012/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md/S19-CL-INF-0007/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9-CL-INF-0007/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9-CL-INF-0007/es" TargetMode="External"/><Relationship Id="rId5" Type="http://schemas.openxmlformats.org/officeDocument/2006/relationships/footnotes" Target="footnotes.xml"/><Relationship Id="rId15" Type="http://schemas.openxmlformats.org/officeDocument/2006/relationships/hyperlink" Target="https://www.itu.int/en/ITU-D/TIES_Protected/PerfReport2017.pdf" TargetMode="External"/><Relationship Id="rId10" Type="http://schemas.openxmlformats.org/officeDocument/2006/relationships/hyperlink" Target="http://www.itu.int/md/S17-CL-INF-0012/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025-S.pdf" TargetMode="External"/><Relationship Id="rId14" Type="http://schemas.openxmlformats.org/officeDocument/2006/relationships/hyperlink" Target="https://www.itu.int/en/ITU-D/Pages/OperationalPlansPerformanceReport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16</TotalTime>
  <Pages>8</Pages>
  <Words>3326</Words>
  <Characters>17702</Characters>
  <Application>Microsoft Office Word</Application>
  <DocSecurity>0</DocSecurity>
  <Lines>147</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Presencia regional</vt:lpstr>
    </vt:vector>
  </TitlesOfParts>
  <Manager>Secretaría General - Pool</Manager>
  <Company>Unión Internacional de Telecomunicaciones (UIT)</Company>
  <LinksUpToDate>false</LinksUpToDate>
  <CharactersWithSpaces>20987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Presencia regional</dc:title>
  <dc:subject>Consejo 2018</dc:subject>
  <dc:creator>Santiago, Genoveva</dc:creator>
  <cp:keywords>C2019, C19</cp:keywords>
  <dc:description/>
  <cp:lastModifiedBy>Spanish</cp:lastModifiedBy>
  <cp:revision>62</cp:revision>
  <cp:lastPrinted>2019-05-14T08:53:00Z</cp:lastPrinted>
  <dcterms:created xsi:type="dcterms:W3CDTF">2019-06-04T09:14:00Z</dcterms:created>
  <dcterms:modified xsi:type="dcterms:W3CDTF">2019-06-04T09:30:00Z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