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5505D9">
        <w:trPr>
          <w:cantSplit/>
        </w:trPr>
        <w:tc>
          <w:tcPr>
            <w:tcW w:w="6912" w:type="dxa"/>
          </w:tcPr>
          <w:p w:rsidR="00520F36" w:rsidRPr="005505D9" w:rsidRDefault="00520F36" w:rsidP="005C0CC7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505D9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 w:rsidRPr="005505D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505D9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505D9">
              <w:rPr>
                <w:b/>
                <w:bCs/>
                <w:szCs w:val="24"/>
                <w:lang w:val="fr-CH"/>
              </w:rPr>
              <w:t xml:space="preserve">Genève, </w:t>
            </w:r>
            <w:r w:rsidR="00106B19" w:rsidRPr="005505D9">
              <w:rPr>
                <w:b/>
                <w:bCs/>
                <w:szCs w:val="24"/>
                <w:lang w:val="fr-CH"/>
              </w:rPr>
              <w:t>10</w:t>
            </w:r>
            <w:r w:rsidRPr="005505D9">
              <w:rPr>
                <w:b/>
                <w:bCs/>
                <w:szCs w:val="24"/>
                <w:lang w:val="fr-CH"/>
              </w:rPr>
              <w:t>-</w:t>
            </w:r>
            <w:r w:rsidR="00106B19" w:rsidRPr="005505D9">
              <w:rPr>
                <w:b/>
                <w:bCs/>
                <w:szCs w:val="24"/>
                <w:lang w:val="fr-CH"/>
              </w:rPr>
              <w:t>20 juin</w:t>
            </w:r>
            <w:r w:rsidRPr="005505D9">
              <w:rPr>
                <w:b/>
                <w:bCs/>
                <w:szCs w:val="24"/>
                <w:lang w:val="fr-CH"/>
              </w:rPr>
              <w:t xml:space="preserve"> 201</w:t>
            </w:r>
            <w:r w:rsidR="00106B19" w:rsidRPr="005505D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5505D9" w:rsidRDefault="00520F36" w:rsidP="005C0CC7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505D9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5505D9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5505D9" w:rsidRDefault="00520F36" w:rsidP="005C0CC7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5505D9" w:rsidRDefault="00520F36" w:rsidP="005C0CC7">
            <w:pPr>
              <w:spacing w:before="0"/>
              <w:rPr>
                <w:b/>
                <w:bCs/>
                <w:lang w:val="fr-CH"/>
              </w:rPr>
            </w:pPr>
          </w:p>
        </w:tc>
      </w:tr>
      <w:tr w:rsidR="00520F36" w:rsidRPr="005505D9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5505D9" w:rsidRDefault="00520F36" w:rsidP="005C0CC7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5505D9" w:rsidRDefault="00520F36" w:rsidP="005C0CC7">
            <w:pPr>
              <w:spacing w:before="0"/>
              <w:rPr>
                <w:b/>
                <w:bCs/>
                <w:lang w:val="fr-CH"/>
              </w:rPr>
            </w:pPr>
          </w:p>
        </w:tc>
      </w:tr>
      <w:tr w:rsidR="00520F36" w:rsidRPr="005505D9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505D9" w:rsidRDefault="0041400A" w:rsidP="005C0CC7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5505D9">
              <w:rPr>
                <w:rFonts w:cs="Times"/>
                <w:b/>
                <w:bCs/>
                <w:szCs w:val="24"/>
                <w:lang w:val="fr-CH"/>
              </w:rPr>
              <w:t>Point de l'ordre du jour: PL 2.</w:t>
            </w:r>
            <w:r w:rsidR="000E1361" w:rsidRPr="005505D9">
              <w:rPr>
                <w:rFonts w:cs="Times"/>
                <w:b/>
                <w:bCs/>
                <w:szCs w:val="24"/>
                <w:lang w:val="fr-CH"/>
              </w:rPr>
              <w:t>11</w:t>
            </w:r>
          </w:p>
        </w:tc>
        <w:tc>
          <w:tcPr>
            <w:tcW w:w="3261" w:type="dxa"/>
          </w:tcPr>
          <w:p w:rsidR="00520F36" w:rsidRPr="005505D9" w:rsidRDefault="00520F36" w:rsidP="005C0CC7">
            <w:pPr>
              <w:spacing w:before="0"/>
              <w:rPr>
                <w:b/>
                <w:bCs/>
                <w:lang w:val="fr-CH"/>
              </w:rPr>
            </w:pPr>
            <w:r w:rsidRPr="005505D9">
              <w:rPr>
                <w:b/>
                <w:bCs/>
                <w:lang w:val="fr-CH"/>
              </w:rPr>
              <w:t>Document C1</w:t>
            </w:r>
            <w:r w:rsidR="00106B19" w:rsidRPr="005505D9">
              <w:rPr>
                <w:b/>
                <w:bCs/>
                <w:lang w:val="fr-CH"/>
              </w:rPr>
              <w:t>9</w:t>
            </w:r>
            <w:r w:rsidRPr="005505D9">
              <w:rPr>
                <w:b/>
                <w:bCs/>
                <w:lang w:val="fr-CH"/>
              </w:rPr>
              <w:t>/</w:t>
            </w:r>
            <w:r w:rsidR="000E1361" w:rsidRPr="005505D9">
              <w:rPr>
                <w:b/>
                <w:bCs/>
                <w:lang w:val="fr-CH"/>
              </w:rPr>
              <w:t>24</w:t>
            </w:r>
            <w:r w:rsidRPr="005505D9">
              <w:rPr>
                <w:b/>
                <w:bCs/>
                <w:lang w:val="fr-CH"/>
              </w:rPr>
              <w:t>-F</w:t>
            </w:r>
          </w:p>
        </w:tc>
      </w:tr>
      <w:tr w:rsidR="00520F36" w:rsidRPr="005505D9">
        <w:trPr>
          <w:cantSplit/>
          <w:trHeight w:val="20"/>
        </w:trPr>
        <w:tc>
          <w:tcPr>
            <w:tcW w:w="6912" w:type="dxa"/>
            <w:vMerge/>
          </w:tcPr>
          <w:p w:rsidR="00520F36" w:rsidRPr="005505D9" w:rsidRDefault="00520F36" w:rsidP="005C0CC7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505D9" w:rsidRDefault="000E1361" w:rsidP="005C0CC7">
            <w:pPr>
              <w:spacing w:before="0"/>
              <w:rPr>
                <w:b/>
                <w:bCs/>
                <w:lang w:val="fr-CH"/>
              </w:rPr>
            </w:pPr>
            <w:r w:rsidRPr="005505D9">
              <w:rPr>
                <w:b/>
                <w:bCs/>
                <w:lang w:val="fr-CH"/>
              </w:rPr>
              <w:t xml:space="preserve">4 juin </w:t>
            </w:r>
            <w:r w:rsidR="00520F36" w:rsidRPr="005505D9">
              <w:rPr>
                <w:b/>
                <w:bCs/>
                <w:lang w:val="fr-CH"/>
              </w:rPr>
              <w:t>201</w:t>
            </w:r>
            <w:r w:rsidR="00106B19" w:rsidRPr="005505D9">
              <w:rPr>
                <w:b/>
                <w:bCs/>
                <w:lang w:val="fr-CH"/>
              </w:rPr>
              <w:t>9</w:t>
            </w:r>
          </w:p>
        </w:tc>
      </w:tr>
      <w:tr w:rsidR="00520F36" w:rsidRPr="005505D9">
        <w:trPr>
          <w:cantSplit/>
          <w:trHeight w:val="20"/>
        </w:trPr>
        <w:tc>
          <w:tcPr>
            <w:tcW w:w="6912" w:type="dxa"/>
            <w:vMerge/>
          </w:tcPr>
          <w:p w:rsidR="00520F36" w:rsidRPr="005505D9" w:rsidRDefault="00520F36" w:rsidP="005C0CC7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505D9" w:rsidRDefault="00520F36" w:rsidP="005C0CC7">
            <w:pPr>
              <w:spacing w:before="0"/>
              <w:rPr>
                <w:b/>
                <w:bCs/>
                <w:lang w:val="fr-CH"/>
              </w:rPr>
            </w:pPr>
            <w:r w:rsidRPr="005505D9">
              <w:rPr>
                <w:b/>
                <w:bCs/>
                <w:lang w:val="fr-CH"/>
              </w:rPr>
              <w:t>Original: anglais</w:t>
            </w:r>
          </w:p>
        </w:tc>
      </w:tr>
      <w:tr w:rsidR="00520F36" w:rsidRPr="005505D9">
        <w:trPr>
          <w:cantSplit/>
        </w:trPr>
        <w:tc>
          <w:tcPr>
            <w:tcW w:w="10173" w:type="dxa"/>
            <w:gridSpan w:val="2"/>
          </w:tcPr>
          <w:p w:rsidR="00520F36" w:rsidRPr="005505D9" w:rsidRDefault="0041400A" w:rsidP="005C0CC7">
            <w:pPr>
              <w:pStyle w:val="Source"/>
              <w:rPr>
                <w:lang w:val="fr-CH"/>
              </w:rPr>
            </w:pPr>
            <w:bookmarkStart w:id="6" w:name="dsource" w:colFirst="0" w:colLast="0"/>
            <w:bookmarkEnd w:id="5"/>
            <w:r w:rsidRPr="005505D9">
              <w:rPr>
                <w:lang w:val="fr-CH"/>
              </w:rPr>
              <w:t>Rapport du Secrétaire général</w:t>
            </w:r>
          </w:p>
        </w:tc>
      </w:tr>
      <w:tr w:rsidR="00520F36" w:rsidRPr="005505D9">
        <w:trPr>
          <w:cantSplit/>
        </w:trPr>
        <w:tc>
          <w:tcPr>
            <w:tcW w:w="10173" w:type="dxa"/>
            <w:gridSpan w:val="2"/>
          </w:tcPr>
          <w:p w:rsidR="00520F36" w:rsidRPr="005505D9" w:rsidRDefault="00615C45" w:rsidP="005C0CC7">
            <w:pPr>
              <w:pStyle w:val="Title1"/>
              <w:rPr>
                <w:lang w:val="fr-CH"/>
              </w:rPr>
            </w:pPr>
            <w:bookmarkStart w:id="7" w:name="lt_pId011"/>
            <w:bookmarkStart w:id="8" w:name="dtitle1" w:colFirst="0" w:colLast="0"/>
            <w:bookmarkEnd w:id="6"/>
            <w:r w:rsidRPr="005505D9">
              <w:rPr>
                <w:lang w:val="fr-CH"/>
              </w:rPr>
              <w:t>TRAVAUX PRÉPARATOIRES</w:t>
            </w:r>
            <w:r w:rsidR="0041400A" w:rsidRPr="005505D9">
              <w:rPr>
                <w:lang w:val="fr-CH"/>
              </w:rPr>
              <w:t xml:space="preserve"> </w:t>
            </w:r>
            <w:bookmarkEnd w:id="7"/>
            <w:r w:rsidRPr="005505D9">
              <w:rPr>
                <w:lang w:val="fr-CH"/>
              </w:rPr>
              <w:t>EN VUE DE</w:t>
            </w:r>
            <w:r w:rsidR="000E1361" w:rsidRPr="005505D9">
              <w:rPr>
                <w:lang w:val="fr-CH"/>
              </w:rPr>
              <w:t xml:space="preserve"> L'Assemblée mondiale de </w:t>
            </w:r>
            <w:r w:rsidR="00583FA5">
              <w:rPr>
                <w:lang w:val="fr-CH"/>
              </w:rPr>
              <w:br/>
            </w:r>
            <w:r w:rsidR="000E1361" w:rsidRPr="005505D9">
              <w:rPr>
                <w:lang w:val="fr-CH"/>
              </w:rPr>
              <w:t>normalisation des télécommunications</w:t>
            </w:r>
            <w:bookmarkStart w:id="9" w:name="lt_pId012"/>
            <w:r w:rsidR="0041400A" w:rsidRPr="005505D9">
              <w:rPr>
                <w:lang w:val="fr-CH"/>
              </w:rPr>
              <w:t xml:space="preserve"> </w:t>
            </w:r>
            <w:r w:rsidR="0023519A" w:rsidRPr="005505D9">
              <w:rPr>
                <w:lang w:val="fr-CH"/>
              </w:rPr>
              <w:t xml:space="preserve">de </w:t>
            </w:r>
            <w:r w:rsidR="0041400A" w:rsidRPr="005505D9">
              <w:rPr>
                <w:lang w:val="fr-CH"/>
              </w:rPr>
              <w:t>202</w:t>
            </w:r>
            <w:bookmarkEnd w:id="9"/>
            <w:r w:rsidR="000E1361" w:rsidRPr="005505D9">
              <w:rPr>
                <w:lang w:val="fr-CH"/>
              </w:rPr>
              <w:t>0</w:t>
            </w:r>
          </w:p>
        </w:tc>
      </w:tr>
      <w:bookmarkEnd w:id="8"/>
    </w:tbl>
    <w:p w:rsidR="00520F36" w:rsidRPr="005505D9" w:rsidRDefault="00520F36" w:rsidP="005C0CC7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5505D9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5505D9" w:rsidRDefault="00520F36" w:rsidP="005C0CC7">
            <w:pPr>
              <w:pStyle w:val="Headingb"/>
              <w:rPr>
                <w:lang w:val="fr-CH"/>
              </w:rPr>
            </w:pPr>
            <w:r w:rsidRPr="005505D9">
              <w:rPr>
                <w:lang w:val="fr-CH"/>
              </w:rPr>
              <w:t>Résumé</w:t>
            </w:r>
          </w:p>
          <w:p w:rsidR="0041400A" w:rsidRPr="005505D9" w:rsidRDefault="00615C45" w:rsidP="005C0CC7">
            <w:pPr>
              <w:rPr>
                <w:lang w:val="fr-CH"/>
              </w:rPr>
            </w:pPr>
            <w:r w:rsidRPr="005505D9">
              <w:rPr>
                <w:lang w:val="fr-CH"/>
              </w:rPr>
              <w:t>Conformément au</w:t>
            </w:r>
            <w:r w:rsidR="0041400A" w:rsidRPr="005505D9">
              <w:rPr>
                <w:lang w:val="fr-CH"/>
              </w:rPr>
              <w:t xml:space="preserve"> numéro </w:t>
            </w:r>
            <w:r w:rsidRPr="005505D9">
              <w:rPr>
                <w:lang w:val="fr-CH"/>
              </w:rPr>
              <w:t>4</w:t>
            </w:r>
            <w:r w:rsidR="0041400A" w:rsidRPr="005505D9">
              <w:rPr>
                <w:lang w:val="fr-CH"/>
              </w:rPr>
              <w:t xml:space="preserve">2 de la Convention, le Conseil sera </w:t>
            </w:r>
            <w:r w:rsidR="00E520DA" w:rsidRPr="005505D9">
              <w:rPr>
                <w:lang w:val="fr-CH"/>
              </w:rPr>
              <w:t xml:space="preserve">invité </w:t>
            </w:r>
            <w:r w:rsidR="0041400A" w:rsidRPr="005505D9">
              <w:rPr>
                <w:lang w:val="fr-CH"/>
              </w:rPr>
              <w:t xml:space="preserve">à déterminer le lieu précis et les dates exactes de la prochaine </w:t>
            </w:r>
            <w:r w:rsidR="000E1361" w:rsidRPr="005505D9">
              <w:rPr>
                <w:lang w:val="fr-CH"/>
              </w:rPr>
              <w:t>Assemblée mondiale de normalisation des télécommunications (AMNT</w:t>
            </w:r>
            <w:r w:rsidR="00394842">
              <w:rPr>
                <w:lang w:val="fr-CH"/>
              </w:rPr>
              <w:t>-20</w:t>
            </w:r>
            <w:r w:rsidR="000E1361" w:rsidRPr="005505D9">
              <w:rPr>
                <w:lang w:val="fr-CH"/>
              </w:rPr>
              <w:t>)</w:t>
            </w:r>
            <w:r w:rsidR="0041400A" w:rsidRPr="005505D9">
              <w:rPr>
                <w:lang w:val="fr-CH"/>
              </w:rPr>
              <w:t>, avec l'accord de la majorité des États Membres.</w:t>
            </w:r>
          </w:p>
          <w:p w:rsidR="00520F36" w:rsidRPr="005505D9" w:rsidRDefault="0041400A" w:rsidP="005C0CC7">
            <w:pPr>
              <w:rPr>
                <w:lang w:val="fr-CH"/>
              </w:rPr>
            </w:pPr>
            <w:r w:rsidRPr="005505D9">
              <w:rPr>
                <w:lang w:val="fr-CH"/>
              </w:rPr>
              <w:t xml:space="preserve">Le présent document fait part </w:t>
            </w:r>
            <w:r w:rsidR="00615C45" w:rsidRPr="005505D9">
              <w:rPr>
                <w:lang w:val="fr-CH"/>
              </w:rPr>
              <w:t>au Conseil</w:t>
            </w:r>
            <w:r w:rsidRPr="005505D9">
              <w:rPr>
                <w:lang w:val="fr-CH"/>
              </w:rPr>
              <w:t xml:space="preserve"> de l'invitation </w:t>
            </w:r>
            <w:r w:rsidR="000E1361" w:rsidRPr="005505D9">
              <w:rPr>
                <w:lang w:val="fr-CH"/>
              </w:rPr>
              <w:t>adressée par</w:t>
            </w:r>
            <w:r w:rsidR="00CE7E80" w:rsidRPr="005505D9">
              <w:rPr>
                <w:lang w:val="fr-CH"/>
              </w:rPr>
              <w:t xml:space="preserve"> le Gouvernement de</w:t>
            </w:r>
            <w:r w:rsidR="000E1361" w:rsidRPr="005505D9">
              <w:rPr>
                <w:lang w:val="fr-CH"/>
              </w:rPr>
              <w:t xml:space="preserve"> l'Inde</w:t>
            </w:r>
            <w:r w:rsidR="00E520DA" w:rsidRPr="005505D9">
              <w:rPr>
                <w:color w:val="000000"/>
                <w:lang w:val="fr-CH"/>
              </w:rPr>
              <w:t xml:space="preserve"> en vue </w:t>
            </w:r>
            <w:r w:rsidR="00615C45" w:rsidRPr="005505D9">
              <w:rPr>
                <w:lang w:val="fr-CH"/>
              </w:rPr>
              <w:t xml:space="preserve">d'accueillir </w:t>
            </w:r>
            <w:r w:rsidR="000E1361" w:rsidRPr="005505D9">
              <w:rPr>
                <w:lang w:val="fr-CH"/>
              </w:rPr>
              <w:t>l'AMNT-20</w:t>
            </w:r>
            <w:r w:rsidRPr="005505D9">
              <w:rPr>
                <w:lang w:val="fr-CH"/>
              </w:rPr>
              <w:t xml:space="preserve"> </w:t>
            </w:r>
            <w:r w:rsidR="000E1361" w:rsidRPr="005505D9">
              <w:rPr>
                <w:lang w:val="fr-CH"/>
              </w:rPr>
              <w:t xml:space="preserve">en Inde, </w:t>
            </w:r>
            <w:r w:rsidR="00615C45" w:rsidRPr="005505D9">
              <w:rPr>
                <w:lang w:val="fr-CH"/>
              </w:rPr>
              <w:t xml:space="preserve">à </w:t>
            </w:r>
            <w:r w:rsidR="000E1361" w:rsidRPr="005505D9">
              <w:rPr>
                <w:lang w:val="fr-CH"/>
              </w:rPr>
              <w:t>New Delhi ou à Hyderabad,</w:t>
            </w:r>
            <w:r w:rsidR="00312B6B" w:rsidRPr="005505D9">
              <w:rPr>
                <w:lang w:val="fr-CH"/>
              </w:rPr>
              <w:t xml:space="preserve"> aux</w:t>
            </w:r>
            <w:r w:rsidR="00615C45" w:rsidRPr="005505D9">
              <w:rPr>
                <w:lang w:val="fr-CH"/>
              </w:rPr>
              <w:t xml:space="preserve"> dates proposées, à savoir</w:t>
            </w:r>
            <w:r w:rsidRPr="005505D9">
              <w:rPr>
                <w:lang w:val="fr-CH"/>
              </w:rPr>
              <w:t xml:space="preserve"> </w:t>
            </w:r>
            <w:r w:rsidR="00615C45" w:rsidRPr="005505D9">
              <w:rPr>
                <w:lang w:val="fr-CH"/>
              </w:rPr>
              <w:t xml:space="preserve">du </w:t>
            </w:r>
            <w:r w:rsidR="006A44EE" w:rsidRPr="005505D9">
              <w:rPr>
                <w:lang w:val="fr-CH"/>
              </w:rPr>
              <w:t>16 au 27 novembre 2020</w:t>
            </w:r>
            <w:r w:rsidR="00615C45" w:rsidRPr="005505D9">
              <w:rPr>
                <w:lang w:val="fr-CH"/>
              </w:rPr>
              <w:t xml:space="preserve"> (voir l'Annexe </w:t>
            </w:r>
            <w:r w:rsidR="006A44EE" w:rsidRPr="005505D9">
              <w:rPr>
                <w:lang w:val="fr-CH"/>
              </w:rPr>
              <w:t>1</w:t>
            </w:r>
            <w:r w:rsidR="00615C45" w:rsidRPr="005505D9">
              <w:rPr>
                <w:lang w:val="fr-CH"/>
              </w:rPr>
              <w:t>)</w:t>
            </w:r>
            <w:r w:rsidR="006A44EE" w:rsidRPr="005505D9">
              <w:rPr>
                <w:lang w:val="fr-CH"/>
              </w:rPr>
              <w:t>.</w:t>
            </w:r>
          </w:p>
          <w:p w:rsidR="00520F36" w:rsidRPr="005505D9" w:rsidRDefault="00520F36" w:rsidP="005C0CC7">
            <w:pPr>
              <w:pStyle w:val="Headingb"/>
              <w:rPr>
                <w:lang w:val="fr-CH"/>
              </w:rPr>
            </w:pPr>
            <w:r w:rsidRPr="005505D9">
              <w:rPr>
                <w:lang w:val="fr-CH"/>
              </w:rPr>
              <w:t>Suite à donner</w:t>
            </w:r>
          </w:p>
          <w:p w:rsidR="006A44EE" w:rsidRPr="005505D9" w:rsidRDefault="0041400A" w:rsidP="00394842">
            <w:pPr>
              <w:rPr>
                <w:lang w:val="fr-CH"/>
              </w:rPr>
            </w:pPr>
            <w:r w:rsidRPr="005505D9">
              <w:rPr>
                <w:lang w:val="fr-CH"/>
              </w:rPr>
              <w:t xml:space="preserve">Le Conseil est invité à </w:t>
            </w:r>
            <w:r w:rsidRPr="005505D9">
              <w:rPr>
                <w:b/>
                <w:bCs/>
                <w:lang w:val="fr-CH"/>
              </w:rPr>
              <w:t>arrêter</w:t>
            </w:r>
            <w:r w:rsidRPr="005505D9">
              <w:rPr>
                <w:lang w:val="fr-CH"/>
              </w:rPr>
              <w:t xml:space="preserve"> </w:t>
            </w:r>
            <w:r w:rsidR="006A44EE" w:rsidRPr="005505D9">
              <w:rPr>
                <w:lang w:val="fr-CH"/>
              </w:rPr>
              <w:t>une décision concernant le pays hôte</w:t>
            </w:r>
            <w:r w:rsidR="00394842">
              <w:rPr>
                <w:lang w:val="fr-CH"/>
              </w:rPr>
              <w:t>, le lieu préféré</w:t>
            </w:r>
            <w:r w:rsidR="006A44EE" w:rsidRPr="005505D9">
              <w:rPr>
                <w:lang w:val="fr-CH"/>
              </w:rPr>
              <w:t xml:space="preserve"> </w:t>
            </w:r>
            <w:r w:rsidR="00DD5EC4" w:rsidRPr="005505D9">
              <w:rPr>
                <w:lang w:val="fr-CH"/>
              </w:rPr>
              <w:t xml:space="preserve">et les dates </w:t>
            </w:r>
            <w:r w:rsidRPr="005505D9">
              <w:rPr>
                <w:lang w:val="fr-CH"/>
              </w:rPr>
              <w:t xml:space="preserve">de </w:t>
            </w:r>
            <w:r w:rsidR="006A44EE" w:rsidRPr="005505D9">
              <w:rPr>
                <w:lang w:val="fr-CH"/>
              </w:rPr>
              <w:t xml:space="preserve">l'AMNT-20. La décision </w:t>
            </w:r>
            <w:r w:rsidR="004A65C9" w:rsidRPr="005505D9">
              <w:rPr>
                <w:lang w:val="fr-CH"/>
              </w:rPr>
              <w:t>sera ensuite soumise à l'accord de la majorité des États Membres de l'Union par consultation.</w:t>
            </w:r>
          </w:p>
          <w:p w:rsidR="00520F36" w:rsidRPr="005505D9" w:rsidRDefault="0041400A" w:rsidP="005C0CC7">
            <w:pPr>
              <w:rPr>
                <w:lang w:val="fr-CH"/>
              </w:rPr>
            </w:pPr>
            <w:r w:rsidRPr="005505D9">
              <w:rPr>
                <w:lang w:val="fr-CH"/>
              </w:rPr>
              <w:t xml:space="preserve">Le Conseil est également invité à </w:t>
            </w:r>
            <w:r w:rsidRPr="005505D9">
              <w:rPr>
                <w:b/>
                <w:lang w:val="fr-CH"/>
              </w:rPr>
              <w:t>adopter</w:t>
            </w:r>
            <w:r w:rsidR="00CE7E80" w:rsidRPr="005505D9">
              <w:rPr>
                <w:lang w:val="fr-CH"/>
              </w:rPr>
              <w:t xml:space="preserve"> le projet de D</w:t>
            </w:r>
            <w:r w:rsidR="004A65C9" w:rsidRPr="005505D9">
              <w:rPr>
                <w:lang w:val="fr-CH"/>
              </w:rPr>
              <w:t>écision figurant dans l'Annexe 2</w:t>
            </w:r>
            <w:r w:rsidRPr="005505D9">
              <w:rPr>
                <w:lang w:val="fr-CH"/>
              </w:rPr>
              <w:t xml:space="preserve"> du présent document.</w:t>
            </w:r>
          </w:p>
          <w:p w:rsidR="00520F36" w:rsidRPr="005505D9" w:rsidRDefault="00520F36" w:rsidP="005C0CC7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5505D9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5505D9" w:rsidRDefault="00520F36" w:rsidP="005C0CC7">
            <w:pPr>
              <w:pStyle w:val="Headingb"/>
              <w:rPr>
                <w:lang w:val="fr-CH"/>
              </w:rPr>
            </w:pPr>
            <w:r w:rsidRPr="005505D9">
              <w:rPr>
                <w:lang w:val="fr-CH"/>
              </w:rPr>
              <w:t>Références</w:t>
            </w:r>
          </w:p>
          <w:bookmarkStart w:id="10" w:name="lt_pId021"/>
          <w:p w:rsidR="00520F36" w:rsidRPr="005505D9" w:rsidRDefault="0041400A" w:rsidP="001D3783">
            <w:pPr>
              <w:spacing w:after="120"/>
              <w:rPr>
                <w:i/>
                <w:iCs/>
                <w:lang w:val="fr-CH"/>
              </w:rPr>
            </w:pPr>
            <w:r w:rsidRPr="005505D9">
              <w:rPr>
                <w:lang w:val="fr-CH"/>
              </w:rPr>
              <w:fldChar w:fldCharType="begin"/>
            </w:r>
            <w:r w:rsidR="00D57532" w:rsidRPr="005505D9">
              <w:rPr>
                <w:lang w:val="fr-CH"/>
              </w:rPr>
              <w:instrText>HYPERLINK "https://www.itu.int/en/council/Documents/basic-texts/Constitution-F.pdf"</w:instrText>
            </w:r>
            <w:r w:rsidRPr="005505D9">
              <w:rPr>
                <w:lang w:val="fr-CH"/>
              </w:rPr>
              <w:fldChar w:fldCharType="separate"/>
            </w:r>
            <w:r w:rsidRPr="005505D9">
              <w:rPr>
                <w:rStyle w:val="Hyperlink"/>
                <w:i/>
                <w:iCs/>
                <w:lang w:val="fr-CH"/>
              </w:rPr>
              <w:t>N</w:t>
            </w:r>
            <w:r w:rsidR="00DD5EC4" w:rsidRPr="005505D9">
              <w:rPr>
                <w:rStyle w:val="Hyperlink"/>
                <w:i/>
                <w:iCs/>
                <w:lang w:val="fr-CH"/>
              </w:rPr>
              <w:t>uméro</w:t>
            </w:r>
            <w:r w:rsidRPr="005505D9">
              <w:rPr>
                <w:rStyle w:val="Hyperlink"/>
                <w:i/>
                <w:iCs/>
                <w:lang w:val="fr-CH"/>
              </w:rPr>
              <w:t xml:space="preserve"> </w:t>
            </w:r>
            <w:r w:rsidR="003D7515" w:rsidRPr="005505D9">
              <w:rPr>
                <w:rStyle w:val="Hyperlink"/>
                <w:i/>
                <w:iCs/>
                <w:lang w:val="fr-CH"/>
              </w:rPr>
              <w:t>114</w:t>
            </w:r>
            <w:r w:rsidRPr="005505D9">
              <w:rPr>
                <w:rStyle w:val="Hyperlink"/>
                <w:i/>
                <w:iCs/>
                <w:lang w:val="fr-CH"/>
              </w:rPr>
              <w:t xml:space="preserve"> </w:t>
            </w:r>
            <w:r w:rsidR="00DD5EC4" w:rsidRPr="005505D9">
              <w:rPr>
                <w:rStyle w:val="Hyperlink"/>
                <w:i/>
                <w:iCs/>
                <w:lang w:val="fr-CH"/>
              </w:rPr>
              <w:t xml:space="preserve">de la </w:t>
            </w:r>
            <w:r w:rsidR="00631CEA" w:rsidRPr="005505D9">
              <w:rPr>
                <w:rStyle w:val="Hyperlink"/>
                <w:i/>
                <w:iCs/>
                <w:lang w:val="fr-CH"/>
              </w:rPr>
              <w:t>Constitution</w:t>
            </w:r>
            <w:r w:rsidR="00DD5EC4" w:rsidRPr="005505D9">
              <w:rPr>
                <w:rStyle w:val="Hyperlink"/>
                <w:i/>
                <w:iCs/>
                <w:lang w:val="fr-CH"/>
              </w:rPr>
              <w:t xml:space="preserve"> de l'UIT</w:t>
            </w:r>
            <w:r w:rsidRPr="005505D9">
              <w:rPr>
                <w:lang w:val="fr-CH"/>
              </w:rPr>
              <w:fldChar w:fldCharType="end"/>
            </w:r>
            <w:r w:rsidR="00631CEA" w:rsidRPr="005505D9">
              <w:rPr>
                <w:i/>
                <w:iCs/>
                <w:lang w:val="fr-CH"/>
              </w:rPr>
              <w:t>;</w:t>
            </w:r>
            <w:r w:rsidRPr="005505D9">
              <w:rPr>
                <w:i/>
                <w:iCs/>
                <w:lang w:val="fr-CH"/>
              </w:rPr>
              <w:t xml:space="preserve"> </w:t>
            </w:r>
            <w:hyperlink r:id="rId7" w:history="1">
              <w:r w:rsidR="00631CEA" w:rsidRPr="005505D9">
                <w:rPr>
                  <w:rStyle w:val="Hyperlink"/>
                  <w:i/>
                  <w:iCs/>
                  <w:lang w:val="fr-CH"/>
                </w:rPr>
                <w:t>Numéro</w:t>
              </w:r>
              <w:r w:rsidR="003D7515" w:rsidRPr="005505D9">
                <w:rPr>
                  <w:rStyle w:val="Hyperlink"/>
                  <w:i/>
                  <w:iCs/>
                  <w:lang w:val="fr-CH"/>
                </w:rPr>
                <w:t>s</w:t>
              </w:r>
              <w:r w:rsidRPr="005505D9">
                <w:rPr>
                  <w:rStyle w:val="Hyperlink"/>
                  <w:i/>
                  <w:iCs/>
                  <w:lang w:val="fr-CH"/>
                </w:rPr>
                <w:t xml:space="preserve"> </w:t>
              </w:r>
              <w:r w:rsidR="003D7515" w:rsidRPr="005505D9">
                <w:rPr>
                  <w:rStyle w:val="Hyperlink"/>
                  <w:i/>
                  <w:iCs/>
                  <w:lang w:val="fr-CH"/>
                </w:rPr>
                <w:t xml:space="preserve">23, 24 et </w:t>
              </w:r>
              <w:r w:rsidRPr="005505D9">
                <w:rPr>
                  <w:rStyle w:val="Hyperlink"/>
                  <w:i/>
                  <w:iCs/>
                  <w:lang w:val="fr-CH"/>
                </w:rPr>
                <w:t>42</w:t>
              </w:r>
              <w:r w:rsidR="00631CEA" w:rsidRPr="005505D9">
                <w:rPr>
                  <w:rStyle w:val="Hyperlink"/>
                  <w:i/>
                  <w:iCs/>
                  <w:lang w:val="fr-CH"/>
                </w:rPr>
                <w:t xml:space="preserve"> de la Convention de l'UIT</w:t>
              </w:r>
            </w:hyperlink>
            <w:r w:rsidR="00631CEA" w:rsidRPr="005505D9">
              <w:rPr>
                <w:rStyle w:val="Hyperlink"/>
                <w:i/>
                <w:iCs/>
                <w:color w:val="auto"/>
                <w:u w:val="none"/>
                <w:lang w:val="fr-CH"/>
              </w:rPr>
              <w:t xml:space="preserve">; </w:t>
            </w:r>
            <w:hyperlink r:id="rId8" w:history="1">
              <w:r w:rsidR="00644327" w:rsidRPr="005505D9">
                <w:rPr>
                  <w:rStyle w:val="Hyperlink"/>
                  <w:i/>
                  <w:iCs/>
                  <w:lang w:val="fr-CH"/>
                </w:rPr>
                <w:t xml:space="preserve">Chapitre </w:t>
              </w:r>
              <w:r w:rsidRPr="005505D9">
                <w:rPr>
                  <w:rStyle w:val="Hyperlink"/>
                  <w:i/>
                  <w:iCs/>
                  <w:lang w:val="fr-CH"/>
                </w:rPr>
                <w:t>I</w:t>
              </w:r>
              <w:r w:rsidR="00644327" w:rsidRPr="005505D9">
                <w:rPr>
                  <w:rStyle w:val="Hyperlink"/>
                  <w:i/>
                  <w:iCs/>
                  <w:lang w:val="fr-CH"/>
                </w:rPr>
                <w:t xml:space="preserve"> des Règles générales régissant les conférences, assemblées et réunions de l'Union</w:t>
              </w:r>
            </w:hyperlink>
            <w:r w:rsidR="00644327" w:rsidRPr="005505D9">
              <w:rPr>
                <w:i/>
                <w:iCs/>
                <w:lang w:val="fr-CH"/>
              </w:rPr>
              <w:t xml:space="preserve">; </w:t>
            </w:r>
            <w:hyperlink r:id="rId9" w:history="1">
              <w:r w:rsidRPr="005505D9">
                <w:rPr>
                  <w:rStyle w:val="Hyperlink"/>
                  <w:i/>
                  <w:iCs/>
                  <w:lang w:val="fr-CH"/>
                </w:rPr>
                <w:t>Résolution 77 (Rév. Dubaï, 2018)</w:t>
              </w:r>
            </w:hyperlink>
            <w:r w:rsidRPr="005505D9">
              <w:rPr>
                <w:i/>
                <w:iCs/>
                <w:lang w:val="fr-CH"/>
              </w:rPr>
              <w:t xml:space="preserve"> et </w:t>
            </w:r>
            <w:hyperlink r:id="rId10" w:history="1">
              <w:r w:rsidRPr="005505D9">
                <w:rPr>
                  <w:rStyle w:val="Hyperlink"/>
                  <w:i/>
                  <w:iCs/>
                  <w:lang w:val="fr-CH"/>
                </w:rPr>
                <w:t>Résolution 111 (Rév.</w:t>
              </w:r>
              <w:r w:rsidR="001D3783" w:rsidRPr="005505D9">
                <w:rPr>
                  <w:rStyle w:val="Hyperlink"/>
                  <w:i/>
                  <w:iCs/>
                  <w:lang w:val="fr-CH"/>
                </w:rPr>
                <w:t> </w:t>
              </w:r>
              <w:r w:rsidRPr="005505D9">
                <w:rPr>
                  <w:rStyle w:val="Hyperlink"/>
                  <w:i/>
                  <w:iCs/>
                  <w:lang w:val="fr-CH"/>
                </w:rPr>
                <w:t>Busan, 2014)</w:t>
              </w:r>
            </w:hyperlink>
            <w:bookmarkEnd w:id="10"/>
            <w:r w:rsidR="00644327" w:rsidRPr="005505D9">
              <w:rPr>
                <w:rStyle w:val="Hyperlink"/>
                <w:i/>
                <w:iCs/>
                <w:color w:val="auto"/>
                <w:u w:val="none"/>
                <w:lang w:val="fr-CH"/>
              </w:rPr>
              <w:t xml:space="preserve"> de la PP</w:t>
            </w:r>
          </w:p>
        </w:tc>
        <w:bookmarkStart w:id="11" w:name="_GoBack"/>
        <w:bookmarkEnd w:id="11"/>
      </w:tr>
    </w:tbl>
    <w:p w:rsidR="0041400A" w:rsidRPr="005505D9" w:rsidRDefault="0041400A" w:rsidP="005C0CC7">
      <w:pPr>
        <w:rPr>
          <w:lang w:val="fr-CH"/>
        </w:rPr>
      </w:pPr>
    </w:p>
    <w:p w:rsidR="0041400A" w:rsidRPr="005505D9" w:rsidRDefault="0041400A" w:rsidP="005C0CC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5505D9">
        <w:rPr>
          <w:lang w:val="fr-CH"/>
        </w:rPr>
        <w:br w:type="page"/>
      </w:r>
    </w:p>
    <w:p w:rsidR="00520F36" w:rsidRPr="005505D9" w:rsidRDefault="0041400A" w:rsidP="001D3783">
      <w:pPr>
        <w:pStyle w:val="Heading1"/>
        <w:tabs>
          <w:tab w:val="clear" w:pos="2268"/>
          <w:tab w:val="clear" w:pos="2835"/>
          <w:tab w:val="center" w:pos="4819"/>
        </w:tabs>
        <w:rPr>
          <w:lang w:val="fr-CH"/>
        </w:rPr>
      </w:pPr>
      <w:r w:rsidRPr="005505D9">
        <w:rPr>
          <w:lang w:val="fr-CH"/>
        </w:rPr>
        <w:lastRenderedPageBreak/>
        <w:t>1</w:t>
      </w:r>
      <w:r w:rsidRPr="005505D9">
        <w:rPr>
          <w:lang w:val="fr-CH"/>
        </w:rPr>
        <w:tab/>
        <w:t>Contexte</w:t>
      </w:r>
    </w:p>
    <w:p w:rsidR="0041400A" w:rsidRPr="005505D9" w:rsidRDefault="0041400A" w:rsidP="006C4250">
      <w:pPr>
        <w:rPr>
          <w:lang w:val="fr-CH"/>
        </w:rPr>
      </w:pPr>
      <w:r w:rsidRPr="005505D9">
        <w:rPr>
          <w:lang w:val="fr-CH"/>
        </w:rPr>
        <w:t>1.1</w:t>
      </w:r>
      <w:r w:rsidRPr="005505D9">
        <w:rPr>
          <w:lang w:val="fr-CH"/>
        </w:rPr>
        <w:tab/>
        <w:t xml:space="preserve">Le numéro </w:t>
      </w:r>
      <w:r w:rsidR="003D7515" w:rsidRPr="005505D9">
        <w:rPr>
          <w:lang w:val="fr-CH"/>
        </w:rPr>
        <w:t>114</w:t>
      </w:r>
      <w:r w:rsidRPr="005505D9">
        <w:rPr>
          <w:lang w:val="fr-CH"/>
        </w:rPr>
        <w:t xml:space="preserve"> de la Constitution de l'UIT dispose</w:t>
      </w:r>
      <w:r w:rsidR="003D7515" w:rsidRPr="005505D9">
        <w:rPr>
          <w:lang w:val="fr-CH"/>
        </w:rPr>
        <w:t xml:space="preserve"> qu'une Assemblée mondiale de normalisation des télécommunications (AMNT) </w:t>
      </w:r>
      <w:r w:rsidR="006C4250" w:rsidRPr="005505D9">
        <w:rPr>
          <w:lang w:val="fr-CH"/>
        </w:rPr>
        <w:t>est convoquée</w:t>
      </w:r>
      <w:r w:rsidR="003D7515" w:rsidRPr="005505D9">
        <w:rPr>
          <w:lang w:val="fr-CH"/>
        </w:rPr>
        <w:t xml:space="preserve"> tous les quatre ans; et les numéros</w:t>
      </w:r>
      <w:r w:rsidR="006C4250" w:rsidRPr="005505D9">
        <w:rPr>
          <w:lang w:val="fr-CH"/>
        </w:rPr>
        <w:t> </w:t>
      </w:r>
      <w:r w:rsidR="003D7515" w:rsidRPr="005505D9">
        <w:rPr>
          <w:lang w:val="fr-CH"/>
        </w:rPr>
        <w:t>23 et 24 de la Convention de l'UIT disposent qu'une Assemblée mondiale de normalisation des télécommunications</w:t>
      </w:r>
      <w:r w:rsidR="00AA7255" w:rsidRPr="005505D9">
        <w:rPr>
          <w:lang w:val="fr-CH"/>
        </w:rPr>
        <w:t xml:space="preserve"> (AMNT)</w:t>
      </w:r>
      <w:r w:rsidR="003D7515" w:rsidRPr="005505D9">
        <w:rPr>
          <w:lang w:val="fr-CH"/>
        </w:rPr>
        <w:t xml:space="preserve"> </w:t>
      </w:r>
      <w:r w:rsidR="006C4250" w:rsidRPr="005505D9">
        <w:rPr>
          <w:lang w:val="fr-CH"/>
        </w:rPr>
        <w:t xml:space="preserve">est convoquée </w:t>
      </w:r>
      <w:r w:rsidR="003D7515" w:rsidRPr="005505D9">
        <w:rPr>
          <w:lang w:val="fr-CH"/>
        </w:rPr>
        <w:t xml:space="preserve">dans l'intervalle </w:t>
      </w:r>
      <w:r w:rsidR="006C4250" w:rsidRPr="005505D9">
        <w:rPr>
          <w:lang w:val="fr-CH"/>
        </w:rPr>
        <w:t xml:space="preserve">qui </w:t>
      </w:r>
      <w:r w:rsidR="003D7515" w:rsidRPr="005505D9">
        <w:rPr>
          <w:lang w:val="fr-CH"/>
        </w:rPr>
        <w:t>sépar</w:t>
      </w:r>
      <w:r w:rsidR="006C4250" w:rsidRPr="005505D9">
        <w:rPr>
          <w:lang w:val="fr-CH"/>
        </w:rPr>
        <w:t>e</w:t>
      </w:r>
      <w:r w:rsidR="003D7515" w:rsidRPr="005505D9">
        <w:rPr>
          <w:lang w:val="fr-CH"/>
        </w:rPr>
        <w:t xml:space="preserve"> deux </w:t>
      </w:r>
      <w:r w:rsidR="003D7515" w:rsidRPr="005505D9">
        <w:rPr>
          <w:rFonts w:eastAsia="SimSun" w:cstheme="minorHAnsi"/>
          <w:color w:val="000000"/>
          <w:szCs w:val="24"/>
          <w:lang w:val="fr-CH"/>
        </w:rPr>
        <w:t>Conférences de plénipotentiaires</w:t>
      </w:r>
      <w:r w:rsidR="003D7515" w:rsidRPr="005505D9">
        <w:rPr>
          <w:lang w:val="fr-CH"/>
        </w:rPr>
        <w:t>.</w:t>
      </w:r>
    </w:p>
    <w:p w:rsidR="0041400A" w:rsidRPr="005505D9" w:rsidRDefault="0041400A" w:rsidP="005C0CC7">
      <w:pPr>
        <w:rPr>
          <w:lang w:val="fr-CH"/>
        </w:rPr>
      </w:pPr>
      <w:r w:rsidRPr="005505D9">
        <w:rPr>
          <w:lang w:val="fr-CH"/>
        </w:rPr>
        <w:t>1.2</w:t>
      </w:r>
      <w:r w:rsidRPr="005505D9">
        <w:rPr>
          <w:lang w:val="fr-CH"/>
        </w:rPr>
        <w:tab/>
      </w:r>
      <w:r w:rsidR="00E520DA" w:rsidRPr="005505D9">
        <w:rPr>
          <w:lang w:val="fr-CH"/>
        </w:rPr>
        <w:t>Aux termes de l</w:t>
      </w:r>
      <w:r w:rsidR="00595093" w:rsidRPr="005505D9">
        <w:rPr>
          <w:lang w:val="fr-CH"/>
        </w:rPr>
        <w:t>a</w:t>
      </w:r>
      <w:r w:rsidRPr="005505D9">
        <w:rPr>
          <w:lang w:val="fr-CH"/>
        </w:rPr>
        <w:t xml:space="preserve"> Résolution 77 (Rév. Dubaï, 2018)</w:t>
      </w:r>
      <w:r w:rsidR="00E520DA" w:rsidRPr="005505D9">
        <w:rPr>
          <w:lang w:val="fr-CH"/>
        </w:rPr>
        <w:t>,</w:t>
      </w:r>
      <w:r w:rsidRPr="005505D9">
        <w:rPr>
          <w:lang w:val="fr-CH"/>
        </w:rPr>
        <w:t xml:space="preserve"> la Conférence de plénipotentiaires</w:t>
      </w:r>
      <w:r w:rsidR="00595093" w:rsidRPr="005505D9">
        <w:rPr>
          <w:lang w:val="fr-CH"/>
        </w:rPr>
        <w:t xml:space="preserve"> </w:t>
      </w:r>
      <w:r w:rsidR="00E520DA" w:rsidRPr="005505D9">
        <w:rPr>
          <w:lang w:val="fr-CH"/>
        </w:rPr>
        <w:t xml:space="preserve">a décidé </w:t>
      </w:r>
      <w:r w:rsidR="00595093" w:rsidRPr="005505D9">
        <w:rPr>
          <w:lang w:val="fr-CH"/>
        </w:rPr>
        <w:t xml:space="preserve">que </w:t>
      </w:r>
      <w:r w:rsidR="003D7515" w:rsidRPr="005505D9">
        <w:rPr>
          <w:lang w:val="fr-CH"/>
        </w:rPr>
        <w:t>l'AMNT</w:t>
      </w:r>
      <w:r w:rsidR="00595093" w:rsidRPr="005505D9">
        <w:rPr>
          <w:lang w:val="fr-CH"/>
        </w:rPr>
        <w:t xml:space="preserve"> se tiendra</w:t>
      </w:r>
      <w:r w:rsidR="00E520DA" w:rsidRPr="005505D9">
        <w:rPr>
          <w:lang w:val="fr-CH"/>
        </w:rPr>
        <w:t>it</w:t>
      </w:r>
      <w:r w:rsidR="00595093" w:rsidRPr="005505D9">
        <w:rPr>
          <w:lang w:val="fr-CH"/>
        </w:rPr>
        <w:t xml:space="preserve"> le dernier trimestre de</w:t>
      </w:r>
      <w:r w:rsidR="006C4250" w:rsidRPr="005505D9">
        <w:rPr>
          <w:lang w:val="fr-CH"/>
        </w:rPr>
        <w:t xml:space="preserve"> </w:t>
      </w:r>
      <w:r w:rsidR="003D7515" w:rsidRPr="005505D9">
        <w:rPr>
          <w:lang w:val="fr-CH"/>
        </w:rPr>
        <w:t>2020</w:t>
      </w:r>
      <w:r w:rsidRPr="005505D9">
        <w:rPr>
          <w:lang w:val="fr-CH"/>
        </w:rPr>
        <w:t xml:space="preserve">. </w:t>
      </w:r>
    </w:p>
    <w:p w:rsidR="0041400A" w:rsidRPr="005505D9" w:rsidRDefault="0041400A" w:rsidP="00CD23D9">
      <w:pPr>
        <w:rPr>
          <w:lang w:val="fr-CH"/>
        </w:rPr>
      </w:pPr>
      <w:r w:rsidRPr="005505D9">
        <w:rPr>
          <w:lang w:val="fr-CH"/>
        </w:rPr>
        <w:t>1.3</w:t>
      </w:r>
      <w:r w:rsidRPr="005505D9">
        <w:rPr>
          <w:lang w:val="fr-CH"/>
        </w:rPr>
        <w:tab/>
        <w:t xml:space="preserve">Dans la Résolution 111 (Rév. Busan, 2014) de la Conférence de plénipotentiaires, il est demandé à l'Union et à ses </w:t>
      </w:r>
      <w:r w:rsidR="00CE5602" w:rsidRPr="005505D9">
        <w:rPr>
          <w:lang w:val="fr-CH"/>
        </w:rPr>
        <w:t>É</w:t>
      </w:r>
      <w:r w:rsidRPr="005505D9">
        <w:rPr>
          <w:lang w:val="fr-CH"/>
        </w:rPr>
        <w:t xml:space="preserve">tats Membres de mettre tout en </w:t>
      </w:r>
      <w:r w:rsidR="00CE5602" w:rsidRPr="005505D9">
        <w:rPr>
          <w:lang w:val="fr-CH"/>
        </w:rPr>
        <w:t>œuvre</w:t>
      </w:r>
      <w:r w:rsidRPr="005505D9">
        <w:rPr>
          <w:lang w:val="fr-CH"/>
        </w:rPr>
        <w:t xml:space="preserve">, dans la mesure du possible, pour éviter que la période prévue pour une conférence de l'UIT coïncide avec la période de célébration d'une fête religieuse considérée comme importante par un </w:t>
      </w:r>
      <w:r w:rsidR="008F198B" w:rsidRPr="005505D9">
        <w:rPr>
          <w:lang w:val="fr-CH"/>
        </w:rPr>
        <w:t>É</w:t>
      </w:r>
      <w:r w:rsidRPr="005505D9">
        <w:rPr>
          <w:lang w:val="fr-CH"/>
        </w:rPr>
        <w:t>tat Membre.</w:t>
      </w:r>
    </w:p>
    <w:p w:rsidR="0041400A" w:rsidRPr="005505D9" w:rsidRDefault="0041400A" w:rsidP="00CD23D9">
      <w:pPr>
        <w:rPr>
          <w:lang w:val="fr-CH"/>
        </w:rPr>
      </w:pPr>
      <w:r w:rsidRPr="005505D9">
        <w:rPr>
          <w:lang w:val="fr-CH"/>
        </w:rPr>
        <w:t>1.4</w:t>
      </w:r>
      <w:r w:rsidRPr="005505D9">
        <w:rPr>
          <w:lang w:val="fr-CH"/>
        </w:rPr>
        <w:tab/>
      </w:r>
      <w:r w:rsidR="00AC769A" w:rsidRPr="005505D9">
        <w:rPr>
          <w:color w:val="000000"/>
          <w:lang w:val="fr-CH"/>
        </w:rPr>
        <w:t xml:space="preserve">Conformément au numéro 42 de la Convention de l'UIT et au Chapitre I des Règles générales régissant les conférences, assemblées et réunions de l'Union, respectivement, en l'absence d'une décision de la Conférence de plénipotentiaires, le lieu précis et les dates exactes d'une </w:t>
      </w:r>
      <w:r w:rsidR="00EB0803" w:rsidRPr="005505D9">
        <w:rPr>
          <w:color w:val="000000"/>
          <w:lang w:val="fr-CH"/>
        </w:rPr>
        <w:t>AMNT</w:t>
      </w:r>
      <w:r w:rsidR="00AC769A" w:rsidRPr="005505D9">
        <w:rPr>
          <w:color w:val="000000"/>
          <w:lang w:val="fr-CH"/>
        </w:rPr>
        <w:t xml:space="preserve"> doivent être approuvés par le Conseil avec l'accord de la majorité des États Membres</w:t>
      </w:r>
      <w:r w:rsidRPr="005505D9">
        <w:rPr>
          <w:lang w:val="fr-CH"/>
        </w:rPr>
        <w:t>.</w:t>
      </w:r>
    </w:p>
    <w:p w:rsidR="0041400A" w:rsidRPr="005505D9" w:rsidRDefault="0041400A" w:rsidP="005C0CC7">
      <w:pPr>
        <w:rPr>
          <w:lang w:val="fr-CH"/>
        </w:rPr>
      </w:pPr>
      <w:r w:rsidRPr="005505D9">
        <w:rPr>
          <w:lang w:val="fr-CH"/>
        </w:rPr>
        <w:t>1.5</w:t>
      </w:r>
      <w:r w:rsidRPr="005505D9">
        <w:rPr>
          <w:lang w:val="fr-CH"/>
        </w:rPr>
        <w:tab/>
      </w:r>
      <w:r w:rsidR="00AC769A" w:rsidRPr="005505D9">
        <w:rPr>
          <w:lang w:val="fr-CH"/>
        </w:rPr>
        <w:t>Le Secrétaire général de l</w:t>
      </w:r>
      <w:r w:rsidRPr="005505D9">
        <w:rPr>
          <w:lang w:val="fr-CH"/>
        </w:rPr>
        <w:t xml:space="preserve">'UIT a reçu une invitation de la part du Gouvernement </w:t>
      </w:r>
      <w:r w:rsidR="00AC769A" w:rsidRPr="005505D9">
        <w:rPr>
          <w:lang w:val="fr-CH"/>
        </w:rPr>
        <w:t xml:space="preserve">de </w:t>
      </w:r>
      <w:r w:rsidR="00EB0803" w:rsidRPr="005505D9">
        <w:rPr>
          <w:lang w:val="fr-CH"/>
        </w:rPr>
        <w:t>l'Inde</w:t>
      </w:r>
      <w:r w:rsidR="00E520DA" w:rsidRPr="005505D9">
        <w:rPr>
          <w:lang w:val="fr-CH"/>
        </w:rPr>
        <w:t xml:space="preserve"> en vue </w:t>
      </w:r>
      <w:r w:rsidR="00EB0803" w:rsidRPr="005505D9">
        <w:rPr>
          <w:lang w:val="fr-CH"/>
        </w:rPr>
        <w:t>d'accueillir l'AMNT</w:t>
      </w:r>
      <w:r w:rsidRPr="005505D9">
        <w:rPr>
          <w:lang w:val="fr-CH"/>
        </w:rPr>
        <w:t>-</w:t>
      </w:r>
      <w:r w:rsidR="00AC769A" w:rsidRPr="005505D9">
        <w:rPr>
          <w:lang w:val="fr-CH"/>
        </w:rPr>
        <w:t>2</w:t>
      </w:r>
      <w:r w:rsidR="00EB0803" w:rsidRPr="005505D9">
        <w:rPr>
          <w:lang w:val="fr-CH"/>
        </w:rPr>
        <w:t xml:space="preserve">0 </w:t>
      </w:r>
      <w:r w:rsidR="006C4250" w:rsidRPr="005505D9">
        <w:rPr>
          <w:lang w:val="fr-CH"/>
        </w:rPr>
        <w:t xml:space="preserve">en Inde </w:t>
      </w:r>
      <w:r w:rsidR="00AC769A" w:rsidRPr="005505D9">
        <w:rPr>
          <w:lang w:val="fr-CH"/>
        </w:rPr>
        <w:t>aux date</w:t>
      </w:r>
      <w:r w:rsidR="00E520DA" w:rsidRPr="005505D9">
        <w:rPr>
          <w:lang w:val="fr-CH"/>
        </w:rPr>
        <w:t xml:space="preserve">s proposées, à savoir du </w:t>
      </w:r>
      <w:r w:rsidR="00EB0803" w:rsidRPr="005505D9">
        <w:rPr>
          <w:lang w:val="fr-CH"/>
        </w:rPr>
        <w:t>16</w:t>
      </w:r>
      <w:r w:rsidR="00E520DA" w:rsidRPr="005505D9">
        <w:rPr>
          <w:lang w:val="fr-CH"/>
        </w:rPr>
        <w:t xml:space="preserve"> au </w:t>
      </w:r>
      <w:r w:rsidR="00EB0803" w:rsidRPr="005505D9">
        <w:rPr>
          <w:lang w:val="fr-CH"/>
        </w:rPr>
        <w:t>27 novembre 2020, à New Delhi ou bien à Hyderabad (voir l'</w:t>
      </w:r>
      <w:hyperlink w:anchor="Annex1" w:history="1">
        <w:r w:rsidR="00EB0803" w:rsidRPr="005505D9">
          <w:rPr>
            <w:rStyle w:val="Hyperlink"/>
            <w:b/>
            <w:bCs/>
            <w:lang w:val="fr-CH"/>
          </w:rPr>
          <w:t>Annexe 1</w:t>
        </w:r>
      </w:hyperlink>
      <w:r w:rsidR="00AC769A" w:rsidRPr="005505D9">
        <w:rPr>
          <w:lang w:val="fr-CH"/>
        </w:rPr>
        <w:t>)</w:t>
      </w:r>
      <w:r w:rsidRPr="005505D9">
        <w:rPr>
          <w:lang w:val="fr-CH"/>
        </w:rPr>
        <w:t>. Des consultations sont en cours en vue de parvenir à un accord sur les conditions de la tenue de cette Conférence en dehors de Genève.</w:t>
      </w:r>
    </w:p>
    <w:p w:rsidR="0041400A" w:rsidRPr="005505D9" w:rsidRDefault="0041400A" w:rsidP="005C0CC7">
      <w:pPr>
        <w:pStyle w:val="Heading1"/>
        <w:rPr>
          <w:lang w:val="fr-CH"/>
        </w:rPr>
      </w:pPr>
      <w:r w:rsidRPr="005505D9">
        <w:rPr>
          <w:lang w:val="fr-CH"/>
        </w:rPr>
        <w:lastRenderedPageBreak/>
        <w:t>2</w:t>
      </w:r>
      <w:r w:rsidRPr="005505D9">
        <w:rPr>
          <w:lang w:val="fr-CH"/>
        </w:rPr>
        <w:tab/>
        <w:t>Proposition</w:t>
      </w:r>
    </w:p>
    <w:p w:rsidR="0041400A" w:rsidRPr="005505D9" w:rsidRDefault="00E63220" w:rsidP="006C4250">
      <w:pPr>
        <w:rPr>
          <w:lang w:val="fr-CH"/>
        </w:rPr>
      </w:pPr>
      <w:r w:rsidRPr="005505D9">
        <w:rPr>
          <w:lang w:val="fr-CH"/>
        </w:rPr>
        <w:t>2</w:t>
      </w:r>
      <w:r w:rsidR="0041400A" w:rsidRPr="005505D9">
        <w:rPr>
          <w:lang w:val="fr-CH"/>
        </w:rPr>
        <w:t>.1</w:t>
      </w:r>
      <w:r w:rsidR="0041400A" w:rsidRPr="005505D9">
        <w:rPr>
          <w:lang w:val="fr-CH"/>
        </w:rPr>
        <w:tab/>
      </w:r>
      <w:r w:rsidR="001E6DCB" w:rsidRPr="005505D9">
        <w:rPr>
          <w:lang w:val="fr-CH"/>
        </w:rPr>
        <w:t xml:space="preserve">Le Conseil est invité à prendre en considération l'invitation adressée par </w:t>
      </w:r>
      <w:r w:rsidR="006311E7" w:rsidRPr="005505D9">
        <w:rPr>
          <w:lang w:val="fr-CH"/>
        </w:rPr>
        <w:t xml:space="preserve">le Gouvernement de l'Inde en vue d'accueillir l'AMNT-20 en Inde </w:t>
      </w:r>
      <w:r w:rsidR="001E6DCB" w:rsidRPr="005505D9">
        <w:rPr>
          <w:lang w:val="fr-CH"/>
        </w:rPr>
        <w:t xml:space="preserve">du </w:t>
      </w:r>
      <w:r w:rsidR="006311E7" w:rsidRPr="005505D9">
        <w:rPr>
          <w:lang w:val="fr-CH"/>
        </w:rPr>
        <w:t>16</w:t>
      </w:r>
      <w:r w:rsidR="001E6DCB" w:rsidRPr="005505D9">
        <w:rPr>
          <w:lang w:val="fr-CH"/>
        </w:rPr>
        <w:t xml:space="preserve"> au </w:t>
      </w:r>
      <w:r w:rsidR="006311E7" w:rsidRPr="005505D9">
        <w:rPr>
          <w:lang w:val="fr-CH"/>
        </w:rPr>
        <w:t>27 novembre 2020</w:t>
      </w:r>
      <w:r w:rsidR="001E6DCB" w:rsidRPr="005505D9">
        <w:rPr>
          <w:lang w:val="fr-CH"/>
        </w:rPr>
        <w:t xml:space="preserve"> et </w:t>
      </w:r>
      <w:r w:rsidR="006C4250" w:rsidRPr="005505D9">
        <w:rPr>
          <w:lang w:val="fr-CH"/>
        </w:rPr>
        <w:t xml:space="preserve">à </w:t>
      </w:r>
      <w:r w:rsidR="001E6DCB" w:rsidRPr="005505D9">
        <w:rPr>
          <w:lang w:val="fr-CH"/>
        </w:rPr>
        <w:t xml:space="preserve">arrêter </w:t>
      </w:r>
      <w:r w:rsidR="006311E7" w:rsidRPr="005505D9">
        <w:rPr>
          <w:lang w:val="fr-CH"/>
        </w:rPr>
        <w:t>une décision concernant le pays hôte</w:t>
      </w:r>
      <w:r w:rsidR="00394842">
        <w:rPr>
          <w:lang w:val="fr-CH"/>
        </w:rPr>
        <w:t>, le lieu</w:t>
      </w:r>
      <w:r w:rsidR="006311E7" w:rsidRPr="005505D9">
        <w:rPr>
          <w:lang w:val="fr-CH"/>
        </w:rPr>
        <w:t xml:space="preserve"> et les dates exactes de l'AMNT-20</w:t>
      </w:r>
      <w:r w:rsidR="006C4250" w:rsidRPr="005505D9">
        <w:rPr>
          <w:lang w:val="fr-CH"/>
        </w:rPr>
        <w:t>, en adoptant le projet de D</w:t>
      </w:r>
      <w:r w:rsidR="001E6DCB" w:rsidRPr="005505D9">
        <w:rPr>
          <w:lang w:val="fr-CH"/>
        </w:rPr>
        <w:t>écision figurant dans l'</w:t>
      </w:r>
      <w:hyperlink w:anchor="lt_pId072" w:history="1">
        <w:r w:rsidR="001E6DCB" w:rsidRPr="005505D9">
          <w:rPr>
            <w:rStyle w:val="Hyperlink"/>
            <w:b/>
            <w:bCs/>
            <w:lang w:val="fr-CH"/>
          </w:rPr>
          <w:t xml:space="preserve">Annexe </w:t>
        </w:r>
        <w:r w:rsidR="006311E7" w:rsidRPr="005505D9">
          <w:rPr>
            <w:rStyle w:val="Hyperlink"/>
            <w:b/>
            <w:bCs/>
            <w:lang w:val="fr-CH"/>
          </w:rPr>
          <w:t>2</w:t>
        </w:r>
      </w:hyperlink>
      <w:r w:rsidR="001E6DCB" w:rsidRPr="005505D9">
        <w:rPr>
          <w:lang w:val="fr-CH"/>
        </w:rPr>
        <w:t>.</w:t>
      </w:r>
    </w:p>
    <w:p w:rsidR="00E63220" w:rsidRPr="005505D9" w:rsidRDefault="00E63220" w:rsidP="000B1BFA">
      <w:pPr>
        <w:rPr>
          <w:lang w:val="fr-CH"/>
        </w:rPr>
      </w:pPr>
      <w:r w:rsidRPr="005505D9">
        <w:rPr>
          <w:lang w:val="fr-CH"/>
        </w:rPr>
        <w:t>2.2</w:t>
      </w:r>
      <w:r w:rsidRPr="005505D9">
        <w:rPr>
          <w:lang w:val="fr-CH"/>
        </w:rPr>
        <w:tab/>
      </w:r>
      <w:r w:rsidR="00394842">
        <w:rPr>
          <w:lang w:val="fr-CH"/>
        </w:rPr>
        <w:t>Si le lieu préféré par le Conseil est New Dehli, l</w:t>
      </w:r>
      <w:r w:rsidRPr="005505D9">
        <w:rPr>
          <w:lang w:val="fr-CH"/>
        </w:rPr>
        <w:t xml:space="preserve">e </w:t>
      </w:r>
      <w:r w:rsidR="00583FA5" w:rsidRPr="005505D9">
        <w:rPr>
          <w:lang w:val="fr-CH"/>
        </w:rPr>
        <w:t>S</w:t>
      </w:r>
      <w:r w:rsidRPr="005505D9">
        <w:rPr>
          <w:lang w:val="fr-CH"/>
        </w:rPr>
        <w:t xml:space="preserve">ecrétariat entreprendra une mission afin d'évaluer </w:t>
      </w:r>
      <w:r w:rsidR="00394842">
        <w:rPr>
          <w:lang w:val="fr-CH"/>
        </w:rPr>
        <w:t xml:space="preserve">le </w:t>
      </w:r>
      <w:r w:rsidRPr="005505D9">
        <w:rPr>
          <w:lang w:val="fr-CH"/>
        </w:rPr>
        <w:t>site</w:t>
      </w:r>
      <w:r w:rsidR="00AA7255" w:rsidRPr="005505D9">
        <w:rPr>
          <w:lang w:val="fr-CH"/>
        </w:rPr>
        <w:t xml:space="preserve"> de la Conférence</w:t>
      </w:r>
      <w:r w:rsidRPr="005505D9">
        <w:rPr>
          <w:lang w:val="fr-CH"/>
        </w:rPr>
        <w:t xml:space="preserve"> à New Delhi </w:t>
      </w:r>
      <w:r w:rsidR="00394842">
        <w:rPr>
          <w:lang w:val="fr-CH"/>
        </w:rPr>
        <w:t>et</w:t>
      </w:r>
      <w:r w:rsidR="00AC4FA3">
        <w:rPr>
          <w:lang w:val="fr-CH"/>
        </w:rPr>
        <w:t>, une fois la mission terminée, il</w:t>
      </w:r>
      <w:r w:rsidR="00394842">
        <w:rPr>
          <w:lang w:val="fr-CH"/>
        </w:rPr>
        <w:t xml:space="preserve"> fera circuler </w:t>
      </w:r>
      <w:r w:rsidR="000B1BFA">
        <w:rPr>
          <w:lang w:val="fr-CH"/>
        </w:rPr>
        <w:t xml:space="preserve">son rapport </w:t>
      </w:r>
      <w:r w:rsidR="00394842">
        <w:rPr>
          <w:lang w:val="fr-CH"/>
        </w:rPr>
        <w:t xml:space="preserve">avant qu'une décision finale soit prise par correspondance. Si le lieu préféré est </w:t>
      </w:r>
      <w:r w:rsidRPr="005505D9">
        <w:rPr>
          <w:lang w:val="fr-CH"/>
        </w:rPr>
        <w:t>Hyderabad</w:t>
      </w:r>
      <w:r w:rsidR="00394842">
        <w:rPr>
          <w:lang w:val="fr-CH"/>
        </w:rPr>
        <w:t>, étant donné qu'il s'agit du lieu où s'est tenue la CMDT-10, une décision finale peut être prise lors de cette session du Conseil</w:t>
      </w:r>
      <w:r w:rsidRPr="005505D9">
        <w:rPr>
          <w:lang w:val="fr-CH"/>
        </w:rPr>
        <w:t xml:space="preserve">. </w:t>
      </w:r>
    </w:p>
    <w:p w:rsidR="0041400A" w:rsidRPr="005505D9" w:rsidRDefault="0041400A" w:rsidP="005C0CC7">
      <w:pPr>
        <w:rPr>
          <w:lang w:val="fr-CH"/>
        </w:rPr>
      </w:pPr>
      <w:r w:rsidRPr="005505D9">
        <w:rPr>
          <w:lang w:val="fr-CH"/>
        </w:rPr>
        <w:t>2</w:t>
      </w:r>
      <w:r w:rsidR="00E63220" w:rsidRPr="005505D9">
        <w:rPr>
          <w:lang w:val="fr-CH"/>
        </w:rPr>
        <w:t>.3</w:t>
      </w:r>
      <w:r w:rsidRPr="005505D9">
        <w:rPr>
          <w:lang w:val="fr-CH"/>
        </w:rPr>
        <w:tab/>
        <w:t xml:space="preserve">Les États Membres de l'UIT seront ensuite consultés en vue d'obtenir leur accord au sujet du lieu </w:t>
      </w:r>
      <w:r w:rsidR="00E63220" w:rsidRPr="005505D9">
        <w:rPr>
          <w:lang w:val="fr-CH"/>
        </w:rPr>
        <w:t>précis</w:t>
      </w:r>
      <w:r w:rsidR="00AA7255" w:rsidRPr="005505D9">
        <w:rPr>
          <w:lang w:val="fr-CH"/>
        </w:rPr>
        <w:t xml:space="preserve"> et des dates exactes</w:t>
      </w:r>
      <w:r w:rsidRPr="005505D9">
        <w:rPr>
          <w:lang w:val="fr-CH"/>
        </w:rPr>
        <w:t>, conformément au numéro 42 de la Convention de l'UIT.</w:t>
      </w:r>
    </w:p>
    <w:p w:rsidR="0041400A" w:rsidRPr="005505D9" w:rsidRDefault="0041400A" w:rsidP="005C0CC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5505D9">
        <w:rPr>
          <w:lang w:val="fr-CH"/>
        </w:rPr>
        <w:br w:type="page"/>
      </w:r>
    </w:p>
    <w:p w:rsidR="0041400A" w:rsidRPr="005505D9" w:rsidRDefault="0041400A" w:rsidP="005C0CC7">
      <w:pPr>
        <w:pStyle w:val="AnnexNo"/>
        <w:rPr>
          <w:lang w:val="fr-CH"/>
        </w:rPr>
      </w:pPr>
      <w:bookmarkStart w:id="12" w:name="lt_pId065"/>
      <w:bookmarkStart w:id="13" w:name="Annex1"/>
      <w:r w:rsidRPr="005505D9">
        <w:rPr>
          <w:lang w:val="fr-CH"/>
        </w:rPr>
        <w:lastRenderedPageBreak/>
        <w:t>ANNEXE 1</w:t>
      </w:r>
      <w:bookmarkStart w:id="14" w:name="lt_pId066"/>
      <w:bookmarkEnd w:id="12"/>
      <w:bookmarkEnd w:id="13"/>
    </w:p>
    <w:p w:rsidR="0041400A" w:rsidRPr="005505D9" w:rsidRDefault="0041400A" w:rsidP="005C0CC7">
      <w:pPr>
        <w:pStyle w:val="Annextitle"/>
        <w:rPr>
          <w:lang w:val="fr-CH"/>
        </w:rPr>
      </w:pPr>
      <w:r w:rsidRPr="005505D9">
        <w:rPr>
          <w:lang w:val="fr-CH"/>
        </w:rPr>
        <w:t xml:space="preserve">Invitation </w:t>
      </w:r>
      <w:bookmarkEnd w:id="14"/>
      <w:r w:rsidR="001E6DCB" w:rsidRPr="005505D9">
        <w:rPr>
          <w:lang w:val="fr-CH"/>
        </w:rPr>
        <w:t xml:space="preserve">du </w:t>
      </w:r>
      <w:r w:rsidR="006763C1" w:rsidRPr="005505D9">
        <w:rPr>
          <w:lang w:val="fr-CH"/>
        </w:rPr>
        <w:t>G</w:t>
      </w:r>
      <w:r w:rsidR="001E6DCB" w:rsidRPr="005505D9">
        <w:rPr>
          <w:lang w:val="fr-CH"/>
        </w:rPr>
        <w:t xml:space="preserve">ouvernement de </w:t>
      </w:r>
      <w:r w:rsidR="00E63220" w:rsidRPr="005505D9">
        <w:rPr>
          <w:lang w:val="fr-CH"/>
        </w:rPr>
        <w:t>l'Inde en vue d'accueillir l'AMNT-20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117"/>
      </w:tblGrid>
      <w:tr w:rsidR="00F75144" w:rsidTr="00F75144">
        <w:tc>
          <w:tcPr>
            <w:tcW w:w="4814" w:type="dxa"/>
          </w:tcPr>
          <w:p w:rsidR="00F75144" w:rsidRDefault="00F75144" w:rsidP="00F75144">
            <w:pPr>
              <w:spacing w:after="240"/>
              <w:jc w:val="center"/>
              <w:rPr>
                <w:lang w:val="fr-CH"/>
              </w:rPr>
            </w:pPr>
            <w:r w:rsidRPr="005505D9">
              <w:rPr>
                <w:lang w:val="fr-CH"/>
              </w:rPr>
              <w:t xml:space="preserve">Aruna Sundararajan, </w:t>
            </w:r>
            <w:r w:rsidRPr="005505D9">
              <w:rPr>
                <w:lang w:val="fr-CH"/>
              </w:rPr>
              <w:br/>
              <w:t>Secrétaire de l'I.A.S.</w:t>
            </w:r>
          </w:p>
        </w:tc>
        <w:tc>
          <w:tcPr>
            <w:tcW w:w="4117" w:type="dxa"/>
          </w:tcPr>
          <w:p w:rsidR="00F75144" w:rsidRDefault="00F75144" w:rsidP="00F75144">
            <w:pPr>
              <w:spacing w:before="0"/>
              <w:jc w:val="center"/>
              <w:rPr>
                <w:lang w:val="fr-CH"/>
              </w:rPr>
            </w:pPr>
            <w:r w:rsidRPr="005505D9">
              <w:rPr>
                <w:lang w:val="fr-CH"/>
              </w:rPr>
              <w:t>Gouvernement de l'Inde</w:t>
            </w:r>
            <w:r>
              <w:rPr>
                <w:lang w:val="fr-CH"/>
              </w:rPr>
              <w:br/>
            </w:r>
            <w:r w:rsidRPr="005505D9">
              <w:rPr>
                <w:lang w:val="fr-CH"/>
              </w:rPr>
              <w:t>Ministère des communications</w:t>
            </w:r>
            <w:r>
              <w:rPr>
                <w:lang w:val="fr-CH"/>
              </w:rPr>
              <w:br/>
            </w:r>
            <w:r w:rsidRPr="005505D9">
              <w:rPr>
                <w:lang w:val="fr-CH"/>
              </w:rPr>
              <w:t>Département des télécommunications</w:t>
            </w:r>
          </w:p>
        </w:tc>
      </w:tr>
    </w:tbl>
    <w:p w:rsidR="00957498" w:rsidRPr="005505D9" w:rsidRDefault="00957498" w:rsidP="00F75144">
      <w:pPr>
        <w:tabs>
          <w:tab w:val="clear" w:pos="1701"/>
          <w:tab w:val="clear" w:pos="2268"/>
          <w:tab w:val="clear" w:pos="2835"/>
          <w:tab w:val="left" w:pos="7230"/>
        </w:tabs>
        <w:spacing w:before="240" w:after="240"/>
        <w:rPr>
          <w:lang w:val="fr-CH"/>
        </w:rPr>
      </w:pPr>
      <w:r w:rsidRPr="005505D9">
        <w:rPr>
          <w:lang w:val="fr-CH"/>
        </w:rPr>
        <w:t>N° 16-5/2015-IR</w:t>
      </w:r>
      <w:r w:rsidR="006C4250" w:rsidRPr="005505D9">
        <w:rPr>
          <w:lang w:val="fr-CH"/>
        </w:rPr>
        <w:tab/>
      </w:r>
      <w:r w:rsidRPr="005505D9">
        <w:rPr>
          <w:lang w:val="fr-CH"/>
        </w:rPr>
        <w:t>Date:</w:t>
      </w:r>
      <w:r w:rsidR="00F75144">
        <w:rPr>
          <w:lang w:val="fr-CH"/>
        </w:rPr>
        <w:t xml:space="preserve"> </w:t>
      </w:r>
      <w:r w:rsidRPr="005505D9">
        <w:rPr>
          <w:lang w:val="fr-CH"/>
        </w:rPr>
        <w:t>4 juin 2019</w:t>
      </w:r>
    </w:p>
    <w:p w:rsidR="00957498" w:rsidRPr="005505D9" w:rsidRDefault="00957498" w:rsidP="008012CF">
      <w:pPr>
        <w:spacing w:after="240"/>
        <w:ind w:left="1134" w:hanging="1134"/>
        <w:rPr>
          <w:b/>
          <w:bCs/>
          <w:lang w:val="fr-CH"/>
        </w:rPr>
      </w:pPr>
      <w:r w:rsidRPr="005505D9">
        <w:rPr>
          <w:b/>
          <w:bCs/>
          <w:lang w:val="fr-CH"/>
        </w:rPr>
        <w:t>Objet:</w:t>
      </w:r>
      <w:r w:rsidRPr="005505D9">
        <w:rPr>
          <w:b/>
          <w:bCs/>
          <w:lang w:val="fr-CH"/>
        </w:rPr>
        <w:tab/>
        <w:t>Proposition en vue d'accueillir l'Assemblé</w:t>
      </w:r>
      <w:r w:rsidR="008012CF">
        <w:rPr>
          <w:b/>
          <w:bCs/>
          <w:lang w:val="fr-CH"/>
        </w:rPr>
        <w:t>e mondiale de normalisation des </w:t>
      </w:r>
      <w:r w:rsidRPr="005505D9">
        <w:rPr>
          <w:b/>
          <w:bCs/>
          <w:lang w:val="fr-CH"/>
        </w:rPr>
        <w:t>télécommunications (AMNT) de 2020 en Inde</w:t>
      </w:r>
    </w:p>
    <w:p w:rsidR="00957498" w:rsidRPr="005505D9" w:rsidRDefault="00957498" w:rsidP="006C4250">
      <w:pPr>
        <w:rPr>
          <w:lang w:val="fr-CH"/>
        </w:rPr>
      </w:pPr>
      <w:r w:rsidRPr="005505D9">
        <w:rPr>
          <w:lang w:val="fr-CH"/>
        </w:rPr>
        <w:t>Monsieur,</w:t>
      </w:r>
    </w:p>
    <w:p w:rsidR="00957498" w:rsidRPr="005505D9" w:rsidRDefault="00822181" w:rsidP="006C4250">
      <w:pPr>
        <w:rPr>
          <w:lang w:val="fr-CH"/>
        </w:rPr>
      </w:pPr>
      <w:r w:rsidRPr="005505D9">
        <w:rPr>
          <w:lang w:val="fr-CH"/>
        </w:rPr>
        <w:t xml:space="preserve">Le Département des télécommunications du Ministère des </w:t>
      </w:r>
      <w:r w:rsidR="00AA7255" w:rsidRPr="005505D9">
        <w:rPr>
          <w:lang w:val="fr-CH"/>
        </w:rPr>
        <w:t>c</w:t>
      </w:r>
      <w:r w:rsidRPr="005505D9">
        <w:rPr>
          <w:lang w:val="fr-CH"/>
        </w:rPr>
        <w:t>ommunications du Gouvernement de l'Inde vous adresse ses meilleures salutations.</w:t>
      </w:r>
    </w:p>
    <w:p w:rsidR="00822181" w:rsidRPr="005505D9" w:rsidRDefault="00822181" w:rsidP="006C4250">
      <w:pPr>
        <w:rPr>
          <w:lang w:val="fr-CH"/>
        </w:rPr>
      </w:pPr>
      <w:r w:rsidRPr="005505D9">
        <w:rPr>
          <w:lang w:val="fr-CH"/>
        </w:rPr>
        <w:t>Nous faisons référence à la communication de l'UIT datée du 8 mai 2019 invitant l'Administration indienne à exprimer son opinion quant à la tenue de l'</w:t>
      </w:r>
      <w:r w:rsidR="00AA7255" w:rsidRPr="005505D9">
        <w:rPr>
          <w:lang w:val="fr-CH"/>
        </w:rPr>
        <w:t>AMNT-20</w:t>
      </w:r>
      <w:r w:rsidRPr="005505D9">
        <w:rPr>
          <w:lang w:val="fr-CH"/>
        </w:rPr>
        <w:t xml:space="preserve"> en Inde.</w:t>
      </w:r>
    </w:p>
    <w:p w:rsidR="00822181" w:rsidRPr="005505D9" w:rsidRDefault="00822181" w:rsidP="006C4250">
      <w:pPr>
        <w:rPr>
          <w:lang w:val="fr-CH"/>
        </w:rPr>
      </w:pPr>
      <w:r w:rsidRPr="005505D9">
        <w:rPr>
          <w:lang w:val="fr-CH"/>
        </w:rPr>
        <w:t>L'Administration indienne a le plaisir de vous informer que le Gouvernement de l'Inde souhaite accueillir l'</w:t>
      </w:r>
      <w:r w:rsidR="00AA7255" w:rsidRPr="005505D9">
        <w:rPr>
          <w:lang w:val="fr-CH"/>
        </w:rPr>
        <w:t>AMNT-20</w:t>
      </w:r>
      <w:r w:rsidRPr="005505D9">
        <w:rPr>
          <w:lang w:val="fr-CH"/>
        </w:rPr>
        <w:t xml:space="preserve"> en Inde, aux dates communiquées par l'UIT, à savoir du 16 au 27</w:t>
      </w:r>
      <w:r w:rsidR="006C4250" w:rsidRPr="005505D9">
        <w:rPr>
          <w:lang w:val="fr-CH"/>
        </w:rPr>
        <w:t> </w:t>
      </w:r>
      <w:r w:rsidRPr="005505D9">
        <w:rPr>
          <w:lang w:val="fr-CH"/>
        </w:rPr>
        <w:t>novembre</w:t>
      </w:r>
      <w:r w:rsidR="006C4250" w:rsidRPr="005505D9">
        <w:rPr>
          <w:lang w:val="fr-CH"/>
        </w:rPr>
        <w:t> </w:t>
      </w:r>
      <w:r w:rsidRPr="005505D9">
        <w:rPr>
          <w:lang w:val="fr-CH"/>
        </w:rPr>
        <w:t xml:space="preserve">2020. La Conférence pourra </w:t>
      </w:r>
      <w:r w:rsidR="00FA7D7B" w:rsidRPr="005505D9">
        <w:rPr>
          <w:lang w:val="fr-CH"/>
        </w:rPr>
        <w:t>être tenue à New Delhi (</w:t>
      </w:r>
      <w:r w:rsidR="00926804" w:rsidRPr="005505D9">
        <w:rPr>
          <w:lang w:val="fr-CH"/>
        </w:rPr>
        <w:t xml:space="preserve">la construction des locaux de Pragati Maidan est encore en cours, mais sera vraisemblablement terminée avant la Conférence) ou à Hyderabad. </w:t>
      </w:r>
      <w:r w:rsidR="00AC5198" w:rsidRPr="005505D9">
        <w:rPr>
          <w:lang w:val="fr-CH"/>
        </w:rPr>
        <w:t xml:space="preserve">Le Conseil de l'UIT, à sa session de </w:t>
      </w:r>
      <w:r w:rsidR="00AA7255" w:rsidRPr="005505D9">
        <w:rPr>
          <w:lang w:val="fr-CH"/>
        </w:rPr>
        <w:t>juin</w:t>
      </w:r>
      <w:r w:rsidR="00AC5198" w:rsidRPr="005505D9">
        <w:rPr>
          <w:lang w:val="fr-CH"/>
        </w:rPr>
        <w:t xml:space="preserve"> 2019, est invité à bien vouloir étudier la proposition </w:t>
      </w:r>
      <w:r w:rsidR="00926804" w:rsidRPr="005505D9">
        <w:rPr>
          <w:lang w:val="fr-CH"/>
        </w:rPr>
        <w:t>visant à accueillir l'</w:t>
      </w:r>
      <w:r w:rsidR="00AA7255" w:rsidRPr="005505D9">
        <w:rPr>
          <w:lang w:val="fr-CH"/>
        </w:rPr>
        <w:t>AMNT-20</w:t>
      </w:r>
      <w:r w:rsidR="00926804" w:rsidRPr="005505D9">
        <w:rPr>
          <w:lang w:val="fr-CH"/>
        </w:rPr>
        <w:t xml:space="preserve"> en Inde, </w:t>
      </w:r>
      <w:r w:rsidR="00AC5198" w:rsidRPr="005505D9">
        <w:rPr>
          <w:lang w:val="fr-CH"/>
        </w:rPr>
        <w:t>conformément aux</w:t>
      </w:r>
      <w:r w:rsidR="00926804" w:rsidRPr="005505D9">
        <w:rPr>
          <w:lang w:val="fr-CH"/>
        </w:rPr>
        <w:t xml:space="preserve"> procédures prescrites.</w:t>
      </w:r>
    </w:p>
    <w:p w:rsidR="00AC5198" w:rsidRPr="005505D9" w:rsidRDefault="00AC5198" w:rsidP="006C4250">
      <w:pPr>
        <w:rPr>
          <w:lang w:val="fr-CH"/>
        </w:rPr>
      </w:pPr>
      <w:r w:rsidRPr="005505D9">
        <w:rPr>
          <w:lang w:val="fr-CH"/>
        </w:rPr>
        <w:lastRenderedPageBreak/>
        <w:t>L'Administration indienne</w:t>
      </w:r>
      <w:r w:rsidR="00C74AB8" w:rsidRPr="005505D9">
        <w:rPr>
          <w:lang w:val="fr-CH"/>
        </w:rPr>
        <w:t xml:space="preserve"> serait </w:t>
      </w:r>
      <w:r w:rsidR="00AA7255" w:rsidRPr="005505D9">
        <w:rPr>
          <w:lang w:val="fr-CH"/>
        </w:rPr>
        <w:t>honorée</w:t>
      </w:r>
      <w:r w:rsidR="00C74AB8" w:rsidRPr="005505D9">
        <w:rPr>
          <w:lang w:val="fr-CH"/>
        </w:rPr>
        <w:t xml:space="preserve"> si la proposition du Gouvernement de l'Inde visant à accueillir l'</w:t>
      </w:r>
      <w:r w:rsidR="00AA7255" w:rsidRPr="005505D9">
        <w:rPr>
          <w:lang w:val="fr-CH"/>
        </w:rPr>
        <w:t>AMNT-20</w:t>
      </w:r>
      <w:r w:rsidR="00C74AB8" w:rsidRPr="005505D9">
        <w:rPr>
          <w:lang w:val="fr-CH"/>
        </w:rPr>
        <w:t xml:space="preserve"> </w:t>
      </w:r>
      <w:r w:rsidR="00AA7255" w:rsidRPr="005505D9">
        <w:rPr>
          <w:lang w:val="fr-CH"/>
        </w:rPr>
        <w:t>recevait</w:t>
      </w:r>
      <w:r w:rsidR="00C74AB8" w:rsidRPr="005505D9">
        <w:rPr>
          <w:lang w:val="fr-CH"/>
        </w:rPr>
        <w:t xml:space="preserve"> une réponse positive. </w:t>
      </w:r>
      <w:r w:rsidR="00AA7255" w:rsidRPr="005505D9">
        <w:rPr>
          <w:lang w:val="fr-CH"/>
        </w:rPr>
        <w:t>Nous vous saurions gré de nous adresser toute</w:t>
      </w:r>
      <w:r w:rsidR="00C74AB8" w:rsidRPr="005505D9">
        <w:rPr>
          <w:lang w:val="fr-CH"/>
        </w:rPr>
        <w:t xml:space="preserve"> communication officielle à ce sujet le plus tôt possible, accompagné</w:t>
      </w:r>
      <w:r w:rsidR="00AA7255" w:rsidRPr="005505D9">
        <w:rPr>
          <w:lang w:val="fr-CH"/>
        </w:rPr>
        <w:t>e d'un exemplaire de</w:t>
      </w:r>
      <w:r w:rsidR="00C74AB8" w:rsidRPr="005505D9">
        <w:rPr>
          <w:lang w:val="fr-CH"/>
        </w:rPr>
        <w:t xml:space="preserve"> l'"</w:t>
      </w:r>
      <w:r w:rsidR="00563554" w:rsidRPr="005505D9">
        <w:rPr>
          <w:lang w:val="fr-CH"/>
        </w:rPr>
        <w:t>A</w:t>
      </w:r>
      <w:r w:rsidR="00C74AB8" w:rsidRPr="005505D9">
        <w:rPr>
          <w:lang w:val="fr-CH"/>
        </w:rPr>
        <w:t xml:space="preserve">ccord de pays hôte", afin </w:t>
      </w:r>
      <w:r w:rsidR="00AA7255" w:rsidRPr="005505D9">
        <w:rPr>
          <w:lang w:val="fr-CH"/>
        </w:rPr>
        <w:t>que nous puissions aller de l'avant dans les meilleurs</w:t>
      </w:r>
      <w:r w:rsidR="00563554" w:rsidRPr="005505D9">
        <w:rPr>
          <w:lang w:val="fr-CH"/>
        </w:rPr>
        <w:t xml:space="preserve"> délais.</w:t>
      </w:r>
    </w:p>
    <w:p w:rsidR="00563554" w:rsidRPr="005505D9" w:rsidRDefault="00AA7255" w:rsidP="006C4250">
      <w:pPr>
        <w:rPr>
          <w:lang w:val="fr-CH"/>
        </w:rPr>
      </w:pPr>
      <w:r w:rsidRPr="005505D9">
        <w:rPr>
          <w:lang w:val="fr-CH"/>
        </w:rPr>
        <w:t xml:space="preserve">En espérant que vous appuierez notre proposition, nous vous prions d'agréer, </w:t>
      </w:r>
      <w:r w:rsidR="00563554" w:rsidRPr="005505D9">
        <w:rPr>
          <w:lang w:val="fr-CH"/>
        </w:rPr>
        <w:t>Monsieur, l'expression de</w:t>
      </w:r>
      <w:r w:rsidRPr="005505D9">
        <w:rPr>
          <w:lang w:val="fr-CH"/>
        </w:rPr>
        <w:t xml:space="preserve"> notre haute considération</w:t>
      </w:r>
      <w:r w:rsidR="00563554" w:rsidRPr="005505D9">
        <w:rPr>
          <w:lang w:val="fr-CH"/>
        </w:rPr>
        <w:t>.</w:t>
      </w:r>
    </w:p>
    <w:p w:rsidR="006C4250" w:rsidRPr="005505D9" w:rsidRDefault="006C4250" w:rsidP="008012C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480"/>
        <w:rPr>
          <w:lang w:val="fr-CH"/>
        </w:rPr>
      </w:pPr>
      <w:r w:rsidRPr="005505D9">
        <w:rPr>
          <w:lang w:val="fr-CH"/>
        </w:rPr>
        <w:tab/>
        <w:t>(</w:t>
      </w:r>
      <w:r w:rsidRPr="005505D9">
        <w:rPr>
          <w:i/>
          <w:iCs/>
          <w:lang w:val="fr-CH"/>
        </w:rPr>
        <w:t>signé</w:t>
      </w:r>
      <w:r w:rsidRPr="005505D9">
        <w:rPr>
          <w:lang w:val="fr-CH"/>
        </w:rPr>
        <w:t>)</w:t>
      </w:r>
    </w:p>
    <w:p w:rsidR="00563554" w:rsidRPr="005505D9" w:rsidRDefault="006C4250" w:rsidP="006C42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0" w:after="240"/>
        <w:rPr>
          <w:lang w:val="fr-CH"/>
        </w:rPr>
      </w:pPr>
      <w:r w:rsidRPr="005505D9">
        <w:rPr>
          <w:lang w:val="fr-CH"/>
        </w:rPr>
        <w:tab/>
      </w:r>
      <w:r w:rsidR="00563554" w:rsidRPr="005505D9">
        <w:rPr>
          <w:lang w:val="fr-CH"/>
        </w:rPr>
        <w:t>(Aruna Sundararajan)</w:t>
      </w:r>
    </w:p>
    <w:p w:rsidR="006C4250" w:rsidRPr="005505D9" w:rsidRDefault="00563554" w:rsidP="008012CF">
      <w:pPr>
        <w:spacing w:before="360" w:after="120"/>
        <w:rPr>
          <w:lang w:val="fr-CH"/>
        </w:rPr>
      </w:pPr>
      <w:r w:rsidRPr="005505D9">
        <w:rPr>
          <w:lang w:val="fr-CH"/>
        </w:rPr>
        <w:t>M. Houlin Zhao</w:t>
      </w:r>
      <w:r w:rsidRPr="005505D9">
        <w:rPr>
          <w:lang w:val="fr-CH"/>
        </w:rPr>
        <w:br/>
        <w:t>Secrétaire général</w:t>
      </w:r>
      <w:r w:rsidRPr="005505D9">
        <w:rPr>
          <w:lang w:val="fr-CH"/>
        </w:rPr>
        <w:br/>
        <w:t>Union internationale des télécommunications</w:t>
      </w:r>
      <w:r w:rsidRPr="005505D9">
        <w:rPr>
          <w:lang w:val="fr-CH"/>
        </w:rPr>
        <w:br/>
        <w:t>Genève, Suisse</w:t>
      </w:r>
    </w:p>
    <w:p w:rsidR="00AA7255" w:rsidRPr="005505D9" w:rsidRDefault="00970DC8" w:rsidP="008012CF">
      <w:pPr>
        <w:spacing w:before="240" w:after="240"/>
        <w:rPr>
          <w:lang w:val="fr-CH"/>
        </w:rPr>
      </w:pPr>
      <w:r w:rsidRPr="005505D9">
        <w:rPr>
          <w:lang w:val="fr-CH"/>
        </w:rPr>
        <w:t>Copie pour information</w:t>
      </w:r>
      <w:r w:rsidR="00563554" w:rsidRPr="005505D9">
        <w:rPr>
          <w:lang w:val="fr-CH"/>
        </w:rPr>
        <w:t>:</w:t>
      </w:r>
      <w:r w:rsidR="006C4250" w:rsidRPr="005505D9">
        <w:rPr>
          <w:lang w:val="fr-CH"/>
        </w:rPr>
        <w:br/>
        <w:t>1</w:t>
      </w:r>
      <w:r w:rsidRPr="005505D9">
        <w:rPr>
          <w:lang w:val="fr-CH"/>
        </w:rPr>
        <w:tab/>
        <w:t>À l</w:t>
      </w:r>
      <w:r w:rsidR="00563554" w:rsidRPr="005505D9">
        <w:rPr>
          <w:lang w:val="fr-CH"/>
        </w:rPr>
        <w:t>'Ambassadeur</w:t>
      </w:r>
      <w:r w:rsidRPr="005505D9">
        <w:rPr>
          <w:lang w:val="fr-CH"/>
        </w:rPr>
        <w:t xml:space="preserve"> de la</w:t>
      </w:r>
      <w:r w:rsidR="00563554" w:rsidRPr="005505D9">
        <w:rPr>
          <w:lang w:val="fr-CH"/>
        </w:rPr>
        <w:t xml:space="preserve"> Mission permanente de l'Inde </w:t>
      </w:r>
      <w:r w:rsidR="00AA7255" w:rsidRPr="005505D9">
        <w:rPr>
          <w:lang w:val="fr-CH"/>
        </w:rPr>
        <w:t>auprès des Nations Unies</w:t>
      </w:r>
      <w:r w:rsidR="00563554" w:rsidRPr="005505D9">
        <w:rPr>
          <w:lang w:val="fr-CH"/>
        </w:rPr>
        <w:t>, Genève</w:t>
      </w:r>
      <w:r w:rsidR="006C4250" w:rsidRPr="005505D9">
        <w:rPr>
          <w:lang w:val="fr-CH"/>
        </w:rPr>
        <w:br/>
        <w:t>2</w:t>
      </w:r>
      <w:r w:rsidRPr="005505D9">
        <w:rPr>
          <w:lang w:val="fr-CH"/>
        </w:rPr>
        <w:tab/>
      </w:r>
      <w:r w:rsidR="00AA7255" w:rsidRPr="005505D9">
        <w:rPr>
          <w:lang w:val="fr-CH"/>
        </w:rPr>
        <w:t>Au Secrétaire adjoint</w:t>
      </w:r>
      <w:r w:rsidRPr="005505D9">
        <w:rPr>
          <w:lang w:val="fr-CH"/>
        </w:rPr>
        <w:t xml:space="preserve"> (UNES), Ministère des affaires extérieures, New </w:t>
      </w:r>
      <w:r w:rsidR="00AA7255" w:rsidRPr="005505D9">
        <w:rPr>
          <w:lang w:val="fr-CH"/>
        </w:rPr>
        <w:t>Delhi</w:t>
      </w:r>
    </w:p>
    <w:p w:rsidR="00970DC8" w:rsidRPr="008012CF" w:rsidRDefault="00AA7255" w:rsidP="008012CF">
      <w:pPr>
        <w:spacing w:before="360"/>
        <w:jc w:val="center"/>
        <w:rPr>
          <w:sz w:val="20"/>
          <w:lang w:val="en-US"/>
        </w:rPr>
      </w:pPr>
      <w:r w:rsidRPr="008012CF">
        <w:rPr>
          <w:sz w:val="20"/>
          <w:lang w:val="en-US"/>
        </w:rPr>
        <w:t>Sanchar Bhawan, 20, Ashoka Road, New Delhi-110001</w:t>
      </w:r>
      <w:r w:rsidRPr="008012CF">
        <w:rPr>
          <w:sz w:val="20"/>
          <w:lang w:val="en-US"/>
        </w:rPr>
        <w:br/>
        <w:t xml:space="preserve">Tél.: 011-23719898; fax: 011-23711514; courriel: </w:t>
      </w:r>
      <w:hyperlink r:id="rId11" w:history="1">
        <w:r w:rsidR="006C4250" w:rsidRPr="008012CF">
          <w:rPr>
            <w:rStyle w:val="Hyperlink"/>
            <w:sz w:val="20"/>
            <w:lang w:val="en-US"/>
          </w:rPr>
          <w:t>secy-dot@nic.in</w:t>
        </w:r>
      </w:hyperlink>
      <w:r w:rsidR="006C4250" w:rsidRPr="008012CF">
        <w:rPr>
          <w:sz w:val="20"/>
          <w:lang w:val="en-US"/>
        </w:rPr>
        <w:t xml:space="preserve"> </w:t>
      </w:r>
      <w:r w:rsidR="00970DC8" w:rsidRPr="008012CF">
        <w:rPr>
          <w:sz w:val="20"/>
          <w:lang w:val="en-US"/>
        </w:rPr>
        <w:br w:type="page"/>
      </w:r>
    </w:p>
    <w:p w:rsidR="0041400A" w:rsidRPr="005505D9" w:rsidRDefault="00AA7255" w:rsidP="005C0CC7">
      <w:pPr>
        <w:pStyle w:val="AnnexNo"/>
        <w:rPr>
          <w:lang w:val="fr-CH"/>
        </w:rPr>
      </w:pPr>
      <w:bookmarkStart w:id="15" w:name="lt_pId072"/>
      <w:r w:rsidRPr="005505D9">
        <w:rPr>
          <w:lang w:val="fr-CH"/>
        </w:rPr>
        <w:lastRenderedPageBreak/>
        <w:t>ANNEXE 2</w:t>
      </w:r>
    </w:p>
    <w:p w:rsidR="0041400A" w:rsidRPr="005505D9" w:rsidRDefault="00D4733C" w:rsidP="005C0CC7">
      <w:pPr>
        <w:pStyle w:val="AnnexNo"/>
        <w:rPr>
          <w:lang w:val="fr-CH"/>
        </w:rPr>
      </w:pPr>
      <w:bookmarkStart w:id="16" w:name="lt_pId071"/>
      <w:bookmarkEnd w:id="15"/>
      <w:r w:rsidRPr="005505D9">
        <w:rPr>
          <w:lang w:val="fr-CH"/>
        </w:rPr>
        <w:t>PROJET DE</w:t>
      </w:r>
      <w:r w:rsidR="0041400A" w:rsidRPr="005505D9">
        <w:rPr>
          <w:lang w:val="fr-CH"/>
        </w:rPr>
        <w:t xml:space="preserve"> D</w:t>
      </w:r>
      <w:r w:rsidRPr="005505D9">
        <w:rPr>
          <w:lang w:val="fr-CH"/>
        </w:rPr>
        <w:t>É</w:t>
      </w:r>
      <w:r w:rsidR="0041400A" w:rsidRPr="005505D9">
        <w:rPr>
          <w:lang w:val="fr-CH"/>
        </w:rPr>
        <w:t>CISION</w:t>
      </w:r>
      <w:bookmarkEnd w:id="16"/>
    </w:p>
    <w:p w:rsidR="0041400A" w:rsidRPr="005505D9" w:rsidRDefault="005D10DD" w:rsidP="005C0CC7">
      <w:pPr>
        <w:pStyle w:val="Annextitle"/>
        <w:rPr>
          <w:lang w:val="fr-CH"/>
        </w:rPr>
      </w:pPr>
      <w:r w:rsidRPr="005505D9">
        <w:rPr>
          <w:lang w:val="fr-CH"/>
        </w:rPr>
        <w:t>Convocation de la prochaine</w:t>
      </w:r>
      <w:r w:rsidR="0041400A" w:rsidRPr="005505D9">
        <w:rPr>
          <w:lang w:val="fr-CH"/>
        </w:rPr>
        <w:t xml:space="preserve"> </w:t>
      </w:r>
      <w:r w:rsidR="00970DC8" w:rsidRPr="005505D9">
        <w:rPr>
          <w:lang w:val="fr-CH"/>
        </w:rPr>
        <w:t xml:space="preserve">Assemblée mondiale de </w:t>
      </w:r>
      <w:r w:rsidR="0059013A">
        <w:rPr>
          <w:lang w:val="fr-CH"/>
        </w:rPr>
        <w:br/>
      </w:r>
      <w:r w:rsidR="00970DC8" w:rsidRPr="005505D9">
        <w:rPr>
          <w:lang w:val="fr-CH"/>
        </w:rPr>
        <w:t>normalisation des télécommunications</w:t>
      </w:r>
      <w:r w:rsidR="0041400A" w:rsidRPr="005505D9">
        <w:rPr>
          <w:lang w:val="fr-CH"/>
        </w:rPr>
        <w:t xml:space="preserve"> (</w:t>
      </w:r>
      <w:r w:rsidR="00970DC8" w:rsidRPr="005505D9">
        <w:rPr>
          <w:lang w:val="fr-CH"/>
        </w:rPr>
        <w:t>AMNT-20</w:t>
      </w:r>
      <w:r w:rsidR="0041400A" w:rsidRPr="005505D9">
        <w:rPr>
          <w:lang w:val="fr-CH"/>
        </w:rPr>
        <w:t>)</w:t>
      </w:r>
    </w:p>
    <w:p w:rsidR="0041400A" w:rsidRPr="005505D9" w:rsidRDefault="0041400A" w:rsidP="005C0CC7">
      <w:pPr>
        <w:rPr>
          <w:lang w:val="fr-CH"/>
        </w:rPr>
      </w:pPr>
      <w:r w:rsidRPr="005505D9">
        <w:rPr>
          <w:lang w:val="fr-CH"/>
        </w:rPr>
        <w:t>Le Conseil,</w:t>
      </w:r>
    </w:p>
    <w:p w:rsidR="0041400A" w:rsidRPr="005505D9" w:rsidRDefault="0041400A" w:rsidP="005C0CC7">
      <w:pPr>
        <w:pStyle w:val="Call"/>
        <w:rPr>
          <w:lang w:val="fr-CH"/>
        </w:rPr>
      </w:pPr>
      <w:r w:rsidRPr="005505D9">
        <w:rPr>
          <w:lang w:val="fr-CH"/>
        </w:rPr>
        <w:t>notant</w:t>
      </w:r>
    </w:p>
    <w:p w:rsidR="0041400A" w:rsidRPr="005505D9" w:rsidRDefault="00970DC8" w:rsidP="00E5017E">
      <w:pPr>
        <w:rPr>
          <w:lang w:val="fr-CH"/>
        </w:rPr>
      </w:pPr>
      <w:r w:rsidRPr="005505D9">
        <w:rPr>
          <w:lang w:val="fr-CH"/>
        </w:rPr>
        <w:t>que l'AMNT</w:t>
      </w:r>
      <w:r w:rsidR="008C2022" w:rsidRPr="005505D9">
        <w:rPr>
          <w:lang w:val="fr-CH"/>
        </w:rPr>
        <w:t>-2</w:t>
      </w:r>
      <w:r w:rsidRPr="005505D9">
        <w:rPr>
          <w:lang w:val="fr-CH"/>
        </w:rPr>
        <w:t>0</w:t>
      </w:r>
      <w:r w:rsidR="008C2022" w:rsidRPr="005505D9">
        <w:rPr>
          <w:lang w:val="fr-CH"/>
        </w:rPr>
        <w:t xml:space="preserve"> d</w:t>
      </w:r>
      <w:r w:rsidR="00216BAF" w:rsidRPr="005505D9">
        <w:rPr>
          <w:lang w:val="fr-CH"/>
        </w:rPr>
        <w:t xml:space="preserve">oit avoir lieu </w:t>
      </w:r>
      <w:r w:rsidRPr="005505D9">
        <w:rPr>
          <w:lang w:val="fr-CH"/>
        </w:rPr>
        <w:t>le dernier trimestre de 2020</w:t>
      </w:r>
      <w:r w:rsidR="008C2022" w:rsidRPr="005505D9">
        <w:rPr>
          <w:lang w:val="fr-CH"/>
        </w:rPr>
        <w:t xml:space="preserve">, conformément à la </w:t>
      </w:r>
      <w:r w:rsidR="00406D41" w:rsidRPr="005505D9">
        <w:rPr>
          <w:lang w:val="fr-CH"/>
        </w:rPr>
        <w:t>Résolution 77 (Rév.</w:t>
      </w:r>
      <w:r w:rsidR="00E5017E" w:rsidRPr="005505D9">
        <w:rPr>
          <w:lang w:val="fr-CH"/>
        </w:rPr>
        <w:t> </w:t>
      </w:r>
      <w:r w:rsidR="00406D41" w:rsidRPr="005505D9">
        <w:rPr>
          <w:lang w:val="fr-CH"/>
        </w:rPr>
        <w:t xml:space="preserve">Dubaï, 2018) </w:t>
      </w:r>
      <w:r w:rsidR="008C2022" w:rsidRPr="005505D9">
        <w:rPr>
          <w:lang w:val="fr-CH"/>
        </w:rPr>
        <w:t>de la Conférence de plénipotentiaires sur la p</w:t>
      </w:r>
      <w:r w:rsidR="00406D41" w:rsidRPr="005505D9">
        <w:rPr>
          <w:lang w:val="fr-CH"/>
        </w:rPr>
        <w:t xml:space="preserve">lanification et </w:t>
      </w:r>
      <w:r w:rsidR="008C2022" w:rsidRPr="005505D9">
        <w:rPr>
          <w:lang w:val="fr-CH"/>
        </w:rPr>
        <w:t xml:space="preserve">la </w:t>
      </w:r>
      <w:r w:rsidR="00406D41" w:rsidRPr="005505D9">
        <w:rPr>
          <w:lang w:val="fr-CH"/>
        </w:rPr>
        <w:t>durée des conférences, forums, assemblées et sessions du Conseil de l'Union (2019-2023),</w:t>
      </w:r>
    </w:p>
    <w:p w:rsidR="00406D41" w:rsidRPr="005505D9" w:rsidRDefault="00406D41" w:rsidP="005C0CC7">
      <w:pPr>
        <w:pStyle w:val="Call"/>
        <w:rPr>
          <w:lang w:val="fr-CH"/>
        </w:rPr>
      </w:pPr>
      <w:r w:rsidRPr="005505D9">
        <w:rPr>
          <w:lang w:val="fr-CH"/>
        </w:rPr>
        <w:t>décide</w:t>
      </w:r>
    </w:p>
    <w:p w:rsidR="00406D41" w:rsidRPr="005505D9" w:rsidRDefault="00406D41" w:rsidP="00063155">
      <w:pPr>
        <w:rPr>
          <w:lang w:val="fr-CH"/>
        </w:rPr>
      </w:pPr>
      <w:r w:rsidRPr="005505D9">
        <w:rPr>
          <w:lang w:val="fr-CH"/>
        </w:rPr>
        <w:t xml:space="preserve">que, sous réserve de l'accord de la majorité des États Membres de l'Union, la prochaine </w:t>
      </w:r>
      <w:r w:rsidR="00970DC8" w:rsidRPr="005505D9">
        <w:rPr>
          <w:lang w:val="fr-CH"/>
        </w:rPr>
        <w:t xml:space="preserve">Assemblée mondiale de normalisation des télécommunications </w:t>
      </w:r>
      <w:r w:rsidR="00F314D5" w:rsidRPr="005505D9">
        <w:rPr>
          <w:lang w:val="fr-CH"/>
        </w:rPr>
        <w:t>(</w:t>
      </w:r>
      <w:r w:rsidR="00970DC8" w:rsidRPr="005505D9">
        <w:rPr>
          <w:lang w:val="fr-CH"/>
        </w:rPr>
        <w:t>AMNT-20</w:t>
      </w:r>
      <w:r w:rsidR="00F314D5" w:rsidRPr="005505D9">
        <w:rPr>
          <w:lang w:val="fr-CH"/>
        </w:rPr>
        <w:t>)</w:t>
      </w:r>
      <w:r w:rsidRPr="005505D9">
        <w:rPr>
          <w:lang w:val="fr-CH"/>
        </w:rPr>
        <w:t xml:space="preserve"> se tiendra </w:t>
      </w:r>
      <w:r w:rsidR="00394842">
        <w:rPr>
          <w:lang w:val="fr-CH"/>
        </w:rPr>
        <w:t>[à</w:t>
      </w:r>
      <w:r w:rsidR="00063155">
        <w:rPr>
          <w:lang w:val="fr-CH"/>
        </w:rPr>
        <w:t> </w:t>
      </w:r>
      <w:r w:rsidR="00394842">
        <w:rPr>
          <w:lang w:val="fr-CH"/>
        </w:rPr>
        <w:t xml:space="preserve">Hyderabad] </w:t>
      </w:r>
      <w:r w:rsidR="00970DC8" w:rsidRPr="005505D9">
        <w:rPr>
          <w:lang w:val="fr-CH"/>
        </w:rPr>
        <w:t>en Inde</w:t>
      </w:r>
      <w:r w:rsidR="0059013A">
        <w:rPr>
          <w:lang w:val="fr-CH"/>
        </w:rPr>
        <w:t>, du </w:t>
      </w:r>
      <w:r w:rsidR="00970DC8" w:rsidRPr="005505D9">
        <w:rPr>
          <w:lang w:val="fr-CH"/>
        </w:rPr>
        <w:t>16</w:t>
      </w:r>
      <w:r w:rsidR="00F314D5" w:rsidRPr="005505D9">
        <w:rPr>
          <w:lang w:val="fr-CH"/>
        </w:rPr>
        <w:t xml:space="preserve"> au </w:t>
      </w:r>
      <w:r w:rsidR="00970DC8" w:rsidRPr="005505D9">
        <w:rPr>
          <w:lang w:val="fr-CH"/>
        </w:rPr>
        <w:t>27 novembre 2020</w:t>
      </w:r>
      <w:r w:rsidR="002410C1" w:rsidRPr="005505D9">
        <w:rPr>
          <w:lang w:val="fr-CH"/>
        </w:rPr>
        <w:t>,</w:t>
      </w:r>
    </w:p>
    <w:p w:rsidR="00406D41" w:rsidRPr="005505D9" w:rsidRDefault="00406D41" w:rsidP="005C0CC7">
      <w:pPr>
        <w:pStyle w:val="Call"/>
        <w:rPr>
          <w:lang w:val="fr-CH"/>
        </w:rPr>
      </w:pPr>
      <w:r w:rsidRPr="005505D9">
        <w:rPr>
          <w:lang w:val="fr-CH"/>
        </w:rPr>
        <w:t>charge le Secrétaire général</w:t>
      </w:r>
    </w:p>
    <w:p w:rsidR="0041400A" w:rsidRPr="005505D9" w:rsidRDefault="00394842" w:rsidP="00E5017E">
      <w:pPr>
        <w:rPr>
          <w:lang w:val="fr-CH"/>
        </w:rPr>
      </w:pPr>
      <w:r>
        <w:rPr>
          <w:lang w:val="fr-CH"/>
        </w:rPr>
        <w:t>[</w:t>
      </w:r>
      <w:r w:rsidR="00406D41" w:rsidRPr="005505D9">
        <w:rPr>
          <w:lang w:val="fr-CH"/>
        </w:rPr>
        <w:t>d'effectuer une visite sur place et de faire rapport au</w:t>
      </w:r>
      <w:r w:rsidR="00FA1905" w:rsidRPr="005505D9">
        <w:rPr>
          <w:lang w:val="fr-CH"/>
        </w:rPr>
        <w:t>x États Membres du</w:t>
      </w:r>
      <w:r w:rsidR="00406D41" w:rsidRPr="005505D9">
        <w:rPr>
          <w:lang w:val="fr-CH"/>
        </w:rPr>
        <w:t xml:space="preserve"> Conseil</w:t>
      </w:r>
      <w:r w:rsidR="00AA7255" w:rsidRPr="005505D9">
        <w:rPr>
          <w:lang w:val="fr-CH"/>
        </w:rPr>
        <w:t>,</w:t>
      </w:r>
      <w:r w:rsidR="00FA1905" w:rsidRPr="005505D9">
        <w:rPr>
          <w:lang w:val="fr-CH"/>
        </w:rPr>
        <w:t xml:space="preserve"> afin qu'une décision concernant le lieu précis soit prise par correspondance et que, suite à cette décision, tous les États Membre</w:t>
      </w:r>
      <w:r w:rsidR="00E5017E" w:rsidRPr="005505D9">
        <w:rPr>
          <w:lang w:val="fr-CH"/>
        </w:rPr>
        <w:t>s</w:t>
      </w:r>
      <w:r w:rsidR="00FA1905" w:rsidRPr="005505D9">
        <w:rPr>
          <w:lang w:val="fr-CH"/>
        </w:rPr>
        <w:t xml:space="preserve"> soient consultés</w:t>
      </w:r>
      <w:r>
        <w:rPr>
          <w:lang w:val="fr-CH"/>
        </w:rPr>
        <w:t>]</w:t>
      </w:r>
      <w:r w:rsidR="00FA1905" w:rsidRPr="005505D9">
        <w:rPr>
          <w:lang w:val="fr-CH"/>
        </w:rPr>
        <w:t xml:space="preserve"> </w:t>
      </w:r>
      <w:r>
        <w:rPr>
          <w:lang w:val="fr-CH"/>
        </w:rPr>
        <w:t xml:space="preserve">[de procéder à une consultation de tous les États Membres] </w:t>
      </w:r>
      <w:r w:rsidR="00FA1905" w:rsidRPr="005505D9">
        <w:rPr>
          <w:lang w:val="fr-CH"/>
        </w:rPr>
        <w:t>au sujet des dates exactes et du lieu précis de l'AMNT-20.</w:t>
      </w:r>
    </w:p>
    <w:p w:rsidR="00406D41" w:rsidRPr="005505D9" w:rsidRDefault="00406D41" w:rsidP="005C0CC7">
      <w:pPr>
        <w:pStyle w:val="Reasons"/>
        <w:rPr>
          <w:lang w:val="fr-CH"/>
        </w:rPr>
      </w:pPr>
    </w:p>
    <w:p w:rsidR="00E3544F" w:rsidRPr="005505D9" w:rsidRDefault="00406D41" w:rsidP="00CB1232">
      <w:pPr>
        <w:jc w:val="center"/>
        <w:rPr>
          <w:lang w:val="fr-CH"/>
        </w:rPr>
      </w:pPr>
      <w:r w:rsidRPr="005505D9">
        <w:rPr>
          <w:lang w:val="fr-CH"/>
        </w:rPr>
        <w:t>______________</w:t>
      </w:r>
    </w:p>
    <w:sectPr w:rsidR="00E3544F" w:rsidRPr="005505D9" w:rsidSect="005C389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761" w:rsidRDefault="00E51761">
      <w:r>
        <w:separator/>
      </w:r>
    </w:p>
  </w:endnote>
  <w:endnote w:type="continuationSeparator" w:id="0">
    <w:p w:rsidR="00E51761" w:rsidRDefault="00E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5505D9" w:rsidRDefault="003C5D30">
    <w:pPr>
      <w:pStyle w:val="Footer"/>
      <w:rPr>
        <w:lang w:val="fr-CH"/>
      </w:rPr>
    </w:pPr>
    <w:r>
      <w:fldChar w:fldCharType="begin"/>
    </w:r>
    <w:r w:rsidRPr="005505D9">
      <w:rPr>
        <w:lang w:val="fr-CH"/>
      </w:rPr>
      <w:instrText xml:space="preserve"> FILENAME \p \* MERGEFORMAT </w:instrText>
    </w:r>
    <w:r>
      <w:fldChar w:fldCharType="separate"/>
    </w:r>
    <w:r w:rsidR="008012CF">
      <w:rPr>
        <w:lang w:val="fr-CH"/>
      </w:rPr>
      <w:t>P:\FRA\SG\CONSEIL\C19\000\024F.docx</w:t>
    </w:r>
    <w:r>
      <w:fldChar w:fldCharType="end"/>
    </w:r>
    <w:r w:rsidR="00732045" w:rsidRPr="005505D9">
      <w:rPr>
        <w:lang w:val="fr-CH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D3727">
      <w:t>07.06.19</w:t>
    </w:r>
    <w:r w:rsidR="002F1B76">
      <w:fldChar w:fldCharType="end"/>
    </w:r>
    <w:r w:rsidR="00732045" w:rsidRPr="005505D9">
      <w:rPr>
        <w:lang w:val="fr-CH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8012CF">
      <w:t>07.06.19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83" w:rsidRPr="001D3727" w:rsidRDefault="001D3727" w:rsidP="001D3783">
    <w:pPr>
      <w:pStyle w:val="Footer"/>
      <w:rPr>
        <w:color w:val="D9D9D9" w:themeColor="background1" w:themeShade="D9"/>
      </w:rPr>
    </w:pPr>
    <w:r w:rsidRPr="001D3727">
      <w:rPr>
        <w:color w:val="D9D9D9" w:themeColor="background1" w:themeShade="D9"/>
      </w:rPr>
      <w:fldChar w:fldCharType="begin"/>
    </w:r>
    <w:r w:rsidRPr="001D3727">
      <w:rPr>
        <w:color w:val="D9D9D9" w:themeColor="background1" w:themeShade="D9"/>
      </w:rPr>
      <w:instrText xml:space="preserve"> FILENAME \p  \* MERGEFORMAT </w:instrText>
    </w:r>
    <w:r w:rsidRPr="001D3727">
      <w:rPr>
        <w:color w:val="D9D9D9" w:themeColor="background1" w:themeShade="D9"/>
      </w:rPr>
      <w:fldChar w:fldCharType="separate"/>
    </w:r>
    <w:r w:rsidR="008012CF" w:rsidRPr="001D3727">
      <w:rPr>
        <w:color w:val="D9D9D9" w:themeColor="background1" w:themeShade="D9"/>
      </w:rPr>
      <w:t>P:\FRA\SG\CONSEIL\C19\000\024</w:t>
    </w:r>
    <w:r w:rsidR="001D7CE4" w:rsidRPr="001D3727">
      <w:rPr>
        <w:color w:val="D9D9D9" w:themeColor="background1" w:themeShade="D9"/>
      </w:rPr>
      <w:t>V2</w:t>
    </w:r>
    <w:r w:rsidR="008012CF" w:rsidRPr="001D3727">
      <w:rPr>
        <w:color w:val="D9D9D9" w:themeColor="background1" w:themeShade="D9"/>
      </w:rPr>
      <w:t>F.docx</w:t>
    </w:r>
    <w:r w:rsidRPr="001D3727">
      <w:rPr>
        <w:color w:val="D9D9D9" w:themeColor="background1" w:themeShade="D9"/>
      </w:rPr>
      <w:fldChar w:fldCharType="end"/>
    </w:r>
    <w:r w:rsidR="001D3783" w:rsidRPr="001D3727">
      <w:rPr>
        <w:color w:val="D9D9D9" w:themeColor="background1" w:themeShade="D9"/>
      </w:rPr>
      <w:t xml:space="preserve"> (450237)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761" w:rsidRDefault="00E51761">
      <w:r>
        <w:t>____________________</w:t>
      </w:r>
    </w:p>
  </w:footnote>
  <w:footnote w:type="continuationSeparator" w:id="0">
    <w:p w:rsidR="00E51761" w:rsidRDefault="00E5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D3727">
      <w:rPr>
        <w:noProof/>
      </w:rPr>
      <w:t>4</w:t>
    </w:r>
    <w:r>
      <w:rPr>
        <w:noProof/>
      </w:rPr>
      <w:fldChar w:fldCharType="end"/>
    </w:r>
  </w:p>
  <w:p w:rsidR="00732045" w:rsidRDefault="00732045" w:rsidP="001D3783">
    <w:pPr>
      <w:pStyle w:val="Header"/>
    </w:pPr>
    <w:r>
      <w:t>C1</w:t>
    </w:r>
    <w:r w:rsidR="00106B19">
      <w:t>9</w:t>
    </w:r>
    <w:r>
      <w:t>/</w:t>
    </w:r>
    <w:r w:rsidR="001D3783">
      <w:t>24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0B"/>
    <w:rsid w:val="0004430C"/>
    <w:rsid w:val="00063155"/>
    <w:rsid w:val="000B1BFA"/>
    <w:rsid w:val="000D0D0A"/>
    <w:rsid w:val="000E1361"/>
    <w:rsid w:val="00103163"/>
    <w:rsid w:val="00106B19"/>
    <w:rsid w:val="00115D93"/>
    <w:rsid w:val="001247A8"/>
    <w:rsid w:val="00133DF1"/>
    <w:rsid w:val="001378C0"/>
    <w:rsid w:val="0016294D"/>
    <w:rsid w:val="00183DB2"/>
    <w:rsid w:val="0018694A"/>
    <w:rsid w:val="001A3287"/>
    <w:rsid w:val="001A6508"/>
    <w:rsid w:val="001B1CAC"/>
    <w:rsid w:val="001D3727"/>
    <w:rsid w:val="001D3783"/>
    <w:rsid w:val="001D4C31"/>
    <w:rsid w:val="001D7CE4"/>
    <w:rsid w:val="001E4D21"/>
    <w:rsid w:val="001E6DCB"/>
    <w:rsid w:val="00207CD1"/>
    <w:rsid w:val="00216BAF"/>
    <w:rsid w:val="0023519A"/>
    <w:rsid w:val="002410C1"/>
    <w:rsid w:val="002477A2"/>
    <w:rsid w:val="002562FD"/>
    <w:rsid w:val="00263A51"/>
    <w:rsid w:val="00267E02"/>
    <w:rsid w:val="002A5D44"/>
    <w:rsid w:val="002E0BC4"/>
    <w:rsid w:val="002F1B76"/>
    <w:rsid w:val="0031151D"/>
    <w:rsid w:val="00312B6B"/>
    <w:rsid w:val="00326185"/>
    <w:rsid w:val="0033568E"/>
    <w:rsid w:val="00355FF5"/>
    <w:rsid w:val="00361350"/>
    <w:rsid w:val="00394842"/>
    <w:rsid w:val="003C3FAE"/>
    <w:rsid w:val="003C5D30"/>
    <w:rsid w:val="003D7515"/>
    <w:rsid w:val="004038CB"/>
    <w:rsid w:val="0040546F"/>
    <w:rsid w:val="004069DE"/>
    <w:rsid w:val="00406D41"/>
    <w:rsid w:val="0041400A"/>
    <w:rsid w:val="004163E8"/>
    <w:rsid w:val="0042404A"/>
    <w:rsid w:val="0044618F"/>
    <w:rsid w:val="00453DF2"/>
    <w:rsid w:val="00454588"/>
    <w:rsid w:val="0046769A"/>
    <w:rsid w:val="00475FB3"/>
    <w:rsid w:val="004761E9"/>
    <w:rsid w:val="00481B21"/>
    <w:rsid w:val="00484602"/>
    <w:rsid w:val="004A65C9"/>
    <w:rsid w:val="004B47AE"/>
    <w:rsid w:val="004C37A9"/>
    <w:rsid w:val="004E524B"/>
    <w:rsid w:val="004F259E"/>
    <w:rsid w:val="0050679D"/>
    <w:rsid w:val="00511F1D"/>
    <w:rsid w:val="00520F36"/>
    <w:rsid w:val="00527C10"/>
    <w:rsid w:val="00533D7C"/>
    <w:rsid w:val="00540615"/>
    <w:rsid w:val="00540A6D"/>
    <w:rsid w:val="005505D9"/>
    <w:rsid w:val="00563554"/>
    <w:rsid w:val="00571EEA"/>
    <w:rsid w:val="00575417"/>
    <w:rsid w:val="005768E1"/>
    <w:rsid w:val="00583FA5"/>
    <w:rsid w:val="0059013A"/>
    <w:rsid w:val="00595093"/>
    <w:rsid w:val="005B1938"/>
    <w:rsid w:val="005C0CC7"/>
    <w:rsid w:val="005C3890"/>
    <w:rsid w:val="005D10DD"/>
    <w:rsid w:val="005F7BFE"/>
    <w:rsid w:val="00600017"/>
    <w:rsid w:val="00615C45"/>
    <w:rsid w:val="006235CA"/>
    <w:rsid w:val="006311E7"/>
    <w:rsid w:val="00631CEA"/>
    <w:rsid w:val="00644327"/>
    <w:rsid w:val="006643AB"/>
    <w:rsid w:val="006763C1"/>
    <w:rsid w:val="006A341A"/>
    <w:rsid w:val="006A44EE"/>
    <w:rsid w:val="006B2E5E"/>
    <w:rsid w:val="006C4250"/>
    <w:rsid w:val="006D70C3"/>
    <w:rsid w:val="007210CD"/>
    <w:rsid w:val="00732045"/>
    <w:rsid w:val="007369DB"/>
    <w:rsid w:val="00753351"/>
    <w:rsid w:val="0075677C"/>
    <w:rsid w:val="00785264"/>
    <w:rsid w:val="007956C2"/>
    <w:rsid w:val="007A187E"/>
    <w:rsid w:val="007A3FA2"/>
    <w:rsid w:val="007C72C2"/>
    <w:rsid w:val="007D4436"/>
    <w:rsid w:val="007F257A"/>
    <w:rsid w:val="007F3665"/>
    <w:rsid w:val="00800037"/>
    <w:rsid w:val="008012CF"/>
    <w:rsid w:val="00802FCC"/>
    <w:rsid w:val="008034F3"/>
    <w:rsid w:val="00822181"/>
    <w:rsid w:val="00822DCB"/>
    <w:rsid w:val="00850569"/>
    <w:rsid w:val="00856EED"/>
    <w:rsid w:val="00861D73"/>
    <w:rsid w:val="00867C21"/>
    <w:rsid w:val="008A4E87"/>
    <w:rsid w:val="008C2022"/>
    <w:rsid w:val="008C77A8"/>
    <w:rsid w:val="008D34EE"/>
    <w:rsid w:val="008D76E6"/>
    <w:rsid w:val="008F198B"/>
    <w:rsid w:val="008F1BE5"/>
    <w:rsid w:val="008F753B"/>
    <w:rsid w:val="00901155"/>
    <w:rsid w:val="0091087E"/>
    <w:rsid w:val="00910CCA"/>
    <w:rsid w:val="0092392D"/>
    <w:rsid w:val="00926804"/>
    <w:rsid w:val="0093234A"/>
    <w:rsid w:val="00957498"/>
    <w:rsid w:val="00970DC8"/>
    <w:rsid w:val="00992A9C"/>
    <w:rsid w:val="009A4E85"/>
    <w:rsid w:val="009B050E"/>
    <w:rsid w:val="009C307F"/>
    <w:rsid w:val="00A2113E"/>
    <w:rsid w:val="00A23A51"/>
    <w:rsid w:val="00A24607"/>
    <w:rsid w:val="00A25CD3"/>
    <w:rsid w:val="00A65207"/>
    <w:rsid w:val="00A82767"/>
    <w:rsid w:val="00AA332F"/>
    <w:rsid w:val="00AA64E9"/>
    <w:rsid w:val="00AA7255"/>
    <w:rsid w:val="00AA7BBB"/>
    <w:rsid w:val="00AB64A8"/>
    <w:rsid w:val="00AC0266"/>
    <w:rsid w:val="00AC08D0"/>
    <w:rsid w:val="00AC4FA3"/>
    <w:rsid w:val="00AC5198"/>
    <w:rsid w:val="00AC769A"/>
    <w:rsid w:val="00AD24EC"/>
    <w:rsid w:val="00AE67D2"/>
    <w:rsid w:val="00AF0F35"/>
    <w:rsid w:val="00B2282A"/>
    <w:rsid w:val="00B309F9"/>
    <w:rsid w:val="00B32B60"/>
    <w:rsid w:val="00B418A3"/>
    <w:rsid w:val="00B61619"/>
    <w:rsid w:val="00B84DBF"/>
    <w:rsid w:val="00BB4545"/>
    <w:rsid w:val="00BB6B4D"/>
    <w:rsid w:val="00BC1AD8"/>
    <w:rsid w:val="00BD5873"/>
    <w:rsid w:val="00C04BE3"/>
    <w:rsid w:val="00C05540"/>
    <w:rsid w:val="00C25D29"/>
    <w:rsid w:val="00C27A7C"/>
    <w:rsid w:val="00C300E8"/>
    <w:rsid w:val="00C37D1A"/>
    <w:rsid w:val="00C514F1"/>
    <w:rsid w:val="00C74AB8"/>
    <w:rsid w:val="00C848C5"/>
    <w:rsid w:val="00CA08ED"/>
    <w:rsid w:val="00CB1232"/>
    <w:rsid w:val="00CC7FAC"/>
    <w:rsid w:val="00CD23D9"/>
    <w:rsid w:val="00CE0FF0"/>
    <w:rsid w:val="00CE3D93"/>
    <w:rsid w:val="00CE5602"/>
    <w:rsid w:val="00CE7E80"/>
    <w:rsid w:val="00CF183B"/>
    <w:rsid w:val="00D22756"/>
    <w:rsid w:val="00D22D88"/>
    <w:rsid w:val="00D3289F"/>
    <w:rsid w:val="00D36F84"/>
    <w:rsid w:val="00D375CD"/>
    <w:rsid w:val="00D4733C"/>
    <w:rsid w:val="00D553A2"/>
    <w:rsid w:val="00D57532"/>
    <w:rsid w:val="00D67604"/>
    <w:rsid w:val="00D774D3"/>
    <w:rsid w:val="00D904E8"/>
    <w:rsid w:val="00D963E7"/>
    <w:rsid w:val="00DA08C3"/>
    <w:rsid w:val="00DB5A3E"/>
    <w:rsid w:val="00DC22AA"/>
    <w:rsid w:val="00DD5EC4"/>
    <w:rsid w:val="00DE3A0B"/>
    <w:rsid w:val="00DE5F2D"/>
    <w:rsid w:val="00DF74DD"/>
    <w:rsid w:val="00E16038"/>
    <w:rsid w:val="00E25AD0"/>
    <w:rsid w:val="00E3544F"/>
    <w:rsid w:val="00E3572B"/>
    <w:rsid w:val="00E5017E"/>
    <w:rsid w:val="00E51761"/>
    <w:rsid w:val="00E520DA"/>
    <w:rsid w:val="00E63220"/>
    <w:rsid w:val="00EB0803"/>
    <w:rsid w:val="00EB6350"/>
    <w:rsid w:val="00EE589C"/>
    <w:rsid w:val="00F15B57"/>
    <w:rsid w:val="00F310DE"/>
    <w:rsid w:val="00F314D5"/>
    <w:rsid w:val="00F427DB"/>
    <w:rsid w:val="00F64540"/>
    <w:rsid w:val="00F73366"/>
    <w:rsid w:val="00F73764"/>
    <w:rsid w:val="00F75144"/>
    <w:rsid w:val="00FA1905"/>
    <w:rsid w:val="00FA5EB1"/>
    <w:rsid w:val="00FA71F8"/>
    <w:rsid w:val="00FA7439"/>
    <w:rsid w:val="00FA7D7B"/>
    <w:rsid w:val="00FC4EC0"/>
    <w:rsid w:val="00FC7DB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A7FEB79-6D51-4367-BAA2-6E3545AC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856EE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6EED"/>
    <w:rPr>
      <w:rFonts w:ascii="Segoe UI" w:hAnsi="Segoe UI" w:cs="Segoe UI"/>
      <w:sz w:val="18"/>
      <w:szCs w:val="18"/>
      <w:lang w:val="fr-FR" w:eastAsia="en-US"/>
    </w:rPr>
  </w:style>
  <w:style w:type="table" w:styleId="TableGrid">
    <w:name w:val="Table Grid"/>
    <w:basedOn w:val="TableNormal"/>
    <w:rsid w:val="00F7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General-Rules-F.pd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en/council/Documents/basic-texts/Convention-F.pdf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cy-dot@nic.in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tu.int/en/council/Documents/basic-texts/RES-111-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en/council/Documents/basic-texts/RES-077-F.pdf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0</TotalTime>
  <Pages>4</Pages>
  <Words>1117</Words>
  <Characters>6605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CMDT</vt:lpstr>
    </vt:vector>
  </TitlesOfParts>
  <Manager>Secrétariat général - Pool</Manager>
  <Company>Union internationale des télécommunications (UIT)</Company>
  <LinksUpToDate>false</LinksUpToDate>
  <CharactersWithSpaces>7707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préparatoires en vue de l'Assemblée mondiale de normalisation des télécommunications de 2020</dc:title>
  <dc:subject>Conseil 2019</dc:subject>
  <dc:creator>Gozel, Elsa</dc:creator>
  <cp:keywords>C2019, C19</cp:keywords>
  <dc:description/>
  <cp:lastModifiedBy>Brouard, Ricarda</cp:lastModifiedBy>
  <cp:revision>2</cp:revision>
  <cp:lastPrinted>2019-06-07T06:37:00Z</cp:lastPrinted>
  <dcterms:created xsi:type="dcterms:W3CDTF">2019-06-07T16:35:00Z</dcterms:created>
  <dcterms:modified xsi:type="dcterms:W3CDTF">2019-06-07T16:35:00Z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