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D7FF8">
        <w:trPr>
          <w:cantSplit/>
        </w:trPr>
        <w:tc>
          <w:tcPr>
            <w:tcW w:w="6912" w:type="dxa"/>
          </w:tcPr>
          <w:p w:rsidR="00093EEB" w:rsidRPr="005D7FF8" w:rsidRDefault="00093EEB" w:rsidP="00C2727F">
            <w:pPr>
              <w:spacing w:before="360"/>
              <w:rPr>
                <w:szCs w:val="24"/>
              </w:rPr>
            </w:pPr>
            <w:bookmarkStart w:id="0" w:name="dc06"/>
            <w:bookmarkStart w:id="1" w:name="dbluepink" w:colFirst="0" w:colLast="0"/>
            <w:bookmarkEnd w:id="0"/>
            <w:r w:rsidRPr="005D7FF8">
              <w:rPr>
                <w:b/>
                <w:bCs/>
                <w:sz w:val="30"/>
                <w:szCs w:val="30"/>
              </w:rPr>
              <w:t>Consejo 201</w:t>
            </w:r>
            <w:r w:rsidR="00C2727F" w:rsidRPr="005D7FF8">
              <w:rPr>
                <w:b/>
                <w:bCs/>
                <w:sz w:val="30"/>
                <w:szCs w:val="30"/>
              </w:rPr>
              <w:t>9</w:t>
            </w:r>
            <w:r w:rsidRPr="005D7FF8">
              <w:rPr>
                <w:b/>
                <w:bCs/>
                <w:sz w:val="26"/>
                <w:szCs w:val="26"/>
              </w:rPr>
              <w:br/>
            </w:r>
            <w:r w:rsidRPr="005D7FF8">
              <w:rPr>
                <w:b/>
                <w:bCs/>
                <w:szCs w:val="24"/>
              </w:rPr>
              <w:t>Ginebra, 1</w:t>
            </w:r>
            <w:r w:rsidR="00C2727F" w:rsidRPr="005D7FF8">
              <w:rPr>
                <w:b/>
                <w:bCs/>
                <w:szCs w:val="24"/>
              </w:rPr>
              <w:t>0</w:t>
            </w:r>
            <w:r w:rsidRPr="005D7FF8">
              <w:rPr>
                <w:b/>
                <w:bCs/>
                <w:szCs w:val="24"/>
              </w:rPr>
              <w:t>-2</w:t>
            </w:r>
            <w:r w:rsidR="00C2727F" w:rsidRPr="005D7FF8">
              <w:rPr>
                <w:b/>
                <w:bCs/>
                <w:szCs w:val="24"/>
              </w:rPr>
              <w:t>0</w:t>
            </w:r>
            <w:r w:rsidRPr="005D7FF8">
              <w:rPr>
                <w:b/>
                <w:bCs/>
                <w:szCs w:val="24"/>
              </w:rPr>
              <w:t xml:space="preserve"> de </w:t>
            </w:r>
            <w:r w:rsidR="00C2727F" w:rsidRPr="005D7FF8">
              <w:rPr>
                <w:b/>
                <w:bCs/>
                <w:szCs w:val="24"/>
              </w:rPr>
              <w:t>junio</w:t>
            </w:r>
            <w:r w:rsidRPr="005D7FF8">
              <w:rPr>
                <w:b/>
                <w:bCs/>
                <w:szCs w:val="24"/>
              </w:rPr>
              <w:t xml:space="preserve"> de 201</w:t>
            </w:r>
            <w:r w:rsidR="00C2727F" w:rsidRPr="005D7FF8">
              <w:rPr>
                <w:b/>
                <w:bCs/>
                <w:szCs w:val="24"/>
              </w:rPr>
              <w:t>9</w:t>
            </w:r>
          </w:p>
        </w:tc>
        <w:tc>
          <w:tcPr>
            <w:tcW w:w="3261" w:type="dxa"/>
          </w:tcPr>
          <w:p w:rsidR="00093EEB" w:rsidRPr="005D7FF8" w:rsidRDefault="00093EEB" w:rsidP="00093EEB">
            <w:pPr>
              <w:spacing w:before="0"/>
              <w:jc w:val="right"/>
              <w:rPr>
                <w:szCs w:val="24"/>
              </w:rPr>
            </w:pPr>
            <w:bookmarkStart w:id="2" w:name="ditulogo"/>
            <w:bookmarkEnd w:id="2"/>
            <w:r w:rsidRPr="005D7FF8">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D7FF8">
        <w:trPr>
          <w:cantSplit/>
          <w:trHeight w:val="20"/>
        </w:trPr>
        <w:tc>
          <w:tcPr>
            <w:tcW w:w="10173" w:type="dxa"/>
            <w:gridSpan w:val="2"/>
            <w:tcBorders>
              <w:bottom w:val="single" w:sz="12" w:space="0" w:color="auto"/>
            </w:tcBorders>
          </w:tcPr>
          <w:p w:rsidR="00093EEB" w:rsidRPr="005D7FF8" w:rsidRDefault="00093EEB">
            <w:pPr>
              <w:spacing w:before="0"/>
              <w:rPr>
                <w:b/>
                <w:bCs/>
                <w:szCs w:val="24"/>
              </w:rPr>
            </w:pPr>
          </w:p>
        </w:tc>
      </w:tr>
      <w:tr w:rsidR="00093EEB" w:rsidRPr="005D7FF8">
        <w:trPr>
          <w:cantSplit/>
          <w:trHeight w:val="20"/>
        </w:trPr>
        <w:tc>
          <w:tcPr>
            <w:tcW w:w="6912" w:type="dxa"/>
            <w:tcBorders>
              <w:top w:val="single" w:sz="12" w:space="0" w:color="auto"/>
            </w:tcBorders>
          </w:tcPr>
          <w:p w:rsidR="00093EEB" w:rsidRPr="005D7FF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D7FF8" w:rsidRDefault="00093EEB">
            <w:pPr>
              <w:spacing w:before="0"/>
              <w:rPr>
                <w:b/>
                <w:bCs/>
                <w:szCs w:val="24"/>
              </w:rPr>
            </w:pPr>
          </w:p>
        </w:tc>
      </w:tr>
      <w:tr w:rsidR="00093EEB" w:rsidRPr="005D7FF8">
        <w:trPr>
          <w:cantSplit/>
          <w:trHeight w:val="20"/>
        </w:trPr>
        <w:tc>
          <w:tcPr>
            <w:tcW w:w="6912" w:type="dxa"/>
            <w:shd w:val="clear" w:color="auto" w:fill="auto"/>
          </w:tcPr>
          <w:p w:rsidR="00093EEB" w:rsidRPr="005D7FF8" w:rsidRDefault="00EB52C2">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5D7FF8">
              <w:rPr>
                <w:b/>
              </w:rPr>
              <w:t>Punto del orden del día:</w:t>
            </w:r>
            <w:bookmarkEnd w:id="3"/>
            <w:r w:rsidRPr="005D7FF8">
              <w:rPr>
                <w:b/>
              </w:rPr>
              <w:t xml:space="preserve"> </w:t>
            </w:r>
            <w:bookmarkStart w:id="6" w:name="lt_pId006"/>
            <w:r w:rsidRPr="005D7FF8">
              <w:rPr>
                <w:b/>
              </w:rPr>
              <w:t>PL 1.5</w:t>
            </w:r>
            <w:bookmarkEnd w:id="6"/>
          </w:p>
        </w:tc>
        <w:tc>
          <w:tcPr>
            <w:tcW w:w="3261" w:type="dxa"/>
          </w:tcPr>
          <w:p w:rsidR="00093EEB" w:rsidRPr="005D7FF8" w:rsidRDefault="00093EEB" w:rsidP="00EB52C2">
            <w:pPr>
              <w:spacing w:before="0"/>
              <w:rPr>
                <w:b/>
                <w:bCs/>
                <w:szCs w:val="24"/>
              </w:rPr>
            </w:pPr>
            <w:r w:rsidRPr="005D7FF8">
              <w:rPr>
                <w:b/>
                <w:bCs/>
                <w:szCs w:val="24"/>
              </w:rPr>
              <w:t>Documento C1</w:t>
            </w:r>
            <w:r w:rsidR="00C2727F" w:rsidRPr="005D7FF8">
              <w:rPr>
                <w:b/>
                <w:bCs/>
                <w:szCs w:val="24"/>
              </w:rPr>
              <w:t>9</w:t>
            </w:r>
            <w:r w:rsidRPr="005D7FF8">
              <w:rPr>
                <w:b/>
                <w:bCs/>
                <w:szCs w:val="24"/>
              </w:rPr>
              <w:t>/</w:t>
            </w:r>
            <w:r w:rsidR="00EB52C2" w:rsidRPr="005D7FF8">
              <w:rPr>
                <w:b/>
                <w:bCs/>
                <w:szCs w:val="24"/>
              </w:rPr>
              <w:t>18</w:t>
            </w:r>
            <w:r w:rsidRPr="005D7FF8">
              <w:rPr>
                <w:b/>
                <w:bCs/>
                <w:szCs w:val="24"/>
              </w:rPr>
              <w:t>-S</w:t>
            </w:r>
          </w:p>
        </w:tc>
      </w:tr>
      <w:tr w:rsidR="00093EEB" w:rsidRPr="005D7FF8">
        <w:trPr>
          <w:cantSplit/>
          <w:trHeight w:val="20"/>
        </w:trPr>
        <w:tc>
          <w:tcPr>
            <w:tcW w:w="6912" w:type="dxa"/>
            <w:shd w:val="clear" w:color="auto" w:fill="auto"/>
          </w:tcPr>
          <w:p w:rsidR="00093EEB" w:rsidRPr="005D7FF8" w:rsidRDefault="00093EEB">
            <w:pPr>
              <w:shd w:val="solid" w:color="FFFFFF" w:fill="FFFFFF"/>
              <w:spacing w:before="0"/>
              <w:rPr>
                <w:smallCaps/>
                <w:szCs w:val="24"/>
              </w:rPr>
            </w:pPr>
            <w:bookmarkStart w:id="7" w:name="ddate" w:colFirst="1" w:colLast="1"/>
            <w:bookmarkEnd w:id="4"/>
            <w:bookmarkEnd w:id="5"/>
          </w:p>
        </w:tc>
        <w:tc>
          <w:tcPr>
            <w:tcW w:w="3261" w:type="dxa"/>
          </w:tcPr>
          <w:p w:rsidR="00093EEB" w:rsidRPr="005D7FF8" w:rsidRDefault="00EB52C2" w:rsidP="00EB52C2">
            <w:pPr>
              <w:spacing w:before="0"/>
              <w:rPr>
                <w:b/>
                <w:bCs/>
                <w:szCs w:val="24"/>
              </w:rPr>
            </w:pPr>
            <w:r w:rsidRPr="005D7FF8">
              <w:rPr>
                <w:b/>
                <w:bCs/>
                <w:szCs w:val="24"/>
              </w:rPr>
              <w:t>1 de abril</w:t>
            </w:r>
            <w:r w:rsidR="00093EEB" w:rsidRPr="005D7FF8">
              <w:rPr>
                <w:b/>
                <w:bCs/>
                <w:szCs w:val="24"/>
              </w:rPr>
              <w:t xml:space="preserve"> de 201</w:t>
            </w:r>
            <w:r w:rsidR="00C2727F" w:rsidRPr="005D7FF8">
              <w:rPr>
                <w:b/>
                <w:bCs/>
                <w:szCs w:val="24"/>
              </w:rPr>
              <w:t>9</w:t>
            </w:r>
          </w:p>
        </w:tc>
      </w:tr>
      <w:tr w:rsidR="00093EEB" w:rsidRPr="005D7FF8">
        <w:trPr>
          <w:cantSplit/>
          <w:trHeight w:val="20"/>
        </w:trPr>
        <w:tc>
          <w:tcPr>
            <w:tcW w:w="6912" w:type="dxa"/>
            <w:shd w:val="clear" w:color="auto" w:fill="auto"/>
          </w:tcPr>
          <w:p w:rsidR="00093EEB" w:rsidRPr="005D7FF8" w:rsidRDefault="00093EEB">
            <w:pPr>
              <w:shd w:val="solid" w:color="FFFFFF" w:fill="FFFFFF"/>
              <w:spacing w:before="0"/>
              <w:rPr>
                <w:smallCaps/>
                <w:szCs w:val="24"/>
              </w:rPr>
            </w:pPr>
            <w:bookmarkStart w:id="8" w:name="dorlang" w:colFirst="1" w:colLast="1"/>
            <w:bookmarkEnd w:id="7"/>
          </w:p>
        </w:tc>
        <w:tc>
          <w:tcPr>
            <w:tcW w:w="3261" w:type="dxa"/>
          </w:tcPr>
          <w:p w:rsidR="00093EEB" w:rsidRPr="005D7FF8" w:rsidRDefault="00093EEB" w:rsidP="00093EEB">
            <w:pPr>
              <w:spacing w:before="0"/>
              <w:rPr>
                <w:b/>
                <w:bCs/>
                <w:szCs w:val="24"/>
              </w:rPr>
            </w:pPr>
            <w:r w:rsidRPr="005D7FF8">
              <w:rPr>
                <w:b/>
                <w:bCs/>
                <w:szCs w:val="24"/>
              </w:rPr>
              <w:t>Original: inglés</w:t>
            </w:r>
          </w:p>
        </w:tc>
      </w:tr>
      <w:tr w:rsidR="00093EEB" w:rsidRPr="005D7FF8">
        <w:trPr>
          <w:cantSplit/>
        </w:trPr>
        <w:tc>
          <w:tcPr>
            <w:tcW w:w="10173" w:type="dxa"/>
            <w:gridSpan w:val="2"/>
          </w:tcPr>
          <w:p w:rsidR="00093EEB" w:rsidRPr="005D7FF8" w:rsidRDefault="00EB52C2">
            <w:pPr>
              <w:pStyle w:val="Source"/>
            </w:pPr>
            <w:bookmarkStart w:id="9" w:name="dsource" w:colFirst="0" w:colLast="0"/>
            <w:bookmarkEnd w:id="1"/>
            <w:bookmarkEnd w:id="8"/>
            <w:r w:rsidRPr="005D7FF8">
              <w:t>Informe del Secretario General</w:t>
            </w:r>
          </w:p>
        </w:tc>
      </w:tr>
      <w:tr w:rsidR="00093EEB" w:rsidRPr="005D7FF8">
        <w:trPr>
          <w:cantSplit/>
        </w:trPr>
        <w:tc>
          <w:tcPr>
            <w:tcW w:w="10173" w:type="dxa"/>
            <w:gridSpan w:val="2"/>
          </w:tcPr>
          <w:p w:rsidR="00093EEB" w:rsidRPr="005D7FF8" w:rsidRDefault="00EB52C2">
            <w:pPr>
              <w:pStyle w:val="Title1"/>
            </w:pPr>
            <w:bookmarkStart w:id="10" w:name="dtitle1" w:colFirst="0" w:colLast="0"/>
            <w:bookmarkEnd w:id="9"/>
            <w:r w:rsidRPr="005D7FF8">
              <w:t>ACTIVIDADES DE LA UIT SOBRE EL FORTALECIMIENTO DE SU PAPEL EN</w:t>
            </w:r>
            <w:r w:rsidRPr="005D7FF8">
              <w:br/>
              <w:t>LA CREACIÓN DE CONFIANZA Y SEGURIDAD EN LA UTILIZACIÓN DE</w:t>
            </w:r>
            <w:r w:rsidRPr="005D7FF8">
              <w:br/>
              <w:t>LAS TECNOLOGÍAS DE LA INFORMACIÓN Y LA COMUNICACIÓN</w:t>
            </w:r>
          </w:p>
        </w:tc>
      </w:tr>
      <w:bookmarkEnd w:id="10"/>
    </w:tbl>
    <w:p w:rsidR="00093EEB" w:rsidRPr="005D7FF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D7FF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5D7FF8" w:rsidRDefault="00093EEB">
            <w:pPr>
              <w:pStyle w:val="Headingb"/>
            </w:pPr>
            <w:r w:rsidRPr="005D7FF8">
              <w:t>Resumen</w:t>
            </w:r>
          </w:p>
          <w:p w:rsidR="00093EEB" w:rsidRPr="005D7FF8" w:rsidRDefault="00EB52C2">
            <w:r w:rsidRPr="005D7FF8">
              <w:t>En el presente Informe se resumen las actividades de la UIT desde la reunión de 2018 del Consejo en relación con la Resolución 130 (Rev. Dubái, 2018), la función de la UIT como único organismo facilitador de la Línea de Acción C5 de la CMSI, y otras decisiones adoptadas por los miembros sobre el fortalecimiento del papel de la UIT en la creación de confianza y seguridad en la utilización de las tecnologías de la información y la comunicación (TIC).</w:t>
            </w:r>
          </w:p>
          <w:p w:rsidR="00093EEB" w:rsidRPr="005D7FF8" w:rsidRDefault="00093EEB">
            <w:pPr>
              <w:pStyle w:val="Headingb"/>
            </w:pPr>
            <w:r w:rsidRPr="005D7FF8">
              <w:t>Acción solicitada</w:t>
            </w:r>
          </w:p>
          <w:p w:rsidR="00093EEB" w:rsidRPr="005D7FF8" w:rsidRDefault="00EB52C2">
            <w:r w:rsidRPr="005D7FF8">
              <w:t xml:space="preserve">Se invita al Consejo a </w:t>
            </w:r>
            <w:r w:rsidRPr="005D7FF8">
              <w:rPr>
                <w:b/>
                <w:bCs/>
              </w:rPr>
              <w:t>tomar nota</w:t>
            </w:r>
            <w:r w:rsidRPr="005D7FF8">
              <w:t xml:space="preserve"> del Informe.</w:t>
            </w:r>
          </w:p>
          <w:p w:rsidR="00093EEB" w:rsidRPr="005D7FF8" w:rsidRDefault="00093EEB">
            <w:pPr>
              <w:pStyle w:val="Table"/>
              <w:keepNext w:val="0"/>
              <w:spacing w:before="0" w:after="0"/>
              <w:rPr>
                <w:caps w:val="0"/>
                <w:sz w:val="22"/>
                <w:lang w:val="es-ES_tradnl"/>
              </w:rPr>
            </w:pPr>
            <w:r w:rsidRPr="005D7FF8">
              <w:rPr>
                <w:caps w:val="0"/>
                <w:sz w:val="22"/>
                <w:lang w:val="es-ES_tradnl"/>
              </w:rPr>
              <w:t>____________</w:t>
            </w:r>
          </w:p>
          <w:p w:rsidR="00093EEB" w:rsidRPr="005D7FF8" w:rsidRDefault="00093EEB">
            <w:pPr>
              <w:pStyle w:val="Headingb"/>
            </w:pPr>
            <w:r w:rsidRPr="005D7FF8">
              <w:t>Referencia</w:t>
            </w:r>
          </w:p>
          <w:p w:rsidR="00093EEB" w:rsidRPr="005D7FF8" w:rsidRDefault="00EB52C2" w:rsidP="003B6FFE">
            <w:pPr>
              <w:spacing w:after="120"/>
              <w:rPr>
                <w:i/>
                <w:iCs/>
              </w:rPr>
            </w:pPr>
            <w:bookmarkStart w:id="11" w:name="lt_pId020"/>
            <w:r w:rsidRPr="005D7FF8">
              <w:rPr>
                <w:i/>
                <w:iCs/>
              </w:rPr>
              <w:t xml:space="preserve">Resoluciones </w:t>
            </w:r>
            <w:hyperlink r:id="rId8" w:history="1">
              <w:r w:rsidRPr="00270F91">
                <w:rPr>
                  <w:rStyle w:val="Hyperlink"/>
                  <w:rFonts w:asciiTheme="minorHAnsi" w:hAnsiTheme="minorHAnsi"/>
                  <w:i/>
                  <w:iCs/>
                  <w:spacing w:val="-2"/>
                  <w:szCs w:val="24"/>
                </w:rPr>
                <w:t>71</w:t>
              </w:r>
            </w:hyperlink>
            <w:r w:rsidRPr="005D7FF8">
              <w:rPr>
                <w:rFonts w:asciiTheme="minorHAnsi" w:hAnsiTheme="minorHAnsi"/>
                <w:i/>
                <w:iCs/>
                <w:color w:val="000000"/>
                <w:spacing w:val="-2"/>
                <w:szCs w:val="24"/>
              </w:rPr>
              <w:t xml:space="preserve">, </w:t>
            </w:r>
            <w:hyperlink r:id="rId9" w:history="1">
              <w:r w:rsidRPr="00270F91">
                <w:rPr>
                  <w:rStyle w:val="Hyperlink"/>
                  <w:rFonts w:asciiTheme="minorHAnsi" w:hAnsiTheme="minorHAnsi"/>
                  <w:i/>
                  <w:iCs/>
                  <w:spacing w:val="-2"/>
                  <w:szCs w:val="24"/>
                </w:rPr>
                <w:t>130</w:t>
              </w:r>
            </w:hyperlink>
            <w:r w:rsidRPr="005D7FF8">
              <w:rPr>
                <w:rFonts w:asciiTheme="minorHAnsi" w:hAnsiTheme="minorHAnsi"/>
                <w:i/>
                <w:iCs/>
                <w:color w:val="000000"/>
                <w:spacing w:val="-2"/>
                <w:szCs w:val="24"/>
              </w:rPr>
              <w:t xml:space="preserve">, </w:t>
            </w:r>
            <w:hyperlink r:id="rId10" w:history="1">
              <w:r w:rsidRPr="00270F91">
                <w:rPr>
                  <w:rStyle w:val="Hyperlink"/>
                  <w:rFonts w:asciiTheme="minorHAnsi" w:hAnsiTheme="minorHAnsi"/>
                  <w:i/>
                  <w:iCs/>
                  <w:spacing w:val="-2"/>
                  <w:szCs w:val="24"/>
                </w:rPr>
                <w:t>140</w:t>
              </w:r>
            </w:hyperlink>
            <w:r w:rsidRPr="005D7FF8">
              <w:rPr>
                <w:rFonts w:asciiTheme="minorHAnsi" w:hAnsiTheme="minorHAnsi"/>
                <w:i/>
                <w:iCs/>
                <w:color w:val="000000"/>
                <w:spacing w:val="-2"/>
                <w:szCs w:val="24"/>
              </w:rPr>
              <w:t xml:space="preserve">, </w:t>
            </w:r>
            <w:hyperlink r:id="rId11" w:history="1">
              <w:r w:rsidRPr="00270F91">
                <w:rPr>
                  <w:rStyle w:val="Hyperlink"/>
                  <w:rFonts w:asciiTheme="minorHAnsi" w:hAnsiTheme="minorHAnsi"/>
                  <w:i/>
                  <w:iCs/>
                  <w:szCs w:val="24"/>
                </w:rPr>
                <w:t>174</w:t>
              </w:r>
            </w:hyperlink>
            <w:r w:rsidRPr="005D7FF8">
              <w:rPr>
                <w:rFonts w:asciiTheme="minorHAnsi" w:hAnsiTheme="minorHAnsi"/>
                <w:color w:val="0000FF"/>
                <w:szCs w:val="24"/>
              </w:rPr>
              <w:t xml:space="preserve">, </w:t>
            </w:r>
            <w:hyperlink r:id="rId12" w:history="1">
              <w:r w:rsidRPr="00270F91">
                <w:rPr>
                  <w:rStyle w:val="Hyperlink"/>
                  <w:rFonts w:asciiTheme="minorHAnsi" w:hAnsiTheme="minorHAnsi"/>
                  <w:i/>
                  <w:iCs/>
                  <w:szCs w:val="24"/>
                </w:rPr>
                <w:t>179</w:t>
              </w:r>
            </w:hyperlink>
            <w:r w:rsidRPr="005D7FF8">
              <w:rPr>
                <w:rFonts w:asciiTheme="minorHAnsi" w:hAnsiTheme="minorHAnsi"/>
                <w:i/>
                <w:iCs/>
                <w:color w:val="0000FF"/>
                <w:szCs w:val="24"/>
              </w:rPr>
              <w:t xml:space="preserve"> </w:t>
            </w:r>
            <w:r w:rsidRPr="005D7FF8">
              <w:rPr>
                <w:i/>
                <w:iCs/>
              </w:rPr>
              <w:t xml:space="preserve">de la Conferencia de Plenipotenciarios </w:t>
            </w:r>
            <w:r w:rsidR="007A70C6" w:rsidRPr="005D7FF8">
              <w:rPr>
                <w:rFonts w:asciiTheme="minorHAnsi" w:hAnsiTheme="minorHAnsi"/>
                <w:i/>
                <w:iCs/>
                <w:color w:val="000000"/>
                <w:szCs w:val="24"/>
              </w:rPr>
              <w:t>(Rev. </w:t>
            </w:r>
            <w:r w:rsidRPr="005D7FF8">
              <w:rPr>
                <w:rFonts w:asciiTheme="minorHAnsi" w:hAnsiTheme="minorHAnsi"/>
                <w:i/>
                <w:iCs/>
                <w:color w:val="000000"/>
                <w:szCs w:val="24"/>
              </w:rPr>
              <w:t xml:space="preserve">Dubái, 2018), </w:t>
            </w:r>
            <w:hyperlink r:id="rId13" w:history="1">
              <w:r w:rsidRPr="00270F91">
                <w:rPr>
                  <w:rStyle w:val="Hyperlink"/>
                  <w:rFonts w:asciiTheme="minorHAnsi" w:hAnsiTheme="minorHAnsi"/>
                  <w:i/>
                  <w:iCs/>
                  <w:szCs w:val="24"/>
                </w:rPr>
                <w:t>181</w:t>
              </w:r>
            </w:hyperlink>
            <w:r w:rsidRPr="005D7FF8">
              <w:rPr>
                <w:rFonts w:asciiTheme="minorHAnsi" w:hAnsiTheme="minorHAnsi"/>
                <w:i/>
                <w:iCs/>
                <w:szCs w:val="24"/>
              </w:rPr>
              <w:t xml:space="preserve"> (Guadalajara, 2010)</w:t>
            </w:r>
            <w:r w:rsidRPr="005D7FF8">
              <w:rPr>
                <w:rFonts w:asciiTheme="minorHAnsi" w:hAnsiTheme="minorHAnsi"/>
                <w:i/>
                <w:iCs/>
                <w:color w:val="000000"/>
                <w:szCs w:val="24"/>
              </w:rPr>
              <w:t xml:space="preserve">, </w:t>
            </w:r>
            <w:hyperlink r:id="rId14" w:history="1">
              <w:r w:rsidRPr="005D7FF8">
                <w:rPr>
                  <w:rFonts w:asciiTheme="minorHAnsi" w:hAnsiTheme="minorHAnsi"/>
                  <w:i/>
                  <w:iCs/>
                  <w:color w:val="0000FF"/>
                  <w:szCs w:val="24"/>
                  <w:u w:val="single"/>
                </w:rPr>
                <w:t>Reglamento de las Telecomunicaciones Internacionales</w:t>
              </w:r>
            </w:hyperlink>
            <w:r w:rsidRPr="005D7FF8">
              <w:rPr>
                <w:rFonts w:asciiTheme="minorHAnsi" w:hAnsiTheme="minorHAnsi"/>
                <w:i/>
                <w:iCs/>
                <w:color w:val="000000"/>
                <w:szCs w:val="24"/>
              </w:rPr>
              <w:t xml:space="preserve"> (Rev. Dubái, 2012), </w:t>
            </w:r>
            <w:hyperlink r:id="rId15" w:history="1">
              <w:r w:rsidRPr="005D7FF8">
                <w:rPr>
                  <w:rStyle w:val="Hyperlink"/>
                  <w:rFonts w:asciiTheme="minorHAnsi" w:hAnsiTheme="minorHAnsi"/>
                  <w:i/>
                  <w:iCs/>
                  <w:szCs w:val="24"/>
                </w:rPr>
                <w:t>Resolución 1306 del Consejo</w:t>
              </w:r>
            </w:hyperlink>
            <w:r w:rsidRPr="005D7FF8">
              <w:rPr>
                <w:rFonts w:asciiTheme="minorHAnsi" w:hAnsiTheme="minorHAnsi"/>
                <w:i/>
                <w:iCs/>
                <w:color w:val="000000"/>
                <w:szCs w:val="24"/>
              </w:rPr>
              <w:t xml:space="preserve">, Resoluciones </w:t>
            </w:r>
            <w:hyperlink r:id="rId16" w:history="1">
              <w:r w:rsidRPr="005D7FF8">
                <w:rPr>
                  <w:rFonts w:asciiTheme="minorHAnsi" w:hAnsiTheme="minorHAnsi"/>
                  <w:i/>
                  <w:iCs/>
                  <w:color w:val="0000FF"/>
                  <w:szCs w:val="24"/>
                  <w:u w:val="single"/>
                </w:rPr>
                <w:t>45</w:t>
              </w:r>
            </w:hyperlink>
            <w:r w:rsidRPr="005D7FF8">
              <w:rPr>
                <w:rFonts w:asciiTheme="minorHAnsi" w:hAnsiTheme="minorHAnsi"/>
                <w:i/>
                <w:iCs/>
                <w:color w:val="000000"/>
                <w:szCs w:val="24"/>
              </w:rPr>
              <w:t xml:space="preserve"> (Rev. Dubái, 2014</w:t>
            </w:r>
            <w:r w:rsidRPr="005D7FF8">
              <w:rPr>
                <w:rFonts w:asciiTheme="minorHAnsi" w:hAnsiTheme="minorHAnsi"/>
                <w:i/>
                <w:iCs/>
                <w:color w:val="000000"/>
                <w:szCs w:val="24"/>
                <w:u w:val="single"/>
              </w:rPr>
              <w:t>)</w:t>
            </w:r>
            <w:r w:rsidRPr="005D7FF8">
              <w:rPr>
                <w:rFonts w:asciiTheme="minorHAnsi" w:hAnsiTheme="minorHAnsi"/>
                <w:i/>
                <w:iCs/>
                <w:color w:val="000000"/>
                <w:szCs w:val="24"/>
              </w:rPr>
              <w:t>,</w:t>
            </w:r>
            <w:r w:rsidR="003B6FFE" w:rsidRPr="005D7FF8">
              <w:rPr>
                <w:rFonts w:asciiTheme="minorHAnsi" w:hAnsiTheme="minorHAnsi"/>
                <w:i/>
                <w:iCs/>
                <w:color w:val="000000"/>
                <w:szCs w:val="24"/>
              </w:rPr>
              <w:t xml:space="preserve"> </w:t>
            </w:r>
            <w:hyperlink r:id="rId17" w:history="1">
              <w:r w:rsidRPr="005D7FF8">
                <w:rPr>
                  <w:rStyle w:val="Hyperlink"/>
                  <w:rFonts w:asciiTheme="minorHAnsi" w:hAnsiTheme="minorHAnsi"/>
                  <w:i/>
                  <w:iCs/>
                  <w:szCs w:val="24"/>
                </w:rPr>
                <w:t>2, 67, 69</w:t>
              </w:r>
              <w:r w:rsidRPr="005D7FF8">
                <w:rPr>
                  <w:rStyle w:val="Hyperlink"/>
                  <w:rFonts w:asciiTheme="minorHAnsi" w:hAnsiTheme="minorHAnsi"/>
                  <w:i/>
                  <w:iCs/>
                  <w:szCs w:val="24"/>
                  <w:u w:val="none"/>
                </w:rPr>
                <w:t xml:space="preserve"> </w:t>
              </w:r>
            </w:hyperlink>
            <w:r w:rsidR="003B6FFE" w:rsidRPr="005D7FF8">
              <w:rPr>
                <w:rFonts w:asciiTheme="minorHAnsi" w:hAnsiTheme="minorHAnsi"/>
                <w:i/>
                <w:iCs/>
                <w:color w:val="000000"/>
                <w:szCs w:val="24"/>
              </w:rPr>
              <w:t xml:space="preserve">(Rev. Buenos Aires, 2017) </w:t>
            </w:r>
            <w:r w:rsidRPr="005D7FF8">
              <w:rPr>
                <w:rFonts w:asciiTheme="minorHAnsi" w:hAnsiTheme="minorHAnsi"/>
                <w:i/>
                <w:iCs/>
                <w:color w:val="000000"/>
                <w:szCs w:val="24"/>
              </w:rPr>
              <w:t xml:space="preserve">de la CDMT, </w:t>
            </w:r>
            <w:r w:rsidR="007A70C6" w:rsidRPr="005D7FF8">
              <w:rPr>
                <w:rFonts w:asciiTheme="minorHAnsi" w:hAnsiTheme="minorHAnsi"/>
                <w:i/>
                <w:iCs/>
                <w:color w:val="000000"/>
                <w:szCs w:val="24"/>
              </w:rPr>
              <w:t>Objetivo </w:t>
            </w:r>
            <w:r w:rsidRPr="005D7FF8">
              <w:rPr>
                <w:rFonts w:asciiTheme="minorHAnsi" w:hAnsiTheme="minorHAnsi"/>
                <w:i/>
                <w:iCs/>
                <w:color w:val="000000"/>
                <w:szCs w:val="24"/>
              </w:rPr>
              <w:t>2/Resultado 2.2 del UIT-D (</w:t>
            </w:r>
            <w:hyperlink r:id="rId18" w:history="1">
              <w:r w:rsidRPr="005D7FF8">
                <w:rPr>
                  <w:rStyle w:val="Hyperlink"/>
                </w:rPr>
                <w:t>Plan de acción de Buenos Aires</w:t>
              </w:r>
            </w:hyperlink>
            <w:r w:rsidRPr="005D7FF8">
              <w:rPr>
                <w:rFonts w:asciiTheme="minorHAnsi" w:hAnsiTheme="minorHAnsi"/>
                <w:i/>
                <w:iCs/>
                <w:color w:val="000000"/>
                <w:szCs w:val="24"/>
              </w:rPr>
              <w:t>)</w:t>
            </w:r>
            <w:hyperlink r:id="rId19" w:history="1"/>
            <w:r w:rsidRPr="005D7FF8">
              <w:rPr>
                <w:rFonts w:asciiTheme="minorHAnsi" w:hAnsiTheme="minorHAnsi"/>
                <w:i/>
                <w:iCs/>
                <w:color w:val="000000"/>
                <w:szCs w:val="24"/>
              </w:rPr>
              <w:t xml:space="preserve">, </w:t>
            </w:r>
            <w:r w:rsidRPr="005D7FF8">
              <w:rPr>
                <w:rFonts w:asciiTheme="minorHAnsi" w:hAnsiTheme="minorHAnsi"/>
                <w:i/>
                <w:iCs/>
                <w:color w:val="000000"/>
                <w:spacing w:val="2"/>
                <w:szCs w:val="24"/>
              </w:rPr>
              <w:t xml:space="preserve">Resoluciones </w:t>
            </w:r>
            <w:hyperlink r:id="rId20" w:history="1">
              <w:r w:rsidRPr="005D7FF8">
                <w:rPr>
                  <w:rStyle w:val="Hyperlink"/>
                  <w:rFonts w:asciiTheme="minorHAnsi" w:hAnsiTheme="minorHAnsi"/>
                  <w:i/>
                  <w:iCs/>
                  <w:spacing w:val="2"/>
                  <w:szCs w:val="24"/>
                </w:rPr>
                <w:t>50</w:t>
              </w:r>
            </w:hyperlink>
            <w:r w:rsidRPr="005D7FF8">
              <w:rPr>
                <w:rFonts w:asciiTheme="minorHAnsi" w:hAnsiTheme="minorHAnsi"/>
                <w:i/>
                <w:iCs/>
                <w:color w:val="000000"/>
                <w:spacing w:val="2"/>
                <w:szCs w:val="24"/>
              </w:rPr>
              <w:t xml:space="preserve">, </w:t>
            </w:r>
            <w:hyperlink r:id="rId21" w:history="1">
              <w:r w:rsidRPr="005D7FF8">
                <w:rPr>
                  <w:rStyle w:val="Hyperlink"/>
                  <w:rFonts w:asciiTheme="minorHAnsi" w:hAnsiTheme="minorHAnsi"/>
                  <w:i/>
                  <w:iCs/>
                  <w:spacing w:val="2"/>
                  <w:szCs w:val="24"/>
                </w:rPr>
                <w:t>52</w:t>
              </w:r>
            </w:hyperlink>
            <w:r w:rsidRPr="005D7FF8">
              <w:rPr>
                <w:rFonts w:asciiTheme="minorHAnsi" w:hAnsiTheme="minorHAnsi"/>
                <w:i/>
                <w:iCs/>
                <w:color w:val="000000"/>
                <w:spacing w:val="2"/>
                <w:szCs w:val="24"/>
              </w:rPr>
              <w:t xml:space="preserve">, </w:t>
            </w:r>
            <w:hyperlink r:id="rId22" w:history="1">
              <w:r w:rsidRPr="005D7FF8">
                <w:rPr>
                  <w:rStyle w:val="Hyperlink"/>
                  <w:rFonts w:asciiTheme="minorHAnsi" w:hAnsiTheme="minorHAnsi"/>
                  <w:i/>
                  <w:iCs/>
                  <w:spacing w:val="2"/>
                  <w:szCs w:val="24"/>
                </w:rPr>
                <w:t>75</w:t>
              </w:r>
            </w:hyperlink>
            <w:r w:rsidRPr="005D7FF8">
              <w:rPr>
                <w:rFonts w:asciiTheme="minorHAnsi" w:hAnsiTheme="minorHAnsi"/>
                <w:i/>
                <w:iCs/>
                <w:color w:val="000000"/>
                <w:spacing w:val="2"/>
                <w:szCs w:val="24"/>
              </w:rPr>
              <w:t xml:space="preserve"> (Rev. </w:t>
            </w:r>
            <w:proofErr w:type="spellStart"/>
            <w:r w:rsidRPr="005D7FF8">
              <w:rPr>
                <w:rFonts w:asciiTheme="minorHAnsi" w:hAnsiTheme="minorHAnsi"/>
                <w:i/>
                <w:iCs/>
                <w:color w:val="000000"/>
                <w:spacing w:val="2"/>
                <w:szCs w:val="24"/>
              </w:rPr>
              <w:t>Hammamet</w:t>
            </w:r>
            <w:proofErr w:type="spellEnd"/>
            <w:r w:rsidRPr="005D7FF8">
              <w:rPr>
                <w:rFonts w:asciiTheme="minorHAnsi" w:hAnsiTheme="minorHAnsi"/>
                <w:i/>
                <w:iCs/>
                <w:color w:val="000000"/>
                <w:spacing w:val="2"/>
                <w:szCs w:val="24"/>
              </w:rPr>
              <w:t xml:space="preserve">, 2016), </w:t>
            </w:r>
            <w:hyperlink r:id="rId23" w:history="1">
              <w:r w:rsidRPr="005D7FF8">
                <w:rPr>
                  <w:rStyle w:val="Hyperlink"/>
                  <w:rFonts w:asciiTheme="minorHAnsi" w:hAnsiTheme="minorHAnsi"/>
                  <w:i/>
                  <w:iCs/>
                  <w:spacing w:val="2"/>
                  <w:szCs w:val="24"/>
                </w:rPr>
                <w:t>58</w:t>
              </w:r>
            </w:hyperlink>
            <w:r w:rsidRPr="005D7FF8">
              <w:rPr>
                <w:rFonts w:asciiTheme="minorHAnsi" w:hAnsiTheme="minorHAnsi"/>
                <w:i/>
                <w:iCs/>
                <w:color w:val="000000"/>
                <w:spacing w:val="2"/>
                <w:szCs w:val="24"/>
              </w:rPr>
              <w:t xml:space="preserve"> (Rev. Dubái, 2012) de la AMNT, </w:t>
            </w:r>
            <w:r w:rsidRPr="005D7FF8">
              <w:rPr>
                <w:rFonts w:asciiTheme="minorHAnsi" w:hAnsiTheme="minorHAnsi"/>
                <w:i/>
                <w:iCs/>
                <w:color w:val="000000"/>
                <w:szCs w:val="24"/>
              </w:rPr>
              <w:t xml:space="preserve">Documentos del Consejo </w:t>
            </w:r>
            <w:hyperlink r:id="rId24" w:history="1">
              <w:r w:rsidRPr="005D7FF8">
                <w:rPr>
                  <w:rFonts w:asciiTheme="minorHAnsi" w:hAnsiTheme="minorHAnsi"/>
                  <w:i/>
                  <w:iCs/>
                  <w:color w:val="0000FF"/>
                  <w:szCs w:val="24"/>
                  <w:u w:val="single"/>
                </w:rPr>
                <w:t>C05/32</w:t>
              </w:r>
            </w:hyperlink>
            <w:r w:rsidRPr="005D7FF8">
              <w:rPr>
                <w:rFonts w:asciiTheme="minorHAnsi" w:hAnsiTheme="minorHAnsi"/>
                <w:i/>
                <w:iCs/>
                <w:color w:val="000000"/>
                <w:szCs w:val="24"/>
              </w:rPr>
              <w:t xml:space="preserve">, </w:t>
            </w:r>
            <w:hyperlink r:id="rId25" w:history="1">
              <w:r w:rsidRPr="005D7FF8">
                <w:rPr>
                  <w:rStyle w:val="Hyperlink"/>
                  <w:rFonts w:asciiTheme="minorHAnsi" w:hAnsiTheme="minorHAnsi"/>
                  <w:i/>
                  <w:iCs/>
                  <w:szCs w:val="24"/>
                </w:rPr>
                <w:t>C05/INF/10</w:t>
              </w:r>
            </w:hyperlink>
            <w:r w:rsidRPr="005D7FF8">
              <w:rPr>
                <w:rFonts w:asciiTheme="minorHAnsi" w:hAnsiTheme="minorHAnsi"/>
                <w:i/>
                <w:iCs/>
                <w:color w:val="000000"/>
                <w:szCs w:val="24"/>
              </w:rPr>
              <w:t xml:space="preserve">, </w:t>
            </w:r>
            <w:hyperlink r:id="rId26" w:history="1">
              <w:r w:rsidRPr="005D7FF8">
                <w:rPr>
                  <w:rFonts w:asciiTheme="minorHAnsi" w:hAnsiTheme="minorHAnsi"/>
                  <w:i/>
                  <w:iCs/>
                  <w:color w:val="0000FF"/>
                  <w:szCs w:val="24"/>
                  <w:u w:val="single"/>
                </w:rPr>
                <w:t>C06/4</w:t>
              </w:r>
            </w:hyperlink>
            <w:r w:rsidRPr="005D7FF8">
              <w:rPr>
                <w:rFonts w:asciiTheme="minorHAnsi" w:hAnsiTheme="minorHAnsi"/>
                <w:i/>
                <w:iCs/>
                <w:color w:val="000000"/>
                <w:szCs w:val="24"/>
              </w:rPr>
              <w:t xml:space="preserve">, </w:t>
            </w:r>
            <w:hyperlink r:id="rId27" w:history="1">
              <w:r w:rsidRPr="005D7FF8">
                <w:rPr>
                  <w:rFonts w:asciiTheme="minorHAnsi" w:hAnsiTheme="minorHAnsi"/>
                  <w:i/>
                  <w:iCs/>
                  <w:color w:val="0000FF"/>
                  <w:szCs w:val="24"/>
                  <w:u w:val="single"/>
                </w:rPr>
                <w:t>C07/21</w:t>
              </w:r>
            </w:hyperlink>
            <w:r w:rsidRPr="005D7FF8">
              <w:rPr>
                <w:rFonts w:asciiTheme="minorHAnsi" w:hAnsiTheme="minorHAnsi"/>
                <w:i/>
                <w:iCs/>
                <w:color w:val="000000"/>
                <w:szCs w:val="24"/>
              </w:rPr>
              <w:t xml:space="preserve">, </w:t>
            </w:r>
            <w:hyperlink r:id="rId28" w:history="1">
              <w:r w:rsidRPr="005D7FF8">
                <w:rPr>
                  <w:rFonts w:asciiTheme="minorHAnsi" w:hAnsiTheme="minorHAnsi"/>
                  <w:i/>
                  <w:iCs/>
                  <w:color w:val="0000FF"/>
                  <w:szCs w:val="24"/>
                  <w:u w:val="single"/>
                </w:rPr>
                <w:t>C08/33</w:t>
              </w:r>
            </w:hyperlink>
            <w:r w:rsidRPr="005D7FF8">
              <w:rPr>
                <w:rFonts w:asciiTheme="minorHAnsi" w:hAnsiTheme="minorHAnsi"/>
                <w:i/>
                <w:iCs/>
                <w:color w:val="000000"/>
                <w:szCs w:val="24"/>
              </w:rPr>
              <w:t xml:space="preserve">, </w:t>
            </w:r>
            <w:hyperlink r:id="rId29" w:history="1">
              <w:r w:rsidRPr="005D7FF8">
                <w:rPr>
                  <w:rFonts w:asciiTheme="minorHAnsi" w:hAnsiTheme="minorHAnsi"/>
                  <w:i/>
                  <w:iCs/>
                  <w:color w:val="0000FF"/>
                  <w:szCs w:val="24"/>
                  <w:u w:val="single"/>
                </w:rPr>
                <w:t>C09/50</w:t>
              </w:r>
            </w:hyperlink>
            <w:r w:rsidRPr="005D7FF8">
              <w:rPr>
                <w:rFonts w:asciiTheme="minorHAnsi" w:hAnsiTheme="minorHAnsi"/>
                <w:szCs w:val="24"/>
              </w:rPr>
              <w:t xml:space="preserve">, </w:t>
            </w:r>
            <w:hyperlink r:id="rId30" w:history="1">
              <w:r w:rsidRPr="005D7FF8">
                <w:rPr>
                  <w:rFonts w:asciiTheme="minorHAnsi" w:hAnsiTheme="minorHAnsi"/>
                  <w:i/>
                  <w:iCs/>
                  <w:color w:val="0000FF"/>
                  <w:szCs w:val="24"/>
                  <w:u w:val="single"/>
                </w:rPr>
                <w:t>C10/12</w:t>
              </w:r>
            </w:hyperlink>
            <w:r w:rsidRPr="005D7FF8">
              <w:rPr>
                <w:rFonts w:asciiTheme="minorHAnsi" w:hAnsiTheme="minorHAnsi"/>
                <w:i/>
                <w:iCs/>
                <w:color w:val="0000FF"/>
                <w:szCs w:val="24"/>
              </w:rPr>
              <w:t xml:space="preserve">, </w:t>
            </w:r>
            <w:hyperlink r:id="rId31" w:history="1">
              <w:r w:rsidRPr="005D7FF8">
                <w:rPr>
                  <w:rFonts w:asciiTheme="minorHAnsi" w:hAnsiTheme="minorHAnsi"/>
                  <w:i/>
                  <w:iCs/>
                  <w:color w:val="0000FF"/>
                  <w:szCs w:val="24"/>
                  <w:u w:val="single"/>
                </w:rPr>
                <w:t>C11/54</w:t>
              </w:r>
            </w:hyperlink>
            <w:r w:rsidRPr="005D7FF8">
              <w:rPr>
                <w:rFonts w:asciiTheme="minorHAnsi" w:hAnsiTheme="minorHAnsi"/>
                <w:i/>
                <w:iCs/>
                <w:color w:val="0000FF"/>
                <w:szCs w:val="24"/>
              </w:rPr>
              <w:t xml:space="preserve">, </w:t>
            </w:r>
            <w:hyperlink r:id="rId32" w:history="1">
              <w:r w:rsidRPr="005D7FF8">
                <w:rPr>
                  <w:rFonts w:asciiTheme="minorHAnsi" w:hAnsiTheme="minorHAnsi"/>
                  <w:i/>
                  <w:iCs/>
                  <w:color w:val="0000FF"/>
                  <w:szCs w:val="24"/>
                  <w:u w:val="single"/>
                </w:rPr>
                <w:t>C12/29</w:t>
              </w:r>
            </w:hyperlink>
            <w:r w:rsidRPr="005D7FF8">
              <w:rPr>
                <w:rFonts w:asciiTheme="minorHAnsi" w:hAnsiTheme="minorHAnsi"/>
                <w:i/>
                <w:iCs/>
                <w:color w:val="0000FF"/>
                <w:szCs w:val="24"/>
              </w:rPr>
              <w:t xml:space="preserve">, </w:t>
            </w:r>
            <w:hyperlink r:id="rId33" w:history="1">
              <w:r w:rsidRPr="005D7FF8">
                <w:rPr>
                  <w:rFonts w:asciiTheme="minorHAnsi" w:hAnsiTheme="minorHAnsi"/>
                  <w:i/>
                  <w:iCs/>
                  <w:color w:val="0000FF"/>
                  <w:szCs w:val="24"/>
                  <w:u w:val="single"/>
                </w:rPr>
                <w:t>C13/23</w:t>
              </w:r>
            </w:hyperlink>
            <w:r w:rsidRPr="005D7FF8">
              <w:rPr>
                <w:rFonts w:asciiTheme="minorHAnsi" w:hAnsiTheme="minorHAnsi"/>
                <w:color w:val="0000FF"/>
                <w:szCs w:val="24"/>
              </w:rPr>
              <w:t xml:space="preserve">, </w:t>
            </w:r>
            <w:hyperlink r:id="rId34" w:history="1">
              <w:r w:rsidRPr="005D7FF8">
                <w:rPr>
                  <w:rFonts w:asciiTheme="minorHAnsi" w:hAnsiTheme="minorHAnsi"/>
                  <w:i/>
                  <w:iCs/>
                  <w:color w:val="0000FF"/>
                  <w:szCs w:val="24"/>
                  <w:u w:val="single"/>
                </w:rPr>
                <w:t>C14/23</w:t>
              </w:r>
            </w:hyperlink>
            <w:r w:rsidRPr="005D7FF8">
              <w:rPr>
                <w:rFonts w:asciiTheme="minorHAnsi" w:hAnsiTheme="minorHAnsi"/>
                <w:color w:val="0000FF"/>
                <w:szCs w:val="24"/>
              </w:rPr>
              <w:t xml:space="preserve">, </w:t>
            </w:r>
            <w:hyperlink r:id="rId35" w:history="1">
              <w:r w:rsidRPr="005D7FF8">
                <w:rPr>
                  <w:rStyle w:val="Hyperlink"/>
                  <w:rFonts w:asciiTheme="minorHAnsi" w:hAnsiTheme="minorHAnsi"/>
                  <w:i/>
                  <w:iCs/>
                  <w:szCs w:val="24"/>
                </w:rPr>
                <w:t>C15/18</w:t>
              </w:r>
            </w:hyperlink>
            <w:r w:rsidRPr="005D7FF8">
              <w:rPr>
                <w:rStyle w:val="Hyperlink"/>
                <w:rFonts w:asciiTheme="minorHAnsi" w:hAnsiTheme="minorHAnsi"/>
                <w:i/>
                <w:iCs/>
                <w:szCs w:val="24"/>
              </w:rPr>
              <w:t>,</w:t>
            </w:r>
            <w:r w:rsidR="00C23228" w:rsidRPr="005D7FF8">
              <w:rPr>
                <w:rStyle w:val="Hyperlink"/>
                <w:rFonts w:asciiTheme="minorHAnsi" w:hAnsiTheme="minorHAnsi"/>
                <w:i/>
                <w:iCs/>
                <w:szCs w:val="24"/>
              </w:rPr>
              <w:t xml:space="preserve"> </w:t>
            </w:r>
            <w:hyperlink r:id="rId36" w:history="1">
              <w:r w:rsidRPr="005D7FF8">
                <w:rPr>
                  <w:rStyle w:val="Hyperlink"/>
                  <w:rFonts w:asciiTheme="minorHAnsi" w:hAnsiTheme="minorHAnsi"/>
                  <w:i/>
                  <w:iCs/>
                  <w:szCs w:val="24"/>
                </w:rPr>
                <w:t>C16/18</w:t>
              </w:r>
            </w:hyperlink>
            <w:r w:rsidRPr="005D7FF8">
              <w:rPr>
                <w:i/>
                <w:iCs/>
              </w:rPr>
              <w:t xml:space="preserve">, </w:t>
            </w:r>
            <w:hyperlink r:id="rId37" w:history="1">
              <w:r w:rsidRPr="005D7FF8">
                <w:rPr>
                  <w:rStyle w:val="Hyperlink"/>
                  <w:rFonts w:asciiTheme="minorHAnsi" w:hAnsiTheme="minorHAnsi"/>
                  <w:i/>
                  <w:iCs/>
                  <w:szCs w:val="24"/>
                </w:rPr>
                <w:t>C17/18</w:t>
              </w:r>
            </w:hyperlink>
            <w:bookmarkEnd w:id="11"/>
            <w:r w:rsidRPr="005D7FF8">
              <w:t xml:space="preserve"> y</w:t>
            </w:r>
            <w:r w:rsidR="001B4D79" w:rsidRPr="005D7FF8">
              <w:t xml:space="preserve"> </w:t>
            </w:r>
            <w:hyperlink r:id="rId38" w:history="1">
              <w:r w:rsidR="001B4D79" w:rsidRPr="005D7FF8">
                <w:rPr>
                  <w:rStyle w:val="Hyperlink"/>
                  <w:rFonts w:cstheme="minorHAnsi"/>
                  <w:i/>
                  <w:iCs/>
                </w:rPr>
                <w:t>C18/18</w:t>
              </w:r>
            </w:hyperlink>
            <w:r w:rsidR="005D7FF8" w:rsidRPr="005D7FF8">
              <w:t>.</w:t>
            </w:r>
          </w:p>
        </w:tc>
      </w:tr>
    </w:tbl>
    <w:p w:rsidR="001B4D79" w:rsidRPr="005D7FF8" w:rsidRDefault="001B4D79" w:rsidP="001B4D79"/>
    <w:p w:rsidR="001B4D79" w:rsidRPr="005D7FF8" w:rsidRDefault="001B4D79">
      <w:pPr>
        <w:tabs>
          <w:tab w:val="clear" w:pos="567"/>
          <w:tab w:val="clear" w:pos="1134"/>
          <w:tab w:val="clear" w:pos="1701"/>
          <w:tab w:val="clear" w:pos="2268"/>
          <w:tab w:val="clear" w:pos="2835"/>
        </w:tabs>
        <w:overflowPunct/>
        <w:autoSpaceDE/>
        <w:autoSpaceDN/>
        <w:adjustRightInd/>
        <w:spacing w:before="0"/>
        <w:textAlignment w:val="auto"/>
        <w:rPr>
          <w:b/>
          <w:sz w:val="28"/>
        </w:rPr>
      </w:pPr>
      <w:r w:rsidRPr="005D7FF8">
        <w:rPr>
          <w:b/>
          <w:sz w:val="28"/>
        </w:rPr>
        <w:br w:type="page"/>
      </w:r>
    </w:p>
    <w:p w:rsidR="00EB52C2" w:rsidRPr="005D7FF8" w:rsidRDefault="00EB52C2" w:rsidP="00EB52C2">
      <w:pPr>
        <w:pStyle w:val="Heading1"/>
      </w:pPr>
      <w:r w:rsidRPr="005D7FF8">
        <w:lastRenderedPageBreak/>
        <w:t>1</w:t>
      </w:r>
      <w:r w:rsidRPr="005D7FF8">
        <w:tab/>
        <w:t xml:space="preserve">Actividades en materia de </w:t>
      </w:r>
      <w:proofErr w:type="spellStart"/>
      <w:r w:rsidRPr="005D7FF8">
        <w:t>ciberseguridad</w:t>
      </w:r>
      <w:proofErr w:type="spellEnd"/>
      <w:r w:rsidRPr="005D7FF8">
        <w:t xml:space="preserve"> y lucha contra el spam</w:t>
      </w:r>
    </w:p>
    <w:p w:rsidR="00EB52C2" w:rsidRPr="005D7FF8" w:rsidRDefault="00EB52C2" w:rsidP="006C2E85">
      <w:r w:rsidRPr="005D7FF8">
        <w:t>1.1</w:t>
      </w:r>
      <w:r w:rsidRPr="005D7FF8">
        <w:tab/>
        <w:t xml:space="preserve">El desarrollo de las TIC, sobre una base de seguridad y confianza, ha sido reconocido como un factor esencial para el desarrollo sostenible. El presente Informe, organizado en torno a los cinco pilares de la </w:t>
      </w:r>
      <w:hyperlink r:id="rId39" w:history="1">
        <w:r w:rsidRPr="005D7FF8">
          <w:rPr>
            <w:rStyle w:val="Hyperlink"/>
          </w:rPr>
          <w:t xml:space="preserve">Agenda sobre </w:t>
        </w:r>
        <w:proofErr w:type="spellStart"/>
        <w:r w:rsidRPr="005D7FF8">
          <w:rPr>
            <w:rStyle w:val="Hyperlink"/>
          </w:rPr>
          <w:t>Ciberseguridad</w:t>
        </w:r>
        <w:proofErr w:type="spellEnd"/>
        <w:r w:rsidRPr="005D7FF8">
          <w:rPr>
            <w:rStyle w:val="Hyperlink"/>
          </w:rPr>
          <w:t xml:space="preserve"> Global (ACG)</w:t>
        </w:r>
      </w:hyperlink>
      <w:r w:rsidRPr="005D7FF8">
        <w:t>, muestra el carácter complementario de los actuales programas de trabajo de la UIT y facilita la realización de las actividades de la BDT, la TSB y la BR al respecto.</w:t>
      </w:r>
    </w:p>
    <w:p w:rsidR="00EB52C2" w:rsidRPr="005D7FF8" w:rsidRDefault="00EB52C2" w:rsidP="006C2E85">
      <w:r w:rsidRPr="005D7FF8">
        <w:t>1.2</w:t>
      </w:r>
      <w:r w:rsidRPr="005D7FF8">
        <w:tab/>
        <w:t>La Conferencia de Plenipotenciarios de la UIT de 2018, celebrada del 29 de octubre al 16 de noviembre de 2018 en Dubái, EAU, revisó sus Resoluciones 130 y 179.</w:t>
      </w:r>
    </w:p>
    <w:p w:rsidR="00EB52C2" w:rsidRPr="005D7FF8" w:rsidRDefault="00EB52C2" w:rsidP="00EB52C2">
      <w:pPr>
        <w:pStyle w:val="Heading1"/>
      </w:pPr>
      <w:r w:rsidRPr="005D7FF8">
        <w:t>2</w:t>
      </w:r>
      <w:r w:rsidRPr="005D7FF8">
        <w:tab/>
        <w:t>Medidas jurídicas</w:t>
      </w:r>
    </w:p>
    <w:p w:rsidR="00EB52C2" w:rsidRPr="005D7FF8" w:rsidRDefault="00EB52C2" w:rsidP="006C2E85">
      <w:pPr>
        <w:rPr>
          <w:rFonts w:asciiTheme="minorHAnsi" w:hAnsiTheme="minorHAnsi"/>
          <w:szCs w:val="24"/>
        </w:rPr>
      </w:pPr>
      <w:r w:rsidRPr="005D7FF8">
        <w:t>2.1</w:t>
      </w:r>
      <w:r w:rsidRPr="005D7FF8">
        <w:tab/>
        <w:t xml:space="preserve">En el marco del Objetivo 2.2 del Plan de Acción de Buenos Aires, y teniendo en cuenta la Cuestión 3/2 (antigua Cuestión 22/1) del UIT-D, la UIT está ayudando a los Estados Miembros a comprender los aspectos jurídicos de la </w:t>
      </w:r>
      <w:proofErr w:type="spellStart"/>
      <w:r w:rsidRPr="005D7FF8">
        <w:t>ciberseguridad</w:t>
      </w:r>
      <w:proofErr w:type="spellEnd"/>
      <w:r w:rsidRPr="005D7FF8">
        <w:t xml:space="preserve"> poniendo a disposición de los mismos los </w:t>
      </w:r>
      <w:hyperlink r:id="rId40" w:history="1">
        <w:r w:rsidRPr="005D7FF8">
          <w:rPr>
            <w:rStyle w:val="Hyperlink"/>
          </w:rPr>
          <w:t xml:space="preserve">Recursos de la UIT sobre la legislación del </w:t>
        </w:r>
        <w:proofErr w:type="spellStart"/>
        <w:r w:rsidRPr="005D7FF8">
          <w:rPr>
            <w:rStyle w:val="Hyperlink"/>
          </w:rPr>
          <w:t>ciberdelito</w:t>
        </w:r>
        <w:proofErr w:type="spellEnd"/>
      </w:hyperlink>
      <w:r w:rsidRPr="005D7FF8">
        <w:t>, con el fin de contribuir a la armonización de sus marcos jurídicos. En lo que atañe a las medidas jurídicas, la UIT colabora estrechamente con la ONUDD y otros expertos en la materia.</w:t>
      </w:r>
    </w:p>
    <w:p w:rsidR="00EB52C2" w:rsidRPr="005D7FF8" w:rsidRDefault="00EB52C2" w:rsidP="00EB52C2">
      <w:pPr>
        <w:pStyle w:val="Heading1"/>
      </w:pPr>
      <w:r w:rsidRPr="005D7FF8">
        <w:t>3</w:t>
      </w:r>
      <w:r w:rsidRPr="005D7FF8">
        <w:tab/>
        <w:t>Medidas técnicas y de procedimiento</w:t>
      </w:r>
    </w:p>
    <w:p w:rsidR="00EB52C2" w:rsidRPr="005D7FF8" w:rsidRDefault="00EB52C2" w:rsidP="006C2E85">
      <w:pPr>
        <w:rPr>
          <w:bCs/>
        </w:rPr>
      </w:pPr>
      <w:r w:rsidRPr="005D7FF8">
        <w:t>3.1</w:t>
      </w:r>
      <w:r w:rsidRPr="005D7FF8">
        <w:tab/>
        <w:t xml:space="preserve">La </w:t>
      </w:r>
      <w:hyperlink r:id="rId41" w:history="1">
        <w:r w:rsidRPr="005D7FF8">
          <w:rPr>
            <w:rStyle w:val="Hyperlink"/>
          </w:rPr>
          <w:t>Comisión de Estudio 17 (CE 17) del UIT-T</w:t>
        </w:r>
      </w:hyperlink>
      <w:r w:rsidRPr="005D7FF8">
        <w:t>, Comisión de Estudio Rectora sobre seguridad y gestión de identidad (</w:t>
      </w:r>
      <w:proofErr w:type="spellStart"/>
      <w:r w:rsidRPr="005D7FF8">
        <w:t>IdM</w:t>
      </w:r>
      <w:proofErr w:type="spellEnd"/>
      <w:r w:rsidRPr="005D7FF8">
        <w:t xml:space="preserve">), sigue contribuyendo al estudio y la normalización de la </w:t>
      </w:r>
      <w:proofErr w:type="spellStart"/>
      <w:r w:rsidRPr="005D7FF8">
        <w:t>ciberseguridad</w:t>
      </w:r>
      <w:proofErr w:type="spellEnd"/>
      <w:r w:rsidRPr="005D7FF8">
        <w:t xml:space="preserve">, la lucha contra el correo basura, la </w:t>
      </w:r>
      <w:proofErr w:type="spellStart"/>
      <w:r w:rsidRPr="005D7FF8">
        <w:t>IdM</w:t>
      </w:r>
      <w:proofErr w:type="spellEnd"/>
      <w:r w:rsidRPr="005D7FF8">
        <w:t xml:space="preserve">, los certificados X.509 del UIT-T, la gestión de la seguridad de la información, las redes de sensores ubicuos, la </w:t>
      </w:r>
      <w:proofErr w:type="spellStart"/>
      <w:r w:rsidRPr="005D7FF8">
        <w:t>telebiometría</w:t>
      </w:r>
      <w:proofErr w:type="spellEnd"/>
      <w:r w:rsidRPr="005D7FF8">
        <w:t>, la seguridad móvil, la seguridad de la virtualización con miras a la seguridad de la computación en la nube, y la arquitectura para la protección y seguridad de información de identificación personal, en cooperación con otros organismos de normalización externos.</w:t>
      </w:r>
    </w:p>
    <w:p w:rsidR="00297C35" w:rsidRPr="005D7FF8" w:rsidRDefault="00EB52C2" w:rsidP="00276392">
      <w:pPr>
        <w:rPr>
          <w:rFonts w:eastAsia="SimSun"/>
          <w:lang w:eastAsia="zh-CN"/>
        </w:rPr>
      </w:pPr>
      <w:r w:rsidRPr="005D7FF8">
        <w:rPr>
          <w:rFonts w:eastAsia="SimSun"/>
          <w:lang w:eastAsia="zh-CN"/>
        </w:rPr>
        <w:t>3.2</w:t>
      </w:r>
      <w:r w:rsidRPr="005D7FF8">
        <w:rPr>
          <w:rFonts w:eastAsia="SimSun"/>
          <w:lang w:eastAsia="zh-CN"/>
        </w:rPr>
        <w:tab/>
      </w:r>
      <w:bookmarkStart w:id="12" w:name="lt_pId036"/>
      <w:r w:rsidRPr="005D7FF8">
        <w:rPr>
          <w:rFonts w:eastAsia="SimSun"/>
          <w:lang w:eastAsia="zh-CN"/>
        </w:rPr>
        <w:t xml:space="preserve">Desde su último Informe presentado al Consejo, la </w:t>
      </w:r>
      <w:r w:rsidR="007A70C6" w:rsidRPr="005D7FF8">
        <w:rPr>
          <w:rFonts w:eastAsia="SimSun"/>
          <w:lang w:eastAsia="zh-CN"/>
        </w:rPr>
        <w:t>CE 1</w:t>
      </w:r>
      <w:r w:rsidRPr="005D7FF8">
        <w:rPr>
          <w:rFonts w:eastAsia="SimSun"/>
          <w:lang w:eastAsia="zh-CN"/>
        </w:rPr>
        <w:t xml:space="preserve">7 ha celebrado tres reuniones, en marzo de 2018, agosto-septiembre de 2018 y enero de 2019. La </w:t>
      </w:r>
      <w:r w:rsidR="007A70C6" w:rsidRPr="005D7FF8">
        <w:rPr>
          <w:rFonts w:eastAsia="SimSun"/>
          <w:lang w:eastAsia="zh-CN"/>
        </w:rPr>
        <w:t>CE 1</w:t>
      </w:r>
      <w:r w:rsidRPr="005D7FF8">
        <w:rPr>
          <w:rFonts w:eastAsia="SimSun"/>
          <w:lang w:eastAsia="zh-CN"/>
        </w:rPr>
        <w:t xml:space="preserve">7 ha definido </w:t>
      </w:r>
      <w:hyperlink r:id="rId42" w:history="1">
        <w:r w:rsidRPr="005D7FF8">
          <w:rPr>
            <w:rStyle w:val="Hyperlink"/>
            <w:rFonts w:eastAsia="SimSun"/>
            <w:lang w:eastAsia="zh-CN"/>
          </w:rPr>
          <w:t>55 nuevos temas de trabajo</w:t>
        </w:r>
      </w:hyperlink>
      <w:r w:rsidRPr="005D7FF8">
        <w:rPr>
          <w:rFonts w:eastAsia="SimSun"/>
          <w:lang w:eastAsia="zh-CN"/>
        </w:rPr>
        <w:t xml:space="preserve">. La </w:t>
      </w:r>
      <w:r w:rsidR="007A70C6" w:rsidRPr="005D7FF8">
        <w:rPr>
          <w:rFonts w:eastAsia="SimSun"/>
          <w:lang w:eastAsia="zh-CN"/>
        </w:rPr>
        <w:t>CE 1</w:t>
      </w:r>
      <w:r w:rsidRPr="005D7FF8">
        <w:rPr>
          <w:rFonts w:eastAsia="SimSun"/>
          <w:lang w:eastAsia="zh-CN"/>
        </w:rPr>
        <w:t xml:space="preserve">7 ha aprobado 17 Recomendaciones UIT-T nuevas o revisadas sobre seguridad de las TIC, a saber: </w:t>
      </w:r>
      <w:hyperlink r:id="rId43" w:history="1">
        <w:r w:rsidR="00297C35" w:rsidRPr="005D7FF8">
          <w:rPr>
            <w:rStyle w:val="Hyperlink"/>
            <w:rFonts w:eastAsia="SimSun"/>
            <w:lang w:eastAsia="zh-CN"/>
          </w:rPr>
          <w:t>Aplicaciones genéricas de la sintaxis de mensaje criptográfico ASN.1</w:t>
        </w:r>
      </w:hyperlink>
      <w:r w:rsidR="00297C35" w:rsidRPr="005D7FF8">
        <w:rPr>
          <w:rFonts w:eastAsia="SimSun"/>
          <w:lang w:eastAsia="zh-CN"/>
        </w:rPr>
        <w:t xml:space="preserve">; </w:t>
      </w:r>
      <w:hyperlink r:id="rId44" w:history="1">
        <w:r w:rsidR="00297C35" w:rsidRPr="005D7FF8">
          <w:rPr>
            <w:rStyle w:val="Hyperlink"/>
            <w:rFonts w:eastAsia="SimSun"/>
            <w:lang w:eastAsia="zh-CN"/>
          </w:rPr>
          <w:t>arco de seguridad para el funcionamiento de redes de voz por evolución a largo plazo (</w:t>
        </w:r>
        <w:proofErr w:type="spellStart"/>
        <w:r w:rsidR="00297C35" w:rsidRPr="005D7FF8">
          <w:rPr>
            <w:rStyle w:val="Hyperlink"/>
            <w:rFonts w:eastAsia="SimSun"/>
            <w:lang w:eastAsia="zh-CN"/>
          </w:rPr>
          <w:t>VoLTE</w:t>
        </w:r>
        <w:proofErr w:type="spellEnd"/>
        <w:r w:rsidR="00297C35" w:rsidRPr="005D7FF8">
          <w:rPr>
            <w:rStyle w:val="Hyperlink"/>
            <w:rFonts w:eastAsia="SimSun"/>
            <w:lang w:eastAsia="zh-CN"/>
          </w:rPr>
          <w:t>)</w:t>
        </w:r>
      </w:hyperlink>
      <w:r w:rsidR="00297C35" w:rsidRPr="005D7FF8">
        <w:rPr>
          <w:rFonts w:eastAsia="SimSun"/>
          <w:lang w:eastAsia="zh-CN"/>
        </w:rPr>
        <w:t xml:space="preserve">; </w:t>
      </w:r>
      <w:hyperlink r:id="rId45" w:history="1">
        <w:r w:rsidR="00297C35" w:rsidRPr="005D7FF8">
          <w:rPr>
            <w:rStyle w:val="Hyperlink"/>
            <w:rFonts w:eastAsia="SimSun"/>
            <w:lang w:eastAsia="zh-CN"/>
          </w:rPr>
          <w:t>Servicios de seguridad con interconexión de redes definidas por software</w:t>
        </w:r>
      </w:hyperlink>
      <w:r w:rsidR="00297C35" w:rsidRPr="005D7FF8">
        <w:rPr>
          <w:rFonts w:eastAsia="SimSun"/>
          <w:lang w:eastAsia="zh-CN"/>
        </w:rPr>
        <w:t xml:space="preserve">; </w:t>
      </w:r>
      <w:hyperlink r:id="rId46" w:history="1">
        <w:r w:rsidR="00297C35" w:rsidRPr="005D7FF8">
          <w:rPr>
            <w:rStyle w:val="Hyperlink"/>
            <w:rFonts w:eastAsia="SimSun"/>
            <w:lang w:eastAsia="zh-CN"/>
          </w:rPr>
          <w:t>Marco y requisitos de seguridad para el encadenamiento de funciones de servicio basada en la interconexión de redes definidas por software</w:t>
        </w:r>
      </w:hyperlink>
      <w:r w:rsidR="00297C35" w:rsidRPr="005D7FF8">
        <w:rPr>
          <w:rFonts w:eastAsia="SimSun"/>
          <w:lang w:eastAsia="zh-CN"/>
        </w:rPr>
        <w:t xml:space="preserve">; </w:t>
      </w:r>
      <w:hyperlink r:id="rId47" w:history="1">
        <w:r w:rsidR="00297C35" w:rsidRPr="005D7FF8">
          <w:rPr>
            <w:rStyle w:val="Hyperlink"/>
            <w:rFonts w:eastAsia="SimSun"/>
            <w:lang w:eastAsia="zh-CN"/>
          </w:rPr>
          <w:t xml:space="preserve">Control de acceso </w:t>
        </w:r>
        <w:proofErr w:type="spellStart"/>
        <w:r w:rsidR="00297C35" w:rsidRPr="005D7FF8">
          <w:rPr>
            <w:rStyle w:val="Hyperlink"/>
            <w:rFonts w:eastAsia="SimSun"/>
            <w:lang w:eastAsia="zh-CN"/>
          </w:rPr>
          <w:t>telebiométrico</w:t>
        </w:r>
        <w:proofErr w:type="spellEnd"/>
        <w:r w:rsidR="00297C35" w:rsidRPr="005D7FF8">
          <w:rPr>
            <w:rStyle w:val="Hyperlink"/>
            <w:rFonts w:eastAsia="SimSun"/>
            <w:lang w:eastAsia="zh-CN"/>
          </w:rPr>
          <w:t xml:space="preserve"> con tarjetas de identificación inteligentes</w:t>
        </w:r>
      </w:hyperlink>
      <w:r w:rsidR="00297C35" w:rsidRPr="005D7FF8">
        <w:rPr>
          <w:rFonts w:eastAsia="SimSun"/>
          <w:lang w:eastAsia="zh-CN"/>
        </w:rPr>
        <w:t xml:space="preserve">; </w:t>
      </w:r>
      <w:hyperlink r:id="rId48" w:history="1">
        <w:r w:rsidR="00297C35" w:rsidRPr="005D7FF8">
          <w:rPr>
            <w:rStyle w:val="Hyperlink"/>
            <w:rFonts w:eastAsia="SimSun"/>
            <w:lang w:eastAsia="zh-CN"/>
          </w:rPr>
          <w:t xml:space="preserve">autentificación </w:t>
        </w:r>
        <w:proofErr w:type="spellStart"/>
        <w:r w:rsidR="00297C35" w:rsidRPr="005D7FF8">
          <w:rPr>
            <w:rStyle w:val="Hyperlink"/>
            <w:rFonts w:eastAsia="SimSun"/>
            <w:lang w:eastAsia="zh-CN"/>
          </w:rPr>
          <w:t>telebiométrica</w:t>
        </w:r>
        <w:proofErr w:type="spellEnd"/>
        <w:r w:rsidR="00297C35" w:rsidRPr="005D7FF8">
          <w:rPr>
            <w:rStyle w:val="Hyperlink"/>
            <w:rFonts w:eastAsia="SimSun"/>
            <w:lang w:eastAsia="zh-CN"/>
          </w:rPr>
          <w:t xml:space="preserve"> por </w:t>
        </w:r>
        <w:proofErr w:type="spellStart"/>
        <w:r w:rsidR="00297C35" w:rsidRPr="005D7FF8">
          <w:rPr>
            <w:rStyle w:val="Hyperlink"/>
            <w:rFonts w:eastAsia="SimSun"/>
            <w:lang w:eastAsia="zh-CN"/>
          </w:rPr>
          <w:t>bioseñales</w:t>
        </w:r>
        <w:proofErr w:type="spellEnd"/>
      </w:hyperlink>
      <w:r w:rsidR="00297C35" w:rsidRPr="005D7FF8">
        <w:rPr>
          <w:rFonts w:eastAsia="SimSun"/>
          <w:lang w:eastAsia="zh-CN"/>
        </w:rPr>
        <w:t xml:space="preserve">; </w:t>
      </w:r>
      <w:hyperlink r:id="rId49" w:history="1">
        <w:r w:rsidR="00297C35" w:rsidRPr="005D7FF8">
          <w:rPr>
            <w:rStyle w:val="Hyperlink"/>
            <w:rFonts w:eastAsia="SimSun"/>
            <w:lang w:eastAsia="zh-CN"/>
          </w:rPr>
          <w:t xml:space="preserve">Marco y requisitos de seguridad para la analítica de </w:t>
        </w:r>
        <w:proofErr w:type="spellStart"/>
        <w:r w:rsidR="00297C35" w:rsidRPr="005D7FF8">
          <w:rPr>
            <w:rStyle w:val="Hyperlink"/>
            <w:rFonts w:eastAsia="SimSun"/>
            <w:lang w:eastAsia="zh-CN"/>
          </w:rPr>
          <w:t>macrodatos</w:t>
        </w:r>
        <w:proofErr w:type="spellEnd"/>
        <w:r w:rsidR="00297C35" w:rsidRPr="005D7FF8">
          <w:rPr>
            <w:rStyle w:val="Hyperlink"/>
            <w:rFonts w:eastAsia="SimSun"/>
            <w:lang w:eastAsia="zh-CN"/>
          </w:rPr>
          <w:t xml:space="preserve"> en los servicios de Internet móvil</w:t>
        </w:r>
      </w:hyperlink>
      <w:r w:rsidR="00297C35" w:rsidRPr="005D7FF8">
        <w:rPr>
          <w:rFonts w:eastAsia="SimSun"/>
          <w:lang w:eastAsia="zh-CN"/>
        </w:rPr>
        <w:t xml:space="preserve">; </w:t>
      </w:r>
      <w:hyperlink r:id="rId50" w:history="1">
        <w:r w:rsidR="00297C35" w:rsidRPr="005D7FF8">
          <w:rPr>
            <w:rStyle w:val="Hyperlink"/>
            <w:rFonts w:eastAsia="SimSun"/>
            <w:lang w:eastAsia="zh-CN"/>
          </w:rPr>
          <w:t>Técnicas de evaluación de seguridad en redes de telecomunicaciones/TIC</w:t>
        </w:r>
      </w:hyperlink>
      <w:r w:rsidR="00297C35" w:rsidRPr="005D7FF8">
        <w:rPr>
          <w:rFonts w:eastAsia="SimSun"/>
          <w:lang w:eastAsia="zh-CN"/>
        </w:rPr>
        <w:t xml:space="preserve">; </w:t>
      </w:r>
      <w:hyperlink r:id="rId51" w:history="1">
        <w:r w:rsidR="00297C35" w:rsidRPr="005D7FF8">
          <w:rPr>
            <w:rStyle w:val="Hyperlink"/>
            <w:rFonts w:eastAsia="SimSun"/>
            <w:lang w:eastAsia="zh-CN"/>
          </w:rPr>
          <w:t>Casos de Uso de la Expresión de información sobre amenazas estructurada (STIX)</w:t>
        </w:r>
      </w:hyperlink>
      <w:r w:rsidR="00297C35" w:rsidRPr="005D7FF8">
        <w:rPr>
          <w:rFonts w:eastAsia="SimSun"/>
          <w:lang w:eastAsia="zh-CN"/>
        </w:rPr>
        <w:t xml:space="preserve">; </w:t>
      </w:r>
      <w:hyperlink r:id="rId52" w:history="1">
        <w:r w:rsidR="00297C35" w:rsidRPr="005D7FF8">
          <w:rPr>
            <w:rStyle w:val="Hyperlink"/>
            <w:rFonts w:eastAsia="SimSun"/>
            <w:lang w:eastAsia="zh-CN"/>
          </w:rPr>
          <w:t>Marco técnico para la lucha contra la publicidad basura en aplicaciones móviles</w:t>
        </w:r>
      </w:hyperlink>
      <w:r w:rsidR="00297C35" w:rsidRPr="005D7FF8">
        <w:rPr>
          <w:rFonts w:eastAsia="SimSun"/>
          <w:lang w:eastAsia="zh-CN"/>
        </w:rPr>
        <w:t xml:space="preserve">; </w:t>
      </w:r>
      <w:hyperlink r:id="rId53" w:history="1">
        <w:r w:rsidR="00297C35" w:rsidRPr="005D7FF8">
          <w:rPr>
            <w:rStyle w:val="Hyperlink"/>
            <w:rFonts w:eastAsia="SimSun"/>
            <w:lang w:eastAsia="zh-CN"/>
          </w:rPr>
          <w:t>Protocolo y metadatos de actualización de autentificación versión 1.0</w:t>
        </w:r>
      </w:hyperlink>
      <w:r w:rsidR="00297C35" w:rsidRPr="005D7FF8">
        <w:rPr>
          <w:rFonts w:eastAsia="SimSun"/>
          <w:lang w:eastAsia="zh-CN"/>
        </w:rPr>
        <w:t xml:space="preserve">; </w:t>
      </w:r>
      <w:hyperlink r:id="rId54" w:history="1">
        <w:r w:rsidR="00297C35" w:rsidRPr="005D7FF8">
          <w:rPr>
            <w:rStyle w:val="Hyperlink"/>
            <w:rFonts w:eastAsia="SimSun"/>
            <w:lang w:eastAsia="zh-CN"/>
          </w:rPr>
          <w:t>Marco de autentificación universal (MAU)</w:t>
        </w:r>
      </w:hyperlink>
      <w:r w:rsidR="00297C35" w:rsidRPr="005D7FF8">
        <w:rPr>
          <w:rFonts w:eastAsia="SimSun"/>
          <w:lang w:eastAsia="zh-CN"/>
        </w:rPr>
        <w:t xml:space="preserve">; </w:t>
      </w:r>
      <w:hyperlink r:id="rId55" w:history="1">
        <w:r w:rsidR="00297C35" w:rsidRPr="005D7FF8">
          <w:rPr>
            <w:rStyle w:val="Hyperlink"/>
            <w:rFonts w:eastAsia="SimSun"/>
            <w:lang w:eastAsia="zh-CN"/>
          </w:rPr>
          <w:t xml:space="preserve">Protocolo cliente a </w:t>
        </w:r>
        <w:proofErr w:type="spellStart"/>
        <w:r w:rsidR="00297C35" w:rsidRPr="005D7FF8">
          <w:rPr>
            <w:rStyle w:val="Hyperlink"/>
            <w:rFonts w:eastAsia="SimSun"/>
            <w:lang w:eastAsia="zh-CN"/>
          </w:rPr>
          <w:t>autentificador</w:t>
        </w:r>
        <w:proofErr w:type="spellEnd"/>
        <w:r w:rsidR="00297C35" w:rsidRPr="005D7FF8">
          <w:rPr>
            <w:rStyle w:val="Hyperlink"/>
            <w:rFonts w:eastAsia="SimSun"/>
            <w:lang w:eastAsia="zh-CN"/>
          </w:rPr>
          <w:t>/marco universal de 2 factores</w:t>
        </w:r>
      </w:hyperlink>
      <w:r w:rsidR="00297C35" w:rsidRPr="005D7FF8">
        <w:rPr>
          <w:rFonts w:eastAsia="SimSun"/>
          <w:lang w:eastAsia="zh-CN"/>
        </w:rPr>
        <w:t xml:space="preserve">; </w:t>
      </w:r>
      <w:hyperlink r:id="rId56" w:history="1">
        <w:r w:rsidR="00297C35" w:rsidRPr="005D7FF8">
          <w:rPr>
            <w:rStyle w:val="Hyperlink"/>
            <w:rFonts w:eastAsia="SimSun"/>
            <w:lang w:eastAsia="zh-CN"/>
          </w:rPr>
          <w:t>Directrices de seguridad para dispositivos de red de área residencial (HAN) en sistemas de red eléctrica inteligente</w:t>
        </w:r>
      </w:hyperlink>
      <w:r w:rsidR="00297C35" w:rsidRPr="005D7FF8">
        <w:rPr>
          <w:rFonts w:eastAsia="SimSun"/>
          <w:lang w:eastAsia="zh-CN"/>
        </w:rPr>
        <w:t xml:space="preserve">; </w:t>
      </w:r>
      <w:hyperlink r:id="rId57" w:history="1">
        <w:r w:rsidR="00297C35" w:rsidRPr="005D7FF8">
          <w:rPr>
            <w:rStyle w:val="Hyperlink"/>
            <w:rFonts w:eastAsia="SimSun"/>
            <w:lang w:eastAsia="zh-CN"/>
          </w:rPr>
          <w:t>marco de seguridad para la Internet de las cosas basada en el modelo de pasarela</w:t>
        </w:r>
      </w:hyperlink>
      <w:r w:rsidR="00297C35" w:rsidRPr="005D7FF8">
        <w:rPr>
          <w:rFonts w:eastAsia="SimSun"/>
          <w:lang w:eastAsia="zh-CN"/>
        </w:rPr>
        <w:t xml:space="preserve">; </w:t>
      </w:r>
      <w:hyperlink r:id="rId58" w:history="1">
        <w:r w:rsidR="00297C35" w:rsidRPr="005D7FF8">
          <w:rPr>
            <w:rStyle w:val="Hyperlink"/>
            <w:rFonts w:eastAsia="SimSun"/>
            <w:lang w:eastAsia="zh-CN"/>
          </w:rPr>
          <w:t>Directrices sobre</w:t>
        </w:r>
        <w:bookmarkStart w:id="13" w:name="_GoBack"/>
        <w:bookmarkEnd w:id="13"/>
        <w:r w:rsidR="00297C35" w:rsidRPr="005D7FF8">
          <w:rPr>
            <w:rStyle w:val="Hyperlink"/>
            <w:rFonts w:eastAsia="SimSun"/>
            <w:lang w:eastAsia="zh-CN"/>
          </w:rPr>
          <w:t xml:space="preserve"> autentificación híbrida y mecanismos de gestión de claves en el modelo </w:t>
        </w:r>
        <w:r w:rsidR="00297C35" w:rsidRPr="005D7FF8">
          <w:rPr>
            <w:rStyle w:val="Hyperlink"/>
            <w:rFonts w:eastAsia="SimSun"/>
            <w:lang w:eastAsia="zh-CN"/>
          </w:rPr>
          <w:lastRenderedPageBreak/>
          <w:t>cliente-servidor</w:t>
        </w:r>
      </w:hyperlink>
      <w:r w:rsidR="00297C35" w:rsidRPr="005D7FF8">
        <w:rPr>
          <w:rFonts w:eastAsia="SimSun"/>
          <w:lang w:eastAsia="zh-CN"/>
        </w:rPr>
        <w:t xml:space="preserve">. También ha acordado la </w:t>
      </w:r>
      <w:hyperlink r:id="rId59" w:history="1">
        <w:r w:rsidR="00297C35" w:rsidRPr="005D7FF8">
          <w:rPr>
            <w:rStyle w:val="Hyperlink"/>
            <w:rFonts w:eastAsia="SimSun"/>
            <w:lang w:eastAsia="zh-CN"/>
          </w:rPr>
          <w:t>Recomendación sobre Requisitos de seguridad de los datos para el servicio de supervisión de la computación en la nube</w:t>
        </w:r>
      </w:hyperlink>
      <w:r w:rsidR="00276392" w:rsidRPr="005D7FF8">
        <w:rPr>
          <w:rFonts w:eastAsia="SimSun"/>
          <w:lang w:eastAsia="zh-CN"/>
        </w:rPr>
        <w:t>.</w:t>
      </w:r>
    </w:p>
    <w:p w:rsidR="00EB52C2" w:rsidRPr="005D7FF8" w:rsidRDefault="00EB52C2" w:rsidP="0040649D">
      <w:pPr>
        <w:rPr>
          <w:rFonts w:eastAsia="SimSun"/>
          <w:lang w:eastAsia="zh-CN"/>
        </w:rPr>
      </w:pPr>
      <w:r w:rsidRPr="005D7FF8">
        <w:rPr>
          <w:rFonts w:eastAsia="SimSun"/>
          <w:lang w:eastAsia="zh-CN"/>
        </w:rPr>
        <w:t>3.3</w:t>
      </w:r>
      <w:r w:rsidRPr="005D7FF8">
        <w:rPr>
          <w:rFonts w:eastAsia="SimSun"/>
          <w:lang w:eastAsia="zh-CN"/>
        </w:rPr>
        <w:tab/>
        <w:t xml:space="preserve">La </w:t>
      </w:r>
      <w:r w:rsidR="007A70C6" w:rsidRPr="005D7FF8">
        <w:rPr>
          <w:rFonts w:eastAsia="SimSun"/>
          <w:lang w:eastAsia="zh-CN"/>
        </w:rPr>
        <w:t>CE 1</w:t>
      </w:r>
      <w:r w:rsidRPr="005D7FF8">
        <w:rPr>
          <w:rFonts w:eastAsia="SimSun"/>
          <w:lang w:eastAsia="zh-CN"/>
        </w:rPr>
        <w:t xml:space="preserve">7 ha acordado la revisión del </w:t>
      </w:r>
      <w:hyperlink r:id="rId60" w:history="1">
        <w:r w:rsidRPr="005D7FF8">
          <w:rPr>
            <w:rStyle w:val="Hyperlink"/>
            <w:rFonts w:eastAsia="SimSun"/>
            <w:lang w:eastAsia="zh-CN"/>
          </w:rPr>
          <w:t>Suplemento a la Recomendación UIT-T X.1051: Guía del usuario de controles de seguridad de la información en organizaciones de telecomunicaciones</w:t>
        </w:r>
      </w:hyperlink>
      <w:r w:rsidRPr="005D7FF8">
        <w:rPr>
          <w:rFonts w:eastAsia="SimSun"/>
          <w:lang w:eastAsia="zh-CN"/>
        </w:rPr>
        <w:t xml:space="preserve">, así como cinco nuevos Suplementos a la serie X de Recomendaciones UIT-T: </w:t>
      </w:r>
      <w:hyperlink r:id="rId61" w:history="1">
        <w:r w:rsidRPr="005D7FF8">
          <w:rPr>
            <w:rStyle w:val="Hyperlink"/>
            <w:rFonts w:eastAsia="SimSun"/>
            <w:lang w:eastAsia="zh-CN"/>
          </w:rPr>
          <w:t>Suplemento a UIT-T X.805:</w:t>
        </w:r>
        <w:r w:rsidRPr="005D7FF8">
          <w:rPr>
            <w:rStyle w:val="Hyperlink"/>
            <w:rFonts w:cstheme="minorHAnsi"/>
          </w:rPr>
          <w:t xml:space="preserve"> Directrices de seguridad para operadores de red móvil virtual (MVNO)</w:t>
        </w:r>
      </w:hyperlink>
      <w:r w:rsidRPr="005D7FF8">
        <w:rPr>
          <w:rFonts w:cstheme="minorHAnsi"/>
        </w:rPr>
        <w:t xml:space="preserve">; </w:t>
      </w:r>
      <w:hyperlink r:id="rId62" w:history="1">
        <w:r w:rsidRPr="005D7FF8">
          <w:rPr>
            <w:rStyle w:val="Hyperlink"/>
            <w:rFonts w:cstheme="minorHAnsi"/>
          </w:rPr>
          <w:t>Suplemento a UIT-T X.660: Directrices sobre utilización de identificadores de objeto para Internet de las Cosas</w:t>
        </w:r>
      </w:hyperlink>
      <w:r w:rsidRPr="005D7FF8">
        <w:rPr>
          <w:rFonts w:eastAsia="SimSun"/>
          <w:lang w:eastAsia="zh-CN"/>
        </w:rPr>
        <w:t xml:space="preserve">; </w:t>
      </w:r>
      <w:hyperlink r:id="rId63" w:history="1">
        <w:r w:rsidRPr="005D7FF8">
          <w:rPr>
            <w:rStyle w:val="Hyperlink"/>
            <w:rFonts w:eastAsia="SimSun"/>
            <w:lang w:eastAsia="zh-CN"/>
          </w:rPr>
          <w:t>Suplemento a UIT-T X.1058: Código de práctica para la protección de información de identificación personal basada en UIT-T X.1058 para organizaciones de telecomunicaciones</w:t>
        </w:r>
      </w:hyperlink>
      <w:r w:rsidRPr="005D7FF8">
        <w:rPr>
          <w:rFonts w:eastAsia="SimSun"/>
          <w:lang w:eastAsia="zh-CN"/>
        </w:rPr>
        <w:t xml:space="preserve">; </w:t>
      </w:r>
      <w:hyperlink r:id="rId64" w:history="1">
        <w:r w:rsidRPr="005D7FF8">
          <w:rPr>
            <w:rStyle w:val="Hyperlink"/>
            <w:rFonts w:eastAsia="SimSun"/>
            <w:lang w:eastAsia="zh-CN"/>
          </w:rPr>
          <w:t>Suplemento a UIT-T X.12</w:t>
        </w:r>
        <w:r w:rsidR="0040649D">
          <w:rPr>
            <w:rStyle w:val="Hyperlink"/>
            <w:rFonts w:eastAsia="SimSun"/>
            <w:lang w:eastAsia="zh-CN"/>
          </w:rPr>
          <w:t>3</w:t>
        </w:r>
        <w:r w:rsidRPr="005D7FF8">
          <w:rPr>
            <w:rStyle w:val="Hyperlink"/>
            <w:rFonts w:eastAsia="SimSun"/>
            <w:lang w:eastAsia="zh-CN"/>
          </w:rPr>
          <w:t>1: Marco técnico para la lucha contra estafas en el servicio telefónico</w:t>
        </w:r>
      </w:hyperlink>
      <w:r w:rsidRPr="005D7FF8">
        <w:rPr>
          <w:rFonts w:eastAsia="SimSun"/>
          <w:lang w:eastAsia="zh-CN"/>
        </w:rPr>
        <w:t xml:space="preserve">, y </w:t>
      </w:r>
      <w:hyperlink r:id="rId65" w:history="1">
        <w:r w:rsidRPr="005D7FF8">
          <w:rPr>
            <w:rStyle w:val="Hyperlink"/>
            <w:rFonts w:eastAsia="SimSun"/>
            <w:lang w:eastAsia="zh-CN"/>
          </w:rPr>
          <w:t xml:space="preserve">Suplemento a UIT-T X.1051 </w:t>
        </w:r>
        <w:r w:rsidRPr="005D7FF8">
          <w:rPr>
            <w:rStyle w:val="Hyperlink"/>
            <w:rFonts w:eastAsia="SimSun" w:cstheme="minorHAnsi"/>
            <w:lang w:eastAsia="zh-CN"/>
          </w:rPr>
          <w:t>|</w:t>
        </w:r>
        <w:r w:rsidRPr="005D7FF8">
          <w:rPr>
            <w:rStyle w:val="Hyperlink"/>
            <w:rFonts w:eastAsia="SimSun"/>
            <w:lang w:eastAsia="zh-CN"/>
          </w:rPr>
          <w:t xml:space="preserve"> ISO/CEI 27011 (2016): Tecnología de la información </w:t>
        </w:r>
        <w:r w:rsidR="00C3130B" w:rsidRPr="005D7FF8">
          <w:rPr>
            <w:rStyle w:val="Hyperlink"/>
            <w:rFonts w:eastAsia="SimSun"/>
            <w:lang w:eastAsia="zh-CN"/>
          </w:rPr>
          <w:t>–</w:t>
        </w:r>
        <w:r w:rsidRPr="005D7FF8">
          <w:rPr>
            <w:rStyle w:val="Hyperlink"/>
            <w:rFonts w:eastAsia="SimSun"/>
            <w:lang w:eastAsia="zh-CN"/>
          </w:rPr>
          <w:t xml:space="preserve"> Técnicas de seguridad </w:t>
        </w:r>
        <w:r w:rsidR="00C3130B" w:rsidRPr="005D7FF8">
          <w:rPr>
            <w:rStyle w:val="Hyperlink"/>
            <w:rFonts w:eastAsia="SimSun"/>
            <w:lang w:eastAsia="zh-CN"/>
          </w:rPr>
          <w:t>–</w:t>
        </w:r>
        <w:r w:rsidRPr="005D7FF8">
          <w:rPr>
            <w:rStyle w:val="Hyperlink"/>
            <w:rFonts w:eastAsia="SimSun"/>
            <w:lang w:eastAsia="zh-CN"/>
          </w:rPr>
          <w:t xml:space="preserve"> Código de práctica para controles de seguridad de la información basados en ISO/CEI 27002 para organizaciones de telecomunicaciones</w:t>
        </w:r>
      </w:hyperlink>
      <w:r w:rsidRPr="005D7FF8">
        <w:rPr>
          <w:rFonts w:eastAsia="SimSun"/>
          <w:lang w:eastAsia="zh-CN"/>
        </w:rPr>
        <w:t>.</w:t>
      </w:r>
    </w:p>
    <w:p w:rsidR="00EB52C2" w:rsidRPr="005D7FF8" w:rsidRDefault="00EB52C2" w:rsidP="006C2E85">
      <w:pPr>
        <w:rPr>
          <w:rFonts w:eastAsia="SimSun"/>
          <w:lang w:eastAsia="zh-CN"/>
        </w:rPr>
      </w:pPr>
      <w:r w:rsidRPr="005D7FF8">
        <w:rPr>
          <w:rFonts w:eastAsia="SimSun"/>
          <w:lang w:eastAsia="zh-CN"/>
        </w:rPr>
        <w:t>3.4</w:t>
      </w:r>
      <w:r w:rsidRPr="005D7FF8">
        <w:rPr>
          <w:rFonts w:eastAsia="SimSun"/>
          <w:lang w:eastAsia="zh-CN"/>
        </w:rPr>
        <w:tab/>
        <w:t xml:space="preserve">El </w:t>
      </w:r>
      <w:hyperlink r:id="rId66" w:history="1">
        <w:r w:rsidRPr="005D7FF8">
          <w:rPr>
            <w:rStyle w:val="Hyperlink"/>
            <w:rFonts w:eastAsia="SimSun"/>
            <w:lang w:eastAsia="zh-CN"/>
          </w:rPr>
          <w:t xml:space="preserve">Grupo Regional de la </w:t>
        </w:r>
        <w:r w:rsidR="007A70C6" w:rsidRPr="005D7FF8">
          <w:rPr>
            <w:rStyle w:val="Hyperlink"/>
            <w:rFonts w:eastAsia="SimSun"/>
            <w:lang w:eastAsia="zh-CN"/>
          </w:rPr>
          <w:t>CE 1</w:t>
        </w:r>
        <w:r w:rsidRPr="005D7FF8">
          <w:rPr>
            <w:rStyle w:val="Hyperlink"/>
            <w:rFonts w:eastAsia="SimSun"/>
            <w:lang w:eastAsia="zh-CN"/>
          </w:rPr>
          <w:t>7 para la Región Árabe</w:t>
        </w:r>
      </w:hyperlink>
      <w:r w:rsidRPr="005D7FF8">
        <w:rPr>
          <w:rFonts w:eastAsia="SimSun"/>
          <w:lang w:eastAsia="zh-CN"/>
        </w:rPr>
        <w:t xml:space="preserve"> celebró su segunda reunión en Kuwait (octubre de 2018). El Grupo Regional de la </w:t>
      </w:r>
      <w:r w:rsidR="007A70C6" w:rsidRPr="005D7FF8">
        <w:rPr>
          <w:rFonts w:eastAsia="SimSun"/>
          <w:lang w:eastAsia="zh-CN"/>
        </w:rPr>
        <w:t>CE 1</w:t>
      </w:r>
      <w:r w:rsidRPr="005D7FF8">
        <w:rPr>
          <w:rFonts w:eastAsia="SimSun"/>
          <w:lang w:eastAsia="zh-CN"/>
        </w:rPr>
        <w:t>7 para África y el Grupo Regional para la Región Árabe se reunirán en Túnez, Túnez (abril de 2019).</w:t>
      </w:r>
    </w:p>
    <w:p w:rsidR="00EB52C2" w:rsidRPr="005D7FF8" w:rsidRDefault="007A70C6" w:rsidP="003204B8">
      <w:r w:rsidRPr="005D7FF8">
        <w:rPr>
          <w:rFonts w:eastAsia="SimSun"/>
          <w:lang w:eastAsia="zh-CN"/>
        </w:rPr>
        <w:t>3.5</w:t>
      </w:r>
      <w:r w:rsidRPr="005D7FF8">
        <w:rPr>
          <w:rFonts w:eastAsia="SimSun"/>
          <w:lang w:eastAsia="zh-CN"/>
        </w:rPr>
        <w:tab/>
        <w:t>L</w:t>
      </w:r>
      <w:r w:rsidR="00EB52C2" w:rsidRPr="005D7FF8">
        <w:rPr>
          <w:rFonts w:eastAsia="SimSun"/>
          <w:lang w:eastAsia="zh-CN"/>
        </w:rPr>
        <w:t>a CE</w:t>
      </w:r>
      <w:r w:rsidRPr="005D7FF8">
        <w:rPr>
          <w:rFonts w:eastAsia="SimSun"/>
          <w:lang w:eastAsia="zh-CN"/>
        </w:rPr>
        <w:t> </w:t>
      </w:r>
      <w:r w:rsidR="00EB52C2" w:rsidRPr="005D7FF8">
        <w:rPr>
          <w:rFonts w:eastAsia="SimSun"/>
          <w:lang w:eastAsia="zh-CN"/>
        </w:rPr>
        <w:t>17 organizó un</w:t>
      </w:r>
      <w:bookmarkStart w:id="14" w:name="lt_pId054"/>
      <w:bookmarkEnd w:id="12"/>
      <w:r w:rsidR="00EB52C2" w:rsidRPr="005D7FF8">
        <w:t xml:space="preserve"> </w:t>
      </w:r>
      <w:hyperlink r:id="rId67" w:history="1">
        <w:r w:rsidRPr="005D7FF8">
          <w:rPr>
            <w:rStyle w:val="Hyperlink"/>
            <w:szCs w:val="24"/>
          </w:rPr>
          <w:t>t</w:t>
        </w:r>
        <w:r w:rsidR="00EB52C2" w:rsidRPr="005D7FF8">
          <w:rPr>
            <w:rStyle w:val="Hyperlink"/>
            <w:szCs w:val="24"/>
          </w:rPr>
          <w:t>aller de la UIT sobre seguridad 5G</w:t>
        </w:r>
        <w:r w:rsidR="003204B8" w:rsidRPr="005D7FF8">
          <w:rPr>
            <w:rStyle w:val="Hyperlink"/>
            <w:szCs w:val="24"/>
          </w:rPr>
          <w:t xml:space="preserve"> (marzo de 2018)</w:t>
        </w:r>
      </w:hyperlink>
      <w:r w:rsidR="00EB52C2" w:rsidRPr="005D7FF8">
        <w:t xml:space="preserve">, </w:t>
      </w:r>
      <w:hyperlink r:id="rId68" w:history="1">
        <w:r w:rsidRPr="005D7FF8">
          <w:rPr>
            <w:rStyle w:val="Hyperlink"/>
          </w:rPr>
          <w:t>un t</w:t>
        </w:r>
        <w:r w:rsidR="00EB52C2" w:rsidRPr="005D7FF8">
          <w:rPr>
            <w:rStyle w:val="Hyperlink"/>
          </w:rPr>
          <w:t xml:space="preserve">aller de la UIT sobre ataques de seguridad avanzados y </w:t>
        </w:r>
        <w:proofErr w:type="spellStart"/>
        <w:r w:rsidR="00EB52C2" w:rsidRPr="005D7FF8">
          <w:rPr>
            <w:rStyle w:val="Hyperlink"/>
          </w:rPr>
          <w:t>ransomware</w:t>
        </w:r>
        <w:proofErr w:type="spellEnd"/>
        <w:r w:rsidR="00EB52C2" w:rsidRPr="005D7FF8">
          <w:rPr>
            <w:rStyle w:val="Hyperlink"/>
          </w:rPr>
          <w:t xml:space="preserve"> (agosto de 2018)</w:t>
        </w:r>
      </w:hyperlink>
      <w:r w:rsidR="00EB52C2" w:rsidRPr="005D7FF8">
        <w:t xml:space="preserve">, </w:t>
      </w:r>
      <w:hyperlink r:id="rId69" w:history="1">
        <w:r w:rsidR="00EB52C2" w:rsidRPr="005D7FF8">
          <w:rPr>
            <w:rStyle w:val="Hyperlink"/>
          </w:rPr>
          <w:t xml:space="preserve">un </w:t>
        </w:r>
        <w:r w:rsidRPr="005D7FF8">
          <w:rPr>
            <w:rStyle w:val="Hyperlink"/>
          </w:rPr>
          <w:t>t</w:t>
        </w:r>
        <w:r w:rsidR="00EB52C2" w:rsidRPr="005D7FF8">
          <w:rPr>
            <w:rStyle w:val="Hyperlink"/>
          </w:rPr>
          <w:t>aller de la UIT</w:t>
        </w:r>
        <w:r w:rsidRPr="005D7FF8">
          <w:rPr>
            <w:rStyle w:val="Hyperlink"/>
          </w:rPr>
          <w:t xml:space="preserve"> sobre inteligencia artificial/</w:t>
        </w:r>
        <w:r w:rsidR="00EB52C2" w:rsidRPr="005D7FF8">
          <w:rPr>
            <w:rStyle w:val="Hyperlink"/>
          </w:rPr>
          <w:t>aprendizaje automático y seguridad (enero de 2019)</w:t>
        </w:r>
      </w:hyperlink>
      <w:r w:rsidR="00EB52C2" w:rsidRPr="005D7FF8">
        <w:t xml:space="preserve"> y </w:t>
      </w:r>
      <w:hyperlink r:id="rId70" w:history="1">
        <w:r w:rsidR="00EB52C2" w:rsidRPr="005D7FF8">
          <w:rPr>
            <w:rStyle w:val="Hyperlink"/>
          </w:rPr>
          <w:t>un taller sobre comunicaciones cuánticas seguras (enero de 2019)</w:t>
        </w:r>
      </w:hyperlink>
      <w:r w:rsidR="00EB52C2" w:rsidRPr="005D7FF8">
        <w:t>, destinados a identificar cómo la CE</w:t>
      </w:r>
      <w:r w:rsidRPr="005D7FF8">
        <w:t> </w:t>
      </w:r>
      <w:r w:rsidR="00EB52C2" w:rsidRPr="005D7FF8">
        <w:t>17 puede abordar de la mejor manera la normalización de estos temas en el futuro, incluidos posibles nuevos temas de estudio.</w:t>
      </w:r>
      <w:bookmarkEnd w:id="14"/>
    </w:p>
    <w:p w:rsidR="00EB52C2" w:rsidRPr="005D7FF8" w:rsidRDefault="00EB52C2" w:rsidP="006C2E85">
      <w:r w:rsidRPr="005D7FF8">
        <w:rPr>
          <w:rFonts w:eastAsia="SimSun"/>
          <w:lang w:eastAsia="zh-CN"/>
        </w:rPr>
        <w:t>3.6</w:t>
      </w:r>
      <w:r w:rsidRPr="005D7FF8">
        <w:rPr>
          <w:rFonts w:eastAsia="SimSun"/>
          <w:lang w:eastAsia="zh-CN"/>
        </w:rPr>
        <w:tab/>
      </w:r>
      <w:r w:rsidRPr="005D7FF8">
        <w:t xml:space="preserve">La CE 17 de la UIT prosiguió su labor sobre seguridad de la </w:t>
      </w:r>
      <w:proofErr w:type="spellStart"/>
      <w:r w:rsidRPr="005D7FF8">
        <w:t>IoT</w:t>
      </w:r>
      <w:proofErr w:type="spellEnd"/>
      <w:r w:rsidRPr="005D7FF8">
        <w:t>, así como la coordinación con la CE 20 del UIT-T "</w:t>
      </w:r>
      <w:proofErr w:type="spellStart"/>
      <w:r w:rsidRPr="005D7FF8">
        <w:t>IoT</w:t>
      </w:r>
      <w:proofErr w:type="spellEnd"/>
      <w:r w:rsidRPr="005D7FF8">
        <w:t xml:space="preserve"> y sus aplicaciones, incluidas las ciudades y comunidades inteligentes (SC&amp;C)".</w:t>
      </w:r>
    </w:p>
    <w:p w:rsidR="00EB52C2" w:rsidRPr="005D7FF8" w:rsidRDefault="00EB52C2" w:rsidP="006C2E85">
      <w:r w:rsidRPr="005D7FF8">
        <w:t>3.7</w:t>
      </w:r>
      <w:r w:rsidRPr="005D7FF8">
        <w:tab/>
        <w:t>La CE</w:t>
      </w:r>
      <w:r w:rsidR="007A70C6" w:rsidRPr="005D7FF8">
        <w:t> </w:t>
      </w:r>
      <w:r w:rsidRPr="005D7FF8">
        <w:t>9 del UIT-T determinó cinco proyectos de Recomendación UIT-T, J.1012, J.1013, J.1014, J.1015 y J.1015.1, sobre la Interfax común integrada para soluciones CA/DRM intercambiables.</w:t>
      </w:r>
    </w:p>
    <w:p w:rsidR="00EB52C2" w:rsidRPr="005D7FF8" w:rsidRDefault="007A70C6" w:rsidP="006C2E85">
      <w:r w:rsidRPr="005D7FF8">
        <w:t>3.8</w:t>
      </w:r>
      <w:r w:rsidRPr="005D7FF8">
        <w:tab/>
        <w:t>L</w:t>
      </w:r>
      <w:r w:rsidR="00EB52C2" w:rsidRPr="005D7FF8">
        <w:t xml:space="preserve">a </w:t>
      </w:r>
      <w:r w:rsidRPr="005D7FF8">
        <w:t>CE 1</w:t>
      </w:r>
      <w:r w:rsidR="00EB52C2" w:rsidRPr="005D7FF8">
        <w:t>3 del UIT-T aprobó la Enmienda 1 de la Recomendación UIT-T Y.3053 (2018), Marco de creación fiable de redes con dominios de red centrados en la confianza: Enmienda 1 – Arquitectura y procedimiento fiables de despliegue de redes.</w:t>
      </w:r>
    </w:p>
    <w:p w:rsidR="00EB52C2" w:rsidRPr="005D7FF8" w:rsidRDefault="007A70C6" w:rsidP="007A70C6">
      <w:pPr>
        <w:jc w:val="both"/>
      </w:pPr>
      <w:r w:rsidRPr="005D7FF8">
        <w:t>3.9</w:t>
      </w:r>
      <w:r w:rsidRPr="005D7FF8">
        <w:tab/>
        <w:t>L</w:t>
      </w:r>
      <w:r w:rsidR="00EB52C2" w:rsidRPr="005D7FF8">
        <w:t xml:space="preserve">a </w:t>
      </w:r>
      <w:r w:rsidRPr="005D7FF8">
        <w:t>CE 1</w:t>
      </w:r>
      <w:r w:rsidR="00EB52C2" w:rsidRPr="005D7FF8">
        <w:t>5 del UIT-T aprobó la Recomendación UIT-T G.9978, Admisión segura en redes G.hn, revisada.</w:t>
      </w:r>
    </w:p>
    <w:p w:rsidR="00EB52C2" w:rsidRPr="005D7FF8" w:rsidRDefault="007A70C6" w:rsidP="006C2E85">
      <w:r w:rsidRPr="005D7FF8">
        <w:t>3.10</w:t>
      </w:r>
      <w:r w:rsidRPr="005D7FF8">
        <w:tab/>
        <w:t>L</w:t>
      </w:r>
      <w:r w:rsidR="00EB52C2" w:rsidRPr="005D7FF8">
        <w:t xml:space="preserve">a </w:t>
      </w:r>
      <w:r w:rsidRPr="005D7FF8">
        <w:t>CE 2</w:t>
      </w:r>
      <w:r w:rsidR="00EB52C2" w:rsidRPr="005D7FF8">
        <w:t xml:space="preserve">0 del UIT-T aprobó la Recomendación UIT-T Y.4205, Requisitos y modelo de referencia de los sistemas de colaboración abierta relacionados con al </w:t>
      </w:r>
      <w:proofErr w:type="spellStart"/>
      <w:r w:rsidR="00EB52C2" w:rsidRPr="005D7FF8">
        <w:t>IoT</w:t>
      </w:r>
      <w:proofErr w:type="spellEnd"/>
      <w:r w:rsidR="00EB52C2" w:rsidRPr="005D7FF8">
        <w:t>.</w:t>
      </w:r>
    </w:p>
    <w:p w:rsidR="00EB52C2" w:rsidRPr="005D7FF8" w:rsidRDefault="00EB52C2" w:rsidP="006C2E85">
      <w:r w:rsidRPr="005D7FF8">
        <w:t>3.11</w:t>
      </w:r>
      <w:r w:rsidRPr="005D7FF8">
        <w:rPr>
          <w:rFonts w:eastAsia="SimSun"/>
          <w:lang w:eastAsia="zh-CN"/>
        </w:rPr>
        <w:tab/>
      </w:r>
      <w:r w:rsidRPr="005D7FF8">
        <w:t>El UIT-R prosigue sus trabajos sobre normalización de las radiocomunicaciones, adaptándose a la constante evolución de las redes de telecomunicación modernas. Ese Sector ha establecido principios de seguridad claros para las redes IMT (3G, 4G y 5G) (Recomendaciones UIT-R M.1078, M.1223, M.1457, M.1645, M.2012 y M.2083). Ha publicado también Recomendaciones sobre cuestiones de seguridad en la arquitectura de la gestión de red para sistemas digitales de satélite (Recomendación UIT-R S.1250) y mejoras en el comportamiento del protocolo de control de transmisión por redes de satélites (Recomendación UIT-R S.1711).</w:t>
      </w:r>
    </w:p>
    <w:p w:rsidR="00EB52C2" w:rsidRPr="005D7FF8" w:rsidRDefault="00EB52C2" w:rsidP="006C2E85">
      <w:pPr>
        <w:pStyle w:val="Heading1"/>
      </w:pPr>
      <w:r w:rsidRPr="005D7FF8">
        <w:lastRenderedPageBreak/>
        <w:t>4</w:t>
      </w:r>
      <w:r w:rsidRPr="005D7FF8">
        <w:tab/>
        <w:t>Estructuras institucionales</w:t>
      </w:r>
    </w:p>
    <w:p w:rsidR="00EB52C2" w:rsidRPr="005D7FF8" w:rsidRDefault="00EB52C2" w:rsidP="006C2E85">
      <w:pPr>
        <w:rPr>
          <w:rFonts w:cs="Segoe UI"/>
        </w:rPr>
      </w:pPr>
      <w:r w:rsidRPr="005D7FF8">
        <w:t>4.1</w:t>
      </w:r>
      <w:r w:rsidRPr="005D7FF8">
        <w:tab/>
        <w:t xml:space="preserve">La UIT ha llevado a cabo comprobaciones técnicas a fin de evaluar el grado de preparación para el </w:t>
      </w:r>
      <w:hyperlink r:id="rId71" w:history="1">
        <w:r w:rsidRPr="000326B2">
          <w:t>establecimiento de equipos de intervención en caso de incidentes informáticos (EIII)</w:t>
        </w:r>
      </w:hyperlink>
      <w:r w:rsidRPr="005D7FF8">
        <w:t xml:space="preserve"> en 75 países y está realizando las actividades de seguimiento necesarias. Se ha finalizado la participación directa en 14 de esas actividades y hay más en curso o planificadas para 2019</w:t>
      </w:r>
      <w:r w:rsidRPr="005D7FF8">
        <w:rPr>
          <w:rFonts w:cs="Segoe UI"/>
        </w:rPr>
        <w:t>.</w:t>
      </w:r>
    </w:p>
    <w:p w:rsidR="00EB52C2" w:rsidRPr="005D7FF8" w:rsidRDefault="00EB52C2" w:rsidP="006C2E85">
      <w:pPr>
        <w:rPr>
          <w:rFonts w:asciiTheme="minorHAnsi" w:hAnsiTheme="minorHAnsi"/>
          <w:szCs w:val="24"/>
        </w:rPr>
      </w:pPr>
      <w:r w:rsidRPr="005D7FF8">
        <w:rPr>
          <w:rFonts w:asciiTheme="minorHAnsi" w:hAnsiTheme="minorHAnsi"/>
          <w:szCs w:val="24"/>
        </w:rPr>
        <w:t>4.2</w:t>
      </w:r>
      <w:r w:rsidRPr="005D7FF8">
        <w:rPr>
          <w:rFonts w:asciiTheme="minorHAnsi" w:hAnsiTheme="minorHAnsi"/>
          <w:szCs w:val="24"/>
        </w:rPr>
        <w:tab/>
      </w:r>
      <w:bookmarkStart w:id="15" w:name="lt_pId069"/>
      <w:r w:rsidRPr="005D7FF8">
        <w:rPr>
          <w:szCs w:val="24"/>
        </w:rPr>
        <w:t xml:space="preserve">La UIT estableció una asociación con el Centro de Mundial de Capacidad en </w:t>
      </w:r>
      <w:proofErr w:type="spellStart"/>
      <w:r w:rsidRPr="005D7FF8">
        <w:rPr>
          <w:szCs w:val="24"/>
        </w:rPr>
        <w:t>Ciberseguridad</w:t>
      </w:r>
      <w:proofErr w:type="spellEnd"/>
      <w:r w:rsidRPr="005D7FF8">
        <w:rPr>
          <w:szCs w:val="24"/>
        </w:rPr>
        <w:t xml:space="preserve"> (Centro Académico Oxford Martin) para la realización conjunta de exámenes de capacidad de </w:t>
      </w:r>
      <w:proofErr w:type="spellStart"/>
      <w:r w:rsidRPr="005D7FF8">
        <w:rPr>
          <w:szCs w:val="24"/>
        </w:rPr>
        <w:t>ciberseguridad</w:t>
      </w:r>
      <w:proofErr w:type="spellEnd"/>
      <w:r w:rsidRPr="005D7FF8">
        <w:rPr>
          <w:szCs w:val="24"/>
        </w:rPr>
        <w:t xml:space="preserve"> en Tailandia, Sierra Leona y Madagascar. Gracias a la financiación d</w:t>
      </w:r>
      <w:r w:rsidRPr="005D7FF8">
        <w:rPr>
          <w:rFonts w:asciiTheme="minorHAnsi" w:hAnsiTheme="minorHAnsi"/>
          <w:szCs w:val="24"/>
        </w:rPr>
        <w:t xml:space="preserve">el Gobierno australiano (DOCA), la UIT llevará a cabo evaluaciones de EIII en Samoa, Tonga, Vanuatu, y </w:t>
      </w:r>
      <w:proofErr w:type="spellStart"/>
      <w:r w:rsidRPr="005D7FF8">
        <w:rPr>
          <w:rFonts w:asciiTheme="minorHAnsi" w:hAnsiTheme="minorHAnsi"/>
          <w:szCs w:val="24"/>
        </w:rPr>
        <w:t>Papua</w:t>
      </w:r>
      <w:proofErr w:type="spellEnd"/>
      <w:r w:rsidRPr="005D7FF8">
        <w:rPr>
          <w:rFonts w:asciiTheme="minorHAnsi" w:hAnsiTheme="minorHAnsi"/>
          <w:szCs w:val="24"/>
        </w:rPr>
        <w:t xml:space="preserve"> New Guinea, seguidas de revisiones de capacidad de </w:t>
      </w:r>
      <w:proofErr w:type="spellStart"/>
      <w:r w:rsidRPr="005D7FF8">
        <w:rPr>
          <w:rFonts w:asciiTheme="minorHAnsi" w:hAnsiTheme="minorHAnsi"/>
          <w:szCs w:val="24"/>
        </w:rPr>
        <w:t>ciberseguridad</w:t>
      </w:r>
      <w:proofErr w:type="spellEnd"/>
      <w:r w:rsidRPr="005D7FF8">
        <w:rPr>
          <w:rFonts w:asciiTheme="minorHAnsi" w:hAnsiTheme="minorHAnsi"/>
          <w:szCs w:val="24"/>
        </w:rPr>
        <w:t>.</w:t>
      </w:r>
      <w:bookmarkEnd w:id="15"/>
      <w:r w:rsidRPr="005D7FF8">
        <w:rPr>
          <w:rFonts w:asciiTheme="minorHAnsi" w:hAnsiTheme="minorHAnsi"/>
          <w:szCs w:val="24"/>
        </w:rPr>
        <w:t xml:space="preserve"> Además, la UIT realizó evaluaciones EIII en Albania, Bosnia y Herzegovina, Malawi, Mauritania y la República Democrática del Congo.</w:t>
      </w:r>
    </w:p>
    <w:p w:rsidR="00EB52C2" w:rsidRPr="005D7FF8" w:rsidRDefault="00EB52C2" w:rsidP="006C2E85">
      <w:pPr>
        <w:rPr>
          <w:rFonts w:asciiTheme="minorHAnsi" w:hAnsiTheme="minorHAnsi"/>
          <w:szCs w:val="24"/>
        </w:rPr>
      </w:pPr>
      <w:r w:rsidRPr="005D7FF8">
        <w:rPr>
          <w:rFonts w:asciiTheme="minorHAnsi" w:hAnsiTheme="minorHAnsi"/>
          <w:szCs w:val="24"/>
        </w:rPr>
        <w:t>4.3</w:t>
      </w:r>
      <w:r w:rsidRPr="005D7FF8">
        <w:rPr>
          <w:rFonts w:asciiTheme="minorHAnsi" w:hAnsiTheme="minorHAnsi"/>
          <w:szCs w:val="24"/>
        </w:rPr>
        <w:tab/>
      </w:r>
      <w:bookmarkStart w:id="16" w:name="lt_pId071"/>
      <w:r w:rsidRPr="005D7FF8">
        <w:t xml:space="preserve">La UIT ha realizado 24 </w:t>
      </w:r>
      <w:hyperlink r:id="rId72" w:history="1">
        <w:proofErr w:type="spellStart"/>
        <w:r w:rsidRPr="005D7FF8">
          <w:rPr>
            <w:rStyle w:val="Hyperlink"/>
          </w:rPr>
          <w:t>ciberejercicios</w:t>
        </w:r>
        <w:proofErr w:type="spellEnd"/>
        <w:r w:rsidRPr="005D7FF8">
          <w:rPr>
            <w:rStyle w:val="Hyperlink"/>
          </w:rPr>
          <w:t xml:space="preserve"> de simulación</w:t>
        </w:r>
      </w:hyperlink>
      <w:r w:rsidRPr="005D7FF8">
        <w:rPr>
          <w:szCs w:val="24"/>
        </w:rPr>
        <w:t xml:space="preserve"> </w:t>
      </w:r>
      <w:bookmarkStart w:id="17" w:name="lt_pId073"/>
      <w:bookmarkEnd w:id="16"/>
      <w:r w:rsidRPr="005D7FF8">
        <w:rPr>
          <w:rFonts w:asciiTheme="minorHAnsi" w:hAnsiTheme="minorHAnsi"/>
          <w:szCs w:val="24"/>
        </w:rPr>
        <w:t xml:space="preserve">en más de 100 países. Se han llevado a cabo </w:t>
      </w:r>
      <w:proofErr w:type="spellStart"/>
      <w:r w:rsidRPr="005D7FF8">
        <w:rPr>
          <w:rFonts w:asciiTheme="minorHAnsi" w:hAnsiTheme="minorHAnsi"/>
          <w:szCs w:val="24"/>
        </w:rPr>
        <w:t>ciberejercicios</w:t>
      </w:r>
      <w:proofErr w:type="spellEnd"/>
      <w:r w:rsidRPr="005D7FF8">
        <w:rPr>
          <w:rFonts w:asciiTheme="minorHAnsi" w:hAnsiTheme="minorHAnsi"/>
          <w:szCs w:val="24"/>
        </w:rPr>
        <w:t xml:space="preserve"> de simulación en </w:t>
      </w:r>
      <w:hyperlink r:id="rId73" w:history="1">
        <w:r w:rsidRPr="005D7FF8">
          <w:rPr>
            <w:rStyle w:val="Hyperlink"/>
            <w:rFonts w:asciiTheme="minorHAnsi" w:hAnsiTheme="minorHAnsi"/>
            <w:szCs w:val="24"/>
          </w:rPr>
          <w:t xml:space="preserve">Grand </w:t>
        </w:r>
        <w:proofErr w:type="spellStart"/>
        <w:r w:rsidRPr="005D7FF8">
          <w:rPr>
            <w:rStyle w:val="Hyperlink"/>
            <w:rFonts w:asciiTheme="minorHAnsi" w:hAnsiTheme="minorHAnsi"/>
            <w:szCs w:val="24"/>
          </w:rPr>
          <w:t>Bassam</w:t>
        </w:r>
        <w:proofErr w:type="spellEnd"/>
        <w:r w:rsidRPr="005D7FF8">
          <w:rPr>
            <w:rStyle w:val="Hyperlink"/>
            <w:rFonts w:asciiTheme="minorHAnsi" w:hAnsiTheme="minorHAnsi"/>
            <w:szCs w:val="24"/>
          </w:rPr>
          <w:t xml:space="preserve">, </w:t>
        </w:r>
        <w:proofErr w:type="spellStart"/>
        <w:r w:rsidRPr="005D7FF8">
          <w:rPr>
            <w:rStyle w:val="Hyperlink"/>
            <w:rFonts w:asciiTheme="minorHAnsi" w:hAnsiTheme="minorHAnsi"/>
            <w:szCs w:val="24"/>
          </w:rPr>
          <w:t>Côte</w:t>
        </w:r>
        <w:proofErr w:type="spellEnd"/>
        <w:r w:rsidRPr="005D7FF8">
          <w:rPr>
            <w:rStyle w:val="Hyperlink"/>
            <w:rFonts w:asciiTheme="minorHAnsi" w:hAnsiTheme="minorHAnsi"/>
            <w:szCs w:val="24"/>
          </w:rPr>
          <w:t xml:space="preserve"> </w:t>
        </w:r>
        <w:proofErr w:type="spellStart"/>
        <w:r w:rsidRPr="005D7FF8">
          <w:rPr>
            <w:rStyle w:val="Hyperlink"/>
            <w:rFonts w:asciiTheme="minorHAnsi" w:hAnsiTheme="minorHAnsi"/>
            <w:szCs w:val="24"/>
          </w:rPr>
          <w:t>d’Ivoire</w:t>
        </w:r>
        <w:proofErr w:type="spellEnd"/>
      </w:hyperlink>
      <w:r w:rsidRPr="005D7FF8">
        <w:rPr>
          <w:rFonts w:asciiTheme="minorHAnsi" w:hAnsiTheme="minorHAnsi"/>
          <w:szCs w:val="24"/>
        </w:rPr>
        <w:t xml:space="preserve"> (región de África, octub</w:t>
      </w:r>
      <w:r w:rsidR="00C23228" w:rsidRPr="005D7FF8">
        <w:rPr>
          <w:rFonts w:asciiTheme="minorHAnsi" w:hAnsiTheme="minorHAnsi"/>
          <w:szCs w:val="24"/>
        </w:rPr>
        <w:t xml:space="preserve">re de 2018); </w:t>
      </w:r>
      <w:hyperlink r:id="rId74" w:history="1">
        <w:r w:rsidR="00C23228" w:rsidRPr="005D7FF8">
          <w:rPr>
            <w:rStyle w:val="Hyperlink"/>
            <w:rFonts w:asciiTheme="minorHAnsi" w:hAnsiTheme="minorHAnsi"/>
            <w:szCs w:val="24"/>
          </w:rPr>
          <w:t>Ciudad de La Plata</w:t>
        </w:r>
        <w:r w:rsidRPr="005D7FF8">
          <w:rPr>
            <w:rStyle w:val="Hyperlink"/>
            <w:rFonts w:asciiTheme="minorHAnsi" w:hAnsiTheme="minorHAnsi"/>
            <w:szCs w:val="24"/>
          </w:rPr>
          <w:t>, Argentina</w:t>
        </w:r>
      </w:hyperlink>
      <w:r w:rsidRPr="005D7FF8">
        <w:rPr>
          <w:rFonts w:asciiTheme="minorHAnsi" w:hAnsiTheme="minorHAnsi"/>
          <w:szCs w:val="24"/>
        </w:rPr>
        <w:t xml:space="preserve"> (región de las Américas, junio de 2018); </w:t>
      </w:r>
      <w:hyperlink r:id="rId75" w:history="1">
        <w:r w:rsidRPr="005D7FF8">
          <w:rPr>
            <w:rStyle w:val="Hyperlink"/>
            <w:rFonts w:asciiTheme="minorHAnsi" w:hAnsiTheme="minorHAnsi"/>
            <w:szCs w:val="24"/>
          </w:rPr>
          <w:t>Kuwait City, Kuwait</w:t>
        </w:r>
      </w:hyperlink>
      <w:r w:rsidRPr="005D7FF8">
        <w:rPr>
          <w:rFonts w:asciiTheme="minorHAnsi" w:hAnsiTheme="minorHAnsi"/>
          <w:szCs w:val="24"/>
        </w:rPr>
        <w:t xml:space="preserve"> (región Árabe, octubre de 2018); </w:t>
      </w:r>
      <w:hyperlink r:id="rId76" w:history="1">
        <w:proofErr w:type="spellStart"/>
        <w:r w:rsidRPr="005D7FF8">
          <w:rPr>
            <w:rStyle w:val="Hyperlink"/>
            <w:rFonts w:asciiTheme="minorHAnsi" w:hAnsiTheme="minorHAnsi"/>
            <w:szCs w:val="24"/>
          </w:rPr>
          <w:t>Limassol</w:t>
        </w:r>
        <w:proofErr w:type="spellEnd"/>
        <w:r w:rsidRPr="005D7FF8">
          <w:rPr>
            <w:rStyle w:val="Hyperlink"/>
            <w:rFonts w:asciiTheme="minorHAnsi" w:hAnsiTheme="minorHAnsi"/>
            <w:szCs w:val="24"/>
          </w:rPr>
          <w:t>, Chipre</w:t>
        </w:r>
      </w:hyperlink>
      <w:r w:rsidRPr="005D7FF8">
        <w:rPr>
          <w:rFonts w:asciiTheme="minorHAnsi" w:hAnsiTheme="minorHAnsi"/>
          <w:szCs w:val="24"/>
        </w:rPr>
        <w:t xml:space="preserve"> (región de Europa, noviembre de 2018) y </w:t>
      </w:r>
      <w:hyperlink r:id="rId77" w:history="1">
        <w:proofErr w:type="spellStart"/>
        <w:r w:rsidRPr="005D7FF8">
          <w:rPr>
            <w:rStyle w:val="Hyperlink"/>
            <w:rFonts w:asciiTheme="minorHAnsi" w:hAnsiTheme="minorHAnsi"/>
            <w:szCs w:val="24"/>
          </w:rPr>
          <w:t>Baku</w:t>
        </w:r>
        <w:proofErr w:type="spellEnd"/>
        <w:r w:rsidRPr="005D7FF8">
          <w:rPr>
            <w:rStyle w:val="Hyperlink"/>
            <w:rFonts w:asciiTheme="minorHAnsi" w:hAnsiTheme="minorHAnsi"/>
            <w:szCs w:val="24"/>
          </w:rPr>
          <w:t>, Azerbaiyán</w:t>
        </w:r>
      </w:hyperlink>
      <w:r w:rsidRPr="005D7FF8">
        <w:rPr>
          <w:rFonts w:asciiTheme="minorHAnsi" w:hAnsiTheme="minorHAnsi"/>
          <w:szCs w:val="24"/>
        </w:rPr>
        <w:t xml:space="preserve"> (región CEI, septiembre de 2018). Se está organizando un </w:t>
      </w:r>
      <w:proofErr w:type="spellStart"/>
      <w:r w:rsidRPr="005D7FF8">
        <w:rPr>
          <w:rFonts w:asciiTheme="minorHAnsi" w:hAnsiTheme="minorHAnsi"/>
          <w:szCs w:val="24"/>
        </w:rPr>
        <w:t>Cibersimulacro</w:t>
      </w:r>
      <w:proofErr w:type="spellEnd"/>
      <w:r w:rsidRPr="005D7FF8">
        <w:rPr>
          <w:rFonts w:asciiTheme="minorHAnsi" w:hAnsiTheme="minorHAnsi"/>
          <w:szCs w:val="24"/>
        </w:rPr>
        <w:t xml:space="preserve"> 2019 para Europa en </w:t>
      </w:r>
      <w:hyperlink r:id="rId78" w:history="1">
        <w:r w:rsidRPr="005D7FF8">
          <w:rPr>
            <w:rStyle w:val="Hyperlink"/>
            <w:rFonts w:asciiTheme="minorHAnsi" w:hAnsiTheme="minorHAnsi"/>
            <w:szCs w:val="24"/>
          </w:rPr>
          <w:t>Rumania (mayo de 2019)</w:t>
        </w:r>
        <w:bookmarkStart w:id="18" w:name="lt_pId074"/>
        <w:bookmarkEnd w:id="17"/>
      </w:hyperlink>
      <w:r w:rsidRPr="005D7FF8">
        <w:rPr>
          <w:rFonts w:asciiTheme="minorHAnsi" w:hAnsiTheme="minorHAnsi"/>
          <w:szCs w:val="24"/>
        </w:rPr>
        <w:t>.</w:t>
      </w:r>
      <w:bookmarkEnd w:id="18"/>
    </w:p>
    <w:p w:rsidR="00EB52C2" w:rsidRPr="005D7FF8" w:rsidRDefault="00EB52C2" w:rsidP="006C2E85">
      <w:pPr>
        <w:rPr>
          <w:rFonts w:asciiTheme="minorHAnsi" w:hAnsiTheme="minorHAnsi"/>
          <w:szCs w:val="24"/>
        </w:rPr>
      </w:pPr>
      <w:r w:rsidRPr="005D7FF8">
        <w:rPr>
          <w:rFonts w:asciiTheme="minorHAnsi" w:hAnsiTheme="minorHAnsi"/>
          <w:szCs w:val="24"/>
        </w:rPr>
        <w:t>4.4</w:t>
      </w:r>
      <w:r w:rsidRPr="005D7FF8">
        <w:rPr>
          <w:rFonts w:asciiTheme="minorHAnsi" w:hAnsiTheme="minorHAnsi"/>
          <w:szCs w:val="24"/>
        </w:rPr>
        <w:tab/>
        <w:t xml:space="preserve">En el marco de un proceso de colaboración </w:t>
      </w:r>
      <w:proofErr w:type="spellStart"/>
      <w:r w:rsidRPr="005D7FF8">
        <w:rPr>
          <w:rFonts w:asciiTheme="minorHAnsi" w:hAnsiTheme="minorHAnsi"/>
          <w:szCs w:val="24"/>
        </w:rPr>
        <w:t>multipartita</w:t>
      </w:r>
      <w:proofErr w:type="spellEnd"/>
      <w:r w:rsidRPr="005D7FF8">
        <w:rPr>
          <w:rFonts w:asciiTheme="minorHAnsi" w:hAnsiTheme="minorHAnsi"/>
          <w:szCs w:val="24"/>
        </w:rPr>
        <w:t xml:space="preserve"> facilitado por la UIT, en el que han participado 15 organizaciones intergubernamentales, miembros del sector privado, instituciones académicas y representantes de la sociedad civil, se publicó en septiembre de 2018 la </w:t>
      </w:r>
      <w:hyperlink r:id="rId79" w:history="1">
        <w:r w:rsidRPr="005D7FF8">
          <w:rPr>
            <w:rStyle w:val="Hyperlink"/>
            <w:rFonts w:asciiTheme="minorHAnsi" w:hAnsiTheme="minorHAnsi"/>
            <w:szCs w:val="24"/>
          </w:rPr>
          <w:t xml:space="preserve">Guía de elaboración de estrategias nacionales de </w:t>
        </w:r>
        <w:proofErr w:type="spellStart"/>
        <w:r w:rsidRPr="005D7FF8">
          <w:rPr>
            <w:rStyle w:val="Hyperlink"/>
            <w:rFonts w:asciiTheme="minorHAnsi" w:hAnsiTheme="minorHAnsi"/>
            <w:szCs w:val="24"/>
          </w:rPr>
          <w:t>ciberseguridad</w:t>
        </w:r>
        <w:proofErr w:type="spellEnd"/>
        <w:r w:rsidRPr="005D7FF8">
          <w:rPr>
            <w:rStyle w:val="Hyperlink"/>
            <w:rFonts w:asciiTheme="minorHAnsi" w:hAnsiTheme="minorHAnsi"/>
            <w:szCs w:val="24"/>
          </w:rPr>
          <w:t xml:space="preserve"> (ENC)</w:t>
        </w:r>
      </w:hyperlink>
      <w:r w:rsidRPr="005D7FF8">
        <w:rPr>
          <w:rFonts w:asciiTheme="minorHAnsi" w:hAnsiTheme="minorHAnsi"/>
          <w:szCs w:val="24"/>
        </w:rPr>
        <w:t xml:space="preserve">. La iniciativa ENC ofrece una herramienta funcional de ayuda a los gobiernos a la hora de elaborar y mejorar sus estrategias de </w:t>
      </w:r>
      <w:proofErr w:type="spellStart"/>
      <w:r w:rsidRPr="005D7FF8">
        <w:rPr>
          <w:rFonts w:asciiTheme="minorHAnsi" w:hAnsiTheme="minorHAnsi"/>
          <w:szCs w:val="24"/>
        </w:rPr>
        <w:t>ciberseguridad</w:t>
      </w:r>
      <w:proofErr w:type="spellEnd"/>
      <w:r w:rsidRPr="005D7FF8">
        <w:rPr>
          <w:rFonts w:asciiTheme="minorHAnsi" w:hAnsiTheme="minorHAnsi"/>
          <w:szCs w:val="24"/>
        </w:rPr>
        <w:t xml:space="preserve">. La UIT está organizando talleres nacionales y regionales sobre estrategias de </w:t>
      </w:r>
      <w:proofErr w:type="spellStart"/>
      <w:r w:rsidRPr="005D7FF8">
        <w:rPr>
          <w:rFonts w:asciiTheme="minorHAnsi" w:hAnsiTheme="minorHAnsi"/>
          <w:szCs w:val="24"/>
        </w:rPr>
        <w:t>ciberseguridad</w:t>
      </w:r>
      <w:proofErr w:type="spellEnd"/>
      <w:r w:rsidRPr="005D7FF8">
        <w:rPr>
          <w:rFonts w:asciiTheme="minorHAnsi" w:hAnsiTheme="minorHAnsi"/>
          <w:szCs w:val="24"/>
        </w:rPr>
        <w:t xml:space="preserve"> para ayudar a sus Estados Miembros a elaborar sus ENC. En 2018 se celebró un taller nacional en Polonia y en junio de 2019 se celebrará el taller para la región de Europa. Están en curso las negociaciones para organizar talleres similares para los países de la SADC, Malta, Benín y Guinea. La UIT prestó su asistencia a Mauritania para la elaboración de su ENC y celebró un taller de validación (</w:t>
      </w:r>
      <w:proofErr w:type="spellStart"/>
      <w:r w:rsidRPr="005D7FF8">
        <w:rPr>
          <w:rFonts w:asciiTheme="minorHAnsi" w:hAnsiTheme="minorHAnsi"/>
          <w:szCs w:val="24"/>
        </w:rPr>
        <w:t>Nuakchott</w:t>
      </w:r>
      <w:proofErr w:type="spellEnd"/>
      <w:r w:rsidRPr="005D7FF8">
        <w:rPr>
          <w:rFonts w:asciiTheme="minorHAnsi" w:hAnsiTheme="minorHAnsi"/>
          <w:szCs w:val="24"/>
        </w:rPr>
        <w:t>, diciembre de 2018) para presen</w:t>
      </w:r>
      <w:r w:rsidR="005D7FF8" w:rsidRPr="005D7FF8">
        <w:rPr>
          <w:rFonts w:asciiTheme="minorHAnsi" w:hAnsiTheme="minorHAnsi"/>
          <w:szCs w:val="24"/>
        </w:rPr>
        <w:t>tar el informe intermedio de la </w:t>
      </w:r>
      <w:r w:rsidRPr="005D7FF8">
        <w:rPr>
          <w:rFonts w:asciiTheme="minorHAnsi" w:hAnsiTheme="minorHAnsi"/>
          <w:szCs w:val="24"/>
        </w:rPr>
        <w:t xml:space="preserve">ENC 2019-2022 en Mauritania. La UIT prestó asimismo su asistencia a Kiribati y </w:t>
      </w:r>
      <w:proofErr w:type="spellStart"/>
      <w:r w:rsidRPr="005D7FF8">
        <w:rPr>
          <w:rFonts w:asciiTheme="minorHAnsi" w:hAnsiTheme="minorHAnsi"/>
          <w:szCs w:val="24"/>
        </w:rPr>
        <w:t>Bhután</w:t>
      </w:r>
      <w:proofErr w:type="spellEnd"/>
      <w:r w:rsidRPr="005D7FF8">
        <w:rPr>
          <w:rFonts w:asciiTheme="minorHAnsi" w:hAnsiTheme="minorHAnsi"/>
          <w:szCs w:val="24"/>
        </w:rPr>
        <w:t xml:space="preserve"> para la definición de su ENC (noviembre de 2018).</w:t>
      </w:r>
    </w:p>
    <w:p w:rsidR="00EB52C2" w:rsidRPr="005D7FF8" w:rsidRDefault="00EB52C2" w:rsidP="00EB52C2">
      <w:pPr>
        <w:pStyle w:val="Heading1"/>
      </w:pPr>
      <w:r w:rsidRPr="005D7FF8">
        <w:t>5</w:t>
      </w:r>
      <w:r w:rsidRPr="005D7FF8">
        <w:tab/>
        <w:t>Creación de capacidad</w:t>
      </w:r>
    </w:p>
    <w:p w:rsidR="00EB52C2" w:rsidRPr="005D7FF8" w:rsidRDefault="00EB52C2" w:rsidP="006C2E85">
      <w:r w:rsidRPr="005D7FF8">
        <w:t>5.1</w:t>
      </w:r>
      <w:r w:rsidRPr="005D7FF8">
        <w:tab/>
        <w:t xml:space="preserve">La UIT ha organizado </w:t>
      </w:r>
      <w:hyperlink r:id="rId80" w:history="1">
        <w:r w:rsidRPr="005D7FF8">
          <w:rPr>
            <w:rStyle w:val="Hyperlink"/>
          </w:rPr>
          <w:t xml:space="preserve">foros regionales de </w:t>
        </w:r>
        <w:proofErr w:type="spellStart"/>
        <w:r w:rsidRPr="005D7FF8">
          <w:rPr>
            <w:rStyle w:val="Hyperlink"/>
          </w:rPr>
          <w:t>ciberseguridad</w:t>
        </w:r>
        <w:proofErr w:type="spellEnd"/>
      </w:hyperlink>
      <w:r w:rsidRPr="005D7FF8">
        <w:t xml:space="preserve"> para todas sus regiones a fin de aumentar las capacidades en el marco de varios programas y actividades de la BDT y para ofrecer una plataforma operacional de cooperación regional e internacional.</w:t>
      </w:r>
    </w:p>
    <w:p w:rsidR="00EB52C2" w:rsidRPr="005D7FF8" w:rsidRDefault="00EB52C2" w:rsidP="006C2E85">
      <w:pPr>
        <w:rPr>
          <w:rFonts w:asciiTheme="minorHAnsi" w:hAnsiTheme="minorHAnsi"/>
          <w:spacing w:val="-2"/>
          <w:szCs w:val="24"/>
        </w:rPr>
      </w:pPr>
      <w:r w:rsidRPr="005D7FF8">
        <w:rPr>
          <w:rFonts w:asciiTheme="minorHAnsi" w:hAnsiTheme="minorHAnsi"/>
          <w:szCs w:val="24"/>
        </w:rPr>
        <w:t>5.2</w:t>
      </w:r>
      <w:r w:rsidRPr="005D7FF8">
        <w:rPr>
          <w:rFonts w:asciiTheme="minorHAnsi" w:hAnsiTheme="minorHAnsi"/>
          <w:b/>
          <w:bCs/>
          <w:szCs w:val="24"/>
        </w:rPr>
        <w:tab/>
      </w:r>
      <w:bookmarkStart w:id="19" w:name="lt_pId084"/>
      <w:r w:rsidRPr="005D7FF8">
        <w:rPr>
          <w:rFonts w:asciiTheme="minorHAnsi" w:hAnsiTheme="minorHAnsi"/>
          <w:spacing w:val="-2"/>
          <w:szCs w:val="24"/>
        </w:rPr>
        <w:t>Después de la CMDT-2017, la Cuestión 3/2 (</w:t>
      </w:r>
      <w:hyperlink r:id="rId81" w:history="1">
        <w:r w:rsidRPr="005D7FF8">
          <w:rPr>
            <w:rStyle w:val="Hyperlink"/>
            <w:bCs/>
            <w:szCs w:val="24"/>
          </w:rPr>
          <w:t xml:space="preserve">Seguridad en las redes de información y comunicación: prácticas óptimas para el desarrollo de una cultura de </w:t>
        </w:r>
        <w:proofErr w:type="spellStart"/>
        <w:r w:rsidRPr="005D7FF8">
          <w:rPr>
            <w:rStyle w:val="Hyperlink"/>
            <w:bCs/>
            <w:szCs w:val="24"/>
          </w:rPr>
          <w:t>ciberseguridad</w:t>
        </w:r>
        <w:proofErr w:type="spellEnd"/>
      </w:hyperlink>
      <w:r w:rsidRPr="005D7FF8">
        <w:rPr>
          <w:rFonts w:asciiTheme="minorHAnsi" w:hAnsiTheme="minorHAnsi"/>
          <w:spacing w:val="-2"/>
          <w:szCs w:val="24"/>
        </w:rPr>
        <w:t xml:space="preserve">) </w:t>
      </w:r>
      <w:r w:rsidR="005D7FF8">
        <w:rPr>
          <w:rFonts w:asciiTheme="minorHAnsi" w:hAnsiTheme="minorHAnsi"/>
          <w:spacing w:val="-2"/>
          <w:szCs w:val="24"/>
        </w:rPr>
        <w:t>proseguirá su labor en el peri</w:t>
      </w:r>
      <w:r w:rsidRPr="005D7FF8">
        <w:rPr>
          <w:rFonts w:asciiTheme="minorHAnsi" w:hAnsiTheme="minorHAnsi"/>
          <w:spacing w:val="-2"/>
          <w:szCs w:val="24"/>
        </w:rPr>
        <w:t>odo de estudios 2018-2021.</w:t>
      </w:r>
      <w:bookmarkEnd w:id="19"/>
    </w:p>
    <w:p w:rsidR="00EB52C2" w:rsidRPr="005D7FF8" w:rsidRDefault="00EB52C2" w:rsidP="006C2E85">
      <w:pPr>
        <w:rPr>
          <w:rFonts w:asciiTheme="minorHAnsi" w:hAnsiTheme="minorHAnsi"/>
          <w:szCs w:val="24"/>
        </w:rPr>
      </w:pPr>
      <w:r w:rsidRPr="005D7FF8">
        <w:rPr>
          <w:rFonts w:asciiTheme="minorHAnsi" w:hAnsiTheme="minorHAnsi"/>
          <w:szCs w:val="24"/>
        </w:rPr>
        <w:t>5.3</w:t>
      </w:r>
      <w:r w:rsidRPr="005D7FF8">
        <w:rPr>
          <w:rFonts w:asciiTheme="minorHAnsi" w:hAnsiTheme="minorHAnsi"/>
          <w:szCs w:val="24"/>
        </w:rPr>
        <w:tab/>
      </w:r>
      <w:bookmarkStart w:id="20" w:name="lt_pId086"/>
      <w:r w:rsidRPr="005D7FF8">
        <w:rPr>
          <w:rFonts w:asciiTheme="minorHAnsi" w:hAnsiTheme="minorHAnsi"/>
          <w:szCs w:val="24"/>
        </w:rPr>
        <w:t xml:space="preserve">La UIT, la ICANN y la WATRA organizaron un taller de capacitación sobre </w:t>
      </w:r>
      <w:proofErr w:type="spellStart"/>
      <w:r w:rsidRPr="005D7FF8">
        <w:rPr>
          <w:rFonts w:asciiTheme="minorHAnsi" w:hAnsiTheme="minorHAnsi"/>
          <w:szCs w:val="24"/>
        </w:rPr>
        <w:t>ciberseguridad</w:t>
      </w:r>
      <w:proofErr w:type="spellEnd"/>
      <w:r w:rsidRPr="005D7FF8">
        <w:rPr>
          <w:rFonts w:asciiTheme="minorHAnsi" w:hAnsiTheme="minorHAnsi"/>
          <w:szCs w:val="24"/>
        </w:rPr>
        <w:t>, EIEI y el ecosistema ICANN (Uagadugú, Burkina Faso – octubre de 2018) por invitación de la Autoridad de Reglamentación de Correos y Comunicaciones Electrónicas (ARCEP).</w:t>
      </w:r>
    </w:p>
    <w:p w:rsidR="00EB52C2" w:rsidRPr="005D7FF8" w:rsidRDefault="007A70C6" w:rsidP="006C2E85">
      <w:pPr>
        <w:rPr>
          <w:rFonts w:asciiTheme="minorHAnsi" w:hAnsiTheme="minorHAnsi"/>
          <w:szCs w:val="24"/>
        </w:rPr>
      </w:pPr>
      <w:r w:rsidRPr="005D7FF8">
        <w:rPr>
          <w:rFonts w:asciiTheme="minorHAnsi" w:hAnsiTheme="minorHAnsi"/>
          <w:szCs w:val="24"/>
        </w:rPr>
        <w:lastRenderedPageBreak/>
        <w:t>5.4</w:t>
      </w:r>
      <w:r w:rsidRPr="005D7FF8">
        <w:rPr>
          <w:rFonts w:asciiTheme="minorHAnsi" w:hAnsiTheme="minorHAnsi"/>
          <w:szCs w:val="24"/>
        </w:rPr>
        <w:tab/>
        <w:t>L</w:t>
      </w:r>
      <w:r w:rsidR="00EB52C2" w:rsidRPr="005D7FF8">
        <w:rPr>
          <w:rFonts w:asciiTheme="minorHAnsi" w:hAnsiTheme="minorHAnsi"/>
          <w:szCs w:val="24"/>
        </w:rPr>
        <w:t xml:space="preserve">a UIT y el Centro de </w:t>
      </w:r>
      <w:proofErr w:type="spellStart"/>
      <w:r w:rsidR="00EB52C2" w:rsidRPr="005D7FF8">
        <w:rPr>
          <w:rFonts w:asciiTheme="minorHAnsi" w:hAnsiTheme="minorHAnsi"/>
          <w:szCs w:val="24"/>
        </w:rPr>
        <w:t>Ciberseguridad</w:t>
      </w:r>
      <w:proofErr w:type="spellEnd"/>
      <w:r w:rsidR="00EB52C2" w:rsidRPr="005D7FF8">
        <w:rPr>
          <w:rFonts w:asciiTheme="minorHAnsi" w:hAnsiTheme="minorHAnsi"/>
          <w:szCs w:val="24"/>
        </w:rPr>
        <w:t xml:space="preserve"> de la UIT para la Región Árabe organizaron la </w:t>
      </w:r>
      <w:hyperlink r:id="rId82" w:history="1">
        <w:r w:rsidR="00EB52C2" w:rsidRPr="005D7FF8">
          <w:rPr>
            <w:rStyle w:val="Hyperlink"/>
            <w:rFonts w:asciiTheme="minorHAnsi" w:hAnsiTheme="minorHAnsi"/>
            <w:szCs w:val="24"/>
          </w:rPr>
          <w:t xml:space="preserve">Semana regional de la </w:t>
        </w:r>
        <w:proofErr w:type="spellStart"/>
        <w:r w:rsidR="00EB52C2" w:rsidRPr="005D7FF8">
          <w:rPr>
            <w:rStyle w:val="Hyperlink"/>
            <w:rFonts w:asciiTheme="minorHAnsi" w:hAnsiTheme="minorHAnsi"/>
            <w:szCs w:val="24"/>
          </w:rPr>
          <w:t>ciberseguridad</w:t>
        </w:r>
        <w:proofErr w:type="spellEnd"/>
      </w:hyperlink>
      <w:r w:rsidR="00EB52C2" w:rsidRPr="005D7FF8">
        <w:rPr>
          <w:rFonts w:asciiTheme="minorHAnsi" w:hAnsiTheme="minorHAnsi"/>
          <w:szCs w:val="24"/>
        </w:rPr>
        <w:t xml:space="preserve"> (Kuwait – octubre de 2018), plataforma para intensificar la cooperación y la comunicación entre los EIII árabes.</w:t>
      </w:r>
    </w:p>
    <w:p w:rsidR="00EB52C2" w:rsidRPr="005D7FF8" w:rsidRDefault="007A70C6" w:rsidP="006C2E85">
      <w:pPr>
        <w:rPr>
          <w:rFonts w:asciiTheme="minorHAnsi" w:hAnsiTheme="minorHAnsi"/>
          <w:szCs w:val="24"/>
        </w:rPr>
      </w:pPr>
      <w:r w:rsidRPr="005D7FF8">
        <w:rPr>
          <w:rFonts w:asciiTheme="minorHAnsi" w:hAnsiTheme="minorHAnsi"/>
          <w:szCs w:val="24"/>
        </w:rPr>
        <w:t>5.5</w:t>
      </w:r>
      <w:r w:rsidRPr="005D7FF8">
        <w:rPr>
          <w:rFonts w:asciiTheme="minorHAnsi" w:hAnsiTheme="minorHAnsi"/>
          <w:szCs w:val="24"/>
        </w:rPr>
        <w:tab/>
        <w:t>L</w:t>
      </w:r>
      <w:r w:rsidR="00EB52C2" w:rsidRPr="005D7FF8">
        <w:rPr>
          <w:rFonts w:asciiTheme="minorHAnsi" w:hAnsiTheme="minorHAnsi"/>
          <w:szCs w:val="24"/>
        </w:rPr>
        <w:t xml:space="preserve">a UIT, el Centro de Formación Avanzada en Telecomunicaciones y la Facultad de Ciencias aplicadas de correos y telecomunicaciones (Facultad TIC, República Islámica de Irán) organizaron una </w:t>
      </w:r>
      <w:hyperlink r:id="rId83" w:history="1">
        <w:r w:rsidR="00EB52C2" w:rsidRPr="005D7FF8">
          <w:rPr>
            <w:rStyle w:val="Hyperlink"/>
            <w:rFonts w:asciiTheme="minorHAnsi" w:hAnsiTheme="minorHAnsi"/>
            <w:szCs w:val="24"/>
          </w:rPr>
          <w:t xml:space="preserve">formación de </w:t>
        </w:r>
        <w:proofErr w:type="spellStart"/>
        <w:r w:rsidR="00EB52C2" w:rsidRPr="005D7FF8">
          <w:rPr>
            <w:rStyle w:val="Hyperlink"/>
            <w:rFonts w:asciiTheme="minorHAnsi" w:hAnsiTheme="minorHAnsi"/>
            <w:szCs w:val="24"/>
          </w:rPr>
          <w:t>ciberseguridad</w:t>
        </w:r>
        <w:proofErr w:type="spellEnd"/>
        <w:r w:rsidR="00EB52C2" w:rsidRPr="005D7FF8">
          <w:rPr>
            <w:rStyle w:val="Hyperlink"/>
            <w:rFonts w:asciiTheme="minorHAnsi" w:hAnsiTheme="minorHAnsi"/>
            <w:szCs w:val="24"/>
          </w:rPr>
          <w:t xml:space="preserve"> en el </w:t>
        </w:r>
        <w:proofErr w:type="spellStart"/>
        <w:r w:rsidR="00EB52C2" w:rsidRPr="005D7FF8">
          <w:rPr>
            <w:rStyle w:val="Hyperlink"/>
            <w:rFonts w:asciiTheme="minorHAnsi" w:hAnsiTheme="minorHAnsi"/>
            <w:szCs w:val="24"/>
          </w:rPr>
          <w:t>CoE</w:t>
        </w:r>
        <w:proofErr w:type="spellEnd"/>
        <w:r w:rsidR="00EB52C2" w:rsidRPr="005D7FF8">
          <w:rPr>
            <w:rStyle w:val="Hyperlink"/>
            <w:rFonts w:asciiTheme="minorHAnsi" w:hAnsiTheme="minorHAnsi"/>
            <w:szCs w:val="24"/>
          </w:rPr>
          <w:t xml:space="preserve"> ASP de la UIT (Teherán, Irán – diciembre de 2018)</w:t>
        </w:r>
      </w:hyperlink>
      <w:r w:rsidR="00EB52C2" w:rsidRPr="005D7FF8">
        <w:rPr>
          <w:rFonts w:asciiTheme="minorHAnsi" w:hAnsiTheme="minorHAnsi"/>
          <w:szCs w:val="24"/>
        </w:rPr>
        <w:t>.</w:t>
      </w:r>
    </w:p>
    <w:p w:rsidR="00EB52C2" w:rsidRPr="005D7FF8" w:rsidRDefault="007A70C6" w:rsidP="006C2E85">
      <w:pPr>
        <w:rPr>
          <w:rFonts w:asciiTheme="minorHAnsi" w:hAnsiTheme="minorHAnsi"/>
          <w:szCs w:val="24"/>
        </w:rPr>
      </w:pPr>
      <w:r w:rsidRPr="005D7FF8">
        <w:rPr>
          <w:rFonts w:asciiTheme="minorHAnsi" w:hAnsiTheme="minorHAnsi"/>
          <w:szCs w:val="24"/>
        </w:rPr>
        <w:t>5.6</w:t>
      </w:r>
      <w:r w:rsidRPr="005D7FF8">
        <w:rPr>
          <w:rFonts w:asciiTheme="minorHAnsi" w:hAnsiTheme="minorHAnsi"/>
          <w:szCs w:val="24"/>
        </w:rPr>
        <w:tab/>
        <w:t>E</w:t>
      </w:r>
      <w:r w:rsidR="00EB52C2" w:rsidRPr="005D7FF8">
        <w:rPr>
          <w:rFonts w:asciiTheme="minorHAnsi" w:hAnsiTheme="minorHAnsi"/>
          <w:szCs w:val="24"/>
        </w:rPr>
        <w:t xml:space="preserve">n marzo de 2019, en paralelo a la reunión de las Comisiones de Estudio del UIT-D, se publicó la tercera versión del </w:t>
      </w:r>
      <w:hyperlink r:id="rId84" w:history="1">
        <w:r w:rsidR="00EB52C2" w:rsidRPr="005D7FF8">
          <w:rPr>
            <w:rStyle w:val="Hyperlink"/>
            <w:rFonts w:asciiTheme="minorHAnsi" w:hAnsiTheme="minorHAnsi"/>
            <w:szCs w:val="24"/>
          </w:rPr>
          <w:t xml:space="preserve">Índice Mundial de </w:t>
        </w:r>
        <w:proofErr w:type="spellStart"/>
        <w:r w:rsidR="00EB52C2" w:rsidRPr="005D7FF8">
          <w:rPr>
            <w:rStyle w:val="Hyperlink"/>
            <w:rFonts w:asciiTheme="minorHAnsi" w:hAnsiTheme="minorHAnsi"/>
            <w:szCs w:val="24"/>
          </w:rPr>
          <w:t>Ciberseguridad</w:t>
        </w:r>
        <w:proofErr w:type="spellEnd"/>
      </w:hyperlink>
      <w:r w:rsidR="00EB52C2" w:rsidRPr="005D7FF8">
        <w:rPr>
          <w:rFonts w:asciiTheme="minorHAnsi" w:hAnsiTheme="minorHAnsi"/>
          <w:szCs w:val="24"/>
        </w:rPr>
        <w:t xml:space="preserve"> (GC</w:t>
      </w:r>
      <w:r w:rsidR="005D7FF8" w:rsidRPr="005D7FF8">
        <w:rPr>
          <w:rFonts w:asciiTheme="minorHAnsi" w:hAnsiTheme="minorHAnsi"/>
          <w:szCs w:val="24"/>
        </w:rPr>
        <w:t>Iv3), en el que han participado </w:t>
      </w:r>
      <w:r w:rsidR="00EB52C2" w:rsidRPr="005D7FF8">
        <w:rPr>
          <w:rFonts w:asciiTheme="minorHAnsi" w:hAnsiTheme="minorHAnsi"/>
          <w:szCs w:val="24"/>
        </w:rPr>
        <w:t xml:space="preserve">155 Estados Miembros. GCIv3 contiene más detalles sobre la </w:t>
      </w:r>
      <w:proofErr w:type="spellStart"/>
      <w:r w:rsidR="00EB52C2" w:rsidRPr="005D7FF8">
        <w:rPr>
          <w:rFonts w:asciiTheme="minorHAnsi" w:hAnsiTheme="minorHAnsi"/>
          <w:szCs w:val="24"/>
        </w:rPr>
        <w:t>ciberseguridad</w:t>
      </w:r>
      <w:proofErr w:type="spellEnd"/>
      <w:r w:rsidR="00EB52C2" w:rsidRPr="005D7FF8">
        <w:rPr>
          <w:rFonts w:asciiTheme="minorHAnsi" w:hAnsiTheme="minorHAnsi"/>
          <w:szCs w:val="24"/>
        </w:rPr>
        <w:t xml:space="preserve"> al haber ampliado la asociación hasta convertirla en una plataforma de colaboración </w:t>
      </w:r>
      <w:proofErr w:type="spellStart"/>
      <w:r w:rsidR="00EB52C2" w:rsidRPr="005D7FF8">
        <w:rPr>
          <w:rFonts w:asciiTheme="minorHAnsi" w:hAnsiTheme="minorHAnsi"/>
          <w:szCs w:val="24"/>
        </w:rPr>
        <w:t>multipartita</w:t>
      </w:r>
      <w:proofErr w:type="spellEnd"/>
      <w:r w:rsidR="00EB52C2" w:rsidRPr="005D7FF8">
        <w:rPr>
          <w:rFonts w:asciiTheme="minorHAnsi" w:hAnsiTheme="minorHAnsi"/>
          <w:szCs w:val="24"/>
        </w:rPr>
        <w:t>. La UIT ha iniciado la fase preparatoria del proceso GCIv4, que dará comienzo en abril de 2019.</w:t>
      </w:r>
      <w:bookmarkEnd w:id="20"/>
    </w:p>
    <w:p w:rsidR="00EB52C2" w:rsidRPr="005D7FF8" w:rsidRDefault="00EB52C2" w:rsidP="006C2E85">
      <w:pPr>
        <w:rPr>
          <w:rFonts w:asciiTheme="minorHAnsi" w:hAnsiTheme="minorHAnsi"/>
          <w:szCs w:val="24"/>
        </w:rPr>
      </w:pPr>
      <w:r w:rsidRPr="005D7FF8">
        <w:rPr>
          <w:rFonts w:asciiTheme="minorHAnsi" w:hAnsiTheme="minorHAnsi"/>
          <w:szCs w:val="24"/>
        </w:rPr>
        <w:t>5.7</w:t>
      </w:r>
      <w:r w:rsidRPr="005D7FF8">
        <w:rPr>
          <w:rFonts w:asciiTheme="minorHAnsi" w:hAnsiTheme="minorHAnsi"/>
          <w:szCs w:val="24"/>
        </w:rPr>
        <w:tab/>
      </w:r>
      <w:bookmarkStart w:id="21" w:name="lt_pId088"/>
      <w:r w:rsidR="007A70C6" w:rsidRPr="005D7FF8">
        <w:rPr>
          <w:rFonts w:asciiTheme="minorHAnsi" w:hAnsiTheme="minorHAnsi"/>
          <w:szCs w:val="24"/>
        </w:rPr>
        <w:t>L</w:t>
      </w:r>
      <w:r w:rsidRPr="005D7FF8">
        <w:rPr>
          <w:rFonts w:asciiTheme="minorHAnsi" w:hAnsiTheme="minorHAnsi"/>
          <w:szCs w:val="24"/>
        </w:rPr>
        <w:t xml:space="preserve">a UIT organizó el </w:t>
      </w:r>
      <w:hyperlink r:id="rId85" w:history="1">
        <w:r w:rsidRPr="005D7FF8">
          <w:rPr>
            <w:rStyle w:val="Hyperlink"/>
            <w:rFonts w:asciiTheme="minorHAnsi" w:hAnsiTheme="minorHAnsi"/>
            <w:szCs w:val="24"/>
          </w:rPr>
          <w:t xml:space="preserve">Taller regional de la UIT para Europa y la CEI sobre </w:t>
        </w:r>
        <w:proofErr w:type="spellStart"/>
        <w:r w:rsidRPr="005D7FF8">
          <w:rPr>
            <w:rStyle w:val="Hyperlink"/>
            <w:rFonts w:asciiTheme="minorHAnsi" w:hAnsiTheme="minorHAnsi"/>
            <w:szCs w:val="24"/>
          </w:rPr>
          <w:t>ciberseguidad</w:t>
        </w:r>
        <w:proofErr w:type="spellEnd"/>
        <w:r w:rsidRPr="005D7FF8">
          <w:rPr>
            <w:rStyle w:val="Hyperlink"/>
            <w:rFonts w:asciiTheme="minorHAnsi" w:hAnsiTheme="minorHAnsi"/>
            <w:szCs w:val="24"/>
          </w:rPr>
          <w:t xml:space="preserve"> y protección de la infancia en línea</w:t>
        </w:r>
      </w:hyperlink>
      <w:r w:rsidRPr="005D7FF8">
        <w:rPr>
          <w:rFonts w:asciiTheme="minorHAnsi" w:hAnsiTheme="minorHAnsi"/>
          <w:szCs w:val="24"/>
        </w:rPr>
        <w:t xml:space="preserve"> (Odessa, Ucrania – abril de 2018).</w:t>
      </w:r>
      <w:bookmarkEnd w:id="21"/>
    </w:p>
    <w:p w:rsidR="00EB52C2" w:rsidRPr="005D7FF8" w:rsidRDefault="00EB52C2" w:rsidP="00EB52C2">
      <w:pPr>
        <w:pStyle w:val="Heading1"/>
      </w:pPr>
      <w:r w:rsidRPr="005D7FF8">
        <w:t>6</w:t>
      </w:r>
      <w:r w:rsidRPr="005D7FF8">
        <w:tab/>
        <w:t>Cooperación internacional</w:t>
      </w:r>
    </w:p>
    <w:p w:rsidR="00EB52C2" w:rsidRPr="005D7FF8" w:rsidRDefault="00EB52C2" w:rsidP="006C2E85">
      <w:r w:rsidRPr="005D7FF8">
        <w:t>6.1</w:t>
      </w:r>
      <w:r w:rsidRPr="005D7FF8">
        <w:tab/>
        <w:t xml:space="preserve">La UIT está forjando relaciones y </w:t>
      </w:r>
      <w:hyperlink r:id="rId86" w:history="1">
        <w:r w:rsidRPr="005D7FF8">
          <w:rPr>
            <w:rStyle w:val="Hyperlink"/>
          </w:rPr>
          <w:t>asociaciones</w:t>
        </w:r>
      </w:hyperlink>
      <w:r w:rsidRPr="005D7FF8">
        <w:t xml:space="preserve"> con diversas organizaciones e iniciativas regionales/internacionales, tales como la Iniciativa contra la ciberdelincuencia de la Commonwealth, </w:t>
      </w:r>
      <w:r w:rsidRPr="005D7FF8">
        <w:rPr>
          <w:rFonts w:asciiTheme="minorHAnsi" w:hAnsiTheme="minorHAnsi"/>
          <w:szCs w:val="24"/>
        </w:rPr>
        <w:t>ENISA, INTERPOL, CEDEAO, el Banco Mundial, FIRST y las asociaciones de</w:t>
      </w:r>
      <w:r w:rsidR="005D7FF8" w:rsidRPr="005D7FF8">
        <w:rPr>
          <w:rFonts w:asciiTheme="minorHAnsi" w:hAnsiTheme="minorHAnsi"/>
          <w:szCs w:val="24"/>
        </w:rPr>
        <w:t> </w:t>
      </w:r>
      <w:r w:rsidRPr="005D7FF8">
        <w:t>EIISI/EIEI regionales, como el EIEI AP</w:t>
      </w:r>
      <w:r w:rsidR="005D7FF8" w:rsidRPr="005D7FF8">
        <w:t>, el EIEI ÁFRICA y el EIEI OIC.</w:t>
      </w:r>
    </w:p>
    <w:p w:rsidR="00EB52C2" w:rsidRPr="005D7FF8" w:rsidRDefault="00EB52C2" w:rsidP="006C2E85">
      <w:pPr>
        <w:rPr>
          <w:rFonts w:asciiTheme="minorHAnsi" w:hAnsiTheme="minorHAnsi"/>
          <w:szCs w:val="24"/>
        </w:rPr>
      </w:pPr>
      <w:r w:rsidRPr="005D7FF8">
        <w:rPr>
          <w:rFonts w:asciiTheme="minorHAnsi" w:hAnsiTheme="minorHAnsi"/>
          <w:szCs w:val="24"/>
        </w:rPr>
        <w:t xml:space="preserve">A finales de 2016 cesaron todas las actividades emprendidas en el marco de la asociación de la UIT con IMPACT al haberse completado la ejecución de los proyectos pendientes. IMPACT comunicó su disolución oficial a principios de 2018. Tal disolución implica la expiración con </w:t>
      </w:r>
      <w:proofErr w:type="gramStart"/>
      <w:r w:rsidRPr="005D7FF8">
        <w:rPr>
          <w:rFonts w:asciiTheme="minorHAnsi" w:hAnsiTheme="minorHAnsi"/>
          <w:szCs w:val="24"/>
        </w:rPr>
        <w:t xml:space="preserve">efecto inmediato del </w:t>
      </w:r>
      <w:proofErr w:type="spellStart"/>
      <w:r w:rsidRPr="005D7FF8">
        <w:rPr>
          <w:rFonts w:asciiTheme="minorHAnsi" w:hAnsiTheme="minorHAnsi"/>
          <w:szCs w:val="24"/>
        </w:rPr>
        <w:t>MoU</w:t>
      </w:r>
      <w:proofErr w:type="spellEnd"/>
      <w:r w:rsidRPr="005D7FF8">
        <w:rPr>
          <w:rFonts w:asciiTheme="minorHAnsi" w:hAnsiTheme="minorHAnsi"/>
          <w:szCs w:val="24"/>
        </w:rPr>
        <w:t xml:space="preserve"> y el acuerdo de cooperación concluidos</w:t>
      </w:r>
      <w:proofErr w:type="gramEnd"/>
      <w:r w:rsidRPr="005D7FF8">
        <w:rPr>
          <w:rFonts w:asciiTheme="minorHAnsi" w:hAnsiTheme="minorHAnsi"/>
          <w:szCs w:val="24"/>
        </w:rPr>
        <w:t xml:space="preserve"> entre UIT e IMPACT</w:t>
      </w:r>
      <w:r w:rsidR="005D7FF8" w:rsidRPr="005D7FF8">
        <w:rPr>
          <w:rFonts w:asciiTheme="minorHAnsi" w:hAnsiTheme="minorHAnsi"/>
          <w:szCs w:val="24"/>
        </w:rPr>
        <w:t>.</w:t>
      </w:r>
    </w:p>
    <w:p w:rsidR="00EB52C2" w:rsidRPr="005D7FF8" w:rsidRDefault="00EB52C2" w:rsidP="006C2E85">
      <w:r w:rsidRPr="005D7FF8">
        <w:rPr>
          <w:rFonts w:asciiTheme="minorHAnsi" w:hAnsiTheme="minorHAnsi"/>
          <w:szCs w:val="24"/>
        </w:rPr>
        <w:t>6.2</w:t>
      </w:r>
      <w:r w:rsidRPr="005D7FF8">
        <w:rPr>
          <w:rFonts w:asciiTheme="minorHAnsi" w:hAnsiTheme="minorHAnsi"/>
          <w:szCs w:val="24"/>
        </w:rPr>
        <w:tab/>
      </w:r>
      <w:r w:rsidRPr="005D7FF8">
        <w:t xml:space="preserve">La UIT, principal organismo facilitador de la Línea de Acción C5 de la CMSI, organizó en el </w:t>
      </w:r>
      <w:hyperlink r:id="rId87" w:history="1">
        <w:r w:rsidRPr="005D7FF8">
          <w:rPr>
            <w:rStyle w:val="Hyperlink"/>
          </w:rPr>
          <w:t>Foro de la CMSI 2018</w:t>
        </w:r>
      </w:hyperlink>
      <w:r w:rsidRPr="005D7FF8">
        <w:t xml:space="preserve"> varias reuniones dedicadas al 10º aniversario de la GCA y la iniciativa Protección de la Infancia en Línea. Durante el </w:t>
      </w:r>
      <w:hyperlink r:id="rId88" w:history="1">
        <w:r w:rsidRPr="005D7FF8">
          <w:rPr>
            <w:rStyle w:val="Hyperlink"/>
          </w:rPr>
          <w:t>Foro de la CMSI 2019</w:t>
        </w:r>
      </w:hyperlink>
      <w:r w:rsidRPr="005D7FF8">
        <w:t xml:space="preserve"> también se celebraron sesiones de alto nivel, entre otras cosas sobre inteligencia artificial y seguridad.</w:t>
      </w:r>
    </w:p>
    <w:p w:rsidR="00EB52C2" w:rsidRPr="005D7FF8" w:rsidRDefault="007A70C6" w:rsidP="006C2E85">
      <w:r w:rsidRPr="005D7FF8">
        <w:t>6.3</w:t>
      </w:r>
      <w:r w:rsidRPr="005D7FF8">
        <w:tab/>
        <w:t>E</w:t>
      </w:r>
      <w:r w:rsidR="00EB52C2" w:rsidRPr="005D7FF8">
        <w:t xml:space="preserve">n julio de 2018 la UIT organizó un </w:t>
      </w:r>
      <w:hyperlink r:id="rId89" w:history="1">
        <w:r w:rsidR="00EB52C2" w:rsidRPr="005D7FF8">
          <w:rPr>
            <w:rStyle w:val="Hyperlink"/>
          </w:rPr>
          <w:t xml:space="preserve">Diálogo Mundial sobre IA, </w:t>
        </w:r>
        <w:proofErr w:type="spellStart"/>
        <w:r w:rsidR="00EB52C2" w:rsidRPr="005D7FF8">
          <w:rPr>
            <w:rStyle w:val="Hyperlink"/>
          </w:rPr>
          <w:t>IoT</w:t>
        </w:r>
        <w:proofErr w:type="spellEnd"/>
        <w:r w:rsidR="00EB52C2" w:rsidRPr="005D7FF8">
          <w:rPr>
            <w:rStyle w:val="Hyperlink"/>
          </w:rPr>
          <w:t xml:space="preserve">, Política de </w:t>
        </w:r>
        <w:proofErr w:type="spellStart"/>
        <w:r w:rsidR="00EB52C2" w:rsidRPr="005D7FF8">
          <w:rPr>
            <w:rStyle w:val="Hyperlink"/>
          </w:rPr>
          <w:t>Ciberseguridad</w:t>
        </w:r>
        <w:proofErr w:type="spellEnd"/>
        <w:r w:rsidR="00EB52C2" w:rsidRPr="005D7FF8">
          <w:rPr>
            <w:rStyle w:val="Hyperlink"/>
          </w:rPr>
          <w:t xml:space="preserve"> y Oportunidades y Retos Reglamentarios</w:t>
        </w:r>
      </w:hyperlink>
      <w:r w:rsidR="00EB52C2" w:rsidRPr="005D7FF8">
        <w:t>, que reunió a organismos reguladores de distintos Estados Miembros y otras organizaciones.</w:t>
      </w:r>
    </w:p>
    <w:p w:rsidR="00EB52C2" w:rsidRPr="005D7FF8" w:rsidRDefault="00EB52C2" w:rsidP="006C2E85">
      <w:r w:rsidRPr="005D7FF8">
        <w:t>6.4</w:t>
      </w:r>
      <w:r w:rsidRPr="005D7FF8">
        <w:tab/>
        <w:t>La UIT se asoció con instituciones a</w:t>
      </w:r>
      <w:r w:rsidR="006017E8">
        <w:t>cadémicas de la región Árabe (R</w:t>
      </w:r>
      <w:r w:rsidRPr="005D7FF8">
        <w:t xml:space="preserve">ed de Investigación y Educación de los Estados Árabes y Universidad Árabe </w:t>
      </w:r>
      <w:proofErr w:type="spellStart"/>
      <w:r w:rsidRPr="005D7FF8">
        <w:t>Naïf</w:t>
      </w:r>
      <w:proofErr w:type="spellEnd"/>
      <w:r w:rsidRPr="005D7FF8">
        <w:t xml:space="preserve"> de Ciencias de Seguridad) para intensificar su participación en el fomento de una cultura de la </w:t>
      </w:r>
      <w:proofErr w:type="spellStart"/>
      <w:r w:rsidRPr="005D7FF8">
        <w:t>ciberseguridad</w:t>
      </w:r>
      <w:proofErr w:type="spellEnd"/>
      <w:r w:rsidRPr="005D7FF8">
        <w:t xml:space="preserve"> y una activa participación en el trabajo de la UIT. En el marco de esas asociaciones se organizaron actividades en la región Árabe.</w:t>
      </w:r>
    </w:p>
    <w:p w:rsidR="00EB52C2" w:rsidRPr="005D7FF8" w:rsidRDefault="00EB52C2" w:rsidP="007A70C6">
      <w:pPr>
        <w:rPr>
          <w:rFonts w:asciiTheme="minorHAnsi" w:hAnsiTheme="minorHAnsi"/>
          <w:szCs w:val="24"/>
        </w:rPr>
      </w:pPr>
      <w:r w:rsidRPr="005D7FF8">
        <w:t>6.5</w:t>
      </w:r>
      <w:r w:rsidRPr="005D7FF8">
        <w:tab/>
        <w:t xml:space="preserve">En el marco de la Iniciativa Regional de la UIT para Europa, la UIT ha coorganizado una serie de eventos de </w:t>
      </w:r>
      <w:proofErr w:type="spellStart"/>
      <w:r w:rsidRPr="005D7FF8">
        <w:t>ciberseguridad</w:t>
      </w:r>
      <w:proofErr w:type="spellEnd"/>
      <w:r w:rsidRPr="005D7FF8">
        <w:t xml:space="preserve"> entre los que se cuentan los siguientes: </w:t>
      </w:r>
      <w:hyperlink r:id="rId90" w:history="1">
        <w:r w:rsidRPr="005D7FF8">
          <w:rPr>
            <w:rStyle w:val="Hyperlink"/>
          </w:rPr>
          <w:t xml:space="preserve">6ª Plataforma de diálogo público-privado sobre </w:t>
        </w:r>
        <w:proofErr w:type="spellStart"/>
        <w:r w:rsidRPr="005D7FF8">
          <w:rPr>
            <w:rStyle w:val="Hyperlink"/>
          </w:rPr>
          <w:t>ciberseguridad</w:t>
        </w:r>
        <w:proofErr w:type="spellEnd"/>
        <w:r w:rsidRPr="005D7FF8">
          <w:rPr>
            <w:rStyle w:val="Hyperlink"/>
          </w:rPr>
          <w:t xml:space="preserve"> en la Europa central</w:t>
        </w:r>
      </w:hyperlink>
      <w:r w:rsidRPr="005D7FF8">
        <w:t xml:space="preserve"> (Sibiu, Rumania – septiembre de 2</w:t>
      </w:r>
      <w:r w:rsidR="007A70C6" w:rsidRPr="005D7FF8">
        <w:t xml:space="preserve">018); Foro Internacional sobre </w:t>
      </w:r>
      <w:hyperlink r:id="rId91" w:history="1">
        <w:r w:rsidR="007A70C6" w:rsidRPr="005D7FF8">
          <w:rPr>
            <w:rStyle w:val="Hyperlink"/>
          </w:rPr>
          <w:t>"</w:t>
        </w:r>
        <w:r w:rsidRPr="005D7FF8">
          <w:rPr>
            <w:rStyle w:val="Hyperlink"/>
          </w:rPr>
          <w:t xml:space="preserve">Nuevos retos mundiales de </w:t>
        </w:r>
        <w:proofErr w:type="spellStart"/>
        <w:r w:rsidRPr="005D7FF8">
          <w:rPr>
            <w:rStyle w:val="Hyperlink"/>
          </w:rPr>
          <w:t>ciberseguridad</w:t>
        </w:r>
        <w:proofErr w:type="spellEnd"/>
        <w:r w:rsidR="007A70C6" w:rsidRPr="005D7FF8">
          <w:rPr>
            <w:rStyle w:val="Hyperlink"/>
          </w:rPr>
          <w:t>"</w:t>
        </w:r>
      </w:hyperlink>
      <w:r w:rsidRPr="005D7FF8">
        <w:t xml:space="preserve"> (Bucarest, Rumania – octubre de 2018); Pl</w:t>
      </w:r>
      <w:hyperlink r:id="rId92" w:history="1">
        <w:r w:rsidRPr="005D7FF8">
          <w:rPr>
            <w:rStyle w:val="Hyperlink"/>
          </w:rPr>
          <w:t xml:space="preserve">ataforma de diálogo público-privado sobre </w:t>
        </w:r>
        <w:proofErr w:type="spellStart"/>
        <w:r w:rsidRPr="005D7FF8">
          <w:rPr>
            <w:rStyle w:val="Hyperlink"/>
          </w:rPr>
          <w:t>ciberseguridad</w:t>
        </w:r>
        <w:proofErr w:type="spellEnd"/>
        <w:r w:rsidRPr="005D7FF8">
          <w:rPr>
            <w:rStyle w:val="Hyperlink"/>
          </w:rPr>
          <w:t xml:space="preserve"> en la Europa occidental</w:t>
        </w:r>
      </w:hyperlink>
      <w:r w:rsidRPr="005D7FF8">
        <w:t xml:space="preserve"> (</w:t>
      </w:r>
      <w:proofErr w:type="spellStart"/>
      <w:r w:rsidRPr="005D7FF8">
        <w:t>Porrentruy</w:t>
      </w:r>
      <w:proofErr w:type="spellEnd"/>
      <w:r w:rsidRPr="005D7FF8">
        <w:t xml:space="preserve">, Suiza – noviembre de 2018); </w:t>
      </w:r>
      <w:hyperlink r:id="rId93" w:history="1">
        <w:r w:rsidRPr="005D7FF8">
          <w:rPr>
            <w:rStyle w:val="Hyperlink"/>
          </w:rPr>
          <w:t xml:space="preserve">Semana de la </w:t>
        </w:r>
        <w:proofErr w:type="spellStart"/>
        <w:r w:rsidRPr="005D7FF8">
          <w:rPr>
            <w:rStyle w:val="Hyperlink"/>
          </w:rPr>
          <w:t>ciberseguidad</w:t>
        </w:r>
        <w:proofErr w:type="spellEnd"/>
        <w:r w:rsidRPr="005D7FF8">
          <w:rPr>
            <w:rStyle w:val="Hyperlink"/>
          </w:rPr>
          <w:t xml:space="preserve"> de Viena – Protección de la infraestructura esencial</w:t>
        </w:r>
      </w:hyperlink>
      <w:r w:rsidRPr="005D7FF8">
        <w:t xml:space="preserve"> (Viena, Austria (coorganizado por la CEI con el apoy</w:t>
      </w:r>
      <w:r w:rsidR="005D7FF8" w:rsidRPr="005D7FF8">
        <w:t>o de la OSCE) – marzo de 2019).</w:t>
      </w:r>
    </w:p>
    <w:p w:rsidR="00EB52C2" w:rsidRPr="005D7FF8" w:rsidRDefault="00EB52C2" w:rsidP="00EB52C2">
      <w:pPr>
        <w:pStyle w:val="Heading1"/>
      </w:pPr>
      <w:r w:rsidRPr="005D7FF8">
        <w:lastRenderedPageBreak/>
        <w:t>7</w:t>
      </w:r>
      <w:r w:rsidRPr="005D7FF8">
        <w:tab/>
        <w:t>Protección de la Infancia en Línea (</w:t>
      </w:r>
      <w:proofErr w:type="spellStart"/>
      <w:r w:rsidRPr="005D7FF8">
        <w:t>PIeL</w:t>
      </w:r>
      <w:proofErr w:type="spellEnd"/>
      <w:r w:rsidRPr="005D7FF8">
        <w:t>)</w:t>
      </w:r>
    </w:p>
    <w:p w:rsidR="00EB52C2" w:rsidRPr="005D7FF8" w:rsidRDefault="00EB52C2" w:rsidP="006C2E85">
      <w:r w:rsidRPr="005D7FF8">
        <w:t>7.1</w:t>
      </w:r>
      <w:r w:rsidRPr="005D7FF8">
        <w:tab/>
      </w:r>
      <w:r w:rsidR="007A70C6" w:rsidRPr="005D7FF8">
        <w:t>La</w:t>
      </w:r>
      <w:r w:rsidRPr="005D7FF8">
        <w:t xml:space="preserve"> UIT brindó asistencia a Sudán para la elaboración de su estrategia de </w:t>
      </w:r>
      <w:proofErr w:type="spellStart"/>
      <w:r w:rsidRPr="005D7FF8">
        <w:t>PIeL</w:t>
      </w:r>
      <w:proofErr w:type="spellEnd"/>
      <w:r w:rsidRPr="005D7FF8">
        <w:t xml:space="preserve"> nacional. Además, se organizaron en diversos p</w:t>
      </w:r>
      <w:r w:rsidR="0031667F">
        <w:t>aíses árabes varia</w:t>
      </w:r>
      <w:r w:rsidRPr="005D7FF8">
        <w:t>s conferencias y concursos para, en colaboración con las partes interesadas pertinentes, dar a conocer la importancia de la seguridad en Internet a niños, educadores y padres.</w:t>
      </w:r>
    </w:p>
    <w:p w:rsidR="00EB52C2" w:rsidRPr="005D7FF8" w:rsidRDefault="00EB52C2" w:rsidP="007A70C6">
      <w:pPr>
        <w:rPr>
          <w:rFonts w:asciiTheme="minorHAnsi" w:hAnsiTheme="minorHAnsi"/>
          <w:bCs/>
          <w:szCs w:val="24"/>
        </w:rPr>
      </w:pPr>
      <w:r w:rsidRPr="005D7FF8">
        <w:t>7.2</w:t>
      </w:r>
      <w:r w:rsidRPr="005D7FF8">
        <w:tab/>
        <w:t xml:space="preserve">En el marco de la Iniciativa Regional de la UIT para Europa, la UIT prestó asistencia a Georgia para la elaboración de su estrategia de </w:t>
      </w:r>
      <w:proofErr w:type="spellStart"/>
      <w:r w:rsidRPr="005D7FF8">
        <w:t>PIeL</w:t>
      </w:r>
      <w:proofErr w:type="spellEnd"/>
      <w:r w:rsidRPr="005D7FF8">
        <w:t xml:space="preserve"> nacional. Se ha previsto llevar a cabo actividades semejantes en otros países a lo largo del próximo periodo. Además, la UIT ha coorganizado diversos eventos destinados a la capacitación entre los que se cuentan los siguientes: </w:t>
      </w:r>
      <w:hyperlink r:id="rId94" w:history="1">
        <w:r w:rsidRPr="005D7FF8">
          <w:rPr>
            <w:rStyle w:val="Hyperlink"/>
          </w:rPr>
          <w:t>Evento Naciones sobre Protección de la Infancia en Línea: Concienciación de niños y adolescentes</w:t>
        </w:r>
      </w:hyperlink>
      <w:r w:rsidRPr="005D7FF8">
        <w:t xml:space="preserve"> (Noto, Italia – mayo de 2019); </w:t>
      </w:r>
      <w:hyperlink r:id="rId95" w:history="1">
        <w:r w:rsidRPr="005D7FF8">
          <w:rPr>
            <w:rStyle w:val="Hyperlink"/>
          </w:rPr>
          <w:t>Foro Digital de la Juventud</w:t>
        </w:r>
      </w:hyperlink>
      <w:r w:rsidRPr="005D7FF8">
        <w:t xml:space="preserve"> (Varsovia, Polonia – mayo de 2018); Conferencia Internacional sobre </w:t>
      </w:r>
      <w:hyperlink r:id="rId96" w:history="1">
        <w:r w:rsidR="007A70C6" w:rsidRPr="005D7FF8">
          <w:rPr>
            <w:rStyle w:val="Hyperlink"/>
          </w:rPr>
          <w:t>"</w:t>
        </w:r>
        <w:r w:rsidRPr="005D7FF8">
          <w:rPr>
            <w:rStyle w:val="Hyperlink"/>
          </w:rPr>
          <w:t>Mantener la seguridad de l</w:t>
        </w:r>
        <w:r w:rsidR="007A70C6" w:rsidRPr="005D7FF8">
          <w:rPr>
            <w:rStyle w:val="Hyperlink"/>
          </w:rPr>
          <w:t>os niños y los jóvenes en línea"</w:t>
        </w:r>
      </w:hyperlink>
      <w:r w:rsidRPr="005D7FF8">
        <w:t xml:space="preserve"> (Varsovia, Polonia – septiembre de 2018), y </w:t>
      </w:r>
      <w:hyperlink r:id="rId97" w:history="1">
        <w:r w:rsidRPr="005D7FF8">
          <w:rPr>
            <w:rStyle w:val="Hyperlink"/>
          </w:rPr>
          <w:t>Día de Internet más segura 2019</w:t>
        </w:r>
      </w:hyperlink>
      <w:r w:rsidRPr="005D7FF8">
        <w:t xml:space="preserve"> (Tirana, Albania – febrero de 2019).</w:t>
      </w:r>
    </w:p>
    <w:p w:rsidR="00EB52C2" w:rsidRPr="005D7FF8" w:rsidRDefault="00EB52C2" w:rsidP="007A70C6">
      <w:pPr>
        <w:rPr>
          <w:rFonts w:asciiTheme="minorHAnsi" w:hAnsiTheme="minorHAnsi"/>
          <w:bCs/>
          <w:szCs w:val="24"/>
        </w:rPr>
      </w:pPr>
      <w:r w:rsidRPr="005D7FF8">
        <w:rPr>
          <w:rFonts w:asciiTheme="minorHAnsi" w:hAnsiTheme="minorHAnsi"/>
          <w:bCs/>
          <w:szCs w:val="24"/>
        </w:rPr>
        <w:t>7.3.</w:t>
      </w:r>
      <w:r w:rsidRPr="005D7FF8">
        <w:rPr>
          <w:rFonts w:asciiTheme="minorHAnsi" w:hAnsiTheme="minorHAnsi"/>
          <w:bCs/>
          <w:szCs w:val="24"/>
        </w:rPr>
        <w:tab/>
      </w:r>
      <w:bookmarkStart w:id="22" w:name="lt_pId111"/>
      <w:r w:rsidRPr="005D7FF8">
        <w:rPr>
          <w:rFonts w:asciiTheme="minorHAnsi" w:hAnsiTheme="minorHAnsi"/>
          <w:bCs/>
          <w:szCs w:val="24"/>
        </w:rPr>
        <w:t xml:space="preserve">En noviembre de 2018, la UIT prestó asistencia a Kiribati y </w:t>
      </w:r>
      <w:proofErr w:type="spellStart"/>
      <w:r w:rsidRPr="005D7FF8">
        <w:rPr>
          <w:rFonts w:asciiTheme="minorHAnsi" w:hAnsiTheme="minorHAnsi"/>
          <w:bCs/>
          <w:szCs w:val="24"/>
        </w:rPr>
        <w:t>Bhután</w:t>
      </w:r>
      <w:proofErr w:type="spellEnd"/>
      <w:r w:rsidRPr="005D7FF8">
        <w:rPr>
          <w:rFonts w:asciiTheme="minorHAnsi" w:hAnsiTheme="minorHAnsi"/>
          <w:bCs/>
          <w:szCs w:val="24"/>
        </w:rPr>
        <w:t xml:space="preserve"> en el marco de las evaluaciones </w:t>
      </w:r>
      <w:proofErr w:type="spellStart"/>
      <w:r w:rsidRPr="005D7FF8">
        <w:rPr>
          <w:rFonts w:asciiTheme="minorHAnsi" w:hAnsiTheme="minorHAnsi"/>
          <w:bCs/>
          <w:szCs w:val="24"/>
        </w:rPr>
        <w:t>PIeL</w:t>
      </w:r>
      <w:proofErr w:type="spellEnd"/>
      <w:r w:rsidRPr="005D7FF8">
        <w:rPr>
          <w:rFonts w:asciiTheme="minorHAnsi" w:hAnsiTheme="minorHAnsi"/>
          <w:bCs/>
          <w:szCs w:val="24"/>
        </w:rPr>
        <w:t xml:space="preserve">. La UIT preparó también un artículo sobre la </w:t>
      </w:r>
      <w:r w:rsidR="007A70C6" w:rsidRPr="005D7FF8">
        <w:rPr>
          <w:rFonts w:asciiTheme="minorHAnsi" w:hAnsiTheme="minorHAnsi"/>
          <w:bCs/>
          <w:szCs w:val="24"/>
        </w:rPr>
        <w:t>"</w:t>
      </w:r>
      <w:r w:rsidRPr="005D7FF8">
        <w:rPr>
          <w:rFonts w:asciiTheme="minorHAnsi" w:hAnsiTheme="minorHAnsi"/>
          <w:bCs/>
          <w:szCs w:val="24"/>
        </w:rPr>
        <w:t>Mejora de las medidas de protección de la infancia en línea en ASEAN: Asociación con la industria</w:t>
      </w:r>
      <w:r w:rsidR="007A70C6" w:rsidRPr="005D7FF8">
        <w:rPr>
          <w:rFonts w:asciiTheme="minorHAnsi" w:hAnsiTheme="minorHAnsi"/>
          <w:bCs/>
          <w:szCs w:val="24"/>
        </w:rPr>
        <w:t>"</w:t>
      </w:r>
      <w:r w:rsidRPr="005D7FF8">
        <w:rPr>
          <w:rFonts w:asciiTheme="minorHAnsi" w:hAnsiTheme="minorHAnsi"/>
          <w:bCs/>
          <w:szCs w:val="24"/>
        </w:rPr>
        <w:t xml:space="preserve"> y un </w:t>
      </w:r>
      <w:hyperlink r:id="rId98" w:history="1">
        <w:r w:rsidRPr="005D7FF8">
          <w:rPr>
            <w:rStyle w:val="Hyperlink"/>
            <w:rFonts w:asciiTheme="minorHAnsi" w:hAnsiTheme="minorHAnsi"/>
            <w:bCs/>
            <w:szCs w:val="24"/>
          </w:rPr>
          <w:t>Entorno de aprendizaje virtual multiusuario 3D</w:t>
        </w:r>
      </w:hyperlink>
      <w:r w:rsidRPr="005D7FF8">
        <w:rPr>
          <w:rFonts w:asciiTheme="minorHAnsi" w:hAnsiTheme="minorHAnsi"/>
          <w:bCs/>
          <w:szCs w:val="24"/>
        </w:rPr>
        <w:t xml:space="preserve"> para aumentar la visibilidad de los riesgos que corren los niños en línea</w:t>
      </w:r>
      <w:bookmarkStart w:id="23" w:name="lt_pId113"/>
      <w:bookmarkEnd w:id="22"/>
      <w:r w:rsidRPr="005D7FF8">
        <w:rPr>
          <w:rFonts w:asciiTheme="minorHAnsi" w:hAnsiTheme="minorHAnsi"/>
          <w:bCs/>
          <w:szCs w:val="24"/>
        </w:rPr>
        <w:t>.</w:t>
      </w:r>
      <w:bookmarkEnd w:id="23"/>
    </w:p>
    <w:p w:rsidR="00C2727F" w:rsidRPr="005D7FF8" w:rsidRDefault="00EB52C2" w:rsidP="006C2E85">
      <w:pPr>
        <w:rPr>
          <w:rFonts w:asciiTheme="minorHAnsi" w:hAnsiTheme="minorHAnsi"/>
          <w:bCs/>
          <w:szCs w:val="24"/>
        </w:rPr>
      </w:pPr>
      <w:r w:rsidRPr="005D7FF8">
        <w:rPr>
          <w:rFonts w:asciiTheme="minorHAnsi" w:hAnsiTheme="minorHAnsi"/>
          <w:bCs/>
          <w:szCs w:val="24"/>
        </w:rPr>
        <w:t>7.4.</w:t>
      </w:r>
      <w:r w:rsidRPr="005D7FF8">
        <w:rPr>
          <w:rFonts w:asciiTheme="minorHAnsi" w:hAnsiTheme="minorHAnsi"/>
          <w:bCs/>
          <w:szCs w:val="24"/>
        </w:rPr>
        <w:tab/>
      </w:r>
      <w:bookmarkStart w:id="24" w:name="lt_pId116"/>
      <w:r w:rsidR="00F71FFD">
        <w:rPr>
          <w:rFonts w:asciiTheme="minorHAnsi" w:hAnsiTheme="minorHAnsi"/>
          <w:bCs/>
          <w:szCs w:val="24"/>
        </w:rPr>
        <w:t xml:space="preserve">La UIT celebró </w:t>
      </w:r>
      <w:r w:rsidRPr="005D7FF8">
        <w:rPr>
          <w:rFonts w:asciiTheme="minorHAnsi" w:hAnsiTheme="minorHAnsi"/>
          <w:bCs/>
          <w:szCs w:val="24"/>
        </w:rPr>
        <w:t>el Día de Internet más segura 2019 a través de diversas actividades, incluida la promoción de la protección de la infancia en línea</w:t>
      </w:r>
      <w:bookmarkStart w:id="25" w:name="lt_pId120"/>
      <w:bookmarkEnd w:id="24"/>
      <w:r w:rsidRPr="005D7FF8">
        <w:rPr>
          <w:rFonts w:asciiTheme="minorHAnsi" w:hAnsiTheme="minorHAnsi"/>
          <w:bCs/>
          <w:szCs w:val="24"/>
        </w:rPr>
        <w:t>.</w:t>
      </w:r>
      <w:bookmarkEnd w:id="25"/>
    </w:p>
    <w:p w:rsidR="005D7FF8" w:rsidRPr="005D7FF8" w:rsidRDefault="005D7FF8" w:rsidP="00411C49">
      <w:pPr>
        <w:pStyle w:val="Reasons"/>
      </w:pPr>
    </w:p>
    <w:p w:rsidR="005D7FF8" w:rsidRPr="005D7FF8" w:rsidRDefault="005D7FF8">
      <w:pPr>
        <w:jc w:val="center"/>
      </w:pPr>
      <w:r w:rsidRPr="005D7FF8">
        <w:t>______________</w:t>
      </w:r>
    </w:p>
    <w:sectPr w:rsidR="005D7FF8" w:rsidRPr="005D7FF8" w:rsidSect="006710F6">
      <w:headerReference w:type="default" r:id="rId99"/>
      <w:footerReference w:type="default" r:id="rId100"/>
      <w:footerReference w:type="first" r:id="rId10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ED8" w:rsidRDefault="00150ED8">
      <w:r>
        <w:separator/>
      </w:r>
    </w:p>
  </w:endnote>
  <w:endnote w:type="continuationSeparator" w:id="0">
    <w:p w:rsidR="00150ED8" w:rsidRDefault="0015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70F91" w:rsidRDefault="00BE62B9" w:rsidP="00BE62B9">
    <w:pPr>
      <w:pStyle w:val="Footer"/>
      <w:rPr>
        <w:color w:val="D9D9D9" w:themeColor="background1" w:themeShade="D9"/>
        <w:lang w:val="fr-CH"/>
      </w:rPr>
    </w:pPr>
    <w:r w:rsidRPr="00270F91">
      <w:rPr>
        <w:color w:val="D9D9D9" w:themeColor="background1" w:themeShade="D9"/>
        <w:lang w:val="en-US"/>
      </w:rPr>
      <w:fldChar w:fldCharType="begin"/>
    </w:r>
    <w:r w:rsidRPr="00270F91">
      <w:rPr>
        <w:color w:val="D9D9D9" w:themeColor="background1" w:themeShade="D9"/>
        <w:lang w:val="fr-CH"/>
      </w:rPr>
      <w:instrText xml:space="preserve"> FILENAME \p \* MERGEFORMAT </w:instrText>
    </w:r>
    <w:r w:rsidRPr="00270F91">
      <w:rPr>
        <w:color w:val="D9D9D9" w:themeColor="background1" w:themeShade="D9"/>
        <w:lang w:val="en-US"/>
      </w:rPr>
      <w:fldChar w:fldCharType="separate"/>
    </w:r>
    <w:r w:rsidR="00C5476A" w:rsidRPr="00270F91">
      <w:rPr>
        <w:color w:val="D9D9D9" w:themeColor="background1" w:themeShade="D9"/>
        <w:lang w:val="fr-CH"/>
      </w:rPr>
      <w:t>P:\ESP\SG\CONSEIL\C19\000\018S.docx</w:t>
    </w:r>
    <w:r w:rsidRPr="00270F91">
      <w:rPr>
        <w:color w:val="D9D9D9" w:themeColor="background1" w:themeShade="D9"/>
        <w:lang w:val="en-US"/>
      </w:rPr>
      <w:fldChar w:fldCharType="end"/>
    </w:r>
    <w:r w:rsidRPr="00270F91">
      <w:rPr>
        <w:color w:val="D9D9D9" w:themeColor="background1" w:themeShade="D9"/>
        <w:lang w:val="fr-CH"/>
      </w:rPr>
      <w:t xml:space="preserve"> (450228)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C2E85" w:rsidRDefault="00760F1C" w:rsidP="006C2E8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ED8" w:rsidRDefault="00150ED8">
      <w:r>
        <w:t>____________________</w:t>
      </w:r>
    </w:p>
  </w:footnote>
  <w:footnote w:type="continuationSeparator" w:id="0">
    <w:p w:rsidR="00150ED8" w:rsidRDefault="00150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70F91">
      <w:rPr>
        <w:noProof/>
      </w:rPr>
      <w:t>6</w:t>
    </w:r>
    <w:r>
      <w:rPr>
        <w:noProof/>
      </w:rPr>
      <w:fldChar w:fldCharType="end"/>
    </w:r>
  </w:p>
  <w:p w:rsidR="00760F1C" w:rsidRDefault="00760F1C" w:rsidP="00C2727F">
    <w:pPr>
      <w:pStyle w:val="Header"/>
    </w:pPr>
    <w:r>
      <w:t>C</w:t>
    </w:r>
    <w:r w:rsidR="007F350B">
      <w:t>1</w:t>
    </w:r>
    <w:r w:rsidR="00C2727F">
      <w:t>9</w:t>
    </w:r>
    <w:r w:rsidR="00BE62B9">
      <w:t>/18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561"/>
    <w:multiLevelType w:val="hybridMultilevel"/>
    <w:tmpl w:val="C8142D46"/>
    <w:lvl w:ilvl="0" w:tplc="328EE32C">
      <w:start w:val="1"/>
      <w:numFmt w:val="decimal"/>
      <w:pStyle w:val="normalWSIS"/>
      <w:lvlText w:val="%1."/>
      <w:lvlJc w:val="left"/>
      <w:pPr>
        <w:ind w:left="2490" w:hanging="360"/>
      </w:pPr>
      <w:rPr>
        <w:b w:val="0"/>
        <w:bCs w:val="0"/>
        <w:color w:val="auto"/>
        <w:sz w:val="20"/>
        <w:szCs w:val="20"/>
      </w:rPr>
    </w:lvl>
    <w:lvl w:ilvl="1" w:tplc="B04C0448">
      <w:start w:val="1"/>
      <w:numFmt w:val="lowerLetter"/>
      <w:lvlText w:val="%2."/>
      <w:lvlJc w:val="left"/>
      <w:pPr>
        <w:ind w:left="2861" w:hanging="360"/>
      </w:pPr>
    </w:lvl>
    <w:lvl w:ilvl="2" w:tplc="89224D32" w:tentative="1">
      <w:start w:val="1"/>
      <w:numFmt w:val="lowerRoman"/>
      <w:lvlText w:val="%3."/>
      <w:lvlJc w:val="right"/>
      <w:pPr>
        <w:ind w:left="3581" w:hanging="180"/>
      </w:pPr>
    </w:lvl>
    <w:lvl w:ilvl="3" w:tplc="ECE4650A" w:tentative="1">
      <w:start w:val="1"/>
      <w:numFmt w:val="decimal"/>
      <w:lvlText w:val="%4."/>
      <w:lvlJc w:val="left"/>
      <w:pPr>
        <w:ind w:left="4301" w:hanging="360"/>
      </w:pPr>
    </w:lvl>
    <w:lvl w:ilvl="4" w:tplc="C576BC8E" w:tentative="1">
      <w:start w:val="1"/>
      <w:numFmt w:val="lowerLetter"/>
      <w:lvlText w:val="%5."/>
      <w:lvlJc w:val="left"/>
      <w:pPr>
        <w:ind w:left="5021" w:hanging="360"/>
      </w:pPr>
    </w:lvl>
    <w:lvl w:ilvl="5" w:tplc="097EA496" w:tentative="1">
      <w:start w:val="1"/>
      <w:numFmt w:val="lowerRoman"/>
      <w:lvlText w:val="%6."/>
      <w:lvlJc w:val="right"/>
      <w:pPr>
        <w:ind w:left="5741" w:hanging="180"/>
      </w:pPr>
    </w:lvl>
    <w:lvl w:ilvl="6" w:tplc="94D4FA54" w:tentative="1">
      <w:start w:val="1"/>
      <w:numFmt w:val="decimal"/>
      <w:lvlText w:val="%7."/>
      <w:lvlJc w:val="left"/>
      <w:pPr>
        <w:ind w:left="6461" w:hanging="360"/>
      </w:pPr>
    </w:lvl>
    <w:lvl w:ilvl="7" w:tplc="0308B2AC" w:tentative="1">
      <w:start w:val="1"/>
      <w:numFmt w:val="lowerLetter"/>
      <w:lvlText w:val="%8."/>
      <w:lvlJc w:val="left"/>
      <w:pPr>
        <w:ind w:left="7181" w:hanging="360"/>
      </w:pPr>
    </w:lvl>
    <w:lvl w:ilvl="8" w:tplc="F3BAAD0E" w:tentative="1">
      <w:start w:val="1"/>
      <w:numFmt w:val="lowerRoman"/>
      <w:lvlText w:val="%9."/>
      <w:lvlJc w:val="right"/>
      <w:pPr>
        <w:ind w:left="79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C2"/>
    <w:rsid w:val="000175BE"/>
    <w:rsid w:val="000326B2"/>
    <w:rsid w:val="000771DD"/>
    <w:rsid w:val="00093EEB"/>
    <w:rsid w:val="000B0D00"/>
    <w:rsid w:val="000B7C15"/>
    <w:rsid w:val="000D1D0F"/>
    <w:rsid w:val="000D32CF"/>
    <w:rsid w:val="000F5290"/>
    <w:rsid w:val="0010165C"/>
    <w:rsid w:val="00146BFB"/>
    <w:rsid w:val="00150ED8"/>
    <w:rsid w:val="001B4D79"/>
    <w:rsid w:val="001D06A8"/>
    <w:rsid w:val="001F14A2"/>
    <w:rsid w:val="00270F91"/>
    <w:rsid w:val="00276392"/>
    <w:rsid w:val="002801AA"/>
    <w:rsid w:val="00297C35"/>
    <w:rsid w:val="002C4676"/>
    <w:rsid w:val="002C70B0"/>
    <w:rsid w:val="002F3CC4"/>
    <w:rsid w:val="0031667F"/>
    <w:rsid w:val="003204B8"/>
    <w:rsid w:val="00374ED6"/>
    <w:rsid w:val="003B1A2E"/>
    <w:rsid w:val="003B25CF"/>
    <w:rsid w:val="003B6FFE"/>
    <w:rsid w:val="0040649D"/>
    <w:rsid w:val="00432D32"/>
    <w:rsid w:val="00513630"/>
    <w:rsid w:val="00560125"/>
    <w:rsid w:val="00585553"/>
    <w:rsid w:val="005B34D9"/>
    <w:rsid w:val="005D0CCF"/>
    <w:rsid w:val="005D7FF8"/>
    <w:rsid w:val="005F3BCB"/>
    <w:rsid w:val="005F410F"/>
    <w:rsid w:val="0060149A"/>
    <w:rsid w:val="006017E8"/>
    <w:rsid w:val="00601924"/>
    <w:rsid w:val="006447EA"/>
    <w:rsid w:val="0064731F"/>
    <w:rsid w:val="006710F6"/>
    <w:rsid w:val="006C1B56"/>
    <w:rsid w:val="006C2E85"/>
    <w:rsid w:val="006D4761"/>
    <w:rsid w:val="00726872"/>
    <w:rsid w:val="00760F1C"/>
    <w:rsid w:val="00761330"/>
    <w:rsid w:val="007657F0"/>
    <w:rsid w:val="0077252D"/>
    <w:rsid w:val="007A70C6"/>
    <w:rsid w:val="007E5DD3"/>
    <w:rsid w:val="007F350B"/>
    <w:rsid w:val="00820BE4"/>
    <w:rsid w:val="00840720"/>
    <w:rsid w:val="008451E8"/>
    <w:rsid w:val="00913B9C"/>
    <w:rsid w:val="00954410"/>
    <w:rsid w:val="00956E77"/>
    <w:rsid w:val="009B667E"/>
    <w:rsid w:val="009F4811"/>
    <w:rsid w:val="00AA390C"/>
    <w:rsid w:val="00B0200A"/>
    <w:rsid w:val="00B574DB"/>
    <w:rsid w:val="00B826C2"/>
    <w:rsid w:val="00B8298E"/>
    <w:rsid w:val="00BD0723"/>
    <w:rsid w:val="00BD2518"/>
    <w:rsid w:val="00BE45E2"/>
    <w:rsid w:val="00BE62B9"/>
    <w:rsid w:val="00BF1D1C"/>
    <w:rsid w:val="00C20C59"/>
    <w:rsid w:val="00C23228"/>
    <w:rsid w:val="00C2727F"/>
    <w:rsid w:val="00C3130B"/>
    <w:rsid w:val="00C5476A"/>
    <w:rsid w:val="00C55B1F"/>
    <w:rsid w:val="00CF1A67"/>
    <w:rsid w:val="00D147E3"/>
    <w:rsid w:val="00D2750E"/>
    <w:rsid w:val="00D27EDC"/>
    <w:rsid w:val="00D62446"/>
    <w:rsid w:val="00DA3B43"/>
    <w:rsid w:val="00DA4EA2"/>
    <w:rsid w:val="00DC3D3E"/>
    <w:rsid w:val="00DE2C90"/>
    <w:rsid w:val="00DE3B24"/>
    <w:rsid w:val="00E06947"/>
    <w:rsid w:val="00E3592D"/>
    <w:rsid w:val="00E923DE"/>
    <w:rsid w:val="00E92DE8"/>
    <w:rsid w:val="00EB1212"/>
    <w:rsid w:val="00EB52C2"/>
    <w:rsid w:val="00ED65AB"/>
    <w:rsid w:val="00F12850"/>
    <w:rsid w:val="00F33BF4"/>
    <w:rsid w:val="00F33D31"/>
    <w:rsid w:val="00F7105E"/>
    <w:rsid w:val="00F71FFD"/>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FA77B4-7EB0-4B41-ABBC-9061D7CA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ormalWSIS">
    <w:name w:val="normal WSIS"/>
    <w:basedOn w:val="ListParagraph"/>
    <w:link w:val="normalWSISChar"/>
    <w:qFormat/>
    <w:rsid w:val="00EB52C2"/>
    <w:pPr>
      <w:numPr>
        <w:numId w:val="1"/>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EB52C2"/>
    <w:rPr>
      <w:rFonts w:ascii="Calibri" w:eastAsia="SimSun" w:hAnsi="Calibri" w:cs="Arial"/>
      <w:sz w:val="22"/>
      <w:szCs w:val="22"/>
    </w:rPr>
  </w:style>
  <w:style w:type="paragraph" w:styleId="ListParagraph">
    <w:name w:val="List Paragraph"/>
    <w:basedOn w:val="Normal"/>
    <w:uiPriority w:val="34"/>
    <w:qFormat/>
    <w:rsid w:val="00EB5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06-CL-C-0004/en" TargetMode="External"/><Relationship Id="rId21" Type="http://schemas.openxmlformats.org/officeDocument/2006/relationships/hyperlink" Target="https://www.itu.int/pub/T-RES-T.52-2016" TargetMode="External"/><Relationship Id="rId42" Type="http://schemas.openxmlformats.org/officeDocument/2006/relationships/hyperlink" Target="https://www.itu.int/itu-t/workprog/wp_search.aspx?sg=17" TargetMode="External"/><Relationship Id="rId47" Type="http://schemas.openxmlformats.org/officeDocument/2006/relationships/hyperlink" Target="https://www.itu.int/ITU-T/recommendations/rec.aspx?rec=13725" TargetMode="External"/><Relationship Id="rId63" Type="http://schemas.openxmlformats.org/officeDocument/2006/relationships/hyperlink" Target="https://www.itu.int/ITU-T/recommendations/rec.aspx?id=13593&amp;lang=en" TargetMode="External"/><Relationship Id="rId68" Type="http://schemas.openxmlformats.org/officeDocument/2006/relationships/hyperlink" Target="https://www.itu.int/en/ITU-T/Workshops-and-Seminars/20180828/Pages/default.aspx" TargetMode="External"/><Relationship Id="rId84" Type="http://schemas.openxmlformats.org/officeDocument/2006/relationships/hyperlink" Target="https://www.itu.int/en/ITU-D/Cybersecurity/Pages/global-cybersecurity-index.aspx" TargetMode="External"/><Relationship Id="rId89" Type="http://schemas.openxmlformats.org/officeDocument/2006/relationships/hyperlink" Target="https://www.itu.int/net4/ITU-D/CDS/GSR/2018/default.asp" TargetMode="External"/><Relationship Id="rId7" Type="http://schemas.openxmlformats.org/officeDocument/2006/relationships/image" Target="media/image1.jpeg"/><Relationship Id="rId71" Type="http://schemas.openxmlformats.org/officeDocument/2006/relationships/hyperlink" Target="http://www.itu.int/en/ITU-D/Cybersecurity/Pages/Organizational-Structures.aspx" TargetMode="External"/><Relationship Id="rId92" Type="http://schemas.openxmlformats.org/officeDocument/2006/relationships/hyperlink" Target="https://www.itu.int/en/ITU-D/Regional-Presence/Europe/Pages/Events/2018/CYBCONGR/Second-Western-European-Cybersecurity-Public-Private-Dialogue-Platform.aspx" TargetMode="External"/><Relationship Id="rId2" Type="http://schemas.openxmlformats.org/officeDocument/2006/relationships/styles" Target="styles.xml"/><Relationship Id="rId16" Type="http://schemas.openxmlformats.org/officeDocument/2006/relationships/hyperlink" Target="http://www.itu.int/en/ITU-D/Cybersecurity/Documents/45revDubai.pdf" TargetMode="External"/><Relationship Id="rId29" Type="http://schemas.openxmlformats.org/officeDocument/2006/relationships/hyperlink" Target="http://www.itu.int/md/S09-CL-C-0050/en" TargetMode="External"/><Relationship Id="rId11" Type="http://schemas.openxmlformats.org/officeDocument/2006/relationships/hyperlink" Target="https://www.itu.int/en/council/Documents/basic-texts/RES-174-S.pdf" TargetMode="External"/><Relationship Id="rId24" Type="http://schemas.openxmlformats.org/officeDocument/2006/relationships/hyperlink" Target="http://www.itu.int/md/S05-CL-C-0032/en" TargetMode="External"/><Relationship Id="rId32" Type="http://schemas.openxmlformats.org/officeDocument/2006/relationships/hyperlink" Target="http://www.itu.int/md/S12-CL-C-0029/en" TargetMode="External"/><Relationship Id="rId37" Type="http://schemas.openxmlformats.org/officeDocument/2006/relationships/hyperlink" Target="https://www.itu.int/md/S17-CL-C-0018/en" TargetMode="External"/><Relationship Id="rId40" Type="http://schemas.openxmlformats.org/officeDocument/2006/relationships/hyperlink" Target="http://www.itu.int/en/ITU-D/Cybersecurity/Pages/Legal-Measures.aspx" TargetMode="External"/><Relationship Id="rId45" Type="http://schemas.openxmlformats.org/officeDocument/2006/relationships/hyperlink" Target="https://www.itu.int/ITU-T/recommendations/rec.aspx?rec=13803" TargetMode="External"/><Relationship Id="rId53" Type="http://schemas.openxmlformats.org/officeDocument/2006/relationships/hyperlink" Target="https://www.itu.int/ITU-T/recommendations/rec.aspx?rec=13606" TargetMode="External"/><Relationship Id="rId58" Type="http://schemas.openxmlformats.org/officeDocument/2006/relationships/hyperlink" Target="https://www.itu.int/ITU-T/recommendations/rec.aspx?rec=13729" TargetMode="External"/><Relationship Id="rId66" Type="http://schemas.openxmlformats.org/officeDocument/2006/relationships/hyperlink" Target="https://www.itu.int/en/ITU-T/studygroups/2017-2020/17/sg17rgarb/Pages/default.aspx" TargetMode="External"/><Relationship Id="rId74" Type="http://schemas.openxmlformats.org/officeDocument/2006/relationships/hyperlink" Target="https://www.itu.int/es/ITU-D/Regional-Presence/Americas/Pages/EVENTS/2018/20577.aspx" TargetMode="External"/><Relationship Id="rId79" Type="http://schemas.openxmlformats.org/officeDocument/2006/relationships/hyperlink" Target="https://www.itu.int/dms_pub/itu-d/opb/str/D-STR-CYB_GUIDE.01-2018-PDF-S.pdf" TargetMode="External"/><Relationship Id="rId87" Type="http://schemas.openxmlformats.org/officeDocument/2006/relationships/hyperlink" Target="https://www.itu.int/net4/wsis/forum/2018/"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tu.int/ITU-T/recommendations/rec.aspx?id=13410&amp;lang=en" TargetMode="External"/><Relationship Id="rId82" Type="http://schemas.openxmlformats.org/officeDocument/2006/relationships/hyperlink" Target="https://www.itu.int/en/ITU-D/Regional-Presence/ArabStates/Pages/Events/2018/Cyber/Cyber.aspx" TargetMode="External"/><Relationship Id="rId90" Type="http://schemas.openxmlformats.org/officeDocument/2006/relationships/hyperlink" Target="https://www.itu.int/en/ITU-D/Regional-Presence/Europe/Pages/Events/2018/CYBR/Cyber-Security-in-Romania.aspx" TargetMode="External"/><Relationship Id="rId95" Type="http://schemas.openxmlformats.org/officeDocument/2006/relationships/hyperlink" Target="https://www.itu.int/en/ITU-D/Regional-Presence/Europe/Pages/Events/2018/DYF/default.aspx" TargetMode="External"/><Relationship Id="rId19" Type="http://schemas.openxmlformats.org/officeDocument/2006/relationships/hyperlink" Target="http://www.itu.int/osg/csd/intgov/resoultions_2010/programme2.pdf" TargetMode="External"/><Relationship Id="rId14" Type="http://schemas.openxmlformats.org/officeDocument/2006/relationships/hyperlink" Target="http://www.itu.int/pub/S-CONF-WCIT-2012/en" TargetMode="External"/><Relationship Id="rId22" Type="http://schemas.openxmlformats.org/officeDocument/2006/relationships/hyperlink" Target="https://www.itu.int/pub/T-RES-T.75-2016" TargetMode="External"/><Relationship Id="rId27" Type="http://schemas.openxmlformats.org/officeDocument/2006/relationships/hyperlink" Target="http://www.itu.int/md/S07-CL-C-0021/en" TargetMode="External"/><Relationship Id="rId30" Type="http://schemas.openxmlformats.org/officeDocument/2006/relationships/hyperlink" Target="http://www.itu.int/md/S10-CL-C-0012/en" TargetMode="External"/><Relationship Id="rId35" Type="http://schemas.openxmlformats.org/officeDocument/2006/relationships/hyperlink" Target="http://www.itu.int/md/S15-CL-C-0018/en" TargetMode="External"/><Relationship Id="rId43" Type="http://schemas.openxmlformats.org/officeDocument/2006/relationships/hyperlink" Target="https://www.itu.int/ITU-T/recommendations/rec.aspx?rec=12848" TargetMode="External"/><Relationship Id="rId48" Type="http://schemas.openxmlformats.org/officeDocument/2006/relationships/hyperlink" Target="https://www.itu.int/ITU-T/recommendations/rec.aspx?rec=13873" TargetMode="External"/><Relationship Id="rId56" Type="http://schemas.openxmlformats.org/officeDocument/2006/relationships/hyperlink" Target="https://www.itu.int/ITU-T/recommendations/rec.aspx?rec=13405" TargetMode="External"/><Relationship Id="rId64" Type="http://schemas.openxmlformats.org/officeDocument/2006/relationships/hyperlink" Target="https://www.itu.int/ITU-T/recommendations/rec.aspx?id=13731&amp;lang=en" TargetMode="External"/><Relationship Id="rId69" Type="http://schemas.openxmlformats.org/officeDocument/2006/relationships/hyperlink" Target="https://www.itu.int/en/ITU-T/Workshops-and-Seminars/20190121/Pages/default.aspx" TargetMode="External"/><Relationship Id="rId77" Type="http://schemas.openxmlformats.org/officeDocument/2006/relationships/hyperlink" Target="https://www.itu.int/en/ITU-D/Regional-Presence/CIS/Pages/EVENTS/2018/09_Baku/09_Baku.aspx" TargetMode="External"/><Relationship Id="rId100" Type="http://schemas.openxmlformats.org/officeDocument/2006/relationships/footer" Target="footer1.xml"/><Relationship Id="rId8" Type="http://schemas.openxmlformats.org/officeDocument/2006/relationships/hyperlink" Target="https://www.itu.int/en/council/Documents/basic-texts/RES-071-S.pdf" TargetMode="External"/><Relationship Id="rId51" Type="http://schemas.openxmlformats.org/officeDocument/2006/relationships/hyperlink" Target="https://www.itu.int/ITU-T/recommendations/rec.aspx?rec=13849" TargetMode="External"/><Relationship Id="rId72" Type="http://schemas.openxmlformats.org/officeDocument/2006/relationships/hyperlink" Target="https://www.itu.int/en/ITU-D/Cybersecurity/Pages/cyberdrills.aspx" TargetMode="External"/><Relationship Id="rId80" Type="http://schemas.openxmlformats.org/officeDocument/2006/relationships/hyperlink" Target="http://www.itu.int/en/ITU-D/Cybersecurity/Pages/Events.aspx" TargetMode="External"/><Relationship Id="rId85" Type="http://schemas.openxmlformats.org/officeDocument/2006/relationships/hyperlink" Target="https://www.itu.int/en/ITU-D/Regional-Presence/CIS/Pages/EVENTS/2018/04_Odessa/04_Odessa.aspx" TargetMode="External"/><Relationship Id="rId93" Type="http://schemas.openxmlformats.org/officeDocument/2006/relationships/hyperlink" Target="https://www.itu.int/en/ITU-D/Regional-Presence/Europe/Pages/cybervienna.aspx" TargetMode="External"/><Relationship Id="rId98" Type="http://schemas.openxmlformats.org/officeDocument/2006/relationships/hyperlink" Target="https://www.youtube.com/watch?v=SymYlZq5v1k&amp;feature=youtu.be" TargetMode="External"/><Relationship Id="rId3" Type="http://schemas.openxmlformats.org/officeDocument/2006/relationships/settings" Target="settings.xml"/><Relationship Id="rId12" Type="http://schemas.openxmlformats.org/officeDocument/2006/relationships/hyperlink" Target="https://www.itu.int/en/council/Documents/basic-texts/RES-179-S.pdf" TargetMode="External"/><Relationship Id="rId17" Type="http://schemas.openxmlformats.org/officeDocument/2006/relationships/hyperlink" Target="https://www.itu.int/md/D14-WTDC17-C-0115/en" TargetMode="External"/><Relationship Id="rId25" Type="http://schemas.openxmlformats.org/officeDocument/2006/relationships/hyperlink" Target="https://www.itu.int/md/S05-CL-INF-0010/en" TargetMode="External"/><Relationship Id="rId33" Type="http://schemas.openxmlformats.org/officeDocument/2006/relationships/hyperlink" Target="http://www.itu.int/md/S13-CL-C-0023/en" TargetMode="External"/><Relationship Id="rId38" Type="http://schemas.openxmlformats.org/officeDocument/2006/relationships/hyperlink" Target="https://www.itu.int/md/S18-CL-C-0018/en" TargetMode="External"/><Relationship Id="rId46" Type="http://schemas.openxmlformats.org/officeDocument/2006/relationships/hyperlink" Target="https://www.itu.int/ITU-T/recommendations/rec.aspx?rec=13872" TargetMode="External"/><Relationship Id="rId59" Type="http://schemas.openxmlformats.org/officeDocument/2006/relationships/hyperlink" Target="https://www.itu.int/ITU-T/recommendations/rec.aspx?rec=13406" TargetMode="External"/><Relationship Id="rId67" Type="http://schemas.openxmlformats.org/officeDocument/2006/relationships/hyperlink" Target="https://www.itu.int/en/ITU-T/Workshops-and-Seminars/20180319/Pages/default.aspx" TargetMode="External"/><Relationship Id="rId103" Type="http://schemas.openxmlformats.org/officeDocument/2006/relationships/theme" Target="theme/theme1.xml"/><Relationship Id="rId20" Type="http://schemas.openxmlformats.org/officeDocument/2006/relationships/hyperlink" Target="https://www.itu.int/pub/T-RES-T.50-2016" TargetMode="External"/><Relationship Id="rId41" Type="http://schemas.openxmlformats.org/officeDocument/2006/relationships/hyperlink" Target="http://www.itu.int/en/ITU-T/studygroups/2017-2020/17/Pages/default.aspx" TargetMode="External"/><Relationship Id="rId54" Type="http://schemas.openxmlformats.org/officeDocument/2006/relationships/hyperlink" Target="https://www.itu.int/ITU-T/recommendations/rec.aspx?rec=13727" TargetMode="External"/><Relationship Id="rId62" Type="http://schemas.openxmlformats.org/officeDocument/2006/relationships/hyperlink" Target="https://www.itu.int/ITU-T/recommendations/rec.aspx?id=13411&amp;lang=en" TargetMode="External"/><Relationship Id="rId70" Type="http://schemas.openxmlformats.org/officeDocument/2006/relationships/hyperlink" Target="https://www.itu.int/en/ITU-T/studygroups/2017-2020/17/Pages/Secure%20quantum%20communication.aspx" TargetMode="External"/><Relationship Id="rId75" Type="http://schemas.openxmlformats.org/officeDocument/2006/relationships/hyperlink" Target="https://www.itu.int/en/ITU-D/Regional-Presence/ArabStates/Pages/Events/2018/Cyber/Cyber.aspx" TargetMode="External"/><Relationship Id="rId83" Type="http://schemas.openxmlformats.org/officeDocument/2006/relationships/hyperlink" Target="https://www.itu.int/en/ITU-D/Regional-Presence/AsiaPacific/Pages/Events/2018/CybersecurityASPCOE/cybersecurity.aspx" TargetMode="External"/><Relationship Id="rId88" Type="http://schemas.openxmlformats.org/officeDocument/2006/relationships/hyperlink" Target="https://www.itu.int/net4/wsis/forum/2019/" TargetMode="External"/><Relationship Id="rId91" Type="http://schemas.openxmlformats.org/officeDocument/2006/relationships/hyperlink" Target="https://www.itu.int/en/ITU-D/Regional-Presence/Europe/Pages/Events/2018/CERT-ROForum/default.aspx" TargetMode="External"/><Relationship Id="rId96" Type="http://schemas.openxmlformats.org/officeDocument/2006/relationships/hyperlink" Target="https://www.itu.int/en/ITU-D/Regional-Presence/Europe/Pages/Events/2018/COP/default.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5-CL-C-0109/en" TargetMode="External"/><Relationship Id="rId23" Type="http://schemas.openxmlformats.org/officeDocument/2006/relationships/hyperlink" Target="https://www.itu.int/pub/T-RES-T.58-2016" TargetMode="External"/><Relationship Id="rId28" Type="http://schemas.openxmlformats.org/officeDocument/2006/relationships/hyperlink" Target="http://www.itu.int/md/S08-CL-C-0033/en" TargetMode="External"/><Relationship Id="rId36" Type="http://schemas.openxmlformats.org/officeDocument/2006/relationships/hyperlink" Target="https://www.itu.int/md/S16-CL-C-0018/en" TargetMode="External"/><Relationship Id="rId49" Type="http://schemas.openxmlformats.org/officeDocument/2006/relationships/hyperlink" Target="https://www.itu.int/ITU-T/recommendations/rec.aspx?rec=13726" TargetMode="External"/><Relationship Id="rId57" Type="http://schemas.openxmlformats.org/officeDocument/2006/relationships/hyperlink" Target="https://www.itu.int/ITU-T/recommendations/rec.aspx?rec=13607" TargetMode="External"/><Relationship Id="rId10" Type="http://schemas.openxmlformats.org/officeDocument/2006/relationships/hyperlink" Target="https://www.itu.int/en/council/Documents/basic-texts/RES-140-S.pdf" TargetMode="External"/><Relationship Id="rId31" Type="http://schemas.openxmlformats.org/officeDocument/2006/relationships/hyperlink" Target="http://www.itu.int/md/S11-CL-C-0054/en" TargetMode="External"/><Relationship Id="rId44" Type="http://schemas.openxmlformats.org/officeDocument/2006/relationships/hyperlink" Target="https://www.itu.int/ITU-T/recommendations/rec.aspx?rec=13603" TargetMode="External"/><Relationship Id="rId52" Type="http://schemas.openxmlformats.org/officeDocument/2006/relationships/hyperlink" Target="https://www.itu.int/ITU-T/recommendations/rec.aspx?rec=13605" TargetMode="External"/><Relationship Id="rId60" Type="http://schemas.openxmlformats.org/officeDocument/2006/relationships/hyperlink" Target="https://www.itu.int/ITU-T/recommendations/rec.aspx?id=13730&amp;lang=en" TargetMode="External"/><Relationship Id="rId65" Type="http://schemas.openxmlformats.org/officeDocument/2006/relationships/hyperlink" Target="https://www.itu.int/ITU-T/recommendations/rec.aspx?id=13869&amp;lang=en" TargetMode="External"/><Relationship Id="rId73" Type="http://schemas.openxmlformats.org/officeDocument/2006/relationships/hyperlink" Target="https://www.itu.int/en/ITU-D/Cybersecurity/Pages/IvoryCoastcyberdrill2018.aspx" TargetMode="External"/><Relationship Id="rId78" Type="http://schemas.openxmlformats.org/officeDocument/2006/relationships/hyperlink" Target="https://www.itu.int/en/ITU-D/Regional-Presence/Europe/Pages/Events/2019/CyberDrill/ITU-Cyber-Drill-for-Europe-Region-.aspx" TargetMode="External"/><Relationship Id="rId81" Type="http://schemas.openxmlformats.org/officeDocument/2006/relationships/hyperlink" Target="http://www.itu.int/net4/ITU-D/CDS/sg/rgqlist.asp?lg=1&amp;sp=2014&amp;rgq=D14-SG02-RGQ03.2&amp;stg=2" TargetMode="External"/><Relationship Id="rId86" Type="http://schemas.openxmlformats.org/officeDocument/2006/relationships/hyperlink" Target="http://www.itu.int/en/ITU-D/Cybersecurity/Pages/partnership.aspx" TargetMode="External"/><Relationship Id="rId94" Type="http://schemas.openxmlformats.org/officeDocument/2006/relationships/hyperlink" Target="https://www.itu.int/en/ITU-D/Regional-Presence/Europe/Pages/Events/2018/NECOP/default.aspxhttps:/www.itu.int/en/ITU-D/Regional-Presence/Europe/Pages/Events/2018/NECOP/default.aspx"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130-S.pdf" TargetMode="External"/><Relationship Id="rId13" Type="http://schemas.openxmlformats.org/officeDocument/2006/relationships/hyperlink" Target="https://www.itu.int/en/council/Documents/basic-texts/RES-181-S.pdf" TargetMode="External"/><Relationship Id="rId18" Type="http://schemas.openxmlformats.org/officeDocument/2006/relationships/hyperlink" Target="https://www.itu.int/md/D14-WTDC17-C-0115/en" TargetMode="External"/><Relationship Id="rId39" Type="http://schemas.openxmlformats.org/officeDocument/2006/relationships/hyperlink" Target="http://www.itu.int/en/action/cybersecurity/Pages/gca.aspx" TargetMode="External"/><Relationship Id="rId34" Type="http://schemas.openxmlformats.org/officeDocument/2006/relationships/hyperlink" Target="http://www.itu.int/md/S14-CL-C-0023/en" TargetMode="External"/><Relationship Id="rId50" Type="http://schemas.openxmlformats.org/officeDocument/2006/relationships/hyperlink" Target="https://www.itu.int/ITU-T/recommendations/rec.aspx?rec=13404" TargetMode="External"/><Relationship Id="rId55" Type="http://schemas.openxmlformats.org/officeDocument/2006/relationships/hyperlink" Target="https://www.itu.int/ITU-T/recommendations/rec.aspx?rec=13728" TargetMode="External"/><Relationship Id="rId76" Type="http://schemas.openxmlformats.org/officeDocument/2006/relationships/hyperlink" Target="https://www.itu.int/en/ITU-D/Regional-Presence/Europe/Pages/Events/2018/CYBDRILL/ITU-ALERT-Cyber-drill.aspx" TargetMode="External"/><Relationship Id="rId97" Type="http://schemas.openxmlformats.org/officeDocument/2006/relationships/hyperlink" Target="https://www.itu.int/en/ITU-D/Regional-Presence/Europe/Pages/Events/2019/SID/Safer-Internet-Day-2019.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6</Pages>
  <Words>3667</Words>
  <Characters>20904</Characters>
  <Application>Microsoft Office Word</Application>
  <DocSecurity>0</DocSecurity>
  <Lines>174</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Actividades de la UIT sobre el fortalecimiento de su papel en la creación de confianza y seguridad en la utilización de las tecnologías de la información y la comunicación</vt:lpstr>
    </vt:vector>
  </TitlesOfParts>
  <Manager>Secretaría General - Pool</Manager>
  <Company>Unión Internacional de Telecomunicaciones (UIT)</Company>
  <LinksUpToDate>false</LinksUpToDate>
  <CharactersWithSpaces>24522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sobre el fortalecimiento de su papel en la creación de confianza y seguridad en la utilización de las tecnologías de la información y la comunicación</dc:title>
  <dc:subject>Consejo 2019</dc:subject>
  <dc:creator>Santiago, Genoveva</dc:creator>
  <cp:keywords>C2019, C19</cp:keywords>
  <dc:description/>
  <cp:lastModifiedBy>Brouard, Ricarda</cp:lastModifiedBy>
  <cp:revision>2</cp:revision>
  <cp:lastPrinted>2019-05-13T09:25:00Z</cp:lastPrinted>
  <dcterms:created xsi:type="dcterms:W3CDTF">2019-05-13T14:10:00Z</dcterms:created>
  <dcterms:modified xsi:type="dcterms:W3CDTF">2019-05-13T14:10:00Z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