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2D849D05" w14:textId="77777777">
        <w:trPr>
          <w:cantSplit/>
        </w:trPr>
        <w:tc>
          <w:tcPr>
            <w:tcW w:w="6912" w:type="dxa"/>
          </w:tcPr>
          <w:p w14:paraId="025C1674" w14:textId="77777777" w:rsidR="00520F36" w:rsidRPr="0092392D" w:rsidRDefault="00520F36" w:rsidP="00C2000B">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14:paraId="21D618DD" w14:textId="77777777" w:rsidR="00520F36" w:rsidRPr="0092392D" w:rsidRDefault="00520F36" w:rsidP="00C2000B">
            <w:pPr>
              <w:spacing w:before="0"/>
              <w:jc w:val="right"/>
              <w:rPr>
                <w:lang w:val="fr-CH"/>
              </w:rPr>
            </w:pPr>
            <w:bookmarkStart w:id="1" w:name="ditulogo"/>
            <w:bookmarkEnd w:id="1"/>
            <w:r w:rsidRPr="00520F36">
              <w:rPr>
                <w:rFonts w:cstheme="minorHAnsi"/>
                <w:b/>
                <w:bCs/>
                <w:noProof/>
                <w:lang w:val="fr-CH" w:eastAsia="zh-CN"/>
              </w:rPr>
              <w:drawing>
                <wp:inline distT="0" distB="0" distL="0" distR="0" wp14:anchorId="1312C472" wp14:editId="52071577">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14:paraId="032AC4F5" w14:textId="77777777" w:rsidTr="00E66E9D">
        <w:trPr>
          <w:cantSplit/>
          <w:trHeight w:val="20"/>
        </w:trPr>
        <w:tc>
          <w:tcPr>
            <w:tcW w:w="6912" w:type="dxa"/>
            <w:tcBorders>
              <w:bottom w:val="single" w:sz="12" w:space="0" w:color="auto"/>
            </w:tcBorders>
            <w:vAlign w:val="center"/>
          </w:tcPr>
          <w:p w14:paraId="5388A547" w14:textId="77777777" w:rsidR="00520F36" w:rsidRPr="00361350" w:rsidRDefault="00520F36" w:rsidP="00C2000B">
            <w:pPr>
              <w:spacing w:before="0"/>
              <w:rPr>
                <w:b/>
                <w:bCs/>
                <w:sz w:val="26"/>
                <w:szCs w:val="26"/>
                <w:lang w:val="fr-CH"/>
              </w:rPr>
            </w:pPr>
          </w:p>
        </w:tc>
        <w:tc>
          <w:tcPr>
            <w:tcW w:w="3261" w:type="dxa"/>
            <w:tcBorders>
              <w:bottom w:val="single" w:sz="12" w:space="0" w:color="auto"/>
            </w:tcBorders>
          </w:tcPr>
          <w:p w14:paraId="3C39742D" w14:textId="77777777" w:rsidR="00520F36" w:rsidRPr="0092392D" w:rsidRDefault="00520F36" w:rsidP="00C2000B">
            <w:pPr>
              <w:spacing w:before="0"/>
              <w:rPr>
                <w:b/>
                <w:bCs/>
              </w:rPr>
            </w:pPr>
          </w:p>
        </w:tc>
      </w:tr>
      <w:tr w:rsidR="00520F36" w:rsidRPr="0092392D" w14:paraId="26792744" w14:textId="77777777">
        <w:trPr>
          <w:cantSplit/>
          <w:trHeight w:val="20"/>
        </w:trPr>
        <w:tc>
          <w:tcPr>
            <w:tcW w:w="6912" w:type="dxa"/>
            <w:tcBorders>
              <w:top w:val="single" w:sz="12" w:space="0" w:color="auto"/>
            </w:tcBorders>
          </w:tcPr>
          <w:p w14:paraId="1AD29FFB" w14:textId="77777777" w:rsidR="00520F36" w:rsidRPr="0092392D" w:rsidRDefault="00520F36" w:rsidP="00C2000B">
            <w:pPr>
              <w:spacing w:before="0"/>
              <w:rPr>
                <w:smallCaps/>
                <w:sz w:val="22"/>
                <w:lang w:val="fr-CH"/>
              </w:rPr>
            </w:pPr>
          </w:p>
        </w:tc>
        <w:tc>
          <w:tcPr>
            <w:tcW w:w="3261" w:type="dxa"/>
            <w:tcBorders>
              <w:top w:val="single" w:sz="12" w:space="0" w:color="auto"/>
            </w:tcBorders>
          </w:tcPr>
          <w:p w14:paraId="1D5023C6" w14:textId="77777777" w:rsidR="00520F36" w:rsidRPr="0092392D" w:rsidRDefault="00520F36" w:rsidP="00C2000B">
            <w:pPr>
              <w:spacing w:before="0"/>
              <w:rPr>
                <w:b/>
                <w:bCs/>
              </w:rPr>
            </w:pPr>
          </w:p>
        </w:tc>
      </w:tr>
      <w:tr w:rsidR="00520F36" w:rsidRPr="0092392D" w14:paraId="5590BBA1" w14:textId="77777777">
        <w:trPr>
          <w:cantSplit/>
          <w:trHeight w:val="20"/>
        </w:trPr>
        <w:tc>
          <w:tcPr>
            <w:tcW w:w="6912" w:type="dxa"/>
            <w:vMerge w:val="restart"/>
          </w:tcPr>
          <w:p w14:paraId="10E4285C" w14:textId="77777777" w:rsidR="00520F36" w:rsidRPr="00520F36" w:rsidRDefault="00D3795F" w:rsidP="00C2000B">
            <w:pPr>
              <w:spacing w:before="0"/>
              <w:rPr>
                <w:rFonts w:cs="Times"/>
                <w:b/>
                <w:bCs/>
                <w:szCs w:val="24"/>
                <w:lang w:val="fr-CH"/>
              </w:rPr>
            </w:pPr>
            <w:bookmarkStart w:id="2" w:name="dnum" w:colFirst="1" w:colLast="1"/>
            <w:bookmarkStart w:id="3" w:name="dmeeting" w:colFirst="0" w:colLast="0"/>
            <w:r w:rsidRPr="00271E37">
              <w:rPr>
                <w:rFonts w:cs="Times"/>
                <w:b/>
                <w:bCs/>
                <w:szCs w:val="24"/>
              </w:rPr>
              <w:t>Point de l</w:t>
            </w:r>
            <w:r>
              <w:rPr>
                <w:rFonts w:cs="Times"/>
                <w:b/>
                <w:bCs/>
                <w:szCs w:val="24"/>
              </w:rPr>
              <w:t>'</w:t>
            </w:r>
            <w:r w:rsidRPr="00271E37">
              <w:rPr>
                <w:rFonts w:cs="Times"/>
                <w:b/>
                <w:bCs/>
                <w:szCs w:val="24"/>
              </w:rPr>
              <w:t xml:space="preserve">ordre du jour: </w:t>
            </w:r>
            <w:r>
              <w:rPr>
                <w:rFonts w:cs="Times"/>
                <w:b/>
                <w:bCs/>
                <w:szCs w:val="24"/>
              </w:rPr>
              <w:t>ADM 1</w:t>
            </w:r>
          </w:p>
        </w:tc>
        <w:tc>
          <w:tcPr>
            <w:tcW w:w="3261" w:type="dxa"/>
          </w:tcPr>
          <w:p w14:paraId="1BECFDEF" w14:textId="77777777" w:rsidR="00D3795F" w:rsidRDefault="00D3795F" w:rsidP="00C2000B">
            <w:pPr>
              <w:spacing w:before="0"/>
              <w:rPr>
                <w:b/>
                <w:bCs/>
              </w:rPr>
            </w:pPr>
            <w:r>
              <w:rPr>
                <w:b/>
                <w:bCs/>
              </w:rPr>
              <w:t>Addendum 1 au</w:t>
            </w:r>
          </w:p>
          <w:p w14:paraId="6DD66940" w14:textId="77777777" w:rsidR="00520F36" w:rsidRPr="00520F36" w:rsidRDefault="00520F36" w:rsidP="00C2000B">
            <w:pPr>
              <w:spacing w:before="0"/>
              <w:rPr>
                <w:b/>
                <w:bCs/>
              </w:rPr>
            </w:pPr>
            <w:r>
              <w:rPr>
                <w:b/>
                <w:bCs/>
              </w:rPr>
              <w:t>Document C1</w:t>
            </w:r>
            <w:r w:rsidR="00106B19">
              <w:rPr>
                <w:b/>
                <w:bCs/>
              </w:rPr>
              <w:t>9</w:t>
            </w:r>
            <w:r>
              <w:rPr>
                <w:b/>
                <w:bCs/>
              </w:rPr>
              <w:t>/</w:t>
            </w:r>
            <w:r w:rsidR="00D3795F">
              <w:rPr>
                <w:b/>
                <w:bCs/>
              </w:rPr>
              <w:t>15</w:t>
            </w:r>
            <w:r>
              <w:rPr>
                <w:b/>
                <w:bCs/>
              </w:rPr>
              <w:t>-F</w:t>
            </w:r>
          </w:p>
        </w:tc>
      </w:tr>
      <w:tr w:rsidR="00520F36" w:rsidRPr="0092392D" w14:paraId="349017A3" w14:textId="77777777">
        <w:trPr>
          <w:cantSplit/>
          <w:trHeight w:val="20"/>
        </w:trPr>
        <w:tc>
          <w:tcPr>
            <w:tcW w:w="6912" w:type="dxa"/>
            <w:vMerge/>
          </w:tcPr>
          <w:p w14:paraId="2C7AE13D" w14:textId="77777777" w:rsidR="00520F36" w:rsidRPr="0092392D" w:rsidRDefault="00520F36" w:rsidP="00C2000B">
            <w:pPr>
              <w:shd w:val="solid" w:color="FFFFFF" w:fill="FFFFFF"/>
              <w:spacing w:before="180"/>
              <w:rPr>
                <w:smallCaps/>
                <w:lang w:val="fr-CH"/>
              </w:rPr>
            </w:pPr>
            <w:bookmarkStart w:id="4" w:name="ddate" w:colFirst="1" w:colLast="1"/>
            <w:bookmarkEnd w:id="2"/>
            <w:bookmarkEnd w:id="3"/>
          </w:p>
        </w:tc>
        <w:tc>
          <w:tcPr>
            <w:tcW w:w="3261" w:type="dxa"/>
          </w:tcPr>
          <w:p w14:paraId="011F9B29" w14:textId="77777777" w:rsidR="00520F36" w:rsidRPr="00520F36" w:rsidRDefault="00D3795F" w:rsidP="00C2000B">
            <w:pPr>
              <w:spacing w:before="0"/>
              <w:rPr>
                <w:b/>
                <w:bCs/>
              </w:rPr>
            </w:pPr>
            <w:r>
              <w:rPr>
                <w:b/>
                <w:bCs/>
              </w:rPr>
              <w:t>22 mai</w:t>
            </w:r>
            <w:r w:rsidR="00520F36">
              <w:rPr>
                <w:b/>
                <w:bCs/>
              </w:rPr>
              <w:t xml:space="preserve"> 201</w:t>
            </w:r>
            <w:r w:rsidR="00106B19">
              <w:rPr>
                <w:b/>
                <w:bCs/>
              </w:rPr>
              <w:t>9</w:t>
            </w:r>
          </w:p>
        </w:tc>
      </w:tr>
      <w:tr w:rsidR="00520F36" w:rsidRPr="0092392D" w14:paraId="302CAA06" w14:textId="77777777">
        <w:trPr>
          <w:cantSplit/>
          <w:trHeight w:val="20"/>
        </w:trPr>
        <w:tc>
          <w:tcPr>
            <w:tcW w:w="6912" w:type="dxa"/>
            <w:vMerge/>
          </w:tcPr>
          <w:p w14:paraId="16E79459" w14:textId="77777777" w:rsidR="00520F36" w:rsidRPr="0092392D" w:rsidRDefault="00520F36" w:rsidP="00C2000B">
            <w:pPr>
              <w:shd w:val="solid" w:color="FFFFFF" w:fill="FFFFFF"/>
              <w:spacing w:before="180"/>
              <w:rPr>
                <w:smallCaps/>
                <w:lang w:val="fr-CH"/>
              </w:rPr>
            </w:pPr>
            <w:bookmarkStart w:id="5" w:name="dorlang" w:colFirst="1" w:colLast="1"/>
            <w:bookmarkEnd w:id="4"/>
          </w:p>
        </w:tc>
        <w:tc>
          <w:tcPr>
            <w:tcW w:w="3261" w:type="dxa"/>
          </w:tcPr>
          <w:p w14:paraId="4D32C7ED" w14:textId="77777777" w:rsidR="00520F36" w:rsidRPr="00520F36" w:rsidRDefault="00520F36" w:rsidP="00C2000B">
            <w:pPr>
              <w:spacing w:before="0"/>
              <w:rPr>
                <w:b/>
                <w:bCs/>
              </w:rPr>
            </w:pPr>
            <w:r>
              <w:rPr>
                <w:b/>
                <w:bCs/>
              </w:rPr>
              <w:t>Original: anglais</w:t>
            </w:r>
          </w:p>
        </w:tc>
      </w:tr>
      <w:tr w:rsidR="00520F36" w:rsidRPr="0092392D" w14:paraId="1BA9F0CB" w14:textId="77777777">
        <w:trPr>
          <w:cantSplit/>
        </w:trPr>
        <w:tc>
          <w:tcPr>
            <w:tcW w:w="10173" w:type="dxa"/>
            <w:gridSpan w:val="2"/>
          </w:tcPr>
          <w:p w14:paraId="3C837EF2" w14:textId="77777777" w:rsidR="00520F36" w:rsidRPr="0092392D" w:rsidRDefault="00D3795F" w:rsidP="00C2000B">
            <w:pPr>
              <w:pStyle w:val="Source"/>
            </w:pPr>
            <w:bookmarkStart w:id="6" w:name="dsource" w:colFirst="0" w:colLast="0"/>
            <w:bookmarkEnd w:id="5"/>
            <w:r w:rsidRPr="000C7E94">
              <w:t>Rapport du Secrétaire général</w:t>
            </w:r>
          </w:p>
        </w:tc>
      </w:tr>
      <w:tr w:rsidR="00520F36" w:rsidRPr="0092392D" w14:paraId="2138D563" w14:textId="77777777">
        <w:trPr>
          <w:cantSplit/>
        </w:trPr>
        <w:tc>
          <w:tcPr>
            <w:tcW w:w="10173" w:type="dxa"/>
            <w:gridSpan w:val="2"/>
          </w:tcPr>
          <w:p w14:paraId="61875E48" w14:textId="77777777" w:rsidR="00520F36" w:rsidRPr="0092392D" w:rsidRDefault="00D3795F" w:rsidP="00C2000B">
            <w:pPr>
              <w:pStyle w:val="Title1"/>
            </w:pPr>
            <w:bookmarkStart w:id="7" w:name="dtitle1" w:colFirst="0" w:colLast="0"/>
            <w:bookmarkEnd w:id="6"/>
            <w:r w:rsidRPr="00800261">
              <w:t xml:space="preserve">PROJET DE BUDGET DE L'UNION POUR </w:t>
            </w:r>
            <w:r>
              <w:t>2020-2021</w:t>
            </w:r>
          </w:p>
        </w:tc>
      </w:tr>
      <w:bookmarkEnd w:id="7"/>
    </w:tbl>
    <w:p w14:paraId="1C5EF9A7" w14:textId="77777777" w:rsidR="00520F36" w:rsidRPr="0092392D" w:rsidRDefault="00520F36" w:rsidP="00C2000B">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14:paraId="402E1912" w14:textId="77777777" w:rsidTr="00C2000B">
        <w:trPr>
          <w:trHeight w:val="2507"/>
        </w:trPr>
        <w:tc>
          <w:tcPr>
            <w:tcW w:w="8080" w:type="dxa"/>
            <w:tcBorders>
              <w:top w:val="single" w:sz="12" w:space="0" w:color="auto"/>
              <w:left w:val="single" w:sz="12" w:space="0" w:color="auto"/>
              <w:bottom w:val="single" w:sz="12" w:space="0" w:color="auto"/>
              <w:right w:val="single" w:sz="12" w:space="0" w:color="auto"/>
            </w:tcBorders>
          </w:tcPr>
          <w:p w14:paraId="029C4879" w14:textId="77777777" w:rsidR="00520F36" w:rsidRPr="0092392D" w:rsidRDefault="00520F36" w:rsidP="00C2000B">
            <w:pPr>
              <w:pStyle w:val="Headingb"/>
              <w:rPr>
                <w:lang w:val="fr-CH"/>
              </w:rPr>
            </w:pPr>
            <w:r w:rsidRPr="0092392D">
              <w:rPr>
                <w:lang w:val="fr-CH"/>
              </w:rPr>
              <w:t>Résumé</w:t>
            </w:r>
          </w:p>
          <w:p w14:paraId="40950467" w14:textId="77777777" w:rsidR="00D3795F" w:rsidRPr="00800261" w:rsidRDefault="00E66E9D" w:rsidP="00C2000B">
            <w:pPr>
              <w:rPr>
                <w:lang w:val="fr-CH"/>
              </w:rPr>
            </w:pPr>
            <w:r>
              <w:rPr>
                <w:lang w:val="fr-CH"/>
              </w:rPr>
              <w:t xml:space="preserve">Le </w:t>
            </w:r>
            <w:r w:rsidR="00D3795F">
              <w:rPr>
                <w:lang w:val="fr-CH"/>
              </w:rPr>
              <w:t xml:space="preserve">rapport </w:t>
            </w:r>
            <w:r>
              <w:rPr>
                <w:lang w:val="fr-CH"/>
              </w:rPr>
              <w:t xml:space="preserve">ci-après </w:t>
            </w:r>
            <w:r w:rsidR="00D3795F">
              <w:rPr>
                <w:lang w:val="fr-CH"/>
              </w:rPr>
              <w:t>est présenté</w:t>
            </w:r>
            <w:r w:rsidR="00D3795F" w:rsidRPr="00800261">
              <w:rPr>
                <w:lang w:val="fr-CH"/>
              </w:rPr>
              <w:t xml:space="preserve"> pour </w:t>
            </w:r>
            <w:r w:rsidR="00D3795F">
              <w:rPr>
                <w:lang w:val="fr-CH"/>
              </w:rPr>
              <w:t xml:space="preserve">information générale </w:t>
            </w:r>
            <w:r>
              <w:rPr>
                <w:lang w:val="fr-CH"/>
              </w:rPr>
              <w:t>dans</w:t>
            </w:r>
            <w:r w:rsidR="00D3795F">
              <w:rPr>
                <w:lang w:val="fr-CH"/>
              </w:rPr>
              <w:t xml:space="preserve"> l'A</w:t>
            </w:r>
            <w:r w:rsidR="00D3795F" w:rsidRPr="00800261">
              <w:rPr>
                <w:lang w:val="fr-CH"/>
              </w:rPr>
              <w:t xml:space="preserve">ddendum </w:t>
            </w:r>
            <w:r w:rsidR="00D3795F">
              <w:rPr>
                <w:lang w:val="fr-CH"/>
              </w:rPr>
              <w:t xml:space="preserve">1 </w:t>
            </w:r>
            <w:r w:rsidR="00D3795F" w:rsidRPr="00800261">
              <w:rPr>
                <w:lang w:val="fr-CH"/>
              </w:rPr>
              <w:t>au Document C1</w:t>
            </w:r>
            <w:r w:rsidR="00D3795F">
              <w:rPr>
                <w:lang w:val="fr-CH"/>
              </w:rPr>
              <w:t>9</w:t>
            </w:r>
            <w:r w:rsidR="00D3795F" w:rsidRPr="00800261">
              <w:rPr>
                <w:lang w:val="fr-CH"/>
              </w:rPr>
              <w:t>/1</w:t>
            </w:r>
            <w:r w:rsidR="00D3795F">
              <w:rPr>
                <w:lang w:val="fr-CH"/>
              </w:rPr>
              <w:t>5</w:t>
            </w:r>
            <w:r w:rsidR="00D3795F" w:rsidRPr="00800261">
              <w:rPr>
                <w:lang w:val="fr-CH"/>
              </w:rPr>
              <w:t>:</w:t>
            </w:r>
          </w:p>
          <w:p w14:paraId="2FD6B0F9" w14:textId="77777777" w:rsidR="00D3795F" w:rsidRPr="00800261" w:rsidRDefault="00D3795F" w:rsidP="00C2000B">
            <w:pPr>
              <w:rPr>
                <w:lang w:val="fr-CH"/>
              </w:rPr>
            </w:pPr>
            <w:r w:rsidRPr="00800261">
              <w:rPr>
                <w:lang w:val="fr-CH"/>
              </w:rPr>
              <w:tab/>
              <w:t xml:space="preserve">Budget du </w:t>
            </w:r>
            <w:r w:rsidR="00E66E9D">
              <w:rPr>
                <w:lang w:val="fr-CH"/>
              </w:rPr>
              <w:t>s</w:t>
            </w:r>
            <w:r w:rsidRPr="00800261">
              <w:rPr>
                <w:lang w:val="fr-CH"/>
              </w:rPr>
              <w:t xml:space="preserve">ecrétariat d'ITU Telecom pour l'exercice </w:t>
            </w:r>
            <w:r>
              <w:rPr>
                <w:lang w:val="fr-CH"/>
              </w:rPr>
              <w:t>2020-2021</w:t>
            </w:r>
          </w:p>
          <w:p w14:paraId="5A500ADC" w14:textId="77777777" w:rsidR="00D3795F" w:rsidRPr="00800261" w:rsidRDefault="00D3795F" w:rsidP="00C2000B">
            <w:pPr>
              <w:rPr>
                <w:b/>
                <w:lang w:val="fr-CH"/>
              </w:rPr>
            </w:pPr>
            <w:r w:rsidRPr="00800261">
              <w:rPr>
                <w:b/>
                <w:lang w:val="fr-CH"/>
              </w:rPr>
              <w:t>Suite à donner</w:t>
            </w:r>
          </w:p>
          <w:p w14:paraId="4BBD81EC" w14:textId="77777777" w:rsidR="00520F36" w:rsidRPr="0092392D" w:rsidRDefault="00D3795F" w:rsidP="00C2000B">
            <w:pPr>
              <w:spacing w:after="120"/>
              <w:rPr>
                <w:i/>
                <w:iCs/>
                <w:lang w:val="fr-CH"/>
              </w:rPr>
            </w:pPr>
            <w:r w:rsidRPr="00800261">
              <w:t xml:space="preserve">Le Conseil est prié de </w:t>
            </w:r>
            <w:r w:rsidRPr="00800261">
              <w:rPr>
                <w:b/>
                <w:bCs/>
              </w:rPr>
              <w:t xml:space="preserve">prendre note </w:t>
            </w:r>
            <w:r w:rsidRPr="00800261">
              <w:t>du présent document.</w:t>
            </w:r>
          </w:p>
        </w:tc>
      </w:tr>
    </w:tbl>
    <w:p w14:paraId="43849551" w14:textId="77777777" w:rsidR="00D3795F" w:rsidRPr="002D2E33" w:rsidRDefault="00D3795F" w:rsidP="00D263C7">
      <w:pPr>
        <w:spacing w:before="600"/>
        <w:rPr>
          <w:rFonts w:eastAsia="MS Mincho"/>
          <w:szCs w:val="24"/>
          <w:lang w:eastAsia="ja-JP"/>
        </w:rPr>
      </w:pPr>
      <w:r w:rsidRPr="002D2E33">
        <w:rPr>
          <w:szCs w:val="24"/>
        </w:rPr>
        <w:t>1</w:t>
      </w:r>
      <w:r w:rsidRPr="002D2E33">
        <w:rPr>
          <w:szCs w:val="24"/>
        </w:rPr>
        <w:tab/>
      </w:r>
      <w:r>
        <w:rPr>
          <w:rFonts w:eastAsia="MS Mincho"/>
          <w:szCs w:val="24"/>
          <w:lang w:eastAsia="ja-JP"/>
        </w:rPr>
        <w:t xml:space="preserve">Le budget du </w:t>
      </w:r>
      <w:r w:rsidR="00E66E9D">
        <w:rPr>
          <w:rFonts w:eastAsia="MS Mincho"/>
          <w:szCs w:val="24"/>
          <w:lang w:eastAsia="ja-JP"/>
        </w:rPr>
        <w:t>s</w:t>
      </w:r>
      <w:r w:rsidRPr="002D2E33">
        <w:rPr>
          <w:rFonts w:eastAsia="MS Mincho"/>
          <w:szCs w:val="24"/>
          <w:lang w:eastAsia="ja-JP"/>
        </w:rPr>
        <w:t>ecrétariat d</w:t>
      </w:r>
      <w:r>
        <w:rPr>
          <w:rFonts w:eastAsia="MS Mincho"/>
          <w:szCs w:val="24"/>
          <w:lang w:eastAsia="ja-JP"/>
        </w:rPr>
        <w:t>'</w:t>
      </w:r>
      <w:r w:rsidRPr="002D2E33">
        <w:rPr>
          <w:rFonts w:eastAsia="MS Mincho"/>
          <w:szCs w:val="24"/>
          <w:lang w:eastAsia="ja-JP"/>
        </w:rPr>
        <w:t>ITU T</w:t>
      </w:r>
      <w:r>
        <w:rPr>
          <w:rFonts w:eastAsia="MS Mincho"/>
          <w:szCs w:val="24"/>
          <w:lang w:eastAsia="ja-JP"/>
        </w:rPr>
        <w:t xml:space="preserve">elecom est établi de façon à affecter des crédits </w:t>
      </w:r>
      <w:r w:rsidRPr="002D2E33">
        <w:rPr>
          <w:rFonts w:eastAsia="MS Mincho"/>
          <w:szCs w:val="24"/>
          <w:lang w:eastAsia="ja-JP"/>
        </w:rPr>
        <w:t>pour couvrir les</w:t>
      </w:r>
      <w:r>
        <w:rPr>
          <w:rFonts w:eastAsia="MS Mincho"/>
          <w:szCs w:val="24"/>
          <w:lang w:eastAsia="ja-JP"/>
        </w:rPr>
        <w:t xml:space="preserve"> charge</w:t>
      </w:r>
      <w:r w:rsidRPr="002D2E33">
        <w:rPr>
          <w:rFonts w:eastAsia="MS Mincho"/>
          <w:szCs w:val="24"/>
          <w:lang w:eastAsia="ja-JP"/>
        </w:rPr>
        <w:t xml:space="preserve">s </w:t>
      </w:r>
      <w:r>
        <w:rPr>
          <w:rFonts w:eastAsia="MS Mincho"/>
          <w:szCs w:val="24"/>
          <w:lang w:eastAsia="ja-JP"/>
        </w:rPr>
        <w:t>estimées du</w:t>
      </w:r>
      <w:r w:rsidRPr="002D2E33">
        <w:rPr>
          <w:rFonts w:eastAsia="MS Mincho"/>
          <w:szCs w:val="24"/>
          <w:lang w:eastAsia="ja-JP"/>
        </w:rPr>
        <w:t xml:space="preserve"> </w:t>
      </w:r>
      <w:r w:rsidR="00E66E9D">
        <w:rPr>
          <w:rFonts w:eastAsia="MS Mincho"/>
          <w:szCs w:val="24"/>
          <w:lang w:eastAsia="ja-JP"/>
        </w:rPr>
        <w:t>s</w:t>
      </w:r>
      <w:r w:rsidRPr="002D2E33">
        <w:rPr>
          <w:rFonts w:eastAsia="MS Mincho"/>
          <w:szCs w:val="24"/>
          <w:lang w:eastAsia="ja-JP"/>
        </w:rPr>
        <w:t>ecrétariat d</w:t>
      </w:r>
      <w:r>
        <w:rPr>
          <w:rFonts w:eastAsia="MS Mincho"/>
          <w:szCs w:val="24"/>
          <w:lang w:eastAsia="ja-JP"/>
        </w:rPr>
        <w:t>'</w:t>
      </w:r>
      <w:r w:rsidRPr="002D2E33">
        <w:rPr>
          <w:rFonts w:eastAsia="MS Mincho"/>
          <w:szCs w:val="24"/>
          <w:lang w:eastAsia="ja-JP"/>
        </w:rPr>
        <w:t>ITU T</w:t>
      </w:r>
      <w:r>
        <w:rPr>
          <w:rFonts w:eastAsia="MS Mincho"/>
          <w:szCs w:val="24"/>
          <w:lang w:eastAsia="ja-JP"/>
        </w:rPr>
        <w:t xml:space="preserve">elecom </w:t>
      </w:r>
      <w:r w:rsidRPr="002D2E33">
        <w:rPr>
          <w:rFonts w:eastAsia="MS Mincho"/>
          <w:szCs w:val="24"/>
          <w:lang w:eastAsia="ja-JP"/>
        </w:rPr>
        <w:t>qui ne</w:t>
      </w:r>
      <w:r>
        <w:rPr>
          <w:rFonts w:eastAsia="MS Mincho"/>
          <w:szCs w:val="24"/>
          <w:lang w:eastAsia="ja-JP"/>
        </w:rPr>
        <w:t xml:space="preserve"> sont pas</w:t>
      </w:r>
      <w:r w:rsidRPr="002D2E33">
        <w:rPr>
          <w:rFonts w:eastAsia="MS Mincho"/>
          <w:szCs w:val="24"/>
          <w:lang w:eastAsia="ja-JP"/>
        </w:rPr>
        <w:t xml:space="preserve"> directement </w:t>
      </w:r>
      <w:r>
        <w:rPr>
          <w:rFonts w:eastAsia="MS Mincho"/>
          <w:szCs w:val="24"/>
          <w:lang w:eastAsia="ja-JP"/>
        </w:rPr>
        <w:t xml:space="preserve">liées à </w:t>
      </w:r>
      <w:r w:rsidRPr="002D2E33">
        <w:rPr>
          <w:rFonts w:eastAsia="MS Mincho"/>
          <w:szCs w:val="24"/>
          <w:lang w:eastAsia="ja-JP"/>
        </w:rPr>
        <w:t>une manifestation</w:t>
      </w:r>
      <w:r>
        <w:rPr>
          <w:rFonts w:eastAsia="MS Mincho"/>
          <w:szCs w:val="24"/>
          <w:lang w:eastAsia="ja-JP"/>
        </w:rPr>
        <w:t xml:space="preserve"> ou à un produit particulier</w:t>
      </w:r>
      <w:r w:rsidRPr="002D2E33">
        <w:rPr>
          <w:rFonts w:eastAsia="MS Mincho"/>
          <w:szCs w:val="24"/>
          <w:lang w:eastAsia="ja-JP"/>
        </w:rPr>
        <w:t xml:space="preserve"> </w:t>
      </w:r>
      <w:r>
        <w:rPr>
          <w:rFonts w:eastAsia="MS Mincho"/>
          <w:szCs w:val="24"/>
          <w:lang w:eastAsia="ja-JP"/>
        </w:rPr>
        <w:t>d'</w:t>
      </w:r>
      <w:r w:rsidRPr="002D2E33">
        <w:rPr>
          <w:rFonts w:eastAsia="MS Mincho"/>
          <w:szCs w:val="24"/>
          <w:lang w:eastAsia="ja-JP"/>
        </w:rPr>
        <w:t>ITU T</w:t>
      </w:r>
      <w:r>
        <w:rPr>
          <w:rFonts w:eastAsia="MS Mincho"/>
          <w:szCs w:val="24"/>
          <w:lang w:eastAsia="ja-JP"/>
        </w:rPr>
        <w:t>elecom. Il inclut</w:t>
      </w:r>
      <w:r w:rsidRPr="002D2E33">
        <w:rPr>
          <w:rFonts w:eastAsia="MS Mincho"/>
          <w:szCs w:val="24"/>
          <w:lang w:eastAsia="ja-JP"/>
        </w:rPr>
        <w:t xml:space="preserve"> les droits perçus au titre du recouvrement des coûts auprès des autres services du </w:t>
      </w:r>
      <w:r w:rsidR="00E66E9D">
        <w:rPr>
          <w:rFonts w:eastAsia="MS Mincho"/>
          <w:szCs w:val="24"/>
          <w:lang w:eastAsia="ja-JP"/>
        </w:rPr>
        <w:t>s</w:t>
      </w:r>
      <w:r w:rsidRPr="002D2E33">
        <w:rPr>
          <w:rFonts w:eastAsia="MS Mincho"/>
          <w:szCs w:val="24"/>
          <w:lang w:eastAsia="ja-JP"/>
        </w:rPr>
        <w:t xml:space="preserve">ecrétariat général </w:t>
      </w:r>
      <w:r>
        <w:rPr>
          <w:rFonts w:eastAsia="MS Mincho"/>
          <w:szCs w:val="24"/>
          <w:lang w:eastAsia="ja-JP"/>
        </w:rPr>
        <w:t xml:space="preserve">de l'UIT </w:t>
      </w:r>
      <w:r w:rsidRPr="002D2E33">
        <w:rPr>
          <w:rFonts w:eastAsia="MS Mincho"/>
          <w:szCs w:val="24"/>
          <w:lang w:eastAsia="ja-JP"/>
        </w:rPr>
        <w:t xml:space="preserve">et des Bureaux. </w:t>
      </w:r>
      <w:r w:rsidR="00E66E9D">
        <w:rPr>
          <w:rFonts w:eastAsia="MS Mincho"/>
          <w:szCs w:val="24"/>
          <w:lang w:eastAsia="ja-JP"/>
        </w:rPr>
        <w:t>Ce budget</w:t>
      </w:r>
      <w:r w:rsidRPr="002D2E33">
        <w:rPr>
          <w:rFonts w:eastAsia="MS Mincho"/>
          <w:szCs w:val="24"/>
          <w:lang w:eastAsia="ja-JP"/>
        </w:rPr>
        <w:t xml:space="preserve"> </w:t>
      </w:r>
      <w:r>
        <w:rPr>
          <w:rFonts w:eastAsia="MS Mincho"/>
          <w:szCs w:val="24"/>
          <w:lang w:eastAsia="ja-JP"/>
        </w:rPr>
        <w:t>est essentiel pour la planification et</w:t>
      </w:r>
      <w:r w:rsidRPr="002D2E33">
        <w:rPr>
          <w:rFonts w:eastAsia="MS Mincho"/>
          <w:szCs w:val="24"/>
          <w:lang w:eastAsia="ja-JP"/>
        </w:rPr>
        <w:t xml:space="preserve"> </w:t>
      </w:r>
      <w:r>
        <w:rPr>
          <w:rFonts w:eastAsia="MS Mincho"/>
          <w:szCs w:val="24"/>
          <w:lang w:eastAsia="ja-JP"/>
        </w:rPr>
        <w:t>l</w:t>
      </w:r>
      <w:r w:rsidRPr="002D2E33">
        <w:rPr>
          <w:rFonts w:eastAsia="MS Mincho"/>
          <w:szCs w:val="24"/>
          <w:lang w:eastAsia="ja-JP"/>
        </w:rPr>
        <w:t>e suiv</w:t>
      </w:r>
      <w:r>
        <w:rPr>
          <w:rFonts w:eastAsia="MS Mincho"/>
          <w:szCs w:val="24"/>
          <w:lang w:eastAsia="ja-JP"/>
        </w:rPr>
        <w:t>i</w:t>
      </w:r>
      <w:r w:rsidRPr="002D2E33">
        <w:rPr>
          <w:rFonts w:eastAsia="MS Mincho"/>
          <w:szCs w:val="24"/>
          <w:lang w:eastAsia="ja-JP"/>
        </w:rPr>
        <w:t xml:space="preserve"> </w:t>
      </w:r>
      <w:r>
        <w:rPr>
          <w:rFonts w:eastAsia="MS Mincho"/>
          <w:szCs w:val="24"/>
          <w:lang w:eastAsia="ja-JP"/>
        </w:rPr>
        <w:t>d</w:t>
      </w:r>
      <w:r w:rsidRPr="002D2E33">
        <w:rPr>
          <w:rFonts w:eastAsia="MS Mincho"/>
          <w:szCs w:val="24"/>
          <w:lang w:eastAsia="ja-JP"/>
        </w:rPr>
        <w:t xml:space="preserve">es </w:t>
      </w:r>
      <w:r>
        <w:rPr>
          <w:rFonts w:eastAsia="MS Mincho"/>
          <w:szCs w:val="24"/>
          <w:lang w:eastAsia="ja-JP"/>
        </w:rPr>
        <w:t>charges</w:t>
      </w:r>
      <w:r w:rsidRPr="002D2E33">
        <w:rPr>
          <w:rFonts w:eastAsia="MS Mincho"/>
          <w:szCs w:val="24"/>
          <w:lang w:eastAsia="ja-JP"/>
        </w:rPr>
        <w:t xml:space="preserve"> qui sont</w:t>
      </w:r>
      <w:r>
        <w:rPr>
          <w:rFonts w:eastAsia="MS Mincho"/>
          <w:szCs w:val="24"/>
          <w:lang w:eastAsia="ja-JP"/>
        </w:rPr>
        <w:t xml:space="preserve"> ensuite</w:t>
      </w:r>
      <w:r w:rsidRPr="002D2E33">
        <w:rPr>
          <w:rFonts w:eastAsia="MS Mincho"/>
          <w:szCs w:val="24"/>
          <w:lang w:eastAsia="ja-JP"/>
        </w:rPr>
        <w:t xml:space="preserve"> imputées aux différentes manifestations ITU</w:t>
      </w:r>
      <w:r>
        <w:rPr>
          <w:rFonts w:eastAsia="MS Mincho"/>
          <w:szCs w:val="24"/>
          <w:lang w:eastAsia="ja-JP"/>
        </w:rPr>
        <w:t> </w:t>
      </w:r>
      <w:r w:rsidRPr="002D2E33">
        <w:rPr>
          <w:rFonts w:eastAsia="MS Mincho"/>
          <w:szCs w:val="24"/>
          <w:lang w:eastAsia="ja-JP"/>
        </w:rPr>
        <w:t>T</w:t>
      </w:r>
      <w:r>
        <w:rPr>
          <w:rFonts w:eastAsia="MS Mincho"/>
          <w:szCs w:val="24"/>
          <w:lang w:eastAsia="ja-JP"/>
        </w:rPr>
        <w:t xml:space="preserve">elecom pendant l'exercice correspondant. Le budget du </w:t>
      </w:r>
      <w:r w:rsidR="00E66E9D">
        <w:rPr>
          <w:rFonts w:eastAsia="MS Mincho"/>
          <w:szCs w:val="24"/>
          <w:lang w:eastAsia="ja-JP"/>
        </w:rPr>
        <w:t>s</w:t>
      </w:r>
      <w:r w:rsidRPr="002D2E33">
        <w:rPr>
          <w:rFonts w:eastAsia="MS Mincho"/>
          <w:szCs w:val="24"/>
          <w:lang w:eastAsia="ja-JP"/>
        </w:rPr>
        <w:t>ecrétariat d</w:t>
      </w:r>
      <w:r>
        <w:rPr>
          <w:rFonts w:eastAsia="MS Mincho"/>
          <w:szCs w:val="24"/>
          <w:lang w:eastAsia="ja-JP"/>
        </w:rPr>
        <w:t>'</w:t>
      </w:r>
      <w:r w:rsidRPr="002D2E33">
        <w:rPr>
          <w:rFonts w:eastAsia="MS Mincho"/>
          <w:szCs w:val="24"/>
          <w:lang w:eastAsia="ja-JP"/>
        </w:rPr>
        <w:t>ITU T</w:t>
      </w:r>
      <w:r>
        <w:rPr>
          <w:rFonts w:eastAsia="MS Mincho"/>
          <w:szCs w:val="24"/>
          <w:lang w:eastAsia="ja-JP"/>
        </w:rPr>
        <w:t>elecom</w:t>
      </w:r>
      <w:r w:rsidRPr="002D2E33">
        <w:rPr>
          <w:rFonts w:eastAsia="MS Mincho"/>
          <w:szCs w:val="24"/>
          <w:lang w:eastAsia="ja-JP"/>
        </w:rPr>
        <w:t xml:space="preserve"> est un budget annuel qui s</w:t>
      </w:r>
      <w:r>
        <w:rPr>
          <w:rFonts w:eastAsia="MS Mincho"/>
          <w:szCs w:val="24"/>
          <w:lang w:eastAsia="ja-JP"/>
        </w:rPr>
        <w:t>'</w:t>
      </w:r>
      <w:r w:rsidRPr="002D2E33">
        <w:rPr>
          <w:rFonts w:eastAsia="MS Mincho"/>
          <w:szCs w:val="24"/>
          <w:lang w:eastAsia="ja-JP"/>
        </w:rPr>
        <w:t>inscrit dans le cycle budgétaire biennal de l</w:t>
      </w:r>
      <w:r>
        <w:rPr>
          <w:rFonts w:eastAsia="MS Mincho"/>
          <w:szCs w:val="24"/>
          <w:lang w:eastAsia="ja-JP"/>
        </w:rPr>
        <w:t>'</w:t>
      </w:r>
      <w:r w:rsidRPr="002D2E33">
        <w:rPr>
          <w:rFonts w:eastAsia="MS Mincho"/>
          <w:szCs w:val="24"/>
          <w:lang w:eastAsia="ja-JP"/>
        </w:rPr>
        <w:t>UIT (</w:t>
      </w:r>
      <w:r>
        <w:rPr>
          <w:rFonts w:eastAsia="MS Mincho"/>
          <w:szCs w:val="24"/>
          <w:lang w:eastAsia="ja-JP"/>
        </w:rPr>
        <w:t>2020-2021</w:t>
      </w:r>
      <w:r w:rsidRPr="002D2E33">
        <w:rPr>
          <w:rFonts w:eastAsia="MS Mincho"/>
          <w:szCs w:val="24"/>
          <w:lang w:eastAsia="ja-JP"/>
        </w:rPr>
        <w:t>).</w:t>
      </w:r>
    </w:p>
    <w:p w14:paraId="50610CBB" w14:textId="77777777" w:rsidR="00D3795F" w:rsidRPr="002D2E33" w:rsidRDefault="00D3795F" w:rsidP="00C2000B">
      <w:pPr>
        <w:pStyle w:val="Headingb"/>
      </w:pPr>
      <w:bookmarkStart w:id="8" w:name="_Toc418778845"/>
      <w:r>
        <w:t xml:space="preserve">Charges du </w:t>
      </w:r>
      <w:r w:rsidR="00E66E9D">
        <w:t>s</w:t>
      </w:r>
      <w:r>
        <w:t>ecrétariat d'</w:t>
      </w:r>
      <w:r w:rsidRPr="004C6234">
        <w:t>ITU TELECOM</w:t>
      </w:r>
      <w:bookmarkEnd w:id="8"/>
    </w:p>
    <w:p w14:paraId="363246A3" w14:textId="77777777" w:rsidR="00D3795F" w:rsidRDefault="00D3795F" w:rsidP="00D263C7">
      <w:pPr>
        <w:rPr>
          <w:szCs w:val="24"/>
        </w:rPr>
      </w:pPr>
      <w:r w:rsidRPr="002D2E33">
        <w:rPr>
          <w:szCs w:val="24"/>
        </w:rPr>
        <w:t>2</w:t>
      </w:r>
      <w:r w:rsidRPr="002D2E33">
        <w:rPr>
          <w:szCs w:val="24"/>
        </w:rPr>
        <w:tab/>
        <w:t xml:space="preserve">Le budget du </w:t>
      </w:r>
      <w:r w:rsidR="00E66E9D">
        <w:rPr>
          <w:szCs w:val="24"/>
        </w:rPr>
        <w:t>s</w:t>
      </w:r>
      <w:r w:rsidRPr="002D2E33">
        <w:rPr>
          <w:szCs w:val="24"/>
        </w:rPr>
        <w:t>ecrétariat d</w:t>
      </w:r>
      <w:r>
        <w:rPr>
          <w:szCs w:val="24"/>
        </w:rPr>
        <w:t>'</w:t>
      </w:r>
      <w:r w:rsidRPr="002D2E33">
        <w:rPr>
          <w:szCs w:val="24"/>
        </w:rPr>
        <w:t xml:space="preserve">ITU </w:t>
      </w:r>
      <w:r>
        <w:rPr>
          <w:szCs w:val="24"/>
        </w:rPr>
        <w:t>TELECOM</w:t>
      </w:r>
      <w:r w:rsidRPr="002D2E33">
        <w:rPr>
          <w:szCs w:val="24"/>
        </w:rPr>
        <w:t xml:space="preserve"> pour l</w:t>
      </w:r>
      <w:r>
        <w:rPr>
          <w:szCs w:val="24"/>
        </w:rPr>
        <w:t>'</w:t>
      </w:r>
      <w:r w:rsidRPr="002D2E33">
        <w:rPr>
          <w:szCs w:val="24"/>
        </w:rPr>
        <w:t xml:space="preserve">exercice </w:t>
      </w:r>
      <w:r>
        <w:rPr>
          <w:szCs w:val="24"/>
        </w:rPr>
        <w:t xml:space="preserve">2020-2021 se chiffre, au total, </w:t>
      </w:r>
      <w:r w:rsidR="00E66E9D">
        <w:rPr>
          <w:szCs w:val="24"/>
        </w:rPr>
        <w:t>à </w:t>
      </w:r>
      <w:r>
        <w:rPr>
          <w:szCs w:val="24"/>
        </w:rPr>
        <w:t>10,2 </w:t>
      </w:r>
      <w:r w:rsidRPr="002D2E33">
        <w:rPr>
          <w:szCs w:val="24"/>
        </w:rPr>
        <w:t xml:space="preserve">millions CHF, </w:t>
      </w:r>
      <w:r>
        <w:rPr>
          <w:szCs w:val="24"/>
        </w:rPr>
        <w:t>soit une baisse de 8% par rapport au budget 2018-2019, en raison essentiellement de certains emplois vacants qu'il n'est pas prév</w:t>
      </w:r>
      <w:r w:rsidR="00E66E9D">
        <w:rPr>
          <w:szCs w:val="24"/>
        </w:rPr>
        <w:t>u de pourvoir durant l'exercice </w:t>
      </w:r>
      <w:r>
        <w:rPr>
          <w:szCs w:val="24"/>
        </w:rPr>
        <w:t xml:space="preserve">2020-2021 et de prévisions de charges moins élevées concernant les services contractuels, les frais de mission, la location et l'entretien, ainsi que les services </w:t>
      </w:r>
      <w:r w:rsidR="00E66E9D">
        <w:rPr>
          <w:szCs w:val="24"/>
        </w:rPr>
        <w:t>public</w:t>
      </w:r>
      <w:r>
        <w:rPr>
          <w:szCs w:val="24"/>
        </w:rPr>
        <w:t>s, comme indiqué dans le Tableau 1 ci-après</w:t>
      </w:r>
      <w:r w:rsidRPr="002D2E33">
        <w:rPr>
          <w:szCs w:val="24"/>
        </w:rPr>
        <w:t>.</w:t>
      </w:r>
      <w:r>
        <w:rPr>
          <w:szCs w:val="24"/>
        </w:rPr>
        <w:t xml:space="preserve"> Les plus gros objets de charges dans le budget sont les charges de personnel </w:t>
      </w:r>
      <w:r w:rsidRPr="00FD3C37">
        <w:rPr>
          <w:szCs w:val="24"/>
        </w:rPr>
        <w:t>et</w:t>
      </w:r>
      <w:r>
        <w:rPr>
          <w:szCs w:val="24"/>
        </w:rPr>
        <w:t xml:space="preserve"> les</w:t>
      </w:r>
      <w:r w:rsidRPr="00FD3C37">
        <w:rPr>
          <w:szCs w:val="24"/>
        </w:rPr>
        <w:t xml:space="preserve"> autres charges de personnel</w:t>
      </w:r>
      <w:r>
        <w:rPr>
          <w:szCs w:val="24"/>
        </w:rPr>
        <w:t>, ainsi que le recouvrement des coûts</w:t>
      </w:r>
      <w:r w:rsidR="00E66E9D">
        <w:rPr>
          <w:szCs w:val="24"/>
        </w:rPr>
        <w:t>,</w:t>
      </w:r>
      <w:r>
        <w:rPr>
          <w:szCs w:val="24"/>
        </w:rPr>
        <w:t xml:space="preserve"> qui est maintenu au même niveau dans le budget (1,5 million CHF par an) depuis 2014.</w:t>
      </w:r>
    </w:p>
    <w:p w14:paraId="41CCB9D9" w14:textId="77777777" w:rsidR="00C2000B" w:rsidRDefault="00C2000B" w:rsidP="00C2000B">
      <w:pPr>
        <w:spacing w:before="240" w:after="240"/>
        <w:rPr>
          <w:szCs w:val="24"/>
        </w:rPr>
      </w:pPr>
      <w:r>
        <w:rPr>
          <w:szCs w:val="24"/>
        </w:rPr>
        <w:br w:type="page"/>
      </w:r>
    </w:p>
    <w:p w14:paraId="6602A37B" w14:textId="77777777" w:rsidR="00D3795F" w:rsidRDefault="00D3795F" w:rsidP="00C2000B">
      <w:pPr>
        <w:spacing w:before="240" w:after="240"/>
        <w:rPr>
          <w:szCs w:val="24"/>
        </w:rPr>
      </w:pPr>
      <w:r>
        <w:rPr>
          <w:szCs w:val="24"/>
        </w:rPr>
        <w:lastRenderedPageBreak/>
        <w:t>3</w:t>
      </w:r>
      <w:r>
        <w:rPr>
          <w:szCs w:val="24"/>
        </w:rPr>
        <w:tab/>
      </w:r>
      <w:r w:rsidRPr="0092140F">
        <w:rPr>
          <w:spacing w:val="-2"/>
          <w:szCs w:val="24"/>
        </w:rPr>
        <w:t>Le budget est présenté par catégorie de charges conformément à la Règle 6.1</w:t>
      </w:r>
      <w:r>
        <w:rPr>
          <w:spacing w:val="-2"/>
          <w:szCs w:val="24"/>
        </w:rPr>
        <w:t xml:space="preserve"> de l'Article 6</w:t>
      </w:r>
      <w:r w:rsidR="00E66E9D">
        <w:rPr>
          <w:spacing w:val="-2"/>
          <w:szCs w:val="24"/>
        </w:rPr>
        <w:t xml:space="preserve"> du </w:t>
      </w:r>
      <w:r w:rsidRPr="0092140F">
        <w:rPr>
          <w:spacing w:val="-2"/>
          <w:szCs w:val="24"/>
        </w:rPr>
        <w:t xml:space="preserve">Règlement financier et des Règles financières de l'UIT. Le Tableau 1 ci-après donne les estimations relatives aux charges, par catégorie. Les catégories "Charges de personnel" et "Autres charges de personnel" représentent à elles deux </w:t>
      </w:r>
      <w:r>
        <w:rPr>
          <w:spacing w:val="-2"/>
          <w:szCs w:val="24"/>
        </w:rPr>
        <w:t>près de 68%</w:t>
      </w:r>
      <w:r w:rsidRPr="0092140F">
        <w:rPr>
          <w:spacing w:val="-2"/>
          <w:szCs w:val="24"/>
        </w:rPr>
        <w:t xml:space="preserve"> du budget biennal total. Le recouvrement des coûts, d'un montant de 3 millions CHF, équivaut à </w:t>
      </w:r>
      <w:r>
        <w:rPr>
          <w:spacing w:val="-2"/>
          <w:szCs w:val="24"/>
        </w:rPr>
        <w:t>29</w:t>
      </w:r>
      <w:r w:rsidRPr="0092140F">
        <w:rPr>
          <w:spacing w:val="-2"/>
          <w:szCs w:val="24"/>
        </w:rPr>
        <w:t xml:space="preserve">% du budget total pour l'exercice biennal </w:t>
      </w:r>
      <w:r>
        <w:rPr>
          <w:spacing w:val="-2"/>
          <w:szCs w:val="24"/>
        </w:rPr>
        <w:t>2020-2021</w:t>
      </w:r>
      <w:r w:rsidRPr="0092140F">
        <w:rPr>
          <w:spacing w:val="-2"/>
          <w:szCs w:val="24"/>
        </w:rPr>
        <w:t>.</w:t>
      </w:r>
      <w:r>
        <w:rPr>
          <w:szCs w:val="24"/>
        </w:rPr>
        <w:t xml:space="preserve"> </w:t>
      </w:r>
    </w:p>
    <w:p w14:paraId="0E4683DF" w14:textId="77777777" w:rsidR="00D3795F" w:rsidRPr="00A85DE6" w:rsidRDefault="00D3795F" w:rsidP="00C2000B">
      <w:pPr>
        <w:pStyle w:val="TableNo"/>
      </w:pPr>
      <w:bookmarkStart w:id="9" w:name="_Hlk132879502"/>
      <w:r w:rsidRPr="00A85DE6">
        <w:t>Tableau 1</w:t>
      </w:r>
    </w:p>
    <w:p w14:paraId="423DC1DA" w14:textId="1EB7B269" w:rsidR="00AF415A" w:rsidRDefault="00D3795F" w:rsidP="000D20F0">
      <w:pPr>
        <w:pStyle w:val="TableTitle0"/>
        <w:rPr>
          <w:rFonts w:asciiTheme="minorHAnsi" w:hAnsiTheme="minorHAnsi" w:cstheme="minorHAnsi"/>
          <w:lang w:val="fr-CH"/>
        </w:rPr>
      </w:pPr>
      <w:r>
        <w:rPr>
          <w:rFonts w:asciiTheme="minorHAnsi" w:hAnsiTheme="minorHAnsi" w:cstheme="minorHAnsi"/>
          <w:lang w:val="fr-CH"/>
        </w:rPr>
        <w:t xml:space="preserve">Budget du </w:t>
      </w:r>
      <w:r w:rsidR="00E66E9D">
        <w:rPr>
          <w:rFonts w:asciiTheme="minorHAnsi" w:hAnsiTheme="minorHAnsi" w:cstheme="minorHAnsi"/>
          <w:lang w:val="fr-CH"/>
        </w:rPr>
        <w:t>s</w:t>
      </w:r>
      <w:r w:rsidRPr="002376DD">
        <w:rPr>
          <w:rFonts w:asciiTheme="minorHAnsi" w:hAnsiTheme="minorHAnsi" w:cstheme="minorHAnsi"/>
          <w:lang w:val="fr-CH"/>
        </w:rPr>
        <w:t>ecrétariat d</w:t>
      </w:r>
      <w:r>
        <w:rPr>
          <w:rFonts w:asciiTheme="minorHAnsi" w:hAnsiTheme="minorHAnsi" w:cstheme="minorHAnsi"/>
          <w:lang w:val="fr-CH"/>
        </w:rPr>
        <w:t>'ITU Telecom</w:t>
      </w:r>
      <w:r w:rsidRPr="002376DD">
        <w:rPr>
          <w:rFonts w:asciiTheme="minorHAnsi" w:hAnsiTheme="minorHAnsi" w:cstheme="minorHAnsi"/>
          <w:lang w:val="fr-CH"/>
        </w:rPr>
        <w:t xml:space="preserve"> par catégorie de charges</w:t>
      </w:r>
    </w:p>
    <w:p w14:paraId="0844210B" w14:textId="44AAD1D7" w:rsidR="00414C21" w:rsidRPr="00414C21" w:rsidRDefault="00414C21" w:rsidP="00414C21">
      <w:pPr>
        <w:pStyle w:val="Tabletext"/>
        <w:jc w:val="center"/>
        <w:rPr>
          <w:lang w:val="fr-CH"/>
        </w:rPr>
      </w:pPr>
      <w:r w:rsidRPr="00414C21">
        <w:drawing>
          <wp:inline distT="0" distB="0" distL="0" distR="0" wp14:anchorId="0510954A" wp14:editId="764D4C51">
            <wp:extent cx="6251640" cy="247237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4091" cy="2473347"/>
                    </a:xfrm>
                    <a:prstGeom prst="rect">
                      <a:avLst/>
                    </a:prstGeom>
                    <a:noFill/>
                    <a:ln>
                      <a:noFill/>
                    </a:ln>
                  </pic:spPr>
                </pic:pic>
              </a:graphicData>
            </a:graphic>
          </wp:inline>
        </w:drawing>
      </w:r>
    </w:p>
    <w:bookmarkEnd w:id="9"/>
    <w:p w14:paraId="564298BE" w14:textId="0E75A8A1" w:rsidR="00D3795F" w:rsidRPr="002D2E33" w:rsidRDefault="00D3795F" w:rsidP="000D20F0">
      <w:pPr>
        <w:pStyle w:val="Tabletext"/>
        <w:jc w:val="center"/>
        <w:rPr>
          <w:b/>
          <w:bCs/>
          <w:sz w:val="2"/>
          <w:szCs w:val="2"/>
        </w:rPr>
      </w:pPr>
    </w:p>
    <w:p w14:paraId="53EA94FA" w14:textId="77777777" w:rsidR="00D3795F" w:rsidRPr="001678D1" w:rsidRDefault="00D3795F" w:rsidP="00C2000B">
      <w:pPr>
        <w:pStyle w:val="headingb0"/>
        <w:spacing w:before="240"/>
        <w:rPr>
          <w:lang w:val="fr-CH"/>
        </w:rPr>
      </w:pPr>
      <w:r>
        <w:rPr>
          <w:lang w:val="fr-CH"/>
        </w:rPr>
        <w:t xml:space="preserve">Ressources du </w:t>
      </w:r>
      <w:r w:rsidR="00E66E9D">
        <w:rPr>
          <w:lang w:val="fr-CH"/>
        </w:rPr>
        <w:t>s</w:t>
      </w:r>
      <w:r>
        <w:rPr>
          <w:lang w:val="fr-CH"/>
        </w:rPr>
        <w:t>ecrétariat d'</w:t>
      </w:r>
      <w:r w:rsidRPr="001678D1">
        <w:rPr>
          <w:lang w:val="fr-CH"/>
        </w:rPr>
        <w:t>ITU TELECOM</w:t>
      </w:r>
    </w:p>
    <w:p w14:paraId="6962207F" w14:textId="77777777" w:rsidR="00D3795F" w:rsidRDefault="00D3795F" w:rsidP="000D20F0">
      <w:pPr>
        <w:rPr>
          <w:szCs w:val="24"/>
        </w:rPr>
      </w:pPr>
      <w:r>
        <w:rPr>
          <w:szCs w:val="24"/>
        </w:rPr>
        <w:t>4</w:t>
      </w:r>
      <w:r w:rsidRPr="002D2E33">
        <w:rPr>
          <w:szCs w:val="24"/>
        </w:rPr>
        <w:tab/>
      </w:r>
      <w:r>
        <w:rPr>
          <w:rFonts w:eastAsia="MS Mincho"/>
          <w:szCs w:val="24"/>
          <w:lang w:eastAsia="ja-JP"/>
        </w:rPr>
        <w:t>La catégorie "charg</w:t>
      </w:r>
      <w:r w:rsidRPr="002D2E33">
        <w:rPr>
          <w:rFonts w:eastAsia="MS Mincho"/>
          <w:szCs w:val="24"/>
          <w:lang w:eastAsia="ja-JP"/>
        </w:rPr>
        <w:t>es de personnel</w:t>
      </w:r>
      <w:r>
        <w:rPr>
          <w:rFonts w:eastAsia="MS Mincho"/>
          <w:szCs w:val="24"/>
          <w:lang w:eastAsia="ja-JP"/>
        </w:rPr>
        <w:t>"</w:t>
      </w:r>
      <w:r w:rsidRPr="002D2E33">
        <w:rPr>
          <w:rFonts w:eastAsia="MS Mincho"/>
          <w:szCs w:val="24"/>
          <w:lang w:eastAsia="ja-JP"/>
        </w:rPr>
        <w:t xml:space="preserve"> </w:t>
      </w:r>
      <w:r>
        <w:rPr>
          <w:rFonts w:eastAsia="MS Mincho"/>
          <w:szCs w:val="24"/>
          <w:lang w:eastAsia="ja-JP"/>
        </w:rPr>
        <w:t>englobe</w:t>
      </w:r>
      <w:r w:rsidRPr="002D2E33">
        <w:rPr>
          <w:rFonts w:eastAsia="MS Mincho"/>
          <w:szCs w:val="24"/>
          <w:lang w:eastAsia="ja-JP"/>
        </w:rPr>
        <w:t xml:space="preserve"> les traitements </w:t>
      </w:r>
      <w:r>
        <w:rPr>
          <w:rFonts w:eastAsia="MS Mincho"/>
          <w:szCs w:val="24"/>
          <w:lang w:eastAsia="ja-JP"/>
        </w:rPr>
        <w:t xml:space="preserve">de base </w:t>
      </w:r>
      <w:r w:rsidRPr="002D2E33">
        <w:rPr>
          <w:rFonts w:eastAsia="MS Mincho"/>
          <w:szCs w:val="24"/>
          <w:lang w:eastAsia="ja-JP"/>
        </w:rPr>
        <w:t xml:space="preserve">et </w:t>
      </w:r>
      <w:r>
        <w:rPr>
          <w:rFonts w:eastAsia="MS Mincho"/>
          <w:szCs w:val="24"/>
          <w:lang w:eastAsia="ja-JP"/>
        </w:rPr>
        <w:t>d'</w:t>
      </w:r>
      <w:r w:rsidRPr="002D2E33">
        <w:rPr>
          <w:rFonts w:eastAsia="MS Mincho"/>
          <w:szCs w:val="24"/>
          <w:lang w:eastAsia="ja-JP"/>
        </w:rPr>
        <w:t>autres rémunérations, comme les indemnités de poste,  les allocations pour charges de famille</w:t>
      </w:r>
      <w:r w:rsidR="00E66E9D">
        <w:rPr>
          <w:rFonts w:eastAsia="MS Mincho"/>
          <w:szCs w:val="24"/>
          <w:lang w:eastAsia="ja-JP"/>
        </w:rPr>
        <w:t xml:space="preserve"> et les allocations-</w:t>
      </w:r>
      <w:r>
        <w:rPr>
          <w:rFonts w:eastAsia="MS Mincho"/>
          <w:szCs w:val="24"/>
          <w:lang w:eastAsia="ja-JP"/>
        </w:rPr>
        <w:t>logement (réservées aux catégories professionnelle et supérieure). La catégorie "A</w:t>
      </w:r>
      <w:r w:rsidRPr="002D2E33">
        <w:rPr>
          <w:rFonts w:eastAsia="MS Mincho"/>
          <w:szCs w:val="24"/>
          <w:lang w:eastAsia="ja-JP"/>
        </w:rPr>
        <w:t xml:space="preserve">utres </w:t>
      </w:r>
      <w:r>
        <w:rPr>
          <w:rFonts w:eastAsia="MS Mincho"/>
          <w:szCs w:val="24"/>
          <w:lang w:eastAsia="ja-JP"/>
        </w:rPr>
        <w:t>charg</w:t>
      </w:r>
      <w:r w:rsidRPr="002D2E33">
        <w:rPr>
          <w:rFonts w:eastAsia="MS Mincho"/>
          <w:szCs w:val="24"/>
          <w:lang w:eastAsia="ja-JP"/>
        </w:rPr>
        <w:t>es de personnel</w:t>
      </w:r>
      <w:r>
        <w:rPr>
          <w:rFonts w:eastAsia="MS Mincho"/>
          <w:szCs w:val="24"/>
          <w:lang w:eastAsia="ja-JP"/>
        </w:rPr>
        <w:t>"</w:t>
      </w:r>
      <w:r w:rsidRPr="002D2E33">
        <w:rPr>
          <w:rFonts w:eastAsia="MS Mincho"/>
          <w:szCs w:val="24"/>
          <w:lang w:eastAsia="ja-JP"/>
        </w:rPr>
        <w:t xml:space="preserve"> compren</w:t>
      </w:r>
      <w:r>
        <w:rPr>
          <w:rFonts w:eastAsia="MS Mincho"/>
          <w:szCs w:val="24"/>
          <w:lang w:eastAsia="ja-JP"/>
        </w:rPr>
        <w:t>d</w:t>
      </w:r>
      <w:r w:rsidRPr="002D2E33">
        <w:rPr>
          <w:rFonts w:eastAsia="MS Mincho"/>
          <w:szCs w:val="24"/>
          <w:lang w:eastAsia="ja-JP"/>
        </w:rPr>
        <w:t xml:space="preserve"> les contributions de l</w:t>
      </w:r>
      <w:r>
        <w:rPr>
          <w:rFonts w:eastAsia="MS Mincho"/>
          <w:szCs w:val="24"/>
          <w:lang w:eastAsia="ja-JP"/>
        </w:rPr>
        <w:t>'</w:t>
      </w:r>
      <w:r w:rsidRPr="002D2E33">
        <w:rPr>
          <w:rFonts w:eastAsia="MS Mincho"/>
          <w:szCs w:val="24"/>
          <w:lang w:eastAsia="ja-JP"/>
        </w:rPr>
        <w:t>Union à la Caisse des pensions et à la Caisse d</w:t>
      </w:r>
      <w:r>
        <w:rPr>
          <w:rFonts w:eastAsia="MS Mincho"/>
          <w:szCs w:val="24"/>
          <w:lang w:eastAsia="ja-JP"/>
        </w:rPr>
        <w:t>'</w:t>
      </w:r>
      <w:r w:rsidRPr="002D2E33">
        <w:rPr>
          <w:rFonts w:eastAsia="MS Mincho"/>
          <w:szCs w:val="24"/>
          <w:lang w:eastAsia="ja-JP"/>
        </w:rPr>
        <w:t>assurance maladie et accident, les indemnités pour frais d</w:t>
      </w:r>
      <w:r>
        <w:rPr>
          <w:rFonts w:eastAsia="MS Mincho"/>
          <w:szCs w:val="24"/>
          <w:lang w:eastAsia="ja-JP"/>
        </w:rPr>
        <w:t>'</w:t>
      </w:r>
      <w:r w:rsidRPr="002D2E33">
        <w:rPr>
          <w:rFonts w:eastAsia="MS Mincho"/>
          <w:szCs w:val="24"/>
          <w:lang w:eastAsia="ja-JP"/>
        </w:rPr>
        <w:t>études et les frais de voyage au titre des études, les frais de voyage à l</w:t>
      </w:r>
      <w:r>
        <w:rPr>
          <w:rFonts w:eastAsia="MS Mincho"/>
          <w:szCs w:val="24"/>
          <w:lang w:eastAsia="ja-JP"/>
        </w:rPr>
        <w:t>'</w:t>
      </w:r>
      <w:r w:rsidRPr="002D2E33">
        <w:rPr>
          <w:rFonts w:eastAsia="MS Mincho"/>
          <w:szCs w:val="24"/>
          <w:lang w:eastAsia="ja-JP"/>
        </w:rPr>
        <w:t>entrée en fonction et lors de la cessation de service, les frais d</w:t>
      </w:r>
      <w:r>
        <w:rPr>
          <w:rFonts w:eastAsia="MS Mincho"/>
          <w:szCs w:val="24"/>
          <w:lang w:eastAsia="ja-JP"/>
        </w:rPr>
        <w:t>'</w:t>
      </w:r>
      <w:r w:rsidRPr="002D2E33">
        <w:rPr>
          <w:rFonts w:eastAsia="MS Mincho"/>
          <w:szCs w:val="24"/>
          <w:lang w:eastAsia="ja-JP"/>
        </w:rPr>
        <w:t>installation et de rapatriement, les déplacements lors des congés dans les foyers, les jours de congé accumulés, les primes de rapatriement et les frais de déménagement.</w:t>
      </w:r>
      <w:r>
        <w:rPr>
          <w:szCs w:val="24"/>
        </w:rPr>
        <w:t xml:space="preserve"> Afin d'éviter une augmentation significative dans le budget, le nombre de postes inscrits au budget pour le </w:t>
      </w:r>
      <w:r w:rsidR="00E66E9D">
        <w:rPr>
          <w:szCs w:val="24"/>
        </w:rPr>
        <w:t>s</w:t>
      </w:r>
      <w:r>
        <w:rPr>
          <w:szCs w:val="24"/>
        </w:rPr>
        <w:t>ecrétariat d'ITU Telecom est maintenu à 23 dans le budget</w:t>
      </w:r>
      <w:r w:rsidR="00E66E9D">
        <w:rPr>
          <w:szCs w:val="24"/>
        </w:rPr>
        <w:t xml:space="preserve"> pour</w:t>
      </w:r>
      <w:r>
        <w:rPr>
          <w:szCs w:val="24"/>
        </w:rPr>
        <w:t xml:space="preserve"> 2020-2021. Plusieurs fonctionnaires ont acquis l'expérience et les compétences nécessaires pour pouvoir </w:t>
      </w:r>
      <w:r w:rsidR="00E66E9D">
        <w:rPr>
          <w:szCs w:val="24"/>
        </w:rPr>
        <w:t>assumer de </w:t>
      </w:r>
      <w:r>
        <w:rPr>
          <w:szCs w:val="24"/>
        </w:rPr>
        <w:t xml:space="preserve">plus grandes responsabilités, ce qui justifie le reclassement de certains postes. Le budget </w:t>
      </w:r>
      <w:r w:rsidR="00E66E9D">
        <w:rPr>
          <w:szCs w:val="24"/>
        </w:rPr>
        <w:t xml:space="preserve">pour </w:t>
      </w:r>
      <w:r>
        <w:rPr>
          <w:szCs w:val="24"/>
        </w:rPr>
        <w:t>2020-2021 tient compte du reclassement de 4 postes (P1 reclassés P2) et de la création d'un nouveau poste P5.</w:t>
      </w:r>
    </w:p>
    <w:p w14:paraId="748594A1" w14:textId="77777777" w:rsidR="00D3795F" w:rsidRPr="002376DD" w:rsidRDefault="00D3795F" w:rsidP="00C2000B">
      <w:pPr>
        <w:pStyle w:val="TableNo"/>
        <w:keepLines/>
        <w:rPr>
          <w:rFonts w:asciiTheme="minorHAnsi" w:hAnsiTheme="minorHAnsi" w:cstheme="minorHAnsi"/>
        </w:rPr>
      </w:pPr>
      <w:bookmarkStart w:id="10" w:name="_Hlk132879561"/>
      <w:r w:rsidRPr="002376DD">
        <w:rPr>
          <w:rFonts w:asciiTheme="minorHAnsi" w:hAnsiTheme="minorHAnsi" w:cstheme="minorHAnsi"/>
        </w:rPr>
        <w:lastRenderedPageBreak/>
        <w:t>Tableau 2</w:t>
      </w:r>
    </w:p>
    <w:p w14:paraId="43A3E54A" w14:textId="1D65488C" w:rsidR="00D3795F" w:rsidRDefault="00D3795F" w:rsidP="000D20F0">
      <w:pPr>
        <w:pStyle w:val="TableTitle0"/>
        <w:spacing w:after="240"/>
        <w:rPr>
          <w:rFonts w:asciiTheme="minorHAnsi" w:hAnsiTheme="minorHAnsi" w:cstheme="minorHAnsi"/>
        </w:rPr>
      </w:pPr>
      <w:proofErr w:type="spellStart"/>
      <w:r w:rsidRPr="002376DD">
        <w:rPr>
          <w:rFonts w:asciiTheme="minorHAnsi" w:hAnsiTheme="minorHAnsi" w:cstheme="minorHAnsi"/>
        </w:rPr>
        <w:t>Postes</w:t>
      </w:r>
      <w:proofErr w:type="spellEnd"/>
      <w:r w:rsidRPr="002376DD">
        <w:rPr>
          <w:rFonts w:asciiTheme="minorHAnsi" w:hAnsiTheme="minorHAnsi" w:cstheme="minorHAnsi"/>
        </w:rPr>
        <w:t xml:space="preserve"> </w:t>
      </w:r>
      <w:proofErr w:type="spellStart"/>
      <w:r w:rsidRPr="002376DD">
        <w:rPr>
          <w:rFonts w:asciiTheme="minorHAnsi" w:hAnsiTheme="minorHAnsi" w:cstheme="minorHAnsi"/>
        </w:rPr>
        <w:t>inscrits</w:t>
      </w:r>
      <w:proofErr w:type="spellEnd"/>
      <w:r w:rsidRPr="002376DD">
        <w:rPr>
          <w:rFonts w:asciiTheme="minorHAnsi" w:hAnsiTheme="minorHAnsi" w:cstheme="minorHAnsi"/>
        </w:rPr>
        <w:t xml:space="preserve"> au budget</w:t>
      </w:r>
    </w:p>
    <w:p w14:paraId="519CD775" w14:textId="4F9AEA2A" w:rsidR="00414C21" w:rsidRPr="00414C21" w:rsidRDefault="00414C21" w:rsidP="00414C21">
      <w:pPr>
        <w:pStyle w:val="Tabletext"/>
        <w:rPr>
          <w:lang w:val="en-GB"/>
        </w:rPr>
      </w:pPr>
      <w:r w:rsidRPr="00414C21">
        <w:drawing>
          <wp:inline distT="0" distB="0" distL="0" distR="0" wp14:anchorId="5D0907CC" wp14:editId="3DE6D20A">
            <wp:extent cx="6305910" cy="9204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9212" cy="923872"/>
                    </a:xfrm>
                    <a:prstGeom prst="rect">
                      <a:avLst/>
                    </a:prstGeom>
                    <a:noFill/>
                    <a:ln>
                      <a:noFill/>
                    </a:ln>
                  </pic:spPr>
                </pic:pic>
              </a:graphicData>
            </a:graphic>
          </wp:inline>
        </w:drawing>
      </w:r>
    </w:p>
    <w:bookmarkEnd w:id="10"/>
    <w:p w14:paraId="01A02B04" w14:textId="5B149CE0" w:rsidR="000D20F0" w:rsidRPr="000D20F0" w:rsidRDefault="000D20F0" w:rsidP="000D20F0">
      <w:pPr>
        <w:pStyle w:val="Tabletext"/>
        <w:jc w:val="center"/>
        <w:rPr>
          <w:sz w:val="2"/>
          <w:szCs w:val="2"/>
          <w:lang w:val="en-GB"/>
        </w:rPr>
      </w:pPr>
    </w:p>
    <w:p w14:paraId="789EF7D7" w14:textId="77777777" w:rsidR="00D3795F" w:rsidRDefault="00D3795F" w:rsidP="00C2000B">
      <w:pPr>
        <w:spacing w:before="240"/>
        <w:rPr>
          <w:rFonts w:eastAsia="MS Mincho"/>
          <w:szCs w:val="24"/>
          <w:lang w:eastAsia="ja-JP"/>
        </w:rPr>
      </w:pPr>
      <w:r>
        <w:rPr>
          <w:rFonts w:eastAsia="MS Mincho"/>
          <w:szCs w:val="24"/>
          <w:lang w:eastAsia="ja-JP"/>
        </w:rPr>
        <w:t>5</w:t>
      </w:r>
      <w:r w:rsidRPr="002D2E33">
        <w:rPr>
          <w:rFonts w:eastAsia="MS Mincho"/>
          <w:szCs w:val="24"/>
          <w:lang w:eastAsia="ja-JP"/>
        </w:rPr>
        <w:tab/>
        <w:t>Les catégories 3 à 9 du budget sont les suivantes: frais de mission, services contractuels, location et entretien, matériels et fournitures, acquisition, services publics et services intérieurs, divers.</w:t>
      </w:r>
    </w:p>
    <w:p w14:paraId="0596E693" w14:textId="77777777" w:rsidR="00D3795F" w:rsidRPr="002D2E33" w:rsidRDefault="00D3795F" w:rsidP="00C2000B">
      <w:pPr>
        <w:pStyle w:val="enumlev1"/>
        <w:rPr>
          <w:rFonts w:eastAsia="MS Mincho"/>
          <w:lang w:eastAsia="ja-JP"/>
        </w:rPr>
      </w:pPr>
      <w:r>
        <w:rPr>
          <w:rFonts w:eastAsia="MS Mincho"/>
          <w:lang w:eastAsia="ja-JP"/>
        </w:rPr>
        <w:t>a)</w:t>
      </w:r>
      <w:r w:rsidRPr="002D2E33">
        <w:rPr>
          <w:rFonts w:eastAsia="MS Mincho"/>
          <w:lang w:eastAsia="ja-JP"/>
        </w:rPr>
        <w:tab/>
        <w:t>La catégorie 3 (frais de mission) comprend des frais tels que le per diem (indemnité journalière de subsistance de l</w:t>
      </w:r>
      <w:r>
        <w:rPr>
          <w:rFonts w:eastAsia="MS Mincho"/>
          <w:lang w:eastAsia="ja-JP"/>
        </w:rPr>
        <w:t>'</w:t>
      </w:r>
      <w:r w:rsidRPr="002D2E33">
        <w:rPr>
          <w:rFonts w:eastAsia="MS Mincho"/>
          <w:lang w:eastAsia="ja-JP"/>
        </w:rPr>
        <w:t>Organisation des Nations Unies), les faux frais au départ et à l</w:t>
      </w:r>
      <w:r>
        <w:rPr>
          <w:rFonts w:eastAsia="MS Mincho"/>
          <w:lang w:eastAsia="ja-JP"/>
        </w:rPr>
        <w:t>'</w:t>
      </w:r>
      <w:r w:rsidRPr="002D2E33">
        <w:rPr>
          <w:rFonts w:eastAsia="MS Mincho"/>
          <w:lang w:eastAsia="ja-JP"/>
        </w:rPr>
        <w:t xml:space="preserve">arrivée et les assurances. </w:t>
      </w:r>
      <w:r>
        <w:rPr>
          <w:rFonts w:eastAsia="MS Mincho"/>
          <w:lang w:eastAsia="ja-JP"/>
        </w:rPr>
        <w:t>Tout est mis en oeuvre pour que</w:t>
      </w:r>
      <w:r w:rsidRPr="002D2E33">
        <w:rPr>
          <w:rFonts w:eastAsia="MS Mincho"/>
          <w:lang w:eastAsia="ja-JP"/>
        </w:rPr>
        <w:t xml:space="preserve"> les missions pour ITU T</w:t>
      </w:r>
      <w:r>
        <w:rPr>
          <w:rFonts w:eastAsia="MS Mincho"/>
          <w:lang w:eastAsia="ja-JP"/>
        </w:rPr>
        <w:t>elecom soient menées</w:t>
      </w:r>
      <w:r w:rsidRPr="002D2E33">
        <w:rPr>
          <w:rFonts w:eastAsia="MS Mincho"/>
          <w:lang w:eastAsia="ja-JP"/>
        </w:rPr>
        <w:t xml:space="preserve"> de façon efficace et économique.</w:t>
      </w:r>
      <w:r>
        <w:rPr>
          <w:rFonts w:eastAsia="MS Mincho"/>
          <w:lang w:eastAsia="ja-JP"/>
        </w:rPr>
        <w:t xml:space="preserve"> On a recours autant que faire se peut à l</w:t>
      </w:r>
      <w:r w:rsidRPr="002D2E33">
        <w:rPr>
          <w:rFonts w:eastAsia="MS Mincho"/>
          <w:lang w:eastAsia="ja-JP"/>
        </w:rPr>
        <w:t xml:space="preserve">a correspondance électronique et </w:t>
      </w:r>
      <w:r>
        <w:rPr>
          <w:rFonts w:eastAsia="MS Mincho"/>
          <w:lang w:eastAsia="ja-JP"/>
        </w:rPr>
        <w:t>aux</w:t>
      </w:r>
      <w:r w:rsidRPr="002D2E33">
        <w:rPr>
          <w:rFonts w:eastAsia="MS Mincho"/>
          <w:lang w:eastAsia="ja-JP"/>
        </w:rPr>
        <w:t xml:space="preserve"> téléconférences pour éviter des frais de mission inutiles. Certains fonctionnaires partent en mission avec </w:t>
      </w:r>
      <w:r>
        <w:rPr>
          <w:rFonts w:eastAsia="MS Mincho"/>
          <w:lang w:eastAsia="ja-JP"/>
        </w:rPr>
        <w:t>des mandats</w:t>
      </w:r>
      <w:r w:rsidRPr="002D2E33">
        <w:rPr>
          <w:rFonts w:eastAsia="MS Mincho"/>
          <w:lang w:eastAsia="ja-JP"/>
        </w:rPr>
        <w:t xml:space="preserve"> </w:t>
      </w:r>
      <w:r>
        <w:rPr>
          <w:rFonts w:eastAsia="MS Mincho"/>
          <w:lang w:eastAsia="ja-JP"/>
        </w:rPr>
        <w:t>multiples et la durée des missions est limitée au minimum nécessaire</w:t>
      </w:r>
      <w:r w:rsidRPr="002D2E33">
        <w:rPr>
          <w:rFonts w:eastAsia="MS Mincho"/>
          <w:lang w:eastAsia="ja-JP"/>
        </w:rPr>
        <w:t xml:space="preserve">. </w:t>
      </w:r>
      <w:r>
        <w:rPr>
          <w:rFonts w:eastAsia="MS Mincho"/>
          <w:lang w:eastAsia="ja-JP"/>
        </w:rPr>
        <w:t xml:space="preserve">Ainsi, les </w:t>
      </w:r>
      <w:r w:rsidRPr="002D2E33">
        <w:rPr>
          <w:rFonts w:eastAsia="MS Mincho"/>
          <w:lang w:eastAsia="ja-JP"/>
        </w:rPr>
        <w:t xml:space="preserve">frais de mission </w:t>
      </w:r>
      <w:r>
        <w:rPr>
          <w:rFonts w:eastAsia="MS Mincho"/>
          <w:lang w:eastAsia="ja-JP"/>
        </w:rPr>
        <w:t>estimés pour 2020-2021 sont réduits de 40% par rapport au niveau dans le budget 2018-2019. Les frais des missions pour des manifestations particulières sont imputés sur le budget de la manifestation correspondante</w:t>
      </w:r>
      <w:r w:rsidRPr="002D2E33">
        <w:rPr>
          <w:rFonts w:eastAsia="MS Mincho"/>
          <w:lang w:eastAsia="ja-JP"/>
        </w:rPr>
        <w:t>.</w:t>
      </w:r>
    </w:p>
    <w:p w14:paraId="091850F9" w14:textId="77777777" w:rsidR="00D3795F" w:rsidRPr="002D2E33" w:rsidRDefault="00D3795F" w:rsidP="00C2000B">
      <w:pPr>
        <w:pStyle w:val="enumlev1"/>
        <w:rPr>
          <w:rFonts w:eastAsia="MS Mincho"/>
        </w:rPr>
      </w:pPr>
      <w:r>
        <w:rPr>
          <w:rFonts w:eastAsia="MS Mincho"/>
        </w:rPr>
        <w:t>b)</w:t>
      </w:r>
      <w:r w:rsidRPr="002D2E33">
        <w:rPr>
          <w:rFonts w:eastAsia="MS Mincho"/>
        </w:rPr>
        <w:tab/>
        <w:t xml:space="preserve">La catégorie 4 </w:t>
      </w:r>
      <w:r>
        <w:rPr>
          <w:rFonts w:eastAsia="MS Mincho"/>
        </w:rPr>
        <w:t xml:space="preserve">couvre les </w:t>
      </w:r>
      <w:r w:rsidRPr="002D2E33">
        <w:rPr>
          <w:rFonts w:eastAsia="MS Mincho"/>
        </w:rPr>
        <w:t>services contractuels</w:t>
      </w:r>
      <w:r>
        <w:rPr>
          <w:rFonts w:eastAsia="MS Mincho"/>
        </w:rPr>
        <w:t>.</w:t>
      </w:r>
      <w:r w:rsidRPr="002D2E33">
        <w:rPr>
          <w:rFonts w:eastAsia="MS Mincho"/>
        </w:rPr>
        <w:t xml:space="preserve"> </w:t>
      </w:r>
      <w:r w:rsidRPr="00EE07D4">
        <w:rPr>
          <w:rFonts w:eastAsia="MS Mincho"/>
          <w:lang w:val="fr-CH"/>
        </w:rPr>
        <w:t xml:space="preserve">Le budget global </w:t>
      </w:r>
      <w:r>
        <w:rPr>
          <w:rFonts w:eastAsia="MS Mincho"/>
          <w:lang w:val="fr-CH"/>
        </w:rPr>
        <w:t xml:space="preserve">pour les </w:t>
      </w:r>
      <w:r w:rsidRPr="00EE07D4">
        <w:rPr>
          <w:rFonts w:eastAsia="MS Mincho"/>
          <w:lang w:val="fr-CH"/>
        </w:rPr>
        <w:t xml:space="preserve">services contractuels </w:t>
      </w:r>
      <w:r>
        <w:rPr>
          <w:rFonts w:eastAsia="MS Mincho"/>
          <w:lang w:val="fr-CH"/>
        </w:rPr>
        <w:t>est inférieur de 20% par rapport au budget 2018-2019</w:t>
      </w:r>
      <w:r>
        <w:rPr>
          <w:lang w:val="fr-CH"/>
        </w:rPr>
        <w:t>. Les activités et campagnes de marketing, qui comprennent la promotion des manifestations, sont imputées aux budgets des manifestations correspondantes.</w:t>
      </w:r>
    </w:p>
    <w:p w14:paraId="04E72372" w14:textId="77777777" w:rsidR="00D3795F" w:rsidRPr="002D2E33" w:rsidRDefault="00D3795F" w:rsidP="00C2000B">
      <w:pPr>
        <w:pStyle w:val="enumlev1"/>
        <w:rPr>
          <w:rFonts w:eastAsia="MS Mincho"/>
        </w:rPr>
      </w:pPr>
      <w:r>
        <w:rPr>
          <w:rFonts w:eastAsia="MS Mincho"/>
        </w:rPr>
        <w:t>c)</w:t>
      </w:r>
      <w:r w:rsidRPr="002D2E33">
        <w:rPr>
          <w:rFonts w:eastAsia="MS Mincho"/>
        </w:rPr>
        <w:tab/>
        <w:t>La catégorie 5 couvre la location et l</w:t>
      </w:r>
      <w:r>
        <w:rPr>
          <w:rFonts w:eastAsia="MS Mincho"/>
        </w:rPr>
        <w:t>'</w:t>
      </w:r>
      <w:r w:rsidRPr="002D2E33">
        <w:rPr>
          <w:rFonts w:eastAsia="MS Mincho"/>
        </w:rPr>
        <w:t>entretien des locaux et des équipements</w:t>
      </w:r>
      <w:r>
        <w:rPr>
          <w:rFonts w:eastAsia="MS Mincho"/>
        </w:rPr>
        <w:t xml:space="preserve">, dont le budget est réduit de 33% par rapport au budget 2018-2019. Dans cette catégorie sont couvets les besoins pour les réunions et activités de promotion des manifestations ITU Telecom en général. </w:t>
      </w:r>
    </w:p>
    <w:p w14:paraId="32478EBA" w14:textId="77777777" w:rsidR="00D3795F" w:rsidRDefault="00D3795F" w:rsidP="00C2000B">
      <w:pPr>
        <w:pStyle w:val="enumlev1"/>
        <w:rPr>
          <w:rFonts w:eastAsia="MS Mincho"/>
        </w:rPr>
      </w:pPr>
      <w:r>
        <w:rPr>
          <w:rFonts w:eastAsia="MS Mincho"/>
        </w:rPr>
        <w:t>d)</w:t>
      </w:r>
      <w:r w:rsidRPr="002D2E33">
        <w:rPr>
          <w:rFonts w:eastAsia="MS Mincho"/>
        </w:rPr>
        <w:tab/>
      </w:r>
      <w:r w:rsidR="00E66E9D">
        <w:rPr>
          <w:rFonts w:eastAsia="MS Mincho"/>
        </w:rPr>
        <w:t>La</w:t>
      </w:r>
      <w:r w:rsidRPr="002D2E33">
        <w:rPr>
          <w:rFonts w:eastAsia="MS Mincho"/>
        </w:rPr>
        <w:t xml:space="preserve"> catégorie 6</w:t>
      </w:r>
      <w:r w:rsidR="00E66E9D">
        <w:rPr>
          <w:rFonts w:eastAsia="MS Mincho"/>
        </w:rPr>
        <w:t xml:space="preserve"> fait apparaître</w:t>
      </w:r>
      <w:r>
        <w:rPr>
          <w:rFonts w:eastAsia="MS Mincho"/>
        </w:rPr>
        <w:t xml:space="preserve"> une baisse de 25% par rappor</w:t>
      </w:r>
      <w:r w:rsidR="00E66E9D">
        <w:rPr>
          <w:rFonts w:eastAsia="MS Mincho"/>
        </w:rPr>
        <w:t>t au budget 2018</w:t>
      </w:r>
      <w:r w:rsidR="00E66E9D">
        <w:rPr>
          <w:rFonts w:eastAsia="MS Mincho"/>
        </w:rPr>
        <w:noBreakHyphen/>
      </w:r>
      <w:r>
        <w:rPr>
          <w:rFonts w:eastAsia="MS Mincho"/>
        </w:rPr>
        <w:t xml:space="preserve">2019. Cette catégorie concerne </w:t>
      </w:r>
      <w:r w:rsidRPr="002D2E33">
        <w:rPr>
          <w:rFonts w:eastAsia="MS Mincho"/>
        </w:rPr>
        <w:t xml:space="preserve">les matériels et </w:t>
      </w:r>
      <w:r>
        <w:rPr>
          <w:rFonts w:eastAsia="MS Mincho"/>
        </w:rPr>
        <w:t xml:space="preserve">les </w:t>
      </w:r>
      <w:r w:rsidRPr="002D2E33">
        <w:rPr>
          <w:rFonts w:eastAsia="MS Mincho"/>
        </w:rPr>
        <w:t xml:space="preserve">fournitures </w:t>
      </w:r>
      <w:r>
        <w:rPr>
          <w:rFonts w:eastAsia="MS Mincho"/>
        </w:rPr>
        <w:t>(</w:t>
      </w:r>
      <w:r w:rsidRPr="002D2E33">
        <w:rPr>
          <w:rFonts w:eastAsia="MS Mincho"/>
        </w:rPr>
        <w:t xml:space="preserve">fournitures de bureau, fournitures </w:t>
      </w:r>
      <w:r>
        <w:rPr>
          <w:rFonts w:eastAsia="MS Mincho"/>
        </w:rPr>
        <w:t>pour imprimantes</w:t>
      </w:r>
      <w:r w:rsidRPr="002D2E33">
        <w:rPr>
          <w:rFonts w:eastAsia="MS Mincho"/>
        </w:rPr>
        <w:t>, fournitures informatiques</w:t>
      </w:r>
      <w:r>
        <w:rPr>
          <w:rFonts w:eastAsia="MS Mincho"/>
        </w:rPr>
        <w:t xml:space="preserve">), les documents de référence </w:t>
      </w:r>
      <w:r w:rsidRPr="002D2E33">
        <w:rPr>
          <w:rFonts w:eastAsia="MS Mincho"/>
        </w:rPr>
        <w:t>ainsi que l</w:t>
      </w:r>
      <w:r>
        <w:rPr>
          <w:rFonts w:eastAsia="MS Mincho"/>
        </w:rPr>
        <w:t>'</w:t>
      </w:r>
      <w:r w:rsidRPr="002D2E33">
        <w:rPr>
          <w:rFonts w:eastAsia="MS Mincho"/>
        </w:rPr>
        <w:t>impression et la production de</w:t>
      </w:r>
      <w:r>
        <w:rPr>
          <w:rFonts w:eastAsia="MS Mincho"/>
        </w:rPr>
        <w:t>s</w:t>
      </w:r>
      <w:r w:rsidRPr="002D2E33">
        <w:rPr>
          <w:rFonts w:eastAsia="MS Mincho"/>
        </w:rPr>
        <w:t xml:space="preserve"> brochures</w:t>
      </w:r>
      <w:r>
        <w:rPr>
          <w:rFonts w:eastAsia="MS Mincho"/>
        </w:rPr>
        <w:t xml:space="preserve">. Cette baisse du budget s'explique par une réduction significative du nombre de documents imprimés au profit de supports numériques, </w:t>
      </w:r>
      <w:r w:rsidR="00E66E9D">
        <w:rPr>
          <w:rFonts w:eastAsia="MS Mincho"/>
        </w:rPr>
        <w:t>ce qui s'inscrit dans</w:t>
      </w:r>
      <w:r>
        <w:rPr>
          <w:rFonts w:eastAsia="MS Mincho"/>
        </w:rPr>
        <w:t xml:space="preserve"> la politique de l'UIT à cet égard, et par l'impression de certaines brochures en interne. Des crédits sont aussi mis à disposition pour l'impression et la publication de brochures pour une manifestation précise, dans le budget correspondant de cette manifestation.</w:t>
      </w:r>
    </w:p>
    <w:p w14:paraId="7E3B45E4" w14:textId="77777777" w:rsidR="00D3795F" w:rsidRPr="002D2E33" w:rsidRDefault="00D3795F" w:rsidP="00C2000B">
      <w:pPr>
        <w:pStyle w:val="enumlev1"/>
        <w:rPr>
          <w:rFonts w:eastAsia="MS Mincho"/>
        </w:rPr>
      </w:pPr>
      <w:r>
        <w:rPr>
          <w:rFonts w:eastAsia="MS Mincho"/>
        </w:rPr>
        <w:t>e)</w:t>
      </w:r>
      <w:r w:rsidRPr="002D2E33">
        <w:rPr>
          <w:rFonts w:eastAsia="MS Mincho"/>
        </w:rPr>
        <w:tab/>
      </w:r>
      <w:r w:rsidRPr="00707EA5">
        <w:rPr>
          <w:rFonts w:eastAsia="MS Mincho"/>
          <w:spacing w:val="-4"/>
        </w:rPr>
        <w:t xml:space="preserve">La catégorie 7 concerne les dépenses liées à l'acquisition de mobilier, d'équipements informatiques ainsi que d'autres équipements et installations techniques. Aucune augmentation des crédits de cette rubrique budgétaire n'est prévue pour l'exercice </w:t>
      </w:r>
      <w:r>
        <w:rPr>
          <w:rFonts w:eastAsia="MS Mincho"/>
          <w:spacing w:val="-4"/>
        </w:rPr>
        <w:t>2020-2021</w:t>
      </w:r>
      <w:r w:rsidRPr="00707EA5">
        <w:rPr>
          <w:rFonts w:eastAsia="MS Mincho"/>
          <w:spacing w:val="-4"/>
        </w:rPr>
        <w:t>.</w:t>
      </w:r>
    </w:p>
    <w:p w14:paraId="42F5313E" w14:textId="77777777" w:rsidR="000D20F0" w:rsidRDefault="000D20F0" w:rsidP="00C2000B">
      <w:pPr>
        <w:pStyle w:val="enumlev1"/>
        <w:rPr>
          <w:rFonts w:eastAsia="MS Mincho"/>
        </w:rPr>
      </w:pPr>
      <w:r>
        <w:rPr>
          <w:rFonts w:eastAsia="MS Mincho"/>
        </w:rPr>
        <w:br w:type="page"/>
      </w:r>
    </w:p>
    <w:p w14:paraId="536EE346" w14:textId="77777777" w:rsidR="00D3795F" w:rsidRDefault="00D3795F" w:rsidP="00C2000B">
      <w:pPr>
        <w:pStyle w:val="enumlev1"/>
        <w:rPr>
          <w:rFonts w:eastAsia="MS Mincho"/>
        </w:rPr>
      </w:pPr>
      <w:r>
        <w:rPr>
          <w:rFonts w:eastAsia="MS Mincho"/>
        </w:rPr>
        <w:lastRenderedPageBreak/>
        <w:t>f)</w:t>
      </w:r>
      <w:r>
        <w:rPr>
          <w:rFonts w:eastAsia="MS Mincho"/>
        </w:rPr>
        <w:tab/>
        <w:t xml:space="preserve">La catégorie 8 couvre les dépenses pour les </w:t>
      </w:r>
      <w:r w:rsidRPr="002D2E33">
        <w:rPr>
          <w:rFonts w:eastAsia="MS Mincho"/>
        </w:rPr>
        <w:t xml:space="preserve">services publics et </w:t>
      </w:r>
      <w:r>
        <w:rPr>
          <w:rFonts w:eastAsia="MS Mincho"/>
        </w:rPr>
        <w:t xml:space="preserve">les </w:t>
      </w:r>
      <w:r w:rsidRPr="002D2E33">
        <w:rPr>
          <w:rFonts w:eastAsia="MS Mincho"/>
        </w:rPr>
        <w:t>services intérieurs</w:t>
      </w:r>
      <w:r>
        <w:rPr>
          <w:rFonts w:eastAsia="MS Mincho"/>
        </w:rPr>
        <w:t xml:space="preserve"> ainsi que</w:t>
      </w:r>
      <w:r w:rsidRPr="002D2E33">
        <w:rPr>
          <w:rFonts w:eastAsia="MS Mincho"/>
        </w:rPr>
        <w:t xml:space="preserve"> </w:t>
      </w:r>
      <w:r>
        <w:rPr>
          <w:rFonts w:eastAsia="MS Mincho"/>
        </w:rPr>
        <w:t xml:space="preserve">pour </w:t>
      </w:r>
      <w:r w:rsidRPr="002D2E33">
        <w:rPr>
          <w:rFonts w:eastAsia="MS Mincho"/>
        </w:rPr>
        <w:t xml:space="preserve">les services </w:t>
      </w:r>
      <w:r>
        <w:rPr>
          <w:rFonts w:eastAsia="MS Mincho"/>
        </w:rPr>
        <w:t xml:space="preserve">collectifs </w:t>
      </w:r>
      <w:r w:rsidRPr="00840E21">
        <w:rPr>
          <w:rFonts w:eastAsia="MS Mincho"/>
        </w:rPr>
        <w:t>–</w:t>
      </w:r>
      <w:r>
        <w:rPr>
          <w:rFonts w:eastAsia="MS Mincho"/>
        </w:rPr>
        <w:t xml:space="preserve"> </w:t>
      </w:r>
      <w:r w:rsidRPr="002D2E33">
        <w:rPr>
          <w:rFonts w:eastAsia="MS Mincho"/>
        </w:rPr>
        <w:t>électricité, eau, poste et téléphone</w:t>
      </w:r>
      <w:r>
        <w:rPr>
          <w:rFonts w:eastAsia="MS Mincho"/>
        </w:rPr>
        <w:t xml:space="preserve"> </w:t>
      </w:r>
      <w:r w:rsidRPr="00840E21">
        <w:rPr>
          <w:rFonts w:eastAsia="MS Mincho"/>
        </w:rPr>
        <w:t>–</w:t>
      </w:r>
      <w:r>
        <w:rPr>
          <w:rFonts w:eastAsia="MS Mincho"/>
        </w:rPr>
        <w:t xml:space="preserve"> fournis </w:t>
      </w:r>
      <w:r w:rsidRPr="002D2E33">
        <w:rPr>
          <w:rFonts w:eastAsia="MS Mincho"/>
        </w:rPr>
        <w:t xml:space="preserve">par les </w:t>
      </w:r>
      <w:r>
        <w:rPr>
          <w:rFonts w:eastAsia="MS Mincho"/>
        </w:rPr>
        <w:t>prestataires</w:t>
      </w:r>
      <w:r w:rsidRPr="002D2E33">
        <w:rPr>
          <w:rFonts w:eastAsia="MS Mincho"/>
        </w:rPr>
        <w:t xml:space="preserve"> </w:t>
      </w:r>
      <w:r>
        <w:rPr>
          <w:rFonts w:eastAsia="MS Mincho"/>
        </w:rPr>
        <w:t>de services locaux et nationaux</w:t>
      </w:r>
      <w:r w:rsidRPr="002D2E33">
        <w:rPr>
          <w:rFonts w:eastAsia="MS Mincho"/>
        </w:rPr>
        <w:t>. Elle comprend aussi les frais de port et d</w:t>
      </w:r>
      <w:r>
        <w:rPr>
          <w:rFonts w:eastAsia="MS Mincho"/>
        </w:rPr>
        <w:t>'</w:t>
      </w:r>
      <w:r w:rsidRPr="002D2E33">
        <w:rPr>
          <w:rFonts w:eastAsia="MS Mincho"/>
        </w:rPr>
        <w:t>expédition des brochures, dépliants et autres documents publicitaires.</w:t>
      </w:r>
      <w:r>
        <w:rPr>
          <w:rFonts w:eastAsia="MS Mincho"/>
        </w:rPr>
        <w:t xml:space="preserve"> Compte tenu de l'application de mesures d'efficacité, les charges se rapportant à la catégorie 8 devraient être </w:t>
      </w:r>
      <w:r w:rsidR="00E66E9D">
        <w:rPr>
          <w:rFonts w:eastAsia="MS Mincho"/>
        </w:rPr>
        <w:t>inférieures</w:t>
      </w:r>
      <w:r>
        <w:rPr>
          <w:rFonts w:eastAsia="MS Mincho"/>
        </w:rPr>
        <w:t xml:space="preserve"> de 60% aux crédits budgétaires </w:t>
      </w:r>
      <w:r w:rsidR="00E66E9D">
        <w:rPr>
          <w:rFonts w:eastAsia="MS Mincho"/>
        </w:rPr>
        <w:t>prévus</w:t>
      </w:r>
      <w:r>
        <w:rPr>
          <w:rFonts w:eastAsia="MS Mincho"/>
        </w:rPr>
        <w:t xml:space="preserve"> pour l'exercice 2018-2019.</w:t>
      </w:r>
      <w:r w:rsidRPr="00740015">
        <w:rPr>
          <w:rFonts w:eastAsia="MS Mincho"/>
        </w:rPr>
        <w:t xml:space="preserve"> </w:t>
      </w:r>
      <w:r w:rsidRPr="002D2E33">
        <w:rPr>
          <w:rFonts w:eastAsia="MS Mincho"/>
        </w:rPr>
        <w:t>Le</w:t>
      </w:r>
      <w:r>
        <w:rPr>
          <w:rFonts w:eastAsia="MS Mincho"/>
        </w:rPr>
        <w:t xml:space="preserve"> budget d'une manifestation particulière comprend des rubriques similaires pour </w:t>
      </w:r>
      <w:r w:rsidRPr="002D2E33">
        <w:rPr>
          <w:rFonts w:eastAsia="MS Mincho"/>
        </w:rPr>
        <w:t>ladite manifestation</w:t>
      </w:r>
      <w:r>
        <w:rPr>
          <w:rFonts w:eastAsia="MS Mincho"/>
        </w:rPr>
        <w:t>.</w:t>
      </w:r>
    </w:p>
    <w:p w14:paraId="6011E6C5" w14:textId="77777777" w:rsidR="00D3795F" w:rsidRPr="002D2E33" w:rsidRDefault="00D3795F" w:rsidP="00C2000B">
      <w:pPr>
        <w:pStyle w:val="enumlev1"/>
        <w:spacing w:before="0" w:after="30"/>
        <w:rPr>
          <w:sz w:val="2"/>
          <w:szCs w:val="2"/>
        </w:rPr>
      </w:pPr>
    </w:p>
    <w:p w14:paraId="29CEF473" w14:textId="77777777" w:rsidR="00D3795F" w:rsidRPr="002D2E33" w:rsidRDefault="00D3795F" w:rsidP="00C2000B">
      <w:pPr>
        <w:pStyle w:val="Headingb"/>
      </w:pPr>
      <w:bookmarkStart w:id="11" w:name="_Toc418778846"/>
      <w:r>
        <w:t>Recouvrement des coûts auprès d'</w:t>
      </w:r>
      <w:r w:rsidRPr="002D2E33">
        <w:t>ITU TELECOM</w:t>
      </w:r>
      <w:bookmarkEnd w:id="11"/>
    </w:p>
    <w:p w14:paraId="0384B44D" w14:textId="77777777" w:rsidR="00D3795F" w:rsidRDefault="00D3795F" w:rsidP="00C2000B">
      <w:pPr>
        <w:spacing w:after="30"/>
        <w:rPr>
          <w:rFonts w:eastAsia="MS Mincho"/>
          <w:szCs w:val="24"/>
          <w:lang w:eastAsia="ja-JP"/>
        </w:rPr>
      </w:pPr>
      <w:r>
        <w:rPr>
          <w:szCs w:val="24"/>
        </w:rPr>
        <w:t>6</w:t>
      </w:r>
      <w:r w:rsidRPr="002D2E33">
        <w:rPr>
          <w:szCs w:val="24"/>
        </w:rPr>
        <w:tab/>
      </w:r>
      <w:r>
        <w:rPr>
          <w:rFonts w:eastAsia="MS Mincho"/>
          <w:szCs w:val="24"/>
          <w:lang w:eastAsia="ja-JP"/>
        </w:rPr>
        <w:t>Le recouvrement des coûts est un montant fixe que perçoit l'UIT pour les services rendus par les fonctionnaires d'</w:t>
      </w:r>
      <w:r w:rsidRPr="002D2E33">
        <w:rPr>
          <w:rFonts w:eastAsia="MS Mincho"/>
          <w:szCs w:val="24"/>
          <w:lang w:eastAsia="ja-JP"/>
        </w:rPr>
        <w:t>autres départements, unités ou Secteurs de l</w:t>
      </w:r>
      <w:r>
        <w:rPr>
          <w:rFonts w:eastAsia="MS Mincho"/>
          <w:szCs w:val="24"/>
          <w:lang w:eastAsia="ja-JP"/>
        </w:rPr>
        <w:t>'</w:t>
      </w:r>
      <w:r w:rsidRPr="002D2E33">
        <w:rPr>
          <w:rFonts w:eastAsia="MS Mincho"/>
          <w:szCs w:val="24"/>
          <w:lang w:eastAsia="ja-JP"/>
        </w:rPr>
        <w:t>UIT à ITU T</w:t>
      </w:r>
      <w:r>
        <w:rPr>
          <w:rFonts w:eastAsia="MS Mincho"/>
          <w:szCs w:val="24"/>
          <w:lang w:eastAsia="ja-JP"/>
        </w:rPr>
        <w:t>elecom</w:t>
      </w:r>
      <w:r w:rsidRPr="002D2E33">
        <w:rPr>
          <w:rFonts w:eastAsia="MS Mincho"/>
          <w:szCs w:val="24"/>
          <w:lang w:eastAsia="ja-JP"/>
        </w:rPr>
        <w:t xml:space="preserve">. </w:t>
      </w:r>
      <w:r>
        <w:rPr>
          <w:rFonts w:eastAsia="MS Mincho"/>
          <w:szCs w:val="24"/>
          <w:lang w:eastAsia="ja-JP"/>
        </w:rPr>
        <w:t xml:space="preserve">Ce montant est calculé à partir des charges estimées pour les traitements des fonctionnaires et autres rémunérations ainsi que pour tous les éléments dont d'autres fonctionnaires de l'UIT ont besoin pour s'acquitter de leurs fonctions liées aux activités d'ITU Telecom, par exemple les équipements et matériels informatiques et autres équipements TIC, l'espace à usage de bureau, les meubles et fournitures de bureau. Pour le dernier exercice biennal 2018-2019, le montant du recouvrement des coûts dans le budget du </w:t>
      </w:r>
      <w:r w:rsidR="00E66E9D">
        <w:rPr>
          <w:rFonts w:eastAsia="MS Mincho"/>
          <w:szCs w:val="24"/>
          <w:lang w:eastAsia="ja-JP"/>
        </w:rPr>
        <w:t>s</w:t>
      </w:r>
      <w:r>
        <w:rPr>
          <w:rFonts w:eastAsia="MS Mincho"/>
          <w:szCs w:val="24"/>
          <w:lang w:eastAsia="ja-JP"/>
        </w:rPr>
        <w:t xml:space="preserve">ecrétariat d'ITU Telecom se chiffrait à 1,5 million CHF par an. </w:t>
      </w:r>
      <w:r w:rsidR="00E66E9D">
        <w:rPr>
          <w:rFonts w:eastAsia="MS Mincho"/>
          <w:szCs w:val="24"/>
          <w:lang w:eastAsia="ja-JP"/>
        </w:rPr>
        <w:t>Depuis </w:t>
      </w:r>
      <w:r>
        <w:rPr>
          <w:rFonts w:eastAsia="MS Mincho"/>
          <w:szCs w:val="24"/>
          <w:lang w:eastAsia="ja-JP"/>
        </w:rPr>
        <w:t xml:space="preserve">2014, le même montant budgété a été perçu chaque année. </w:t>
      </w:r>
      <w:r w:rsidR="00E66E9D">
        <w:rPr>
          <w:rFonts w:eastAsia="MS Mincho"/>
          <w:szCs w:val="24"/>
          <w:lang w:eastAsia="ja-JP"/>
        </w:rPr>
        <w:t>Toutefois, pour 2018, le </w:t>
      </w:r>
      <w:r>
        <w:rPr>
          <w:rFonts w:eastAsia="MS Mincho"/>
          <w:szCs w:val="24"/>
          <w:lang w:eastAsia="ja-JP"/>
        </w:rPr>
        <w:t>Secrétaire général a décidé de ramener le montant effecti</w:t>
      </w:r>
      <w:r w:rsidR="00E66E9D">
        <w:rPr>
          <w:rFonts w:eastAsia="MS Mincho"/>
          <w:szCs w:val="24"/>
          <w:lang w:eastAsia="ja-JP"/>
        </w:rPr>
        <w:t>f du recouvrement des coûts à 1 </w:t>
      </w:r>
      <w:r>
        <w:rPr>
          <w:rFonts w:eastAsia="MS Mincho"/>
          <w:szCs w:val="24"/>
          <w:lang w:eastAsia="ja-JP"/>
        </w:rPr>
        <w:t xml:space="preserve">million CHF, afin d'aider le </w:t>
      </w:r>
      <w:r w:rsidR="00E66E9D">
        <w:rPr>
          <w:rFonts w:eastAsia="MS Mincho"/>
          <w:szCs w:val="24"/>
          <w:lang w:eastAsia="ja-JP"/>
        </w:rPr>
        <w:t>s</w:t>
      </w:r>
      <w:r>
        <w:rPr>
          <w:rFonts w:eastAsia="MS Mincho"/>
          <w:szCs w:val="24"/>
          <w:lang w:eastAsia="ja-JP"/>
        </w:rPr>
        <w:t xml:space="preserve">ecrétariat d'ITU Telecom et de remédier aux problèmes </w:t>
      </w:r>
      <w:r w:rsidRPr="00F97299">
        <w:rPr>
          <w:rFonts w:eastAsia="MS Mincho"/>
          <w:szCs w:val="24"/>
          <w:lang w:eastAsia="ja-JP"/>
        </w:rPr>
        <w:t xml:space="preserve"> </w:t>
      </w:r>
      <w:r>
        <w:rPr>
          <w:rFonts w:eastAsia="MS Mincho"/>
          <w:szCs w:val="24"/>
          <w:lang w:eastAsia="ja-JP"/>
        </w:rPr>
        <w:t xml:space="preserve">rencontrés dans le cadre de la manifestation de 2018. Pour l'exercice 2020-2021, un montant </w:t>
      </w:r>
      <w:r w:rsidR="00E66E9D">
        <w:rPr>
          <w:rFonts w:eastAsia="MS Mincho"/>
          <w:szCs w:val="24"/>
          <w:lang w:eastAsia="ja-JP"/>
        </w:rPr>
        <w:t>budgété de 1,5 </w:t>
      </w:r>
      <w:r>
        <w:rPr>
          <w:rFonts w:eastAsia="MS Mincho"/>
          <w:szCs w:val="24"/>
          <w:lang w:eastAsia="ja-JP"/>
        </w:rPr>
        <w:t>million CHF pour le recouvrement des coûts est de nouveau appliqué chaque année.</w:t>
      </w:r>
    </w:p>
    <w:p w14:paraId="15059D41" w14:textId="77777777" w:rsidR="00D3795F" w:rsidRPr="0083000A" w:rsidRDefault="00D3795F" w:rsidP="00C2000B">
      <w:pPr>
        <w:pStyle w:val="headingb0"/>
        <w:rPr>
          <w:lang w:val="fr-CH"/>
        </w:rPr>
      </w:pPr>
      <w:r>
        <w:rPr>
          <w:lang w:val="fr-CH"/>
        </w:rPr>
        <w:t>Utilisation des ressources</w:t>
      </w:r>
    </w:p>
    <w:p w14:paraId="136E91B2" w14:textId="77777777" w:rsidR="00D3795F" w:rsidRPr="002D2E33" w:rsidRDefault="00D3795F" w:rsidP="00C2000B">
      <w:pPr>
        <w:spacing w:before="6" w:after="6"/>
        <w:rPr>
          <w:sz w:val="2"/>
          <w:szCs w:val="2"/>
        </w:rPr>
      </w:pPr>
    </w:p>
    <w:p w14:paraId="13D80D4B" w14:textId="77777777" w:rsidR="00D3795F" w:rsidRDefault="00D3795F" w:rsidP="00C2000B">
      <w:pPr>
        <w:spacing w:after="30"/>
        <w:rPr>
          <w:szCs w:val="24"/>
        </w:rPr>
      </w:pPr>
      <w:r>
        <w:rPr>
          <w:szCs w:val="24"/>
        </w:rPr>
        <w:t>7</w:t>
      </w:r>
      <w:r w:rsidRPr="002D2E33">
        <w:rPr>
          <w:szCs w:val="24"/>
        </w:rPr>
        <w:tab/>
      </w:r>
      <w:r>
        <w:rPr>
          <w:szCs w:val="24"/>
        </w:rPr>
        <w:t>Le principal poste de dépenses d</w:t>
      </w:r>
      <w:r w:rsidRPr="002D2E33">
        <w:rPr>
          <w:rFonts w:eastAsia="MS Mincho"/>
          <w:szCs w:val="24"/>
          <w:lang w:eastAsia="ja-JP"/>
        </w:rPr>
        <w:t>ans les budgets des manifestations ITU T</w:t>
      </w:r>
      <w:r>
        <w:rPr>
          <w:rFonts w:eastAsia="MS Mincho"/>
          <w:szCs w:val="24"/>
          <w:lang w:eastAsia="ja-JP"/>
        </w:rPr>
        <w:t>elecom se compose des dépenses d</w:t>
      </w:r>
      <w:r w:rsidRPr="002D2E33">
        <w:rPr>
          <w:rFonts w:eastAsia="MS Mincho"/>
          <w:szCs w:val="24"/>
          <w:lang w:eastAsia="ja-JP"/>
        </w:rPr>
        <w:t xml:space="preserve">u </w:t>
      </w:r>
      <w:r w:rsidR="00E66E9D">
        <w:rPr>
          <w:rFonts w:eastAsia="MS Mincho"/>
          <w:szCs w:val="24"/>
          <w:lang w:eastAsia="ja-JP"/>
        </w:rPr>
        <w:t>s</w:t>
      </w:r>
      <w:r w:rsidRPr="002D2E33">
        <w:rPr>
          <w:rFonts w:eastAsia="MS Mincho"/>
          <w:szCs w:val="24"/>
          <w:lang w:eastAsia="ja-JP"/>
        </w:rPr>
        <w:t xml:space="preserve">ecrétariat </w:t>
      </w:r>
      <w:r>
        <w:rPr>
          <w:rFonts w:eastAsia="MS Mincho"/>
          <w:szCs w:val="24"/>
          <w:lang w:eastAsia="ja-JP"/>
        </w:rPr>
        <w:t xml:space="preserve">et du recouvrement des coûts. Ces dépenses </w:t>
      </w:r>
      <w:r w:rsidRPr="002D2E33">
        <w:rPr>
          <w:rFonts w:eastAsia="MS Mincho"/>
          <w:szCs w:val="24"/>
          <w:lang w:eastAsia="ja-JP"/>
        </w:rPr>
        <w:t xml:space="preserve">sont imputées </w:t>
      </w:r>
      <w:r>
        <w:rPr>
          <w:rFonts w:eastAsia="MS Mincho"/>
          <w:szCs w:val="24"/>
          <w:lang w:eastAsia="ja-JP"/>
        </w:rPr>
        <w:t>sur le</w:t>
      </w:r>
      <w:r w:rsidRPr="002D2E33">
        <w:rPr>
          <w:rFonts w:eastAsia="MS Mincho"/>
          <w:szCs w:val="24"/>
          <w:lang w:eastAsia="ja-JP"/>
        </w:rPr>
        <w:t xml:space="preserve"> budget de chaque manifestation ITU T</w:t>
      </w:r>
      <w:r>
        <w:rPr>
          <w:rFonts w:eastAsia="MS Mincho"/>
          <w:szCs w:val="24"/>
          <w:lang w:eastAsia="ja-JP"/>
        </w:rPr>
        <w:t>elecom,</w:t>
      </w:r>
      <w:r w:rsidRPr="002D2E33">
        <w:rPr>
          <w:rFonts w:eastAsia="MS Mincho"/>
          <w:szCs w:val="24"/>
          <w:lang w:eastAsia="ja-JP"/>
        </w:rPr>
        <w:t xml:space="preserve"> </w:t>
      </w:r>
      <w:r>
        <w:rPr>
          <w:rFonts w:eastAsia="MS Mincho"/>
          <w:szCs w:val="24"/>
          <w:lang w:eastAsia="ja-JP"/>
        </w:rPr>
        <w:t xml:space="preserve">au prorata </w:t>
      </w:r>
      <w:r w:rsidRPr="002D2E33">
        <w:rPr>
          <w:rFonts w:eastAsia="MS Mincho"/>
          <w:szCs w:val="24"/>
          <w:lang w:eastAsia="ja-JP"/>
        </w:rPr>
        <w:t>du pourcentage de temps estim</w:t>
      </w:r>
      <w:r>
        <w:rPr>
          <w:rFonts w:eastAsia="MS Mincho"/>
          <w:szCs w:val="24"/>
          <w:lang w:eastAsia="ja-JP"/>
        </w:rPr>
        <w:t>é</w:t>
      </w:r>
      <w:r w:rsidRPr="002D2E33">
        <w:rPr>
          <w:rFonts w:eastAsia="MS Mincho"/>
          <w:szCs w:val="24"/>
          <w:lang w:eastAsia="ja-JP"/>
        </w:rPr>
        <w:t xml:space="preserve"> que les fonctionnaires</w:t>
      </w:r>
      <w:r>
        <w:rPr>
          <w:rFonts w:eastAsia="MS Mincho"/>
          <w:szCs w:val="24"/>
          <w:lang w:eastAsia="ja-JP"/>
        </w:rPr>
        <w:t xml:space="preserve"> d'ITU Telecom</w:t>
      </w:r>
      <w:r w:rsidRPr="002D2E33">
        <w:rPr>
          <w:rFonts w:eastAsia="MS Mincho"/>
          <w:szCs w:val="24"/>
          <w:lang w:eastAsia="ja-JP"/>
        </w:rPr>
        <w:t xml:space="preserve"> </w:t>
      </w:r>
      <w:r>
        <w:rPr>
          <w:rFonts w:eastAsia="MS Mincho"/>
          <w:szCs w:val="24"/>
          <w:lang w:eastAsia="ja-JP"/>
        </w:rPr>
        <w:t>consacrent</w:t>
      </w:r>
      <w:r w:rsidRPr="002D2E33">
        <w:rPr>
          <w:rFonts w:eastAsia="MS Mincho"/>
          <w:szCs w:val="24"/>
          <w:lang w:eastAsia="ja-JP"/>
        </w:rPr>
        <w:t xml:space="preserve"> pour fournir les services liés à chaque manifestation particulière.</w:t>
      </w:r>
    </w:p>
    <w:p w14:paraId="6282AF7D" w14:textId="77777777" w:rsidR="00D3795F" w:rsidRDefault="00D3795F" w:rsidP="00C2000B">
      <w:r>
        <w:t>8</w:t>
      </w:r>
      <w:r>
        <w:tab/>
        <w:t xml:space="preserve">Le Tableau 3 ci-après donne une estimation des pourcentages de temps que le personnel consacre à chaque manifestation, lesquels servent de base pour l'imputation des coûts aux produits correspondants, conformément à la budgétisation axée sur les résultats (BAR). Le Tableau indique aussi les coûts correspondants pour chaque produit, sous forme d'un pourcentage du budget total du </w:t>
      </w:r>
      <w:r w:rsidR="00E66E9D">
        <w:t>s</w:t>
      </w:r>
      <w:r>
        <w:t>ecrétariat d'ITU Telecom pour l'exercice 2020-2021. Conformément aux normes IPSAS, tous les comptes relatifs aux manifestations sont clos au 31 décembre de l'année où s'est tenue la manifestation.</w:t>
      </w:r>
    </w:p>
    <w:p w14:paraId="4A9345EC" w14:textId="77777777" w:rsidR="000D20F0" w:rsidRDefault="000D20F0" w:rsidP="00C2000B">
      <w:pPr>
        <w:pStyle w:val="TableNo"/>
        <w:keepLines/>
        <w:spacing w:before="200" w:after="80"/>
        <w:rPr>
          <w:rFonts w:eastAsia="MS Mincho"/>
          <w:lang w:eastAsia="ja-JP"/>
        </w:rPr>
      </w:pPr>
      <w:r>
        <w:rPr>
          <w:rFonts w:eastAsia="MS Mincho"/>
          <w:lang w:eastAsia="ja-JP"/>
        </w:rPr>
        <w:br w:type="page"/>
      </w:r>
    </w:p>
    <w:p w14:paraId="0EEE3DB6" w14:textId="77777777" w:rsidR="00D3795F" w:rsidRDefault="00D3795F" w:rsidP="00C2000B">
      <w:pPr>
        <w:pStyle w:val="TableNo"/>
        <w:keepLines/>
        <w:spacing w:before="200" w:after="80"/>
        <w:rPr>
          <w:lang w:eastAsia="ja-JP"/>
        </w:rPr>
      </w:pPr>
      <w:bookmarkStart w:id="12" w:name="_Hlk132879620"/>
      <w:r w:rsidRPr="002D2E33">
        <w:rPr>
          <w:rFonts w:eastAsia="MS Mincho"/>
          <w:lang w:eastAsia="ja-JP"/>
        </w:rPr>
        <w:lastRenderedPageBreak/>
        <w:t>Tableau 3</w:t>
      </w:r>
    </w:p>
    <w:p w14:paraId="64C233D3" w14:textId="5C3A90E7" w:rsidR="00D3795F" w:rsidRDefault="00D3795F" w:rsidP="00C2000B">
      <w:pPr>
        <w:pStyle w:val="TableTitle0"/>
        <w:rPr>
          <w:rFonts w:asciiTheme="minorHAnsi" w:eastAsia="MS Mincho" w:hAnsiTheme="minorHAnsi" w:cstheme="minorHAnsi"/>
          <w:lang w:val="fr-CH" w:eastAsia="ja-JP"/>
        </w:rPr>
      </w:pPr>
      <w:r w:rsidRPr="002376DD">
        <w:rPr>
          <w:rFonts w:asciiTheme="minorHAnsi" w:eastAsia="MS Mincho" w:hAnsiTheme="minorHAnsi" w:cstheme="minorHAnsi"/>
          <w:lang w:val="fr-CH" w:eastAsia="ja-JP"/>
        </w:rPr>
        <w:t>Imputation aux produits en fonction du temps</w:t>
      </w:r>
    </w:p>
    <w:p w14:paraId="094B1526" w14:textId="6203D0F0" w:rsidR="0019262E" w:rsidRPr="00414C21" w:rsidRDefault="00414C21" w:rsidP="0019262E">
      <w:pPr>
        <w:pStyle w:val="Tabletext"/>
        <w:rPr>
          <w:rFonts w:eastAsia="MS Mincho"/>
          <w:lang w:val="fr-CH" w:eastAsia="ja-JP"/>
        </w:rPr>
      </w:pPr>
      <w:r w:rsidRPr="00414C21">
        <w:rPr>
          <w:rFonts w:eastAsia="MS Mincho"/>
        </w:rPr>
        <w:drawing>
          <wp:inline distT="0" distB="0" distL="0" distR="0" wp14:anchorId="5968F34C" wp14:editId="5734732E">
            <wp:extent cx="6278843" cy="2055818"/>
            <wp:effectExtent l="0" t="0" r="825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2619" cy="2057054"/>
                    </a:xfrm>
                    <a:prstGeom prst="rect">
                      <a:avLst/>
                    </a:prstGeom>
                    <a:noFill/>
                    <a:ln>
                      <a:noFill/>
                    </a:ln>
                  </pic:spPr>
                </pic:pic>
              </a:graphicData>
            </a:graphic>
          </wp:inline>
        </w:drawing>
      </w:r>
      <w:bookmarkEnd w:id="12"/>
    </w:p>
    <w:p w14:paraId="20771113" w14:textId="77777777" w:rsidR="000D20F0" w:rsidRPr="007538F8" w:rsidRDefault="000D20F0" w:rsidP="007538F8">
      <w:pPr>
        <w:pStyle w:val="Tabletext"/>
        <w:rPr>
          <w:rFonts w:eastAsia="MS Mincho"/>
          <w:sz w:val="2"/>
          <w:szCs w:val="2"/>
          <w:lang w:val="fr-CH" w:eastAsia="ja-JP"/>
        </w:rPr>
      </w:pPr>
    </w:p>
    <w:p w14:paraId="12D6B735" w14:textId="77777777" w:rsidR="00D3795F" w:rsidRPr="002D2E33" w:rsidRDefault="00D3795F" w:rsidP="00C2000B">
      <w:pPr>
        <w:pStyle w:val="Headingb"/>
        <w:spacing w:before="240"/>
      </w:pPr>
      <w:r>
        <w:t>Financement des ressources</w:t>
      </w:r>
    </w:p>
    <w:p w14:paraId="523F33A9" w14:textId="77777777" w:rsidR="00D3795F" w:rsidRPr="00E97E2D" w:rsidRDefault="00D3795F" w:rsidP="00C2000B">
      <w:pPr>
        <w:spacing w:after="30"/>
        <w:rPr>
          <w:rFonts w:eastAsia="MS Mincho"/>
          <w:szCs w:val="24"/>
          <w:lang w:eastAsia="ja-JP"/>
        </w:rPr>
      </w:pPr>
      <w:r>
        <w:rPr>
          <w:szCs w:val="24"/>
        </w:rPr>
        <w:t>9</w:t>
      </w:r>
      <w:r w:rsidRPr="002D2E33">
        <w:rPr>
          <w:szCs w:val="24"/>
        </w:rPr>
        <w:tab/>
      </w:r>
      <w:r w:rsidRPr="002D2E33">
        <w:rPr>
          <w:rFonts w:eastAsia="MS Mincho"/>
          <w:szCs w:val="24"/>
          <w:lang w:eastAsia="ja-JP"/>
        </w:rPr>
        <w:t>Le</w:t>
      </w:r>
      <w:r>
        <w:rPr>
          <w:rFonts w:eastAsia="MS Mincho"/>
          <w:szCs w:val="24"/>
          <w:lang w:eastAsia="ja-JP"/>
        </w:rPr>
        <w:t xml:space="preserve">s recettes brutes </w:t>
      </w:r>
      <w:r w:rsidRPr="002D2E33">
        <w:rPr>
          <w:rFonts w:eastAsia="MS Mincho"/>
          <w:szCs w:val="24"/>
          <w:lang w:eastAsia="ja-JP"/>
        </w:rPr>
        <w:t>généré</w:t>
      </w:r>
      <w:r>
        <w:rPr>
          <w:rFonts w:eastAsia="MS Mincho"/>
          <w:szCs w:val="24"/>
          <w:lang w:eastAsia="ja-JP"/>
        </w:rPr>
        <w:t>es</w:t>
      </w:r>
      <w:r w:rsidRPr="002D2E33">
        <w:rPr>
          <w:rFonts w:eastAsia="MS Mincho"/>
          <w:szCs w:val="24"/>
          <w:lang w:eastAsia="ja-JP"/>
        </w:rPr>
        <w:t xml:space="preserve"> par les manifestations ITU T</w:t>
      </w:r>
      <w:r>
        <w:rPr>
          <w:rFonts w:eastAsia="MS Mincho"/>
          <w:szCs w:val="24"/>
          <w:lang w:eastAsia="ja-JP"/>
        </w:rPr>
        <w:t>elecom</w:t>
      </w:r>
      <w:r w:rsidRPr="002D2E33">
        <w:rPr>
          <w:rFonts w:eastAsia="MS Mincho"/>
          <w:szCs w:val="24"/>
          <w:lang w:eastAsia="ja-JP"/>
        </w:rPr>
        <w:t xml:space="preserve"> constitue</w:t>
      </w:r>
      <w:r>
        <w:rPr>
          <w:rFonts w:eastAsia="MS Mincho"/>
          <w:szCs w:val="24"/>
          <w:lang w:eastAsia="ja-JP"/>
        </w:rPr>
        <w:t>nt</w:t>
      </w:r>
      <w:r w:rsidRPr="002D2E33">
        <w:rPr>
          <w:rFonts w:eastAsia="MS Mincho"/>
          <w:szCs w:val="24"/>
          <w:lang w:eastAsia="ja-JP"/>
        </w:rPr>
        <w:t xml:space="preserve"> la sour</w:t>
      </w:r>
      <w:r>
        <w:rPr>
          <w:rFonts w:eastAsia="MS Mincho"/>
          <w:szCs w:val="24"/>
          <w:lang w:eastAsia="ja-JP"/>
        </w:rPr>
        <w:t>ce de financement du budget du s</w:t>
      </w:r>
      <w:r w:rsidRPr="002D2E33">
        <w:rPr>
          <w:rFonts w:eastAsia="MS Mincho"/>
          <w:szCs w:val="24"/>
          <w:lang w:eastAsia="ja-JP"/>
        </w:rPr>
        <w:t>ecrétariat d</w:t>
      </w:r>
      <w:r>
        <w:rPr>
          <w:rFonts w:eastAsia="MS Mincho"/>
          <w:szCs w:val="24"/>
          <w:lang w:eastAsia="ja-JP"/>
        </w:rPr>
        <w:t>'</w:t>
      </w:r>
      <w:r w:rsidRPr="002D2E33">
        <w:rPr>
          <w:rFonts w:eastAsia="MS Mincho"/>
          <w:szCs w:val="24"/>
          <w:lang w:eastAsia="ja-JP"/>
        </w:rPr>
        <w:t>ITU T</w:t>
      </w:r>
      <w:r>
        <w:rPr>
          <w:rFonts w:eastAsia="MS Mincho"/>
          <w:szCs w:val="24"/>
          <w:lang w:eastAsia="ja-JP"/>
        </w:rPr>
        <w:t>elecom</w:t>
      </w:r>
      <w:r w:rsidRPr="002D2E33">
        <w:rPr>
          <w:rFonts w:eastAsia="MS Mincho"/>
          <w:szCs w:val="24"/>
          <w:lang w:eastAsia="ja-JP"/>
        </w:rPr>
        <w:t>.</w:t>
      </w:r>
      <w:r>
        <w:rPr>
          <w:rFonts w:eastAsia="MS Mincho"/>
          <w:szCs w:val="24"/>
          <w:lang w:eastAsia="ja-JP"/>
        </w:rPr>
        <w:t xml:space="preserve"> Le Tableau 4 ci-après indique le montant estimé des produits et des charges pour l'exercice 2020-2021. Avec un montant total estimé prévu de 16 200 000 CHF pour les produits et de 15 454 000 CHF pour les charges pour l'exercic</w:t>
      </w:r>
      <w:r w:rsidR="00E66E9D">
        <w:rPr>
          <w:rFonts w:eastAsia="MS Mincho"/>
          <w:szCs w:val="24"/>
          <w:lang w:eastAsia="ja-JP"/>
        </w:rPr>
        <w:t>e biennal</w:t>
      </w:r>
      <w:r>
        <w:rPr>
          <w:rFonts w:eastAsia="MS Mincho"/>
          <w:szCs w:val="24"/>
          <w:lang w:eastAsia="ja-JP"/>
        </w:rPr>
        <w:t>, le solde positif net devrait s'établir à 746 000 CHF pour l'exercice 2020-2021.</w:t>
      </w:r>
    </w:p>
    <w:p w14:paraId="5DADB834" w14:textId="77777777" w:rsidR="00D3795F" w:rsidRDefault="00D3795F" w:rsidP="00C2000B">
      <w:pPr>
        <w:rPr>
          <w:rFonts w:eastAsia="MS Mincho"/>
          <w:lang w:eastAsia="ja-JP"/>
        </w:rPr>
      </w:pPr>
      <w:r>
        <w:rPr>
          <w:rFonts w:eastAsia="MS Mincho"/>
          <w:lang w:eastAsia="ja-JP"/>
        </w:rPr>
        <w:t>10</w:t>
      </w:r>
      <w:r>
        <w:rPr>
          <w:rFonts w:eastAsia="MS Mincho"/>
          <w:lang w:eastAsia="ja-JP"/>
        </w:rPr>
        <w:tab/>
        <w:t xml:space="preserve">Les sources de recettes sont l'espace loué, le soutien financier des sponsors, les contributions du pays hôte, les droits d'admission et d'autres recettes afférentes aux manifestations. ITU Telecom met tout en oeuvre pour fournir de nouveaux services afin de satisfaire les besoins en constante évolution de ses clients, tout en s'efforçant de dégager des recettes pour l'UIT. Les charges totales se composent des charges de base du </w:t>
      </w:r>
      <w:r w:rsidR="00E66E9D">
        <w:rPr>
          <w:rFonts w:eastAsia="MS Mincho"/>
          <w:lang w:eastAsia="ja-JP"/>
        </w:rPr>
        <w:t>s</w:t>
      </w:r>
      <w:r>
        <w:rPr>
          <w:rFonts w:eastAsia="MS Mincho"/>
          <w:lang w:eastAsia="ja-JP"/>
        </w:rPr>
        <w:t>ecrétariat d'ITU Telecom (10,27 millions CHF) qui comprennent le recouvrement des coûts (3 millions CHF) et les charges liées aux manifestations proprement dites (charges de personnel, frais de mission, services contractuels, services de location et de maintenance, matériels et fournitures, services publics et divers).</w:t>
      </w:r>
    </w:p>
    <w:p w14:paraId="6C808C9D" w14:textId="77777777" w:rsidR="00D3795F" w:rsidRPr="003953CD" w:rsidRDefault="00D3795F" w:rsidP="00C2000B">
      <w:pPr>
        <w:pStyle w:val="TableNo"/>
      </w:pPr>
      <w:bookmarkStart w:id="13" w:name="_Hlk132879679"/>
      <w:r w:rsidRPr="003953CD">
        <w:rPr>
          <w:rFonts w:eastAsia="MS Mincho"/>
        </w:rPr>
        <w:lastRenderedPageBreak/>
        <w:t>Tableau 4</w:t>
      </w:r>
    </w:p>
    <w:p w14:paraId="1A9F4831" w14:textId="512293FE" w:rsidR="00D3795F" w:rsidRDefault="00D3795F" w:rsidP="00C2000B">
      <w:pPr>
        <w:pStyle w:val="TableTitle0"/>
        <w:rPr>
          <w:rFonts w:asciiTheme="minorHAnsi" w:eastAsia="MS Mincho" w:hAnsiTheme="minorHAnsi" w:cstheme="minorHAnsi"/>
          <w:lang w:eastAsia="ja-JP"/>
        </w:rPr>
      </w:pPr>
      <w:r w:rsidRPr="003E2F91">
        <w:rPr>
          <w:rFonts w:asciiTheme="minorHAnsi" w:eastAsia="MS Mincho" w:hAnsiTheme="minorHAnsi" w:cstheme="minorHAnsi"/>
          <w:lang w:val="fr-CH" w:eastAsia="ja-JP"/>
        </w:rPr>
        <w:t xml:space="preserve">Financement pour </w:t>
      </w:r>
      <w:r w:rsidRPr="003E2F91">
        <w:rPr>
          <w:rFonts w:asciiTheme="minorHAnsi" w:hAnsiTheme="minorHAnsi" w:cstheme="minorHAnsi"/>
          <w:lang w:val="fr-CH" w:eastAsia="ja-JP"/>
        </w:rPr>
        <w:t>l</w:t>
      </w:r>
      <w:r>
        <w:rPr>
          <w:rFonts w:asciiTheme="minorHAnsi" w:hAnsiTheme="minorHAnsi" w:cstheme="minorHAnsi"/>
          <w:lang w:val="fr-CH" w:eastAsia="ja-JP"/>
        </w:rPr>
        <w:t>'</w:t>
      </w:r>
      <w:r w:rsidRPr="003E2F91">
        <w:rPr>
          <w:rFonts w:asciiTheme="minorHAnsi" w:hAnsiTheme="minorHAnsi" w:cstheme="minorHAnsi"/>
          <w:lang w:val="fr-CH" w:eastAsia="ja-JP"/>
        </w:rPr>
        <w:t>exercice</w:t>
      </w:r>
      <w:r w:rsidRPr="003E2F91">
        <w:rPr>
          <w:rFonts w:asciiTheme="minorHAnsi" w:hAnsiTheme="minorHAnsi" w:cstheme="minorHAnsi"/>
          <w:lang w:eastAsia="ja-JP"/>
        </w:rPr>
        <w:t xml:space="preserve"> </w:t>
      </w:r>
      <w:r>
        <w:rPr>
          <w:rFonts w:asciiTheme="minorHAnsi" w:eastAsia="MS Mincho" w:hAnsiTheme="minorHAnsi" w:cstheme="minorHAnsi"/>
          <w:lang w:eastAsia="ja-JP"/>
        </w:rPr>
        <w:t>2020-2021</w:t>
      </w:r>
    </w:p>
    <w:p w14:paraId="36945203" w14:textId="66281F50" w:rsidR="00414C21" w:rsidRPr="00414C21" w:rsidRDefault="00414C21" w:rsidP="00414C21">
      <w:pPr>
        <w:pStyle w:val="Tabletext"/>
        <w:rPr>
          <w:rFonts w:eastAsia="MS Mincho"/>
          <w:lang w:val="en-GB" w:eastAsia="ja-JP"/>
        </w:rPr>
      </w:pPr>
      <w:r w:rsidRPr="00414C21">
        <w:rPr>
          <w:rFonts w:eastAsia="MS Mincho"/>
        </w:rPr>
        <w:drawing>
          <wp:inline distT="0" distB="0" distL="0" distR="0" wp14:anchorId="1D808058" wp14:editId="51A57C2F">
            <wp:extent cx="6120765" cy="5742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5742305"/>
                    </a:xfrm>
                    <a:prstGeom prst="rect">
                      <a:avLst/>
                    </a:prstGeom>
                    <a:noFill/>
                    <a:ln>
                      <a:noFill/>
                    </a:ln>
                  </pic:spPr>
                </pic:pic>
              </a:graphicData>
            </a:graphic>
          </wp:inline>
        </w:drawing>
      </w:r>
    </w:p>
    <w:bookmarkEnd w:id="13"/>
    <w:p w14:paraId="6BA13BAB" w14:textId="549A07C4" w:rsidR="00174A6B" w:rsidRPr="00174A6B" w:rsidRDefault="00174A6B" w:rsidP="00174A6B">
      <w:pPr>
        <w:pStyle w:val="Tabletext"/>
        <w:jc w:val="center"/>
        <w:rPr>
          <w:rFonts w:eastAsia="MS Mincho"/>
          <w:sz w:val="2"/>
          <w:szCs w:val="2"/>
          <w:lang w:val="en-GB" w:eastAsia="ja-JP"/>
        </w:rPr>
      </w:pPr>
    </w:p>
    <w:p w14:paraId="237AEDFB" w14:textId="77777777" w:rsidR="00D3795F" w:rsidRPr="002D2E33" w:rsidRDefault="00D3795F" w:rsidP="00C2000B">
      <w:pPr>
        <w:pStyle w:val="Headingb"/>
        <w:spacing w:before="240"/>
      </w:pPr>
      <w:r>
        <w:t>Fonds de roulement des expositions</w:t>
      </w:r>
      <w:r w:rsidR="00C2000B">
        <w:t xml:space="preserve"> (EWCF)</w:t>
      </w:r>
    </w:p>
    <w:p w14:paraId="3E088E86" w14:textId="77777777" w:rsidR="00D3795F" w:rsidRDefault="00D3795F" w:rsidP="00C2000B">
      <w:pPr>
        <w:spacing w:after="30"/>
        <w:rPr>
          <w:rFonts w:eastAsia="MS Mincho"/>
          <w:szCs w:val="24"/>
          <w:lang w:eastAsia="ja-JP"/>
        </w:rPr>
      </w:pPr>
      <w:r>
        <w:rPr>
          <w:szCs w:val="24"/>
        </w:rPr>
        <w:t>11</w:t>
      </w:r>
      <w:r w:rsidRPr="002D2E33">
        <w:rPr>
          <w:szCs w:val="24"/>
        </w:rPr>
        <w:tab/>
      </w:r>
      <w:r w:rsidRPr="002D2E33">
        <w:rPr>
          <w:rFonts w:eastAsia="MS Mincho"/>
          <w:szCs w:val="24"/>
          <w:lang w:eastAsia="ja-JP"/>
        </w:rPr>
        <w:t>Après la clôture des comptes pour chaq</w:t>
      </w:r>
      <w:r>
        <w:rPr>
          <w:rFonts w:eastAsia="MS Mincho"/>
          <w:szCs w:val="24"/>
          <w:lang w:eastAsia="ja-JP"/>
        </w:rPr>
        <w:t>ue manifestation ITU Telecom, le résultat net est transféré</w:t>
      </w:r>
      <w:r w:rsidRPr="002D2E33">
        <w:rPr>
          <w:rFonts w:eastAsia="MS Mincho"/>
          <w:szCs w:val="24"/>
          <w:lang w:eastAsia="ja-JP"/>
        </w:rPr>
        <w:t xml:space="preserve"> dans le Fonds de roulement des expositions, conformément à </w:t>
      </w:r>
      <w:r>
        <w:rPr>
          <w:rFonts w:eastAsia="MS Mincho"/>
          <w:szCs w:val="24"/>
          <w:lang w:eastAsia="ja-JP"/>
        </w:rPr>
        <w:t xml:space="preserve">la Règle 4 de </w:t>
      </w:r>
      <w:r w:rsidRPr="002D2E33">
        <w:rPr>
          <w:rFonts w:eastAsia="MS Mincho"/>
          <w:szCs w:val="24"/>
          <w:lang w:eastAsia="ja-JP"/>
        </w:rPr>
        <w:t>l</w:t>
      </w:r>
      <w:r>
        <w:rPr>
          <w:rFonts w:eastAsia="MS Mincho"/>
          <w:szCs w:val="24"/>
          <w:lang w:eastAsia="ja-JP"/>
        </w:rPr>
        <w:t>'</w:t>
      </w:r>
      <w:r w:rsidRPr="002D2E33">
        <w:rPr>
          <w:rFonts w:eastAsia="MS Mincho"/>
          <w:szCs w:val="24"/>
          <w:lang w:eastAsia="ja-JP"/>
        </w:rPr>
        <w:t>Article</w:t>
      </w:r>
      <w:r>
        <w:rPr>
          <w:rFonts w:eastAsia="MS Mincho"/>
          <w:szCs w:val="24"/>
          <w:lang w:eastAsia="ja-JP"/>
        </w:rPr>
        <w:t> </w:t>
      </w:r>
      <w:r w:rsidRPr="002D2E33">
        <w:rPr>
          <w:rFonts w:eastAsia="MS Mincho"/>
          <w:szCs w:val="24"/>
          <w:lang w:eastAsia="ja-JP"/>
        </w:rPr>
        <w:t>19 du Règlement financier et des Règles financières de l</w:t>
      </w:r>
      <w:r>
        <w:rPr>
          <w:rFonts w:eastAsia="MS Mincho"/>
          <w:szCs w:val="24"/>
          <w:lang w:eastAsia="ja-JP"/>
        </w:rPr>
        <w:t>'</w:t>
      </w:r>
      <w:r w:rsidRPr="002D2E33">
        <w:rPr>
          <w:rFonts w:eastAsia="MS Mincho"/>
          <w:szCs w:val="24"/>
          <w:lang w:eastAsia="ja-JP"/>
        </w:rPr>
        <w:t xml:space="preserve">UIT. </w:t>
      </w:r>
      <w:r>
        <w:rPr>
          <w:rFonts w:eastAsia="MS Mincho"/>
          <w:szCs w:val="24"/>
          <w:lang w:eastAsia="ja-JP"/>
        </w:rPr>
        <w:t>Un résultat positif fait augmenter le solde du Fonds de roulement des expositions tandis qu'un résultat négatif se traduit par une baisse du montant de ce Fonds utilisé pour absorber le déficit.</w:t>
      </w:r>
    </w:p>
    <w:p w14:paraId="69508A70" w14:textId="77777777" w:rsidR="00D3795F" w:rsidRDefault="00D3795F" w:rsidP="00C2000B">
      <w:r>
        <w:t>12</w:t>
      </w:r>
      <w:r>
        <w:tab/>
        <w:t>Le Conseil de l'UIT a fixé à 5 millions CHF le niveau minimum du Fonds de roulement des e</w:t>
      </w:r>
      <w:r w:rsidR="00C2000B">
        <w:t>xpositions afin qu'</w:t>
      </w:r>
      <w:r>
        <w:t>ITU Telecom puisse fonctionner et s'acquitter de ses obligations financières. Le tableau ci-après indique les montants disponibles dans le Fonds de roulement des expositions à la fin de chaque année entre 2013 et 2018.</w:t>
      </w:r>
    </w:p>
    <w:p w14:paraId="51DBC9C5" w14:textId="77777777" w:rsidR="00D3795F" w:rsidRPr="003E2F91" w:rsidRDefault="00D3795F" w:rsidP="00C2000B">
      <w:pPr>
        <w:pStyle w:val="TableNo"/>
        <w:rPr>
          <w:rFonts w:asciiTheme="minorHAnsi" w:hAnsiTheme="minorHAnsi" w:cstheme="minorHAnsi"/>
        </w:rPr>
      </w:pPr>
      <w:bookmarkStart w:id="14" w:name="_Hlk132879740"/>
      <w:r w:rsidRPr="003E2F91">
        <w:rPr>
          <w:rFonts w:asciiTheme="minorHAnsi" w:hAnsiTheme="minorHAnsi" w:cstheme="minorHAnsi"/>
        </w:rPr>
        <w:lastRenderedPageBreak/>
        <w:t>Tableau 5</w:t>
      </w:r>
    </w:p>
    <w:p w14:paraId="77D877A9" w14:textId="1D79B6BA" w:rsidR="00D3795F" w:rsidRDefault="00D3795F" w:rsidP="00C2000B">
      <w:pPr>
        <w:pStyle w:val="TableTitle0"/>
        <w:rPr>
          <w:rFonts w:asciiTheme="minorHAnsi" w:hAnsiTheme="minorHAnsi" w:cstheme="minorHAnsi"/>
          <w:lang w:val="fr-CH"/>
        </w:rPr>
      </w:pPr>
      <w:r w:rsidRPr="003E2F91">
        <w:rPr>
          <w:rFonts w:asciiTheme="minorHAnsi" w:hAnsiTheme="minorHAnsi" w:cstheme="minorHAnsi"/>
          <w:lang w:val="fr-CH"/>
        </w:rPr>
        <w:t>Situation du Fonds de roulement des expositions</w:t>
      </w:r>
    </w:p>
    <w:p w14:paraId="6163CECA" w14:textId="3F3304EC" w:rsidR="00414C21" w:rsidRPr="00414C21" w:rsidRDefault="00414C21" w:rsidP="00414C21">
      <w:pPr>
        <w:pStyle w:val="Tabletext"/>
        <w:rPr>
          <w:lang w:val="fr-CH"/>
        </w:rPr>
      </w:pPr>
      <w:r w:rsidRPr="00414C21">
        <w:drawing>
          <wp:inline distT="0" distB="0" distL="0" distR="0" wp14:anchorId="194B0047" wp14:editId="549D498F">
            <wp:extent cx="6120765" cy="8553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855345"/>
                    </a:xfrm>
                    <a:prstGeom prst="rect">
                      <a:avLst/>
                    </a:prstGeom>
                    <a:noFill/>
                    <a:ln>
                      <a:noFill/>
                    </a:ln>
                  </pic:spPr>
                </pic:pic>
              </a:graphicData>
            </a:graphic>
          </wp:inline>
        </w:drawing>
      </w:r>
    </w:p>
    <w:bookmarkEnd w:id="14"/>
    <w:p w14:paraId="46737A37" w14:textId="311BD33C" w:rsidR="00BB052A" w:rsidRPr="00BB052A" w:rsidRDefault="00BB052A" w:rsidP="00D263C7">
      <w:pPr>
        <w:pStyle w:val="Tabletext"/>
        <w:jc w:val="center"/>
        <w:rPr>
          <w:sz w:val="2"/>
          <w:szCs w:val="2"/>
          <w:lang w:val="fr-CH"/>
        </w:rPr>
      </w:pPr>
    </w:p>
    <w:p w14:paraId="57247881" w14:textId="77777777" w:rsidR="00D3795F" w:rsidRDefault="00D3795F" w:rsidP="00C2000B">
      <w:pPr>
        <w:pStyle w:val="Normalaftertitle"/>
      </w:pPr>
      <w:r>
        <w:t>13</w:t>
      </w:r>
      <w:r>
        <w:tab/>
        <w:t>Le résultat positif de la manifestation ITU Telecom World 2013</w:t>
      </w:r>
      <w:r w:rsidR="00C2000B">
        <w:t xml:space="preserve"> est reflété dans le solde pour </w:t>
      </w:r>
      <w:r>
        <w:t xml:space="preserve">2013. Le solde pour 2014 montre une diminution de 11% par rapport à 2013, qui </w:t>
      </w:r>
      <w:r w:rsidR="00C2000B">
        <w:t>tient compte du</w:t>
      </w:r>
      <w:r>
        <w:t xml:space="preserve"> résultat positif de la manifestation ITU Telecom World 2014 et </w:t>
      </w:r>
      <w:r w:rsidR="00C2000B">
        <w:t>du</w:t>
      </w:r>
      <w:r>
        <w:t xml:space="preserve"> transfert de l'excédent (2</w:t>
      </w:r>
      <w:r w:rsidR="00C2000B">
        <w:t> </w:t>
      </w:r>
      <w:r>
        <w:t xml:space="preserve">millions CHF) dans le Fonds pour le développement des TIC. On observe une augmentation </w:t>
      </w:r>
      <w:r w:rsidR="00C2000B">
        <w:t xml:space="preserve">de </w:t>
      </w:r>
      <w:r>
        <w:t>3% en 2015</w:t>
      </w:r>
      <w:r w:rsidR="00C2000B">
        <w:t>, qui est</w:t>
      </w:r>
      <w:r>
        <w:t xml:space="preserve"> due au fait que la manifestation ITU Telecom World 2015 a été excédentaire. L'excédent dégagé en 2016 a été nettement plus élevé que celui prévu dans le budget, ce qui explique l'augmentation de plus de 9% du solde pour 2016 par rapport à 2015. Bien que la manifestation ITU Telecom World 2017 ait été excédentaire, le solde pour 2017 est inférieur de 20% par rapport au solde pour 2016, en raison du transfert </w:t>
      </w:r>
      <w:r w:rsidR="00C2000B">
        <w:t>d'un montant de </w:t>
      </w:r>
      <w:r>
        <w:t xml:space="preserve">2 millions CHF dans le Fonds pour le développement des TIC. Le solde pour 2018 traduit le résultat négatif de la manifestation ITU Telecom World 2018, qui </w:t>
      </w:r>
      <w:r w:rsidR="00C2000B">
        <w:t>tient compte</w:t>
      </w:r>
      <w:r>
        <w:t xml:space="preserve"> des dettes non encore réglées au moment de la clôture des comptes.</w:t>
      </w:r>
    </w:p>
    <w:p w14:paraId="2D2FD59D" w14:textId="77777777" w:rsidR="00D3795F" w:rsidRDefault="00D3795F" w:rsidP="00C2000B">
      <w:pPr>
        <w:pStyle w:val="Reasons"/>
      </w:pPr>
    </w:p>
    <w:p w14:paraId="1F22BF54" w14:textId="77777777" w:rsidR="00520F36" w:rsidRPr="00CA08ED" w:rsidRDefault="00D3795F" w:rsidP="00C2000B">
      <w:pPr>
        <w:jc w:val="center"/>
      </w:pPr>
      <w:r>
        <w:t>______________</w:t>
      </w:r>
    </w:p>
    <w:sectPr w:rsidR="00520F36" w:rsidRPr="00CA08ED" w:rsidSect="000D20F0">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7275D" w14:textId="77777777" w:rsidR="00E66E9D" w:rsidRDefault="00E66E9D">
      <w:r>
        <w:separator/>
      </w:r>
    </w:p>
  </w:endnote>
  <w:endnote w:type="continuationSeparator" w:id="0">
    <w:p w14:paraId="0FE0F8A7" w14:textId="77777777" w:rsidR="00E66E9D" w:rsidRDefault="00E6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roman"/>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BFE7" w14:textId="77777777" w:rsidR="00E66E9D" w:rsidRDefault="008F1145">
    <w:pPr>
      <w:pStyle w:val="Footer"/>
    </w:pPr>
    <w:fldSimple w:instr=" FILENAME \p \* MERGEFORMAT ">
      <w:r>
        <w:t>P:\FRA\SG\CONSEIL\C19\000\015ADD01F.docx</w:t>
      </w:r>
    </w:fldSimple>
    <w:r w:rsidR="00E66E9D">
      <w:tab/>
    </w:r>
    <w:r w:rsidR="00E66E9D">
      <w:fldChar w:fldCharType="begin"/>
    </w:r>
    <w:r w:rsidR="00E66E9D">
      <w:instrText xml:space="preserve"> savedate \@ dd.MM.yy </w:instrText>
    </w:r>
    <w:r w:rsidR="00E66E9D">
      <w:fldChar w:fldCharType="separate"/>
    </w:r>
    <w:r w:rsidR="00414C21">
      <w:t>30.05.19</w:t>
    </w:r>
    <w:r w:rsidR="00E66E9D">
      <w:fldChar w:fldCharType="end"/>
    </w:r>
    <w:r w:rsidR="00E66E9D">
      <w:tab/>
    </w:r>
    <w:r w:rsidR="00E66E9D">
      <w:fldChar w:fldCharType="begin"/>
    </w:r>
    <w:r w:rsidR="00E66E9D">
      <w:instrText xml:space="preserve"> printdate \@ dd.MM.yy </w:instrText>
    </w:r>
    <w:r w:rsidR="00E66E9D">
      <w:fldChar w:fldCharType="separate"/>
    </w:r>
    <w:r>
      <w:t>18.07.00</w:t>
    </w:r>
    <w:r w:rsidR="00E66E9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AA44" w14:textId="77777777" w:rsidR="00E66E9D" w:rsidRDefault="008F1145">
    <w:pPr>
      <w:pStyle w:val="Footer"/>
    </w:pPr>
    <w:fldSimple w:instr=" FILENAME \p \* MERGEFORMAT ">
      <w:r>
        <w:t>P:\FRA\SG\CONSEIL\C19\000\015ADD01F.docx</w:t>
      </w:r>
    </w:fldSimple>
    <w:r w:rsidR="00E66E9D">
      <w:t xml:space="preserve"> (455919)</w:t>
    </w:r>
    <w:r w:rsidR="00E66E9D">
      <w:tab/>
    </w:r>
    <w:r w:rsidR="00E66E9D">
      <w:fldChar w:fldCharType="begin"/>
    </w:r>
    <w:r w:rsidR="00E66E9D">
      <w:instrText xml:space="preserve"> savedate \@ dd.MM.yy </w:instrText>
    </w:r>
    <w:r w:rsidR="00E66E9D">
      <w:fldChar w:fldCharType="separate"/>
    </w:r>
    <w:r w:rsidR="00414C21">
      <w:t>30.05.19</w:t>
    </w:r>
    <w:r w:rsidR="00E66E9D">
      <w:fldChar w:fldCharType="end"/>
    </w:r>
    <w:r w:rsidR="00E66E9D">
      <w:tab/>
    </w:r>
    <w:r w:rsidR="00E66E9D">
      <w:fldChar w:fldCharType="begin"/>
    </w:r>
    <w:r w:rsidR="00E66E9D">
      <w:instrText xml:space="preserve"> printdate \@ dd.MM.yy </w:instrText>
    </w:r>
    <w:r w:rsidR="00E66E9D">
      <w:fldChar w:fldCharType="separate"/>
    </w:r>
    <w:r>
      <w:t>18.07.00</w:t>
    </w:r>
    <w:r w:rsidR="00E66E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CFAD" w14:textId="77777777" w:rsidR="00E66E9D" w:rsidRDefault="00E66E9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7D61" w14:textId="77777777" w:rsidR="00E66E9D" w:rsidRDefault="00E66E9D">
      <w:r>
        <w:t>____________________</w:t>
      </w:r>
    </w:p>
  </w:footnote>
  <w:footnote w:type="continuationSeparator" w:id="0">
    <w:p w14:paraId="7080E068" w14:textId="77777777" w:rsidR="00E66E9D" w:rsidRDefault="00E66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1706" w14:textId="77777777" w:rsidR="00E66E9D" w:rsidRDefault="00E66E9D">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18CBFC60" w14:textId="77777777" w:rsidR="00E66E9D" w:rsidRDefault="00E66E9D">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4786" w14:textId="77777777" w:rsidR="00E66E9D" w:rsidRDefault="00E66E9D" w:rsidP="00475FB3">
    <w:pPr>
      <w:pStyle w:val="Header"/>
    </w:pPr>
    <w:r>
      <w:fldChar w:fldCharType="begin"/>
    </w:r>
    <w:r>
      <w:instrText>PAGE</w:instrText>
    </w:r>
    <w:r>
      <w:fldChar w:fldCharType="separate"/>
    </w:r>
    <w:r w:rsidR="008F1145">
      <w:rPr>
        <w:noProof/>
      </w:rPr>
      <w:t>7</w:t>
    </w:r>
    <w:r>
      <w:rPr>
        <w:noProof/>
      </w:rPr>
      <w:fldChar w:fldCharType="end"/>
    </w:r>
  </w:p>
  <w:p w14:paraId="037887C5" w14:textId="77777777" w:rsidR="00E66E9D" w:rsidRDefault="00E66E9D" w:rsidP="00106B19">
    <w:pPr>
      <w:pStyle w:val="Header"/>
    </w:pPr>
    <w:r>
      <w:t>C19/15(Add.1)-F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95F"/>
    <w:rsid w:val="00001324"/>
    <w:rsid w:val="000D0D0A"/>
    <w:rsid w:val="000D20F0"/>
    <w:rsid w:val="00103163"/>
    <w:rsid w:val="00106B19"/>
    <w:rsid w:val="00115D93"/>
    <w:rsid w:val="001247A8"/>
    <w:rsid w:val="001378C0"/>
    <w:rsid w:val="00174A6B"/>
    <w:rsid w:val="0018694A"/>
    <w:rsid w:val="0019262E"/>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4038CB"/>
    <w:rsid w:val="0040546F"/>
    <w:rsid w:val="00414C21"/>
    <w:rsid w:val="0042404A"/>
    <w:rsid w:val="0044618F"/>
    <w:rsid w:val="0046769A"/>
    <w:rsid w:val="00475FB3"/>
    <w:rsid w:val="004C37A9"/>
    <w:rsid w:val="004F259E"/>
    <w:rsid w:val="00511F1D"/>
    <w:rsid w:val="00520F36"/>
    <w:rsid w:val="00540615"/>
    <w:rsid w:val="00540A6D"/>
    <w:rsid w:val="00571EEA"/>
    <w:rsid w:val="00575417"/>
    <w:rsid w:val="005768E1"/>
    <w:rsid w:val="005B1938"/>
    <w:rsid w:val="005C3890"/>
    <w:rsid w:val="005F7BFE"/>
    <w:rsid w:val="00600017"/>
    <w:rsid w:val="006235CA"/>
    <w:rsid w:val="006643AB"/>
    <w:rsid w:val="00715677"/>
    <w:rsid w:val="007210CD"/>
    <w:rsid w:val="00732045"/>
    <w:rsid w:val="007369DB"/>
    <w:rsid w:val="007538F8"/>
    <w:rsid w:val="007956C2"/>
    <w:rsid w:val="007A187E"/>
    <w:rsid w:val="007C72C2"/>
    <w:rsid w:val="007D2A36"/>
    <w:rsid w:val="007D4436"/>
    <w:rsid w:val="007E566D"/>
    <w:rsid w:val="007F257A"/>
    <w:rsid w:val="007F3665"/>
    <w:rsid w:val="00800037"/>
    <w:rsid w:val="00861D73"/>
    <w:rsid w:val="008A4E87"/>
    <w:rsid w:val="008D76E6"/>
    <w:rsid w:val="008F1145"/>
    <w:rsid w:val="0092392D"/>
    <w:rsid w:val="0093234A"/>
    <w:rsid w:val="00975F4E"/>
    <w:rsid w:val="009C307F"/>
    <w:rsid w:val="00A2113E"/>
    <w:rsid w:val="00A23A51"/>
    <w:rsid w:val="00A24607"/>
    <w:rsid w:val="00A25CD3"/>
    <w:rsid w:val="00A82767"/>
    <w:rsid w:val="00AA332F"/>
    <w:rsid w:val="00AA7BBB"/>
    <w:rsid w:val="00AB64A8"/>
    <w:rsid w:val="00AC0266"/>
    <w:rsid w:val="00AD24EC"/>
    <w:rsid w:val="00AF415A"/>
    <w:rsid w:val="00B309F9"/>
    <w:rsid w:val="00B32B60"/>
    <w:rsid w:val="00B61619"/>
    <w:rsid w:val="00BB052A"/>
    <w:rsid w:val="00BB4545"/>
    <w:rsid w:val="00BD499C"/>
    <w:rsid w:val="00BD5873"/>
    <w:rsid w:val="00C04BE3"/>
    <w:rsid w:val="00C2000B"/>
    <w:rsid w:val="00C25D29"/>
    <w:rsid w:val="00C27A7C"/>
    <w:rsid w:val="00CA08ED"/>
    <w:rsid w:val="00CF183B"/>
    <w:rsid w:val="00D263C7"/>
    <w:rsid w:val="00D375CD"/>
    <w:rsid w:val="00D3795F"/>
    <w:rsid w:val="00D553A2"/>
    <w:rsid w:val="00D774D3"/>
    <w:rsid w:val="00D904E8"/>
    <w:rsid w:val="00DA08C3"/>
    <w:rsid w:val="00DB5A3E"/>
    <w:rsid w:val="00DC22AA"/>
    <w:rsid w:val="00DF74DD"/>
    <w:rsid w:val="00E25AD0"/>
    <w:rsid w:val="00E66E9D"/>
    <w:rsid w:val="00EB6350"/>
    <w:rsid w:val="00F15B57"/>
    <w:rsid w:val="00F427DB"/>
    <w:rsid w:val="00F60D38"/>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09C54F"/>
  <w15:docId w15:val="{00AF1363-2B62-48FE-9D6C-3D08064D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encabezad,he"/>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enumlev1Char">
    <w:name w:val="enumlev1 Char"/>
    <w:basedOn w:val="DefaultParagraphFont"/>
    <w:link w:val="enumlev1"/>
    <w:locked/>
    <w:rsid w:val="00D3795F"/>
    <w:rPr>
      <w:rFonts w:ascii="Calibri" w:hAnsi="Calibri"/>
      <w:sz w:val="24"/>
      <w:lang w:val="fr-FR" w:eastAsia="en-US"/>
    </w:rPr>
  </w:style>
  <w:style w:type="character" w:customStyle="1" w:styleId="NormalaftertitleChar">
    <w:name w:val="Normal after title Char"/>
    <w:basedOn w:val="DefaultParagraphFont"/>
    <w:link w:val="Normalaftertitle"/>
    <w:rsid w:val="00D3795F"/>
    <w:rPr>
      <w:rFonts w:ascii="Calibri" w:hAnsi="Calibri"/>
      <w:sz w:val="24"/>
      <w:lang w:val="fr-FR" w:eastAsia="en-US"/>
    </w:rPr>
  </w:style>
  <w:style w:type="paragraph" w:customStyle="1" w:styleId="headingb0">
    <w:name w:val="heading_b"/>
    <w:basedOn w:val="Heading3"/>
    <w:next w:val="Normal"/>
    <w:rsid w:val="00D3795F"/>
    <w:pPr>
      <w:tabs>
        <w:tab w:val="clear" w:pos="567"/>
        <w:tab w:val="clear" w:pos="1134"/>
        <w:tab w:val="clear" w:pos="1701"/>
        <w:tab w:val="clear" w:pos="2268"/>
        <w:tab w:val="clear" w:pos="2835"/>
        <w:tab w:val="left" w:pos="794"/>
        <w:tab w:val="left" w:pos="1191"/>
        <w:tab w:val="left" w:pos="1588"/>
        <w:tab w:val="left" w:pos="1985"/>
      </w:tabs>
      <w:spacing w:before="160"/>
      <w:ind w:left="0" w:firstLine="0"/>
      <w:jc w:val="both"/>
      <w:outlineLvl w:val="9"/>
    </w:pPr>
    <w:rPr>
      <w:rFonts w:asciiTheme="minorHAnsi" w:hAnsiTheme="minorHAnsi"/>
      <w:iCs/>
      <w:lang w:val="en-GB"/>
    </w:rPr>
  </w:style>
  <w:style w:type="paragraph" w:customStyle="1" w:styleId="Enumlev10">
    <w:name w:val="Enumlev1"/>
    <w:basedOn w:val="Normal"/>
    <w:link w:val="Enumlev1Char0"/>
    <w:qFormat/>
    <w:rsid w:val="00D3795F"/>
    <w:pPr>
      <w:tabs>
        <w:tab w:val="clear" w:pos="567"/>
        <w:tab w:val="clear" w:pos="1134"/>
        <w:tab w:val="clear" w:pos="1701"/>
        <w:tab w:val="clear" w:pos="2268"/>
        <w:tab w:val="clear" w:pos="2835"/>
      </w:tabs>
      <w:overflowPunct/>
      <w:autoSpaceDE/>
      <w:autoSpaceDN/>
      <w:adjustRightInd/>
      <w:spacing w:before="0" w:after="120"/>
      <w:ind w:left="1134" w:hanging="567"/>
      <w:jc w:val="both"/>
      <w:textAlignment w:val="auto"/>
    </w:pPr>
    <w:rPr>
      <w:rFonts w:eastAsia="SimSun" w:cs="Arial"/>
      <w:sz w:val="22"/>
      <w:szCs w:val="22"/>
      <w:lang w:val="en-US" w:eastAsia="zh-CN"/>
    </w:rPr>
  </w:style>
  <w:style w:type="character" w:customStyle="1" w:styleId="Enumlev1Char0">
    <w:name w:val="Enumlev1 Char"/>
    <w:basedOn w:val="DefaultParagraphFont"/>
    <w:link w:val="Enumlev10"/>
    <w:rsid w:val="00D3795F"/>
    <w:rPr>
      <w:rFonts w:ascii="Calibri" w:eastAsia="SimSun" w:hAnsi="Calibri" w:cs="Arial"/>
      <w:sz w:val="22"/>
      <w:szCs w:val="22"/>
    </w:rPr>
  </w:style>
  <w:style w:type="character" w:customStyle="1" w:styleId="HeaderChar">
    <w:name w:val="Header Char"/>
    <w:aliases w:val="encabezado Char,encabezad Char,he Char"/>
    <w:basedOn w:val="DefaultParagraphFont"/>
    <w:link w:val="Header"/>
    <w:rsid w:val="00D3795F"/>
    <w:rPr>
      <w:rFonts w:ascii="Calibri" w:hAnsi="Calibri"/>
      <w:sz w:val="18"/>
      <w:lang w:val="fr-FR" w:eastAsia="en-US"/>
    </w:rPr>
  </w:style>
  <w:style w:type="paragraph" w:customStyle="1" w:styleId="TableHead0">
    <w:name w:val="Table_Head"/>
    <w:basedOn w:val="Tabletext"/>
    <w:rsid w:val="00D3795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lang w:val="en-GB"/>
    </w:rPr>
  </w:style>
  <w:style w:type="paragraph" w:customStyle="1" w:styleId="TableTitle0">
    <w:name w:val="Table_Title"/>
    <w:basedOn w:val="Table"/>
    <w:next w:val="Tabletext"/>
    <w:rsid w:val="00D3795F"/>
    <w:pPr>
      <w:keepLines/>
      <w:spacing w:before="0"/>
    </w:pPr>
    <w:rPr>
      <w:b/>
      <w:bCs/>
      <w:caps w:val="0"/>
    </w:rPr>
  </w:style>
  <w:style w:type="paragraph" w:customStyle="1" w:styleId="Tabletext0">
    <w:name w:val="Table text"/>
    <w:rsid w:val="00D3795F"/>
    <w:pPr>
      <w:spacing w:before="180"/>
      <w:jc w:val="both"/>
    </w:pPr>
    <w:rPr>
      <w:rFonts w:ascii="Times New Roman" w:hAnsi="Times New Roman"/>
      <w:sz w:val="18"/>
      <w:szCs w:val="18"/>
      <w:lang w:val="en-GB"/>
    </w:rPr>
  </w:style>
  <w:style w:type="table" w:styleId="TableGrid">
    <w:name w:val="Table Grid"/>
    <w:basedOn w:val="TableNormal"/>
    <w:rsid w:val="007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PF_C19.dotx</Template>
  <TotalTime>1</TotalTime>
  <Pages>7</Pages>
  <Words>1949</Words>
  <Characters>10656</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12580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Royer, Veronique</dc:creator>
  <cp:keywords>C2018, C18</cp:keywords>
  <dc:description/>
  <cp:lastModifiedBy>French</cp:lastModifiedBy>
  <cp:revision>2</cp:revision>
  <cp:lastPrinted>2000-07-18T08:55:00Z</cp:lastPrinted>
  <dcterms:created xsi:type="dcterms:W3CDTF">2023-04-20T08:45:00Z</dcterms:created>
  <dcterms:modified xsi:type="dcterms:W3CDTF">2023-04-20T08:45:00Z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