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tblpY="-612"/>
        <w:bidiVisual/>
        <w:tblW w:w="5017" w:type="pct"/>
        <w:tblLayout w:type="fixed"/>
        <w:tblLook w:val="0000" w:firstRow="0" w:lastRow="0" w:firstColumn="0" w:lastColumn="0" w:noHBand="0" w:noVBand="0"/>
      </w:tblPr>
      <w:tblGrid>
        <w:gridCol w:w="6620"/>
        <w:gridCol w:w="3052"/>
      </w:tblGrid>
      <w:tr w:rsidR="00290728" w:rsidRPr="00290728" w:rsidTr="006C7CC0">
        <w:trPr>
          <w:cantSplit/>
          <w:trHeight w:val="20"/>
        </w:trPr>
        <w:tc>
          <w:tcPr>
            <w:tcW w:w="6620" w:type="dxa"/>
          </w:tcPr>
          <w:p w:rsidR="00290728" w:rsidRPr="00290728" w:rsidRDefault="00290728" w:rsidP="0082358A">
            <w:pPr>
              <w:spacing w:before="160"/>
              <w:jc w:val="left"/>
              <w:rPr>
                <w:b/>
                <w:bCs/>
                <w:rtl/>
                <w:lang w:bidi="ar-EG"/>
              </w:rPr>
            </w:pPr>
            <w:proofErr w:type="spellStart"/>
            <w:r w:rsidRPr="00290728">
              <w:rPr>
                <w:rFonts w:hint="cs"/>
                <w:b/>
                <w:bCs/>
                <w:w w:val="110"/>
                <w:sz w:val="32"/>
                <w:szCs w:val="44"/>
                <w:rtl/>
                <w:lang w:bidi="ar-EG"/>
              </w:rPr>
              <w:t>ال‍مجلس</w:t>
            </w:r>
            <w:proofErr w:type="spellEnd"/>
            <w:r w:rsidRPr="00290728">
              <w:rPr>
                <w:rFonts w:hint="cs"/>
                <w:b/>
                <w:bCs/>
                <w:w w:val="110"/>
                <w:sz w:val="32"/>
                <w:szCs w:val="44"/>
                <w:rtl/>
                <w:lang w:bidi="ar-EG"/>
              </w:rPr>
              <w:t xml:space="preserve"> </w:t>
            </w:r>
            <w:r w:rsidR="00FE7FCA">
              <w:rPr>
                <w:b/>
                <w:bCs/>
                <w:w w:val="110"/>
                <w:sz w:val="32"/>
                <w:szCs w:val="44"/>
                <w:lang w:bidi="ar-SY"/>
              </w:rPr>
              <w:t>201</w:t>
            </w:r>
            <w:r w:rsidR="00D10CCF">
              <w:rPr>
                <w:b/>
                <w:bCs/>
                <w:w w:val="110"/>
                <w:sz w:val="32"/>
                <w:szCs w:val="44"/>
                <w:lang w:bidi="ar-SY"/>
              </w:rPr>
              <w:t>9</w:t>
            </w:r>
            <w:r w:rsidR="00C002DE">
              <w:rPr>
                <w:b/>
                <w:bCs/>
                <w:w w:val="110"/>
                <w:sz w:val="32"/>
                <w:szCs w:val="44"/>
                <w:rtl/>
                <w:lang w:bidi="ar-SY"/>
              </w:rPr>
              <w:br/>
            </w:r>
            <w:r w:rsidRPr="00290728">
              <w:rPr>
                <w:rFonts w:hint="cs"/>
                <w:b/>
                <w:bCs/>
                <w:sz w:val="24"/>
                <w:szCs w:val="32"/>
                <w:rtl/>
                <w:lang w:bidi="ar-EG"/>
              </w:rPr>
              <w:t xml:space="preserve">جنيف، </w:t>
            </w:r>
            <w:r w:rsidR="0082358A">
              <w:rPr>
                <w:b/>
                <w:bCs/>
                <w:sz w:val="24"/>
                <w:szCs w:val="32"/>
                <w:lang w:bidi="ar-SY"/>
              </w:rPr>
              <w:t>20</w:t>
            </w:r>
            <w:r w:rsidR="00FE7FCA">
              <w:rPr>
                <w:b/>
                <w:bCs/>
                <w:sz w:val="24"/>
                <w:szCs w:val="32"/>
                <w:lang w:bidi="ar-SY"/>
              </w:rPr>
              <w:t>-</w:t>
            </w:r>
            <w:r w:rsidR="0082358A">
              <w:rPr>
                <w:b/>
                <w:bCs/>
                <w:sz w:val="24"/>
                <w:szCs w:val="32"/>
                <w:lang w:bidi="ar-SY"/>
              </w:rPr>
              <w:t>10</w:t>
            </w:r>
            <w:r w:rsidR="00DC1E02">
              <w:rPr>
                <w:rFonts w:hint="cs"/>
                <w:b/>
                <w:bCs/>
                <w:sz w:val="24"/>
                <w:szCs w:val="32"/>
                <w:rtl/>
                <w:lang w:bidi="ar-EG"/>
              </w:rPr>
              <w:t xml:space="preserve"> </w:t>
            </w:r>
            <w:r w:rsidR="0082358A">
              <w:rPr>
                <w:rFonts w:hint="cs"/>
                <w:b/>
                <w:bCs/>
                <w:sz w:val="24"/>
                <w:szCs w:val="32"/>
                <w:rtl/>
                <w:lang w:bidi="ar-EG"/>
              </w:rPr>
              <w:t>يونيو</w:t>
            </w:r>
            <w:r w:rsidR="00DC1E02">
              <w:rPr>
                <w:rFonts w:hint="cs"/>
                <w:b/>
                <w:bCs/>
                <w:sz w:val="24"/>
                <w:szCs w:val="32"/>
                <w:rtl/>
                <w:lang w:bidi="ar-EG"/>
              </w:rPr>
              <w:t xml:space="preserve"> </w:t>
            </w:r>
            <w:r w:rsidR="00FE7FCA">
              <w:rPr>
                <w:b/>
                <w:bCs/>
                <w:sz w:val="24"/>
                <w:szCs w:val="32"/>
                <w:lang w:bidi="ar-EG"/>
              </w:rPr>
              <w:t>201</w:t>
            </w:r>
            <w:r w:rsidR="00D10CCF">
              <w:rPr>
                <w:b/>
                <w:bCs/>
                <w:sz w:val="24"/>
                <w:szCs w:val="32"/>
                <w:lang w:bidi="ar-EG"/>
              </w:rPr>
              <w:t>9</w:t>
            </w:r>
          </w:p>
        </w:tc>
        <w:tc>
          <w:tcPr>
            <w:tcW w:w="3052" w:type="dxa"/>
          </w:tcPr>
          <w:p w:rsidR="00290728" w:rsidRPr="00290728" w:rsidRDefault="00923B0C" w:rsidP="00290728">
            <w:pPr>
              <w:spacing w:before="0" w:line="240" w:lineRule="auto"/>
              <w:jc w:val="right"/>
              <w:rPr>
                <w:rtl/>
                <w:lang w:bidi="ar-EG"/>
              </w:rPr>
            </w:pPr>
            <w:bookmarkStart w:id="0" w:name="ditulogo"/>
            <w:bookmarkEnd w:id="0"/>
            <w:r w:rsidRPr="00A71FE1">
              <w:rPr>
                <w:noProof/>
                <w:rtl/>
                <w:lang w:val="en-GB"/>
              </w:rPr>
              <w:drawing>
                <wp:inline distT="0" distB="0" distL="0" distR="0" wp14:anchorId="5A864AEC" wp14:editId="6CF5264F">
                  <wp:extent cx="1839600" cy="723600"/>
                  <wp:effectExtent l="0" t="0" r="8255" b="635"/>
                  <wp:docPr id="2" name="Picture 2" descr="logo_A-[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A-[Converted]"/>
                          <pic:cNvPicPr>
                            <a:picLocks noChangeAspect="1" noChangeArrowheads="1"/>
                          </pic:cNvPicPr>
                        </pic:nvPicPr>
                        <pic:blipFill>
                          <a:blip r:embed="rId8" cstate="print"/>
                          <a:srcRect/>
                          <a:stretch>
                            <a:fillRect/>
                          </a:stretch>
                        </pic:blipFill>
                        <pic:spPr bwMode="auto">
                          <a:xfrm>
                            <a:off x="0" y="0"/>
                            <a:ext cx="1839600" cy="723600"/>
                          </a:xfrm>
                          <a:prstGeom prst="rect">
                            <a:avLst/>
                          </a:prstGeom>
                          <a:noFill/>
                          <a:ln w="9525">
                            <a:noFill/>
                            <a:miter lim="800000"/>
                            <a:headEnd/>
                            <a:tailEnd/>
                          </a:ln>
                        </pic:spPr>
                      </pic:pic>
                    </a:graphicData>
                  </a:graphic>
                </wp:inline>
              </w:drawing>
            </w:r>
          </w:p>
        </w:tc>
      </w:tr>
      <w:tr w:rsidR="00290728" w:rsidRPr="00290728" w:rsidTr="001957B8">
        <w:trPr>
          <w:cantSplit/>
          <w:trHeight w:val="20"/>
        </w:trPr>
        <w:tc>
          <w:tcPr>
            <w:tcW w:w="6620" w:type="dxa"/>
            <w:tcBorders>
              <w:bottom w:val="single" w:sz="12" w:space="0" w:color="auto"/>
            </w:tcBorders>
          </w:tcPr>
          <w:p w:rsidR="00290728" w:rsidRPr="00290728" w:rsidRDefault="00290728" w:rsidP="00DC1E02">
            <w:pPr>
              <w:spacing w:before="0" w:line="400" w:lineRule="exact"/>
              <w:rPr>
                <w:sz w:val="24"/>
                <w:szCs w:val="32"/>
                <w:rtl/>
                <w:lang w:bidi="ar-EG"/>
              </w:rPr>
            </w:pPr>
          </w:p>
        </w:tc>
        <w:tc>
          <w:tcPr>
            <w:tcW w:w="3052" w:type="dxa"/>
            <w:tcBorders>
              <w:bottom w:val="single" w:sz="12" w:space="0" w:color="auto"/>
            </w:tcBorders>
          </w:tcPr>
          <w:p w:rsidR="00290728" w:rsidRPr="00290728" w:rsidRDefault="00290728" w:rsidP="00DC1E02">
            <w:pPr>
              <w:spacing w:before="0" w:line="340" w:lineRule="exact"/>
              <w:rPr>
                <w:lang w:val="en-GB" w:bidi="ar-SY"/>
              </w:rPr>
            </w:pPr>
          </w:p>
        </w:tc>
      </w:tr>
      <w:tr w:rsidR="00290728" w:rsidRPr="00290728" w:rsidTr="001957B8">
        <w:trPr>
          <w:cantSplit/>
          <w:trHeight w:val="20"/>
        </w:trPr>
        <w:tc>
          <w:tcPr>
            <w:tcW w:w="6620" w:type="dxa"/>
            <w:tcBorders>
              <w:top w:val="single" w:sz="12" w:space="0" w:color="auto"/>
            </w:tcBorders>
          </w:tcPr>
          <w:p w:rsidR="00290728" w:rsidRPr="00290728" w:rsidRDefault="00290728" w:rsidP="00290728">
            <w:pPr>
              <w:spacing w:before="60" w:after="60" w:line="260" w:lineRule="exact"/>
              <w:rPr>
                <w:b/>
                <w:bCs/>
                <w:rtl/>
                <w:lang w:bidi="ar-EG"/>
              </w:rPr>
            </w:pPr>
          </w:p>
        </w:tc>
        <w:tc>
          <w:tcPr>
            <w:tcW w:w="3052" w:type="dxa"/>
            <w:tcBorders>
              <w:top w:val="single" w:sz="12" w:space="0" w:color="auto"/>
            </w:tcBorders>
          </w:tcPr>
          <w:p w:rsidR="00290728" w:rsidRPr="00290728" w:rsidRDefault="00290728" w:rsidP="00290728">
            <w:pPr>
              <w:spacing w:before="60" w:after="60" w:line="260" w:lineRule="exact"/>
              <w:rPr>
                <w:b/>
                <w:bCs/>
                <w:lang w:bidi="ar-SY"/>
              </w:rPr>
            </w:pPr>
          </w:p>
        </w:tc>
      </w:tr>
      <w:tr w:rsidR="00290728" w:rsidRPr="00290728" w:rsidTr="001957B8">
        <w:trPr>
          <w:cantSplit/>
        </w:trPr>
        <w:tc>
          <w:tcPr>
            <w:tcW w:w="6620" w:type="dxa"/>
          </w:tcPr>
          <w:p w:rsidR="00290728" w:rsidRPr="009D77F5" w:rsidRDefault="00C002DE" w:rsidP="008009A0">
            <w:pPr>
              <w:spacing w:before="20" w:after="20" w:line="340" w:lineRule="exact"/>
              <w:rPr>
                <w:rFonts w:ascii="Verdana" w:hAnsi="Verdana" w:hint="cs"/>
                <w:b/>
                <w:bCs/>
                <w:sz w:val="19"/>
                <w:highlight w:val="yellow"/>
                <w:rtl/>
                <w:lang w:bidi="ar-EG"/>
              </w:rPr>
            </w:pPr>
            <w:r w:rsidRPr="009D77F5">
              <w:rPr>
                <w:rFonts w:ascii="Verdana" w:hAnsi="Verdana" w:hint="cs"/>
                <w:b/>
                <w:bCs/>
                <w:sz w:val="19"/>
                <w:rtl/>
                <w:lang w:bidi="ar-EG"/>
              </w:rPr>
              <w:t>بند جدول الأعمال</w:t>
            </w:r>
            <w:r w:rsidR="00810B7B" w:rsidRPr="009D77F5">
              <w:rPr>
                <w:rFonts w:ascii="Verdana" w:hAnsi="Verdana" w:hint="cs"/>
                <w:b/>
                <w:bCs/>
                <w:sz w:val="19"/>
                <w:rtl/>
                <w:lang w:bidi="ar-EG"/>
              </w:rPr>
              <w:t xml:space="preserve">: </w:t>
            </w:r>
            <w:r w:rsidR="008009A0" w:rsidRPr="009D77F5">
              <w:rPr>
                <w:rFonts w:ascii="Verdana" w:hAnsi="Verdana"/>
                <w:b/>
                <w:bCs/>
                <w:sz w:val="19"/>
              </w:rPr>
              <w:t>ADM 1</w:t>
            </w:r>
          </w:p>
        </w:tc>
        <w:tc>
          <w:tcPr>
            <w:tcW w:w="3052" w:type="dxa"/>
            <w:vAlign w:val="center"/>
          </w:tcPr>
          <w:p w:rsidR="00290728" w:rsidRPr="009D77F5" w:rsidRDefault="0055737C" w:rsidP="00824FF0">
            <w:pPr>
              <w:spacing w:before="20" w:after="20" w:line="340" w:lineRule="exact"/>
              <w:jc w:val="left"/>
              <w:rPr>
                <w:rFonts w:ascii="Verdana" w:hAnsi="Verdana"/>
                <w:b/>
                <w:bCs/>
                <w:sz w:val="19"/>
                <w:lang w:bidi="ar-SY"/>
              </w:rPr>
            </w:pPr>
            <w:r w:rsidRPr="009D77F5">
              <w:rPr>
                <w:rFonts w:ascii="Verdana" w:hAnsi="Verdana" w:hint="cs"/>
                <w:b/>
                <w:bCs/>
                <w:sz w:val="19"/>
                <w:rtl/>
                <w:lang w:bidi="ar-EG"/>
              </w:rPr>
              <w:t xml:space="preserve">الإضافة </w:t>
            </w:r>
            <w:r w:rsidRPr="009D77F5">
              <w:rPr>
                <w:rFonts w:ascii="Verdana" w:hAnsi="Verdana"/>
                <w:b/>
                <w:bCs/>
                <w:sz w:val="19"/>
                <w:lang w:val="fr-CH" w:bidi="ar-EG"/>
              </w:rPr>
              <w:t>1</w:t>
            </w:r>
            <w:r w:rsidRPr="009D77F5">
              <w:rPr>
                <w:rFonts w:ascii="Verdana" w:hAnsi="Verdana"/>
                <w:b/>
                <w:bCs/>
                <w:sz w:val="19"/>
                <w:rtl/>
                <w:lang w:bidi="ar-EG"/>
              </w:rPr>
              <w:br/>
            </w:r>
            <w:r w:rsidRPr="009D77F5">
              <w:rPr>
                <w:rFonts w:ascii="Verdana" w:hAnsi="Verdana" w:hint="cs"/>
                <w:b/>
                <w:bCs/>
                <w:sz w:val="19"/>
                <w:rtl/>
                <w:lang w:bidi="ar-EG"/>
              </w:rPr>
              <w:t>لل</w:t>
            </w:r>
            <w:r w:rsidR="00290728" w:rsidRPr="009D77F5">
              <w:rPr>
                <w:rFonts w:ascii="Verdana" w:hAnsi="Verdana" w:hint="cs"/>
                <w:b/>
                <w:bCs/>
                <w:sz w:val="19"/>
                <w:rtl/>
                <w:lang w:bidi="ar-EG"/>
              </w:rPr>
              <w:t xml:space="preserve">وثيقة </w:t>
            </w:r>
            <w:r w:rsidR="00290728" w:rsidRPr="009D77F5">
              <w:rPr>
                <w:rFonts w:ascii="Verdana" w:hAnsi="Verdana"/>
                <w:b/>
                <w:bCs/>
                <w:sz w:val="19"/>
                <w:lang w:bidi="ar-SY"/>
              </w:rPr>
              <w:t>C1</w:t>
            </w:r>
            <w:r w:rsidR="00D10CCF" w:rsidRPr="009D77F5">
              <w:rPr>
                <w:rFonts w:ascii="Verdana" w:hAnsi="Verdana"/>
                <w:b/>
                <w:bCs/>
                <w:sz w:val="19"/>
                <w:lang w:bidi="ar-SY"/>
              </w:rPr>
              <w:t>9</w:t>
            </w:r>
            <w:r w:rsidR="00290728" w:rsidRPr="009D77F5">
              <w:rPr>
                <w:rFonts w:ascii="Verdana" w:hAnsi="Verdana"/>
                <w:b/>
                <w:bCs/>
                <w:sz w:val="19"/>
                <w:lang w:bidi="ar-SY"/>
              </w:rPr>
              <w:t>/</w:t>
            </w:r>
            <w:r w:rsidR="00824FF0" w:rsidRPr="009D77F5">
              <w:rPr>
                <w:rFonts w:ascii="Verdana" w:hAnsi="Verdana"/>
                <w:b/>
                <w:bCs/>
                <w:sz w:val="19"/>
                <w:lang w:bidi="ar-SY"/>
              </w:rPr>
              <w:t>15</w:t>
            </w:r>
            <w:r w:rsidR="00290728" w:rsidRPr="009D77F5">
              <w:rPr>
                <w:rFonts w:ascii="Verdana" w:hAnsi="Verdana"/>
                <w:b/>
                <w:bCs/>
                <w:sz w:val="19"/>
                <w:lang w:bidi="ar-SY"/>
              </w:rPr>
              <w:t>-A</w:t>
            </w:r>
          </w:p>
        </w:tc>
      </w:tr>
      <w:tr w:rsidR="00290728" w:rsidRPr="00290728" w:rsidTr="001957B8">
        <w:trPr>
          <w:cantSplit/>
        </w:trPr>
        <w:tc>
          <w:tcPr>
            <w:tcW w:w="6620" w:type="dxa"/>
          </w:tcPr>
          <w:p w:rsidR="00290728" w:rsidRPr="009D77F5" w:rsidRDefault="00290728" w:rsidP="00592EA5">
            <w:pPr>
              <w:spacing w:before="20" w:after="20" w:line="340" w:lineRule="exact"/>
              <w:rPr>
                <w:rFonts w:ascii="Verdana" w:hAnsi="Verdana"/>
                <w:b/>
                <w:bCs/>
                <w:sz w:val="19"/>
                <w:lang w:bidi="ar-SY"/>
              </w:rPr>
            </w:pPr>
          </w:p>
        </w:tc>
        <w:tc>
          <w:tcPr>
            <w:tcW w:w="3052" w:type="dxa"/>
            <w:vAlign w:val="center"/>
          </w:tcPr>
          <w:p w:rsidR="00290728" w:rsidRPr="009D77F5" w:rsidRDefault="0055737C" w:rsidP="0055737C">
            <w:pPr>
              <w:spacing w:before="20" w:after="20" w:line="340" w:lineRule="exact"/>
              <w:rPr>
                <w:rFonts w:ascii="Verdana" w:hAnsi="Verdana"/>
                <w:b/>
                <w:bCs/>
                <w:sz w:val="19"/>
                <w:rtl/>
                <w:lang w:bidi="ar-EG"/>
              </w:rPr>
            </w:pPr>
            <w:r w:rsidRPr="009D77F5">
              <w:rPr>
                <w:rFonts w:ascii="Verdana" w:hAnsi="Verdana"/>
                <w:b/>
                <w:bCs/>
                <w:sz w:val="19"/>
                <w:lang w:bidi="ar-SY"/>
              </w:rPr>
              <w:t>22</w:t>
            </w:r>
            <w:r w:rsidR="00290728" w:rsidRPr="009D77F5">
              <w:rPr>
                <w:rFonts w:ascii="Verdana" w:hAnsi="Verdana" w:hint="cs"/>
                <w:b/>
                <w:bCs/>
                <w:sz w:val="19"/>
                <w:rtl/>
                <w:lang w:bidi="ar-EG"/>
              </w:rPr>
              <w:t xml:space="preserve"> </w:t>
            </w:r>
            <w:r w:rsidRPr="009D77F5">
              <w:rPr>
                <w:rFonts w:ascii="Verdana" w:hAnsi="Verdana" w:hint="cs"/>
                <w:b/>
                <w:bCs/>
                <w:sz w:val="19"/>
                <w:rtl/>
                <w:lang w:bidi="ar-EG"/>
              </w:rPr>
              <w:t>مايو</w:t>
            </w:r>
            <w:r w:rsidR="00290728" w:rsidRPr="009D77F5">
              <w:rPr>
                <w:rFonts w:ascii="Verdana" w:hAnsi="Verdana" w:hint="cs"/>
                <w:b/>
                <w:bCs/>
                <w:sz w:val="19"/>
                <w:rtl/>
                <w:lang w:bidi="ar-EG"/>
              </w:rPr>
              <w:t xml:space="preserve"> </w:t>
            </w:r>
            <w:r w:rsidR="00FE7FCA" w:rsidRPr="009D77F5">
              <w:rPr>
                <w:rFonts w:ascii="Verdana" w:hAnsi="Verdana"/>
                <w:b/>
                <w:bCs/>
                <w:sz w:val="19"/>
                <w:lang w:bidi="ar-SY"/>
              </w:rPr>
              <w:t>201</w:t>
            </w:r>
            <w:r w:rsidR="00D10CCF" w:rsidRPr="009D77F5">
              <w:rPr>
                <w:rFonts w:ascii="Verdana" w:hAnsi="Verdana"/>
                <w:b/>
                <w:bCs/>
                <w:sz w:val="19"/>
                <w:lang w:bidi="ar-SY"/>
              </w:rPr>
              <w:t>9</w:t>
            </w:r>
          </w:p>
        </w:tc>
      </w:tr>
      <w:tr w:rsidR="00290728" w:rsidRPr="00290728" w:rsidTr="001957B8">
        <w:trPr>
          <w:cantSplit/>
        </w:trPr>
        <w:tc>
          <w:tcPr>
            <w:tcW w:w="6620" w:type="dxa"/>
          </w:tcPr>
          <w:p w:rsidR="00290728" w:rsidRPr="009D77F5" w:rsidRDefault="00290728" w:rsidP="00592EA5">
            <w:pPr>
              <w:spacing w:before="20" w:after="20" w:line="340" w:lineRule="exact"/>
              <w:rPr>
                <w:rFonts w:ascii="Verdana" w:hAnsi="Verdana"/>
                <w:b/>
                <w:bCs/>
                <w:sz w:val="19"/>
                <w:lang w:bidi="ar-EG"/>
              </w:rPr>
            </w:pPr>
          </w:p>
        </w:tc>
        <w:tc>
          <w:tcPr>
            <w:tcW w:w="3052" w:type="dxa"/>
            <w:vAlign w:val="center"/>
          </w:tcPr>
          <w:p w:rsidR="00290728" w:rsidRPr="009D77F5" w:rsidRDefault="00290728" w:rsidP="0055737C">
            <w:pPr>
              <w:spacing w:before="20" w:after="20" w:line="340" w:lineRule="exact"/>
              <w:rPr>
                <w:rFonts w:ascii="Verdana" w:hAnsi="Verdana"/>
                <w:b/>
                <w:bCs/>
                <w:sz w:val="19"/>
                <w:lang w:bidi="ar-SY"/>
              </w:rPr>
            </w:pPr>
            <w:r w:rsidRPr="009D77F5">
              <w:rPr>
                <w:rFonts w:ascii="Verdana" w:hAnsi="Verdana"/>
                <w:b/>
                <w:bCs/>
                <w:sz w:val="19"/>
                <w:rtl/>
                <w:lang w:bidi="ar-EG"/>
              </w:rPr>
              <w:t xml:space="preserve">الأصل: </w:t>
            </w:r>
            <w:r w:rsidR="0055737C" w:rsidRPr="009D77F5">
              <w:rPr>
                <w:rFonts w:ascii="Verdana" w:hAnsi="Verdana" w:hint="cs"/>
                <w:b/>
                <w:bCs/>
                <w:sz w:val="19"/>
                <w:rtl/>
                <w:lang w:bidi="ar-EG"/>
              </w:rPr>
              <w:t>بالإنكليزية</w:t>
            </w:r>
          </w:p>
        </w:tc>
      </w:tr>
      <w:tr w:rsidR="00290728" w:rsidRPr="00290728" w:rsidTr="001957B8">
        <w:trPr>
          <w:cantSplit/>
        </w:trPr>
        <w:tc>
          <w:tcPr>
            <w:tcW w:w="9672" w:type="dxa"/>
            <w:gridSpan w:val="2"/>
          </w:tcPr>
          <w:p w:rsidR="00290728" w:rsidRPr="00290728" w:rsidRDefault="0055737C" w:rsidP="00290728">
            <w:pPr>
              <w:pStyle w:val="Source"/>
              <w:rPr>
                <w:rtl/>
                <w:lang w:bidi="ar-SY"/>
              </w:rPr>
            </w:pPr>
            <w:r w:rsidRPr="009D0E0B">
              <w:rPr>
                <w:rtl/>
                <w:lang w:bidi="ar-SY"/>
              </w:rPr>
              <w:t>تقرير من الأمين العام</w:t>
            </w:r>
          </w:p>
        </w:tc>
      </w:tr>
      <w:tr w:rsidR="00290728" w:rsidRPr="00290728" w:rsidTr="001957B8">
        <w:trPr>
          <w:cantSplit/>
        </w:trPr>
        <w:tc>
          <w:tcPr>
            <w:tcW w:w="9672" w:type="dxa"/>
            <w:gridSpan w:val="2"/>
          </w:tcPr>
          <w:p w:rsidR="00290728" w:rsidRPr="00383829" w:rsidRDefault="0055737C" w:rsidP="0055737C">
            <w:pPr>
              <w:pStyle w:val="Title1"/>
              <w:rPr>
                <w:rtl/>
              </w:rPr>
            </w:pPr>
            <w:r w:rsidRPr="009D0E0B">
              <w:rPr>
                <w:rtl/>
              </w:rPr>
              <w:t xml:space="preserve">مشروع ميزانية الاتحاد للفترة </w:t>
            </w:r>
            <w:r w:rsidRPr="009D0E0B">
              <w:t>20</w:t>
            </w:r>
            <w:r>
              <w:t>21</w:t>
            </w:r>
            <w:r w:rsidRPr="009D0E0B">
              <w:t>-</w:t>
            </w:r>
            <w:r>
              <w:t>2020</w:t>
            </w:r>
          </w:p>
        </w:tc>
      </w:tr>
      <w:tr w:rsidR="00A6683B" w:rsidRPr="00290728" w:rsidTr="001957B8">
        <w:trPr>
          <w:cantSplit/>
        </w:trPr>
        <w:tc>
          <w:tcPr>
            <w:tcW w:w="9672" w:type="dxa"/>
            <w:gridSpan w:val="2"/>
          </w:tcPr>
          <w:p w:rsidR="00A6683B" w:rsidRPr="00383829" w:rsidRDefault="00A6683B" w:rsidP="00383829">
            <w:pPr>
              <w:pStyle w:val="Title2"/>
              <w:framePr w:hSpace="0" w:wrap="auto" w:yAlign="inline"/>
              <w:rPr>
                <w:rtl/>
                <w:lang w:bidi="ar-EG"/>
              </w:rPr>
            </w:pPr>
          </w:p>
        </w:tc>
      </w:tr>
    </w:tbl>
    <w:p w:rsidR="00706D7A" w:rsidRDefault="00706D7A" w:rsidP="002154EE"/>
    <w:tbl>
      <w:tblPr>
        <w:tblStyle w:val="TableGrid"/>
        <w:bidiVisual/>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080"/>
      </w:tblGrid>
      <w:tr w:rsidR="00290728" w:rsidTr="00952F86">
        <w:trPr>
          <w:jc w:val="center"/>
        </w:trPr>
        <w:tc>
          <w:tcPr>
            <w:tcW w:w="8080" w:type="dxa"/>
          </w:tcPr>
          <w:p w:rsidR="00290728" w:rsidRPr="00290728" w:rsidRDefault="00290728" w:rsidP="00706D7A">
            <w:pPr>
              <w:rPr>
                <w:b/>
                <w:bCs/>
                <w:rtl/>
                <w:lang w:bidi="ar-SY"/>
              </w:rPr>
            </w:pPr>
            <w:r w:rsidRPr="00290728">
              <w:rPr>
                <w:rFonts w:hint="cs"/>
                <w:b/>
                <w:bCs/>
                <w:rtl/>
                <w:lang w:bidi="ar-SY"/>
              </w:rPr>
              <w:t>ملخص</w:t>
            </w:r>
          </w:p>
          <w:p w:rsidR="0055737C" w:rsidRPr="00B362B7" w:rsidRDefault="00A06917" w:rsidP="002A31D9">
            <w:pPr>
              <w:tabs>
                <w:tab w:val="left" w:pos="1361"/>
                <w:tab w:val="left" w:pos="1928"/>
                <w:tab w:val="right" w:pos="3062"/>
                <w:tab w:val="left" w:pos="3629"/>
                <w:tab w:val="left" w:pos="4196"/>
                <w:tab w:val="left" w:pos="4763"/>
                <w:tab w:val="left" w:pos="5330"/>
                <w:tab w:val="left" w:pos="5897"/>
                <w:tab w:val="left" w:pos="6464"/>
                <w:tab w:val="left" w:pos="7031"/>
                <w:tab w:val="left" w:pos="7598"/>
                <w:tab w:val="left" w:pos="8165"/>
                <w:tab w:val="left" w:pos="8732"/>
                <w:tab w:val="left" w:pos="9299"/>
              </w:tabs>
              <w:rPr>
                <w:rtl/>
                <w:lang w:bidi="ar-EG"/>
              </w:rPr>
            </w:pPr>
            <w:r>
              <w:rPr>
                <w:rFonts w:hint="cs"/>
                <w:rtl/>
                <w:lang w:bidi="ar-SY"/>
              </w:rPr>
              <w:t xml:space="preserve">يُقدَّم التقرير التالي </w:t>
            </w:r>
            <w:r w:rsidR="0055737C" w:rsidRPr="00B362B7">
              <w:rPr>
                <w:rtl/>
                <w:lang w:bidi="ar-SY"/>
              </w:rPr>
              <w:t xml:space="preserve">لتقديم معلومات عامة </w:t>
            </w:r>
            <w:r w:rsidR="002A31D9">
              <w:rPr>
                <w:rFonts w:hint="cs"/>
                <w:rtl/>
                <w:lang w:bidi="ar-SY"/>
              </w:rPr>
              <w:t>في شكل</w:t>
            </w:r>
            <w:r w:rsidR="0055737C" w:rsidRPr="00B362B7">
              <w:rPr>
                <w:rtl/>
                <w:lang w:bidi="ar-SY"/>
              </w:rPr>
              <w:t xml:space="preserve"> </w:t>
            </w:r>
            <w:r w:rsidR="00F15D86">
              <w:rPr>
                <w:rFonts w:hint="cs"/>
                <w:rtl/>
                <w:lang w:bidi="ar-SY"/>
              </w:rPr>
              <w:t>ال</w:t>
            </w:r>
            <w:r w:rsidR="0055737C" w:rsidRPr="00B362B7">
              <w:rPr>
                <w:rtl/>
                <w:lang w:bidi="ar-SY"/>
              </w:rPr>
              <w:t>إضافة</w:t>
            </w:r>
            <w:r w:rsidR="00F15D86">
              <w:rPr>
                <w:rFonts w:hint="cs"/>
                <w:rtl/>
                <w:lang w:bidi="ar-SY"/>
              </w:rPr>
              <w:t xml:space="preserve"> </w:t>
            </w:r>
            <w:r w:rsidR="00F15D86">
              <w:rPr>
                <w:lang w:val="es-ES" w:bidi="ar-SY"/>
              </w:rPr>
              <w:t>1</w:t>
            </w:r>
            <w:r w:rsidR="0055737C" w:rsidRPr="00B362B7">
              <w:rPr>
                <w:rtl/>
                <w:lang w:bidi="ar-SY"/>
              </w:rPr>
              <w:t xml:space="preserve"> للوثيقة </w:t>
            </w:r>
            <w:r w:rsidR="0055737C" w:rsidRPr="00B362B7">
              <w:rPr>
                <w:lang w:bidi="ar-SY"/>
              </w:rPr>
              <w:t>C</w:t>
            </w:r>
            <w:r w:rsidR="0055737C">
              <w:rPr>
                <w:lang w:bidi="ar-SY"/>
              </w:rPr>
              <w:t>19</w:t>
            </w:r>
            <w:r w:rsidR="0055737C" w:rsidRPr="00B362B7">
              <w:rPr>
                <w:lang w:bidi="ar-SY"/>
              </w:rPr>
              <w:t>/</w:t>
            </w:r>
            <w:r w:rsidR="0055737C">
              <w:rPr>
                <w:lang w:bidi="ar-SY"/>
              </w:rPr>
              <w:t>15</w:t>
            </w:r>
            <w:r w:rsidR="0055737C" w:rsidRPr="00B362B7">
              <w:rPr>
                <w:rtl/>
                <w:lang w:bidi="ar-SY"/>
              </w:rPr>
              <w:t>:</w:t>
            </w:r>
          </w:p>
          <w:p w:rsidR="00290728" w:rsidRDefault="0055737C" w:rsidP="00F15D86">
            <w:pPr>
              <w:rPr>
                <w:rtl/>
                <w:lang w:bidi="ar-SY"/>
              </w:rPr>
            </w:pPr>
            <w:r>
              <w:rPr>
                <w:rtl/>
              </w:rPr>
              <w:tab/>
            </w:r>
            <w:r w:rsidRPr="00B362B7">
              <w:rPr>
                <w:rtl/>
              </w:rPr>
              <w:t>ميزانية أمانة تليكوم الاتحاد ل</w:t>
            </w:r>
            <w:r w:rsidR="00F15D86">
              <w:rPr>
                <w:rFonts w:hint="cs"/>
                <w:rtl/>
              </w:rPr>
              <w:t>ل</w:t>
            </w:r>
            <w:r w:rsidRPr="00B362B7">
              <w:rPr>
                <w:rtl/>
              </w:rPr>
              <w:t xml:space="preserve">فترة </w:t>
            </w:r>
            <w:r>
              <w:t>2021</w:t>
            </w:r>
            <w:r w:rsidRPr="00B362B7">
              <w:t>-</w:t>
            </w:r>
            <w:r>
              <w:t>2020</w:t>
            </w:r>
            <w:r w:rsidRPr="00B362B7">
              <w:rPr>
                <w:rtl/>
              </w:rPr>
              <w:t>.</w:t>
            </w:r>
          </w:p>
          <w:p w:rsidR="00290728" w:rsidRPr="00290728" w:rsidRDefault="00290728" w:rsidP="00706D7A">
            <w:pPr>
              <w:rPr>
                <w:b/>
                <w:bCs/>
                <w:rtl/>
                <w:lang w:bidi="ar-SY"/>
              </w:rPr>
            </w:pPr>
            <w:r w:rsidRPr="00290728">
              <w:rPr>
                <w:rFonts w:hint="cs"/>
                <w:b/>
                <w:bCs/>
                <w:rtl/>
                <w:lang w:bidi="ar-SY"/>
              </w:rPr>
              <w:t>الإجراء المطلوب</w:t>
            </w:r>
          </w:p>
          <w:p w:rsidR="00290728" w:rsidRPr="0055737C" w:rsidRDefault="0055737C" w:rsidP="0055737C">
            <w:pPr>
              <w:spacing w:after="120"/>
              <w:rPr>
                <w:rtl/>
                <w:lang w:bidi="ar-SY"/>
              </w:rPr>
            </w:pPr>
            <w:r w:rsidRPr="0055737C">
              <w:rPr>
                <w:rtl/>
                <w:lang w:bidi="ar-SY"/>
              </w:rPr>
              <w:t xml:space="preserve">يرجى من المجلس </w:t>
            </w:r>
            <w:r w:rsidRPr="0055737C">
              <w:rPr>
                <w:b/>
                <w:bCs/>
                <w:rtl/>
                <w:lang w:bidi="ar-SY"/>
              </w:rPr>
              <w:t>الإحاطة علماً</w:t>
            </w:r>
            <w:r w:rsidRPr="0055737C">
              <w:rPr>
                <w:rtl/>
                <w:lang w:bidi="ar-SY"/>
              </w:rPr>
              <w:t xml:space="preserve"> بهذه الوثيقة.</w:t>
            </w:r>
          </w:p>
        </w:tc>
      </w:tr>
    </w:tbl>
    <w:p w:rsidR="0055737C" w:rsidRPr="005F42EA" w:rsidRDefault="0055737C" w:rsidP="00F15D86">
      <w:pPr>
        <w:pStyle w:val="Normalaftertitle"/>
        <w:rPr>
          <w:spacing w:val="-4"/>
          <w:rtl/>
        </w:rPr>
      </w:pPr>
      <w:r w:rsidRPr="005F42EA">
        <w:rPr>
          <w:spacing w:val="-4"/>
        </w:rPr>
        <w:t>1</w:t>
      </w:r>
      <w:r w:rsidRPr="005F42EA">
        <w:rPr>
          <w:spacing w:val="-4"/>
          <w:rtl/>
        </w:rPr>
        <w:tab/>
        <w:t xml:space="preserve">توضع ميزانية أمانة تليكوم الاتحاد لتخصيص اعتمادات للنفقات المقدرة لأمانة تليكوم الاتحاد التي لا </w:t>
      </w:r>
      <w:r w:rsidRPr="00F15D86">
        <w:rPr>
          <w:spacing w:val="-4"/>
          <w:rtl/>
        </w:rPr>
        <w:t>تتصل مباشرة بحدث معيَّن من أحداث تليكوم</w:t>
      </w:r>
      <w:r w:rsidRPr="00F15D86">
        <w:rPr>
          <w:spacing w:val="-4"/>
          <w:rtl/>
          <w:lang w:bidi="ar-EG"/>
        </w:rPr>
        <w:t xml:space="preserve"> الاتحاد </w:t>
      </w:r>
      <w:r w:rsidRPr="00F15D86">
        <w:rPr>
          <w:spacing w:val="-4"/>
          <w:rtl/>
        </w:rPr>
        <w:t>أو ناتج محدد له. و</w:t>
      </w:r>
      <w:r w:rsidRPr="00F15D86">
        <w:rPr>
          <w:rFonts w:hint="cs"/>
          <w:spacing w:val="-4"/>
          <w:rtl/>
        </w:rPr>
        <w:t xml:space="preserve">هي </w:t>
      </w:r>
      <w:r w:rsidRPr="00F15D86">
        <w:rPr>
          <w:spacing w:val="-4"/>
          <w:rtl/>
        </w:rPr>
        <w:t>تشمل رسوم استرداد التكاليف من المجالات الأخرى للأمانة العامة</w:t>
      </w:r>
      <w:r w:rsidRPr="00F15D86">
        <w:rPr>
          <w:rFonts w:hint="cs"/>
          <w:spacing w:val="-4"/>
          <w:rtl/>
        </w:rPr>
        <w:t xml:space="preserve"> </w:t>
      </w:r>
      <w:r w:rsidRPr="00F15D86">
        <w:rPr>
          <w:rFonts w:hint="cs"/>
          <w:color w:val="000000" w:themeColor="text1"/>
          <w:spacing w:val="-4"/>
          <w:rtl/>
        </w:rPr>
        <w:t xml:space="preserve">للاتحاد </w:t>
      </w:r>
      <w:r w:rsidRPr="00F15D86">
        <w:rPr>
          <w:spacing w:val="-4"/>
          <w:rtl/>
        </w:rPr>
        <w:t xml:space="preserve">والمكاتب. وميزانية أمانة تليكوم </w:t>
      </w:r>
      <w:r w:rsidRPr="00F15D86">
        <w:rPr>
          <w:spacing w:val="-4"/>
          <w:rtl/>
          <w:lang w:bidi="ar-EG"/>
        </w:rPr>
        <w:t xml:space="preserve">الاتحاد </w:t>
      </w:r>
      <w:r w:rsidRPr="00F15D86">
        <w:rPr>
          <w:spacing w:val="-4"/>
          <w:rtl/>
        </w:rPr>
        <w:t xml:space="preserve">ضرورية لتخطيط ورصد النفقات التي تُحمل بعد ذلك على مختلف أحداث تليكوم </w:t>
      </w:r>
      <w:r w:rsidRPr="00F15D86">
        <w:rPr>
          <w:spacing w:val="-4"/>
          <w:rtl/>
          <w:lang w:bidi="ar-EG"/>
        </w:rPr>
        <w:t>الاتحاد</w:t>
      </w:r>
      <w:r w:rsidRPr="005F42EA">
        <w:rPr>
          <w:spacing w:val="-4"/>
          <w:rtl/>
          <w:lang w:bidi="ar-EG"/>
        </w:rPr>
        <w:t xml:space="preserve"> </w:t>
      </w:r>
      <w:r w:rsidRPr="005F42EA">
        <w:rPr>
          <w:spacing w:val="-4"/>
          <w:rtl/>
        </w:rPr>
        <w:t xml:space="preserve">خلال السنة ذات الصلة. وتوضع ميزانية أمانة تليكوم الاتحاد على أساس سنوي بما يتماشى مع دورة ميزانية الاتحاد لفترة السنتين </w:t>
      </w:r>
      <w:r w:rsidRPr="005F42EA">
        <w:rPr>
          <w:spacing w:val="-4"/>
        </w:rPr>
        <w:t>(</w:t>
      </w:r>
      <w:r>
        <w:rPr>
          <w:spacing w:val="-4"/>
        </w:rPr>
        <w:t>2021</w:t>
      </w:r>
      <w:r w:rsidRPr="005F42EA">
        <w:rPr>
          <w:spacing w:val="-4"/>
        </w:rPr>
        <w:t>-</w:t>
      </w:r>
      <w:r>
        <w:rPr>
          <w:spacing w:val="-4"/>
        </w:rPr>
        <w:t>2020</w:t>
      </w:r>
      <w:r w:rsidRPr="005F42EA">
        <w:rPr>
          <w:spacing w:val="-4"/>
        </w:rPr>
        <w:t>)</w:t>
      </w:r>
      <w:r w:rsidRPr="005F42EA">
        <w:rPr>
          <w:spacing w:val="-4"/>
          <w:rtl/>
        </w:rPr>
        <w:t>.</w:t>
      </w:r>
    </w:p>
    <w:p w:rsidR="0055737C" w:rsidRDefault="0055737C" w:rsidP="0055737C">
      <w:pPr>
        <w:pStyle w:val="Headingb"/>
        <w:spacing w:line="240" w:lineRule="auto"/>
        <w:rPr>
          <w:rtl/>
          <w:lang w:bidi="ar-EG"/>
        </w:rPr>
      </w:pPr>
      <w:bookmarkStart w:id="1" w:name="_Toc482367225"/>
      <w:r>
        <w:rPr>
          <w:rtl/>
          <w:lang w:bidi="ar-EG"/>
        </w:rPr>
        <w:t>نفقات أمانة تليكوم الاتحاد</w:t>
      </w:r>
      <w:bookmarkEnd w:id="1"/>
    </w:p>
    <w:p w:rsidR="0055737C" w:rsidRPr="00EF033D" w:rsidRDefault="0055737C" w:rsidP="00B43F60">
      <w:pPr>
        <w:rPr>
          <w:spacing w:val="-2"/>
          <w:rtl/>
        </w:rPr>
      </w:pPr>
      <w:r w:rsidRPr="00EF033D">
        <w:rPr>
          <w:spacing w:val="-2"/>
        </w:rPr>
        <w:t>2</w:t>
      </w:r>
      <w:r w:rsidRPr="00EF033D">
        <w:rPr>
          <w:spacing w:val="-2"/>
          <w:rtl/>
        </w:rPr>
        <w:tab/>
      </w:r>
      <w:r w:rsidR="002A31D9" w:rsidRPr="007E2E30">
        <w:rPr>
          <w:rFonts w:hint="cs"/>
          <w:spacing w:val="-2"/>
          <w:rtl/>
        </w:rPr>
        <w:t>يصل</w:t>
      </w:r>
      <w:r w:rsidR="00F15D86" w:rsidRPr="007E2E30">
        <w:rPr>
          <w:rFonts w:hint="cs"/>
          <w:spacing w:val="-2"/>
          <w:rtl/>
        </w:rPr>
        <w:t xml:space="preserve"> </w:t>
      </w:r>
      <w:r w:rsidRPr="007E2E30">
        <w:rPr>
          <w:spacing w:val="-2"/>
          <w:rtl/>
        </w:rPr>
        <w:t xml:space="preserve">إجمالي ميزانية أمانة </w:t>
      </w:r>
      <w:r w:rsidR="00F15D86" w:rsidRPr="007E2E30">
        <w:rPr>
          <w:spacing w:val="-2"/>
          <w:rtl/>
        </w:rPr>
        <w:t>تليكوم الاتحاد</w:t>
      </w:r>
      <w:r w:rsidR="00F15D86" w:rsidRPr="007E2E30">
        <w:rPr>
          <w:rFonts w:hint="cs"/>
          <w:spacing w:val="-2"/>
          <w:rtl/>
        </w:rPr>
        <w:t xml:space="preserve"> </w:t>
      </w:r>
      <w:r w:rsidRPr="007E2E30">
        <w:rPr>
          <w:spacing w:val="-2"/>
          <w:rtl/>
        </w:rPr>
        <w:t>للفترة </w:t>
      </w:r>
      <w:r w:rsidR="005A333C" w:rsidRPr="007E2E30">
        <w:rPr>
          <w:spacing w:val="-2"/>
        </w:rPr>
        <w:t>2021</w:t>
      </w:r>
      <w:r w:rsidRPr="007E2E30">
        <w:rPr>
          <w:spacing w:val="-2"/>
        </w:rPr>
        <w:t>-</w:t>
      </w:r>
      <w:r w:rsidR="005A333C" w:rsidRPr="007E2E30">
        <w:rPr>
          <w:spacing w:val="-2"/>
        </w:rPr>
        <w:t>2020</w:t>
      </w:r>
      <w:r w:rsidR="00F15D86" w:rsidRPr="007E2E30">
        <w:rPr>
          <w:rFonts w:hint="cs"/>
          <w:spacing w:val="-2"/>
          <w:rtl/>
        </w:rPr>
        <w:t xml:space="preserve"> </w:t>
      </w:r>
      <w:r w:rsidR="002A31D9" w:rsidRPr="007E2E30">
        <w:rPr>
          <w:rFonts w:hint="cs"/>
          <w:spacing w:val="-2"/>
          <w:rtl/>
        </w:rPr>
        <w:t xml:space="preserve">إلى </w:t>
      </w:r>
      <w:r w:rsidR="002A31D9" w:rsidRPr="007E2E30">
        <w:rPr>
          <w:spacing w:val="-2"/>
        </w:rPr>
        <w:t>10</w:t>
      </w:r>
      <w:r w:rsidR="00A95C50">
        <w:rPr>
          <w:spacing w:val="-2"/>
        </w:rPr>
        <w:t>,</w:t>
      </w:r>
      <w:r w:rsidR="002A31D9" w:rsidRPr="007E2E30">
        <w:rPr>
          <w:spacing w:val="-2"/>
        </w:rPr>
        <w:t>2</w:t>
      </w:r>
      <w:r w:rsidR="002A31D9" w:rsidRPr="007E2E30">
        <w:rPr>
          <w:rFonts w:hint="cs"/>
          <w:spacing w:val="-2"/>
          <w:rtl/>
        </w:rPr>
        <w:t xml:space="preserve"> </w:t>
      </w:r>
      <w:r w:rsidR="00F15D86" w:rsidRPr="007E2E30">
        <w:rPr>
          <w:rFonts w:hint="cs"/>
          <w:spacing w:val="-2"/>
          <w:rtl/>
        </w:rPr>
        <w:t>ملايين</w:t>
      </w:r>
      <w:r w:rsidR="00F15D86" w:rsidRPr="002A31D9">
        <w:rPr>
          <w:rFonts w:hint="cs"/>
          <w:spacing w:val="-2"/>
          <w:rtl/>
        </w:rPr>
        <w:t xml:space="preserve"> </w:t>
      </w:r>
      <w:r w:rsidR="004C0B43" w:rsidRPr="002A31D9">
        <w:rPr>
          <w:rFonts w:hint="cs"/>
          <w:spacing w:val="-2"/>
          <w:rtl/>
        </w:rPr>
        <w:t>فرنك سويسر</w:t>
      </w:r>
      <w:r w:rsidR="004C0B43">
        <w:rPr>
          <w:rFonts w:hint="cs"/>
          <w:spacing w:val="-2"/>
          <w:rtl/>
        </w:rPr>
        <w:t>ي، وهو أدنى من إجماليها للفترة</w:t>
      </w:r>
      <w:r w:rsidR="004235DB">
        <w:rPr>
          <w:rFonts w:hint="eastAsia"/>
          <w:spacing w:val="-2"/>
          <w:rtl/>
        </w:rPr>
        <w:t> </w:t>
      </w:r>
      <w:r w:rsidR="004C0B43">
        <w:rPr>
          <w:spacing w:val="-2"/>
          <w:lang w:val="es-ES"/>
        </w:rPr>
        <w:t>2019-2018</w:t>
      </w:r>
      <w:r w:rsidR="004C0B43">
        <w:rPr>
          <w:rFonts w:hint="cs"/>
          <w:spacing w:val="-2"/>
          <w:rtl/>
          <w:lang w:bidi="ar-EG"/>
        </w:rPr>
        <w:t xml:space="preserve"> بنسبة </w:t>
      </w:r>
      <w:r w:rsidR="004C0B43">
        <w:rPr>
          <w:spacing w:val="-2"/>
          <w:lang w:val="es-ES" w:bidi="ar-EG"/>
        </w:rPr>
        <w:t>8</w:t>
      </w:r>
      <w:r w:rsidR="004C0B43">
        <w:rPr>
          <w:rFonts w:hint="cs"/>
          <w:spacing w:val="-2"/>
          <w:rtl/>
          <w:lang w:bidi="ar-EG"/>
        </w:rPr>
        <w:t xml:space="preserve"> في المائة.</w:t>
      </w:r>
      <w:r w:rsidRPr="00EF033D">
        <w:rPr>
          <w:spacing w:val="-2"/>
          <w:rtl/>
        </w:rPr>
        <w:t xml:space="preserve"> ويعود ذلك </w:t>
      </w:r>
      <w:r w:rsidR="002A31D9">
        <w:rPr>
          <w:rFonts w:hint="cs"/>
          <w:spacing w:val="-2"/>
          <w:rtl/>
        </w:rPr>
        <w:t>أساساً</w:t>
      </w:r>
      <w:r w:rsidRPr="00EF033D">
        <w:rPr>
          <w:spacing w:val="-2"/>
          <w:rtl/>
        </w:rPr>
        <w:t xml:space="preserve"> إلى </w:t>
      </w:r>
      <w:r w:rsidR="002A31D9">
        <w:rPr>
          <w:rFonts w:hint="cs"/>
          <w:spacing w:val="-2"/>
          <w:rtl/>
          <w:lang w:bidi="ar-EG"/>
        </w:rPr>
        <w:t xml:space="preserve">عدم التخطيط </w:t>
      </w:r>
      <w:r w:rsidR="00A95C50">
        <w:rPr>
          <w:rFonts w:hint="cs"/>
          <w:spacing w:val="-2"/>
          <w:rtl/>
          <w:lang w:bidi="ar-EG"/>
        </w:rPr>
        <w:t>ل</w:t>
      </w:r>
      <w:r w:rsidR="00914BF6">
        <w:rPr>
          <w:rFonts w:hint="cs"/>
          <w:spacing w:val="-2"/>
          <w:rtl/>
        </w:rPr>
        <w:t>ش</w:t>
      </w:r>
      <w:r w:rsidR="00A95C50">
        <w:rPr>
          <w:rFonts w:hint="cs"/>
          <w:spacing w:val="-2"/>
          <w:rtl/>
        </w:rPr>
        <w:t>َ</w:t>
      </w:r>
      <w:r w:rsidR="00914BF6">
        <w:rPr>
          <w:rFonts w:hint="cs"/>
          <w:spacing w:val="-2"/>
          <w:rtl/>
        </w:rPr>
        <w:t xml:space="preserve">غل </w:t>
      </w:r>
      <w:r w:rsidRPr="00EF033D">
        <w:rPr>
          <w:spacing w:val="-2"/>
          <w:rtl/>
        </w:rPr>
        <w:t>بعض الوظائف</w:t>
      </w:r>
      <w:r w:rsidR="002A31D9">
        <w:rPr>
          <w:rFonts w:hint="cs"/>
          <w:spacing w:val="-2"/>
          <w:rtl/>
        </w:rPr>
        <w:t xml:space="preserve"> الشاغرة في الفترة </w:t>
      </w:r>
      <w:r w:rsidR="00914BF6" w:rsidRPr="002A31D9">
        <w:rPr>
          <w:spacing w:val="-2"/>
        </w:rPr>
        <w:t>2021-2020</w:t>
      </w:r>
      <w:r w:rsidRPr="00EF033D">
        <w:rPr>
          <w:spacing w:val="-2"/>
          <w:rtl/>
        </w:rPr>
        <w:t xml:space="preserve"> </w:t>
      </w:r>
      <w:r w:rsidR="00914BF6">
        <w:rPr>
          <w:rFonts w:hint="cs"/>
          <w:spacing w:val="-2"/>
          <w:rtl/>
        </w:rPr>
        <w:t xml:space="preserve">وانخفاض النفقات المتوقعة في بنود الخدمات التعاقدية والسفر في مهام رسمية والاستئجار والصيانة والمرافق </w:t>
      </w:r>
      <w:r w:rsidRPr="00EF033D">
        <w:rPr>
          <w:spacing w:val="-2"/>
          <w:rtl/>
        </w:rPr>
        <w:t xml:space="preserve">على النحو </w:t>
      </w:r>
      <w:r w:rsidR="00914BF6">
        <w:rPr>
          <w:rFonts w:hint="cs"/>
          <w:spacing w:val="-2"/>
          <w:rtl/>
        </w:rPr>
        <w:t xml:space="preserve">المبيّن </w:t>
      </w:r>
      <w:r w:rsidRPr="00EF033D">
        <w:rPr>
          <w:spacing w:val="-2"/>
          <w:rtl/>
        </w:rPr>
        <w:t xml:space="preserve">في </w:t>
      </w:r>
      <w:r w:rsidR="005A333C">
        <w:rPr>
          <w:rFonts w:hint="cs"/>
          <w:spacing w:val="-2"/>
          <w:rtl/>
        </w:rPr>
        <w:t>الجدول</w:t>
      </w:r>
      <w:r w:rsidR="00B43F60">
        <w:rPr>
          <w:rFonts w:hint="cs"/>
          <w:spacing w:val="-2"/>
          <w:rtl/>
        </w:rPr>
        <w:t> </w:t>
      </w:r>
      <w:r w:rsidR="005A333C">
        <w:rPr>
          <w:spacing w:val="-2"/>
        </w:rPr>
        <w:t>1</w:t>
      </w:r>
      <w:r w:rsidRPr="00EF033D">
        <w:rPr>
          <w:spacing w:val="-2"/>
          <w:rtl/>
        </w:rPr>
        <w:t xml:space="preserve"> </w:t>
      </w:r>
      <w:r w:rsidRPr="00EF033D">
        <w:rPr>
          <w:rFonts w:hint="cs"/>
          <w:spacing w:val="-2"/>
          <w:rtl/>
        </w:rPr>
        <w:t xml:space="preserve">أدناه. </w:t>
      </w:r>
      <w:r w:rsidRPr="00EF033D">
        <w:rPr>
          <w:spacing w:val="-2"/>
          <w:rtl/>
        </w:rPr>
        <w:t xml:space="preserve">وتعد التكاليف الخاصة بالموظفين والتكاليف الأخرى الخاصة بالموظفين أكبر </w:t>
      </w:r>
      <w:r w:rsidRPr="00EF033D">
        <w:rPr>
          <w:rFonts w:hint="cs"/>
          <w:spacing w:val="-2"/>
          <w:rtl/>
        </w:rPr>
        <w:t xml:space="preserve">بنود </w:t>
      </w:r>
      <w:r w:rsidR="00914BF6">
        <w:rPr>
          <w:rFonts w:hint="cs"/>
          <w:spacing w:val="-2"/>
          <w:rtl/>
        </w:rPr>
        <w:t>النفقات</w:t>
      </w:r>
      <w:r w:rsidRPr="00EF033D">
        <w:rPr>
          <w:spacing w:val="-2"/>
          <w:rtl/>
        </w:rPr>
        <w:t xml:space="preserve"> في</w:t>
      </w:r>
      <w:r w:rsidRPr="00EF033D">
        <w:rPr>
          <w:rFonts w:hint="cs"/>
          <w:spacing w:val="-2"/>
          <w:rtl/>
        </w:rPr>
        <w:t> </w:t>
      </w:r>
      <w:r w:rsidRPr="00EF033D">
        <w:rPr>
          <w:spacing w:val="-2"/>
          <w:rtl/>
        </w:rPr>
        <w:t xml:space="preserve">الميزانية إلى جانب قيمة استرداد التكاليف التي تم الحفاظ عليها عند </w:t>
      </w:r>
      <w:r w:rsidR="00914BF6">
        <w:rPr>
          <w:rFonts w:hint="cs"/>
          <w:spacing w:val="-2"/>
          <w:rtl/>
        </w:rPr>
        <w:t xml:space="preserve">مستواها </w:t>
      </w:r>
      <w:r w:rsidRPr="00EF033D">
        <w:rPr>
          <w:spacing w:val="-2"/>
          <w:rtl/>
        </w:rPr>
        <w:t>نفسه</w:t>
      </w:r>
      <w:r w:rsidR="00914BF6">
        <w:rPr>
          <w:rFonts w:hint="cs"/>
          <w:spacing w:val="-2"/>
          <w:rtl/>
        </w:rPr>
        <w:t xml:space="preserve"> في الميزانية</w:t>
      </w:r>
      <w:r w:rsidR="00D423A5">
        <w:rPr>
          <w:rFonts w:hint="cs"/>
          <w:spacing w:val="-2"/>
          <w:rtl/>
          <w:lang w:bidi="ar-EG"/>
        </w:rPr>
        <w:t xml:space="preserve"> </w:t>
      </w:r>
      <w:r w:rsidR="00D423A5" w:rsidRPr="00EF033D">
        <w:rPr>
          <w:spacing w:val="-2"/>
          <w:rtl/>
        </w:rPr>
        <w:t>منذ</w:t>
      </w:r>
      <w:r w:rsidR="00D423A5">
        <w:rPr>
          <w:rFonts w:hint="cs"/>
          <w:spacing w:val="-2"/>
          <w:rtl/>
        </w:rPr>
        <w:t xml:space="preserve"> عام</w:t>
      </w:r>
      <w:r w:rsidR="00D423A5" w:rsidRPr="00EF033D">
        <w:rPr>
          <w:rFonts w:hint="cs"/>
          <w:spacing w:val="-2"/>
          <w:rtl/>
        </w:rPr>
        <w:t> </w:t>
      </w:r>
      <w:r w:rsidR="00D423A5" w:rsidRPr="00EF033D">
        <w:rPr>
          <w:spacing w:val="-2"/>
        </w:rPr>
        <w:t>2014</w:t>
      </w:r>
      <w:r w:rsidR="00D423A5">
        <w:rPr>
          <w:rFonts w:hint="cs"/>
          <w:spacing w:val="-2"/>
          <w:rtl/>
        </w:rPr>
        <w:t xml:space="preserve">، </w:t>
      </w:r>
      <w:r w:rsidRPr="00EF033D">
        <w:rPr>
          <w:spacing w:val="-2"/>
          <w:rtl/>
        </w:rPr>
        <w:t xml:space="preserve">البالغ </w:t>
      </w:r>
      <w:r w:rsidRPr="00EF033D">
        <w:rPr>
          <w:spacing w:val="-2"/>
        </w:rPr>
        <w:t>1,5</w:t>
      </w:r>
      <w:r w:rsidRPr="00EF033D">
        <w:rPr>
          <w:spacing w:val="-2"/>
          <w:rtl/>
        </w:rPr>
        <w:t xml:space="preserve"> مليون فرنك سويسري سنوياً.</w:t>
      </w:r>
    </w:p>
    <w:p w:rsidR="0055737C" w:rsidRPr="00824FF0" w:rsidRDefault="0055737C" w:rsidP="004235DB">
      <w:pPr>
        <w:keepNext/>
        <w:keepLines/>
        <w:rPr>
          <w:spacing w:val="-2"/>
        </w:rPr>
      </w:pPr>
      <w:r w:rsidRPr="00824FF0">
        <w:rPr>
          <w:spacing w:val="-2"/>
          <w:lang w:val="en-GB" w:bidi="ar-SY"/>
        </w:rPr>
        <w:lastRenderedPageBreak/>
        <w:t>3</w:t>
      </w:r>
      <w:r w:rsidRPr="00824FF0">
        <w:rPr>
          <w:spacing w:val="-2"/>
          <w:rtl/>
          <w:lang w:bidi="ar-EG"/>
        </w:rPr>
        <w:tab/>
      </w:r>
      <w:r w:rsidR="00914BF6">
        <w:rPr>
          <w:rFonts w:hint="cs"/>
          <w:spacing w:val="-2"/>
          <w:rtl/>
          <w:lang w:bidi="ar-EG"/>
        </w:rPr>
        <w:t>و</w:t>
      </w:r>
      <w:r w:rsidRPr="00824FF0">
        <w:rPr>
          <w:spacing w:val="-2"/>
          <w:rtl/>
        </w:rPr>
        <w:t>تُعرض الميزانية في فئات للنفقات طبقاً للمادة </w:t>
      </w:r>
      <w:r w:rsidRPr="00824FF0">
        <w:rPr>
          <w:spacing w:val="-2"/>
          <w:lang w:bidi="ar-SY"/>
        </w:rPr>
        <w:t>6</w:t>
      </w:r>
      <w:r w:rsidRPr="00824FF0">
        <w:rPr>
          <w:spacing w:val="-2"/>
          <w:rtl/>
        </w:rPr>
        <w:t xml:space="preserve">، القاعدة </w:t>
      </w:r>
      <w:r w:rsidRPr="00824FF0">
        <w:rPr>
          <w:spacing w:val="-2"/>
          <w:lang w:bidi="ar-SY"/>
        </w:rPr>
        <w:t>1.6</w:t>
      </w:r>
      <w:r w:rsidRPr="00824FF0">
        <w:rPr>
          <w:spacing w:val="-2"/>
          <w:rtl/>
        </w:rPr>
        <w:t xml:space="preserve"> من اللوائح والقواعد المالية للاتحاد</w:t>
      </w:r>
      <w:r w:rsidRPr="00824FF0">
        <w:rPr>
          <w:spacing w:val="-2"/>
          <w:rtl/>
          <w:lang w:bidi="ar-EG"/>
        </w:rPr>
        <w:t xml:space="preserve">. </w:t>
      </w:r>
      <w:r w:rsidRPr="00824FF0">
        <w:rPr>
          <w:spacing w:val="-2"/>
          <w:rtl/>
        </w:rPr>
        <w:t>ويعرض الجدول </w:t>
      </w:r>
      <w:r w:rsidRPr="00824FF0">
        <w:rPr>
          <w:spacing w:val="-2"/>
          <w:lang w:bidi="ar-SY"/>
        </w:rPr>
        <w:t>1</w:t>
      </w:r>
      <w:r w:rsidRPr="00824FF0">
        <w:rPr>
          <w:spacing w:val="-2"/>
          <w:rtl/>
        </w:rPr>
        <w:t xml:space="preserve"> أدناه النفقات المقدرة بحسب الفئات. وتمثل التكاليف الخاصة بالموظفين والتكاليف الأخرى الخاصة بالموظفين</w:t>
      </w:r>
      <w:r w:rsidR="00914BF6">
        <w:rPr>
          <w:rFonts w:hint="cs"/>
          <w:spacing w:val="-2"/>
          <w:rtl/>
        </w:rPr>
        <w:t xml:space="preserve"> نحو</w:t>
      </w:r>
      <w:r w:rsidR="00914BF6">
        <w:rPr>
          <w:rFonts w:hint="cs"/>
          <w:spacing w:val="-2"/>
          <w:rtl/>
          <w:lang w:bidi="ar-SY"/>
        </w:rPr>
        <w:t xml:space="preserve"> </w:t>
      </w:r>
      <w:r w:rsidR="005A333C" w:rsidRPr="00824FF0">
        <w:rPr>
          <w:spacing w:val="-2"/>
          <w:lang w:bidi="ar-SY"/>
        </w:rPr>
        <w:t>68</w:t>
      </w:r>
      <w:r w:rsidR="00914BF6">
        <w:rPr>
          <w:rFonts w:hint="cs"/>
          <w:spacing w:val="-2"/>
          <w:rtl/>
          <w:lang w:bidi="ar-EG"/>
        </w:rPr>
        <w:t xml:space="preserve"> في المائة</w:t>
      </w:r>
      <w:r w:rsidR="00914BF6" w:rsidRPr="00824FF0">
        <w:rPr>
          <w:spacing w:val="-2"/>
          <w:rtl/>
        </w:rPr>
        <w:t xml:space="preserve"> </w:t>
      </w:r>
      <w:r w:rsidRPr="00824FF0">
        <w:rPr>
          <w:spacing w:val="-2"/>
          <w:rtl/>
        </w:rPr>
        <w:t>من الميزانية</w:t>
      </w:r>
      <w:r w:rsidRPr="00824FF0">
        <w:rPr>
          <w:spacing w:val="-2"/>
          <w:rtl/>
          <w:lang w:bidi="ar-EG"/>
        </w:rPr>
        <w:t xml:space="preserve"> الإجمالية لفترة السنتين</w:t>
      </w:r>
      <w:r w:rsidRPr="00824FF0">
        <w:rPr>
          <w:spacing w:val="-2"/>
          <w:rtl/>
        </w:rPr>
        <w:t xml:space="preserve">. وتمثل قيمة استرداد </w:t>
      </w:r>
      <w:r w:rsidRPr="00824FF0">
        <w:rPr>
          <w:rtl/>
        </w:rPr>
        <w:t xml:space="preserve">التكاليف </w:t>
      </w:r>
      <w:hyperlink r:id="rId9" w:history="1">
        <w:r w:rsidRPr="00824FF0">
          <w:rPr>
            <w:rtl/>
          </w:rPr>
          <w:t xml:space="preserve">البالغة </w:t>
        </w:r>
        <w:r w:rsidRPr="00824FF0">
          <w:rPr>
            <w:lang w:bidi="ar-SY"/>
          </w:rPr>
          <w:t>3</w:t>
        </w:r>
        <w:r w:rsidRPr="00824FF0">
          <w:rPr>
            <w:rtl/>
          </w:rPr>
          <w:t> </w:t>
        </w:r>
      </w:hyperlink>
      <w:r w:rsidRPr="00824FF0">
        <w:rPr>
          <w:rtl/>
        </w:rPr>
        <w:t>ملايين فرنك</w:t>
      </w:r>
      <w:r w:rsidRPr="00824FF0">
        <w:rPr>
          <w:spacing w:val="-2"/>
          <w:rtl/>
        </w:rPr>
        <w:t xml:space="preserve"> سويسري</w:t>
      </w:r>
      <w:r w:rsidR="00D423A5">
        <w:rPr>
          <w:rFonts w:hint="cs"/>
          <w:spacing w:val="-2"/>
          <w:rtl/>
        </w:rPr>
        <w:t xml:space="preserve"> </w:t>
      </w:r>
      <w:r w:rsidR="00D423A5">
        <w:rPr>
          <w:spacing w:val="-2"/>
          <w:lang w:val="es-ES" w:bidi="ar-EG"/>
        </w:rPr>
        <w:t>29</w:t>
      </w:r>
      <w:r w:rsidR="00D423A5">
        <w:rPr>
          <w:rFonts w:hint="cs"/>
          <w:spacing w:val="-2"/>
          <w:rtl/>
          <w:lang w:bidi="ar-EG"/>
        </w:rPr>
        <w:t xml:space="preserve"> في المائة</w:t>
      </w:r>
      <w:r w:rsidRPr="00824FF0">
        <w:rPr>
          <w:spacing w:val="-2"/>
          <w:rtl/>
        </w:rPr>
        <w:t xml:space="preserve"> من مجموع ميزانية فترة السنتين </w:t>
      </w:r>
      <w:r w:rsidR="005A333C" w:rsidRPr="00824FF0">
        <w:rPr>
          <w:spacing w:val="-2"/>
        </w:rPr>
        <w:t>2021-2020</w:t>
      </w:r>
      <w:r w:rsidRPr="00824FF0">
        <w:rPr>
          <w:spacing w:val="-2"/>
          <w:rtl/>
        </w:rPr>
        <w:t>.</w:t>
      </w:r>
    </w:p>
    <w:p w:rsidR="00B21248" w:rsidRDefault="00B21248" w:rsidP="00B21248">
      <w:pPr>
        <w:pStyle w:val="TableNo"/>
        <w:rPr>
          <w:rtl/>
        </w:rPr>
      </w:pPr>
      <w:r>
        <w:rPr>
          <w:rtl/>
        </w:rPr>
        <w:t xml:space="preserve">الجدول </w:t>
      </w:r>
      <w:r>
        <w:rPr>
          <w:lang w:val="en-GB"/>
        </w:rPr>
        <w:t>1</w:t>
      </w:r>
    </w:p>
    <w:p w:rsidR="00B21248" w:rsidRDefault="00B21248" w:rsidP="00B21248">
      <w:pPr>
        <w:pStyle w:val="Tabletitle"/>
      </w:pPr>
      <w:r>
        <w:rPr>
          <w:rtl/>
        </w:rPr>
        <w:t>الميزانية بحسب فئات النفقات</w:t>
      </w:r>
    </w:p>
    <w:tbl>
      <w:tblPr>
        <w:bidiVisual/>
        <w:tblW w:w="11388" w:type="dxa"/>
        <w:jc w:val="center"/>
        <w:tblLook w:val="04A0" w:firstRow="1" w:lastRow="0" w:firstColumn="1" w:lastColumn="0" w:noHBand="0" w:noVBand="1"/>
      </w:tblPr>
      <w:tblGrid>
        <w:gridCol w:w="473"/>
        <w:gridCol w:w="2268"/>
        <w:gridCol w:w="992"/>
        <w:gridCol w:w="993"/>
        <w:gridCol w:w="992"/>
        <w:gridCol w:w="850"/>
        <w:gridCol w:w="992"/>
        <w:gridCol w:w="851"/>
        <w:gridCol w:w="992"/>
        <w:gridCol w:w="851"/>
        <w:gridCol w:w="1134"/>
      </w:tblGrid>
      <w:tr w:rsidR="005A333C" w:rsidRPr="00EE4F56" w:rsidTr="001957B8">
        <w:trPr>
          <w:trHeight w:val="255"/>
          <w:jc w:val="center"/>
        </w:trPr>
        <w:tc>
          <w:tcPr>
            <w:tcW w:w="473" w:type="dxa"/>
            <w:tcBorders>
              <w:top w:val="single" w:sz="4" w:space="0" w:color="auto"/>
              <w:left w:val="nil"/>
              <w:bottom w:val="nil"/>
              <w:right w:val="nil"/>
            </w:tcBorders>
            <w:shd w:val="clear" w:color="auto" w:fill="DCE6F1"/>
            <w:noWrap/>
            <w:vAlign w:val="center"/>
            <w:hideMark/>
          </w:tcPr>
          <w:p w:rsidR="005A333C" w:rsidRPr="00824FF0" w:rsidRDefault="005A333C" w:rsidP="001957B8">
            <w:pPr>
              <w:spacing w:before="20" w:after="20" w:line="260" w:lineRule="exact"/>
              <w:jc w:val="center"/>
              <w:rPr>
                <w:b/>
                <w:bCs/>
                <w:color w:val="0000FF"/>
                <w:sz w:val="16"/>
                <w:szCs w:val="22"/>
              </w:rPr>
            </w:pPr>
          </w:p>
        </w:tc>
        <w:tc>
          <w:tcPr>
            <w:tcW w:w="2268" w:type="dxa"/>
            <w:tcBorders>
              <w:top w:val="single" w:sz="4" w:space="0" w:color="auto"/>
              <w:left w:val="nil"/>
              <w:bottom w:val="nil"/>
              <w:right w:val="nil"/>
            </w:tcBorders>
            <w:shd w:val="clear" w:color="auto" w:fill="DCE6F1"/>
            <w:noWrap/>
            <w:vAlign w:val="center"/>
            <w:hideMark/>
          </w:tcPr>
          <w:p w:rsidR="005A333C" w:rsidRPr="00824FF0" w:rsidRDefault="005A333C" w:rsidP="001957B8">
            <w:pPr>
              <w:spacing w:before="20" w:after="20" w:line="260" w:lineRule="exact"/>
              <w:jc w:val="center"/>
              <w:rPr>
                <w:b/>
                <w:bCs/>
                <w:color w:val="0000FF"/>
                <w:sz w:val="16"/>
                <w:szCs w:val="22"/>
              </w:rPr>
            </w:pPr>
          </w:p>
        </w:tc>
        <w:tc>
          <w:tcPr>
            <w:tcW w:w="7513" w:type="dxa"/>
            <w:gridSpan w:val="8"/>
            <w:tcBorders>
              <w:top w:val="single" w:sz="4" w:space="0" w:color="auto"/>
              <w:left w:val="nil"/>
              <w:bottom w:val="nil"/>
              <w:right w:val="nil"/>
            </w:tcBorders>
            <w:shd w:val="clear" w:color="auto" w:fill="DCE6F1"/>
            <w:noWrap/>
            <w:vAlign w:val="center"/>
            <w:hideMark/>
          </w:tcPr>
          <w:p w:rsidR="005A333C" w:rsidRPr="00824FF0" w:rsidRDefault="005A333C" w:rsidP="001957B8">
            <w:pPr>
              <w:spacing w:before="20" w:after="20" w:line="260" w:lineRule="exact"/>
              <w:jc w:val="center"/>
              <w:rPr>
                <w:b/>
                <w:bCs/>
                <w:i/>
                <w:iCs/>
                <w:color w:val="0000FF"/>
                <w:sz w:val="16"/>
                <w:szCs w:val="22"/>
              </w:rPr>
            </w:pPr>
            <w:r w:rsidRPr="00824FF0">
              <w:rPr>
                <w:b/>
                <w:bCs/>
                <w:i/>
                <w:iCs/>
                <w:color w:val="0000FF"/>
                <w:sz w:val="16"/>
                <w:szCs w:val="22"/>
                <w:rtl/>
              </w:rPr>
              <w:t>بآلاف الفرنكات السويسرية</w:t>
            </w:r>
          </w:p>
        </w:tc>
        <w:tc>
          <w:tcPr>
            <w:tcW w:w="1134" w:type="dxa"/>
            <w:tcBorders>
              <w:top w:val="single" w:sz="4" w:space="0" w:color="auto"/>
              <w:left w:val="nil"/>
              <w:bottom w:val="nil"/>
              <w:right w:val="nil"/>
            </w:tcBorders>
            <w:shd w:val="clear" w:color="auto" w:fill="DCE6F1"/>
            <w:noWrap/>
            <w:vAlign w:val="center"/>
            <w:hideMark/>
          </w:tcPr>
          <w:p w:rsidR="005A333C" w:rsidRPr="00824FF0" w:rsidRDefault="005A333C" w:rsidP="001957B8">
            <w:pPr>
              <w:spacing w:before="20" w:after="20" w:line="260" w:lineRule="exact"/>
              <w:jc w:val="center"/>
              <w:rPr>
                <w:b/>
                <w:bCs/>
                <w:i/>
                <w:iCs/>
                <w:color w:val="0000FF"/>
                <w:sz w:val="16"/>
                <w:szCs w:val="22"/>
                <w:lang w:val="en-GB"/>
              </w:rPr>
            </w:pPr>
          </w:p>
        </w:tc>
      </w:tr>
      <w:tr w:rsidR="005A333C" w:rsidRPr="00EE4F56" w:rsidTr="001957B8">
        <w:trPr>
          <w:trHeight w:val="240"/>
          <w:jc w:val="center"/>
        </w:trPr>
        <w:tc>
          <w:tcPr>
            <w:tcW w:w="473" w:type="dxa"/>
            <w:shd w:val="clear" w:color="auto" w:fill="DCE6F1"/>
            <w:noWrap/>
            <w:vAlign w:val="bottom"/>
            <w:hideMark/>
          </w:tcPr>
          <w:p w:rsidR="005A333C" w:rsidRPr="00824FF0" w:rsidRDefault="005A333C" w:rsidP="001957B8">
            <w:pPr>
              <w:spacing w:before="20" w:after="20" w:line="260" w:lineRule="exact"/>
              <w:jc w:val="center"/>
              <w:rPr>
                <w:b/>
                <w:bCs/>
                <w:color w:val="0000FF"/>
                <w:sz w:val="16"/>
                <w:szCs w:val="22"/>
              </w:rPr>
            </w:pPr>
            <w:r w:rsidRPr="00824FF0">
              <w:rPr>
                <w:b/>
                <w:bCs/>
                <w:color w:val="0000FF"/>
                <w:sz w:val="16"/>
                <w:szCs w:val="22"/>
                <w:rtl/>
                <w:lang w:bidi="ar-EG"/>
              </w:rPr>
              <w:t>الفئة</w:t>
            </w:r>
          </w:p>
        </w:tc>
        <w:tc>
          <w:tcPr>
            <w:tcW w:w="2268" w:type="dxa"/>
            <w:shd w:val="clear" w:color="auto" w:fill="DCE6F1"/>
            <w:noWrap/>
            <w:vAlign w:val="bottom"/>
            <w:hideMark/>
          </w:tcPr>
          <w:p w:rsidR="005A333C" w:rsidRPr="00824FF0" w:rsidRDefault="005A333C" w:rsidP="001957B8">
            <w:pPr>
              <w:spacing w:before="20" w:after="20" w:line="260" w:lineRule="exact"/>
              <w:jc w:val="center"/>
              <w:rPr>
                <w:b/>
                <w:bCs/>
                <w:color w:val="0000FF"/>
                <w:sz w:val="16"/>
                <w:szCs w:val="22"/>
              </w:rPr>
            </w:pPr>
            <w:r w:rsidRPr="00824FF0">
              <w:rPr>
                <w:b/>
                <w:bCs/>
                <w:color w:val="0000FF"/>
                <w:sz w:val="16"/>
                <w:szCs w:val="22"/>
                <w:rtl/>
                <w:lang w:bidi="ar-EG"/>
              </w:rPr>
              <w:t>النفقات</w:t>
            </w:r>
          </w:p>
        </w:tc>
        <w:tc>
          <w:tcPr>
            <w:tcW w:w="992" w:type="dxa"/>
            <w:shd w:val="clear" w:color="auto" w:fill="DCE6F1"/>
            <w:noWrap/>
            <w:vAlign w:val="bottom"/>
            <w:hideMark/>
          </w:tcPr>
          <w:p w:rsidR="005A333C" w:rsidRPr="00824FF0" w:rsidRDefault="005A333C" w:rsidP="001957B8">
            <w:pPr>
              <w:spacing w:before="20" w:after="20" w:line="260" w:lineRule="exact"/>
              <w:jc w:val="center"/>
              <w:rPr>
                <w:b/>
                <w:bCs/>
                <w:color w:val="0000FF"/>
                <w:sz w:val="16"/>
                <w:szCs w:val="22"/>
              </w:rPr>
            </w:pPr>
            <w:r w:rsidRPr="00824FF0">
              <w:rPr>
                <w:b/>
                <w:bCs/>
                <w:color w:val="0000FF"/>
                <w:sz w:val="16"/>
                <w:szCs w:val="22"/>
                <w:rtl/>
                <w:lang w:bidi="ar-EG"/>
              </w:rPr>
              <w:t>ميزانية</w:t>
            </w:r>
          </w:p>
        </w:tc>
        <w:tc>
          <w:tcPr>
            <w:tcW w:w="993" w:type="dxa"/>
            <w:shd w:val="clear" w:color="auto" w:fill="DCE6F1"/>
            <w:noWrap/>
            <w:vAlign w:val="bottom"/>
            <w:hideMark/>
          </w:tcPr>
          <w:p w:rsidR="005A333C" w:rsidRPr="00824FF0" w:rsidRDefault="005A333C" w:rsidP="001957B8">
            <w:pPr>
              <w:spacing w:before="20" w:after="20" w:line="260" w:lineRule="exact"/>
              <w:jc w:val="center"/>
              <w:rPr>
                <w:b/>
                <w:bCs/>
                <w:color w:val="0000FF"/>
                <w:sz w:val="16"/>
                <w:szCs w:val="22"/>
              </w:rPr>
            </w:pPr>
            <w:r w:rsidRPr="00824FF0">
              <w:rPr>
                <w:b/>
                <w:bCs/>
                <w:color w:val="0000FF"/>
                <w:sz w:val="16"/>
                <w:szCs w:val="22"/>
                <w:rtl/>
                <w:lang w:bidi="ar-EG"/>
              </w:rPr>
              <w:t>الفعلية</w:t>
            </w:r>
          </w:p>
        </w:tc>
        <w:tc>
          <w:tcPr>
            <w:tcW w:w="992" w:type="dxa"/>
            <w:shd w:val="clear" w:color="auto" w:fill="DCE6F1"/>
            <w:noWrap/>
            <w:vAlign w:val="bottom"/>
            <w:hideMark/>
          </w:tcPr>
          <w:p w:rsidR="005A333C" w:rsidRPr="00824FF0" w:rsidRDefault="005A333C" w:rsidP="001957B8">
            <w:pPr>
              <w:spacing w:before="20" w:after="20" w:line="260" w:lineRule="exact"/>
              <w:jc w:val="center"/>
              <w:rPr>
                <w:b/>
                <w:bCs/>
                <w:color w:val="0000FF"/>
                <w:sz w:val="16"/>
                <w:szCs w:val="22"/>
              </w:rPr>
            </w:pPr>
            <w:r w:rsidRPr="00824FF0">
              <w:rPr>
                <w:b/>
                <w:bCs/>
                <w:color w:val="0000FF"/>
                <w:sz w:val="16"/>
                <w:szCs w:val="22"/>
                <w:rtl/>
                <w:lang w:bidi="ar-EG"/>
              </w:rPr>
              <w:t>ميزانية</w:t>
            </w:r>
          </w:p>
        </w:tc>
        <w:tc>
          <w:tcPr>
            <w:tcW w:w="850" w:type="dxa"/>
            <w:shd w:val="clear" w:color="auto" w:fill="DCE6F1"/>
            <w:noWrap/>
            <w:vAlign w:val="bottom"/>
            <w:hideMark/>
          </w:tcPr>
          <w:p w:rsidR="005A333C" w:rsidRPr="00824FF0" w:rsidRDefault="005A333C" w:rsidP="001957B8">
            <w:pPr>
              <w:spacing w:before="20" w:after="20" w:line="260" w:lineRule="exact"/>
              <w:jc w:val="center"/>
              <w:rPr>
                <w:b/>
                <w:bCs/>
                <w:color w:val="0000FF"/>
                <w:sz w:val="16"/>
                <w:szCs w:val="22"/>
              </w:rPr>
            </w:pPr>
            <w:r w:rsidRPr="00824FF0">
              <w:rPr>
                <w:b/>
                <w:bCs/>
                <w:color w:val="0000FF"/>
                <w:sz w:val="16"/>
                <w:szCs w:val="22"/>
                <w:rtl/>
                <w:lang w:bidi="ar-EG"/>
              </w:rPr>
              <w:t>الفعلية</w:t>
            </w:r>
          </w:p>
        </w:tc>
        <w:tc>
          <w:tcPr>
            <w:tcW w:w="992" w:type="dxa"/>
            <w:shd w:val="clear" w:color="auto" w:fill="DCE6F1"/>
            <w:noWrap/>
            <w:vAlign w:val="bottom"/>
            <w:hideMark/>
          </w:tcPr>
          <w:p w:rsidR="005A333C" w:rsidRPr="00824FF0" w:rsidRDefault="005A333C" w:rsidP="001957B8">
            <w:pPr>
              <w:spacing w:before="20" w:after="20" w:line="260" w:lineRule="exact"/>
              <w:jc w:val="center"/>
              <w:rPr>
                <w:b/>
                <w:bCs/>
                <w:color w:val="0000FF"/>
                <w:sz w:val="16"/>
                <w:szCs w:val="22"/>
              </w:rPr>
            </w:pPr>
            <w:r w:rsidRPr="00824FF0">
              <w:rPr>
                <w:b/>
                <w:bCs/>
                <w:color w:val="0000FF"/>
                <w:sz w:val="16"/>
                <w:szCs w:val="22"/>
                <w:rtl/>
                <w:lang w:bidi="ar-EG"/>
              </w:rPr>
              <w:t>ميزانية</w:t>
            </w:r>
          </w:p>
        </w:tc>
        <w:tc>
          <w:tcPr>
            <w:tcW w:w="851" w:type="dxa"/>
            <w:shd w:val="clear" w:color="auto" w:fill="DCE6F1"/>
            <w:noWrap/>
            <w:vAlign w:val="bottom"/>
            <w:hideMark/>
          </w:tcPr>
          <w:p w:rsidR="005A333C" w:rsidRPr="00824FF0" w:rsidRDefault="005A333C" w:rsidP="001957B8">
            <w:pPr>
              <w:spacing w:before="20" w:after="20" w:line="260" w:lineRule="exact"/>
              <w:jc w:val="center"/>
              <w:rPr>
                <w:b/>
                <w:bCs/>
                <w:color w:val="0000FF"/>
                <w:sz w:val="16"/>
                <w:szCs w:val="22"/>
              </w:rPr>
            </w:pPr>
            <w:r w:rsidRPr="00824FF0">
              <w:rPr>
                <w:b/>
                <w:bCs/>
                <w:color w:val="0000FF"/>
                <w:sz w:val="16"/>
                <w:szCs w:val="22"/>
                <w:rtl/>
                <w:lang w:bidi="ar-EG"/>
              </w:rPr>
              <w:t>ميزانية</w:t>
            </w:r>
          </w:p>
        </w:tc>
        <w:tc>
          <w:tcPr>
            <w:tcW w:w="992" w:type="dxa"/>
            <w:shd w:val="clear" w:color="auto" w:fill="DCE6F1"/>
            <w:noWrap/>
            <w:vAlign w:val="bottom"/>
            <w:hideMark/>
          </w:tcPr>
          <w:p w:rsidR="005A333C" w:rsidRPr="00824FF0" w:rsidRDefault="005A333C" w:rsidP="001957B8">
            <w:pPr>
              <w:spacing w:before="20" w:after="20" w:line="260" w:lineRule="exact"/>
              <w:jc w:val="center"/>
              <w:rPr>
                <w:b/>
                <w:bCs/>
                <w:color w:val="0000FF"/>
                <w:sz w:val="16"/>
                <w:szCs w:val="22"/>
              </w:rPr>
            </w:pPr>
            <w:r w:rsidRPr="00824FF0">
              <w:rPr>
                <w:b/>
                <w:bCs/>
                <w:color w:val="0000FF"/>
                <w:sz w:val="16"/>
                <w:szCs w:val="22"/>
                <w:rtl/>
                <w:lang w:bidi="ar-EG"/>
              </w:rPr>
              <w:t>ميزانية</w:t>
            </w:r>
          </w:p>
        </w:tc>
        <w:tc>
          <w:tcPr>
            <w:tcW w:w="851" w:type="dxa"/>
            <w:shd w:val="clear" w:color="auto" w:fill="DCE6F1"/>
            <w:noWrap/>
            <w:vAlign w:val="bottom"/>
            <w:hideMark/>
          </w:tcPr>
          <w:p w:rsidR="005A333C" w:rsidRPr="00824FF0" w:rsidRDefault="005A333C" w:rsidP="001957B8">
            <w:pPr>
              <w:spacing w:before="20" w:after="20" w:line="260" w:lineRule="exact"/>
              <w:jc w:val="center"/>
              <w:rPr>
                <w:b/>
                <w:bCs/>
                <w:color w:val="0000FF"/>
                <w:sz w:val="16"/>
                <w:szCs w:val="22"/>
              </w:rPr>
            </w:pPr>
            <w:r w:rsidRPr="00824FF0">
              <w:rPr>
                <w:b/>
                <w:bCs/>
                <w:color w:val="0000FF"/>
                <w:sz w:val="16"/>
                <w:szCs w:val="22"/>
                <w:rtl/>
                <w:lang w:bidi="ar-EG"/>
              </w:rPr>
              <w:t>التغير</w:t>
            </w:r>
          </w:p>
        </w:tc>
        <w:tc>
          <w:tcPr>
            <w:tcW w:w="1134" w:type="dxa"/>
            <w:shd w:val="clear" w:color="auto" w:fill="DCE6F1"/>
            <w:noWrap/>
            <w:vAlign w:val="bottom"/>
            <w:hideMark/>
          </w:tcPr>
          <w:p w:rsidR="005A333C" w:rsidRPr="00824FF0" w:rsidRDefault="005A333C" w:rsidP="001957B8">
            <w:pPr>
              <w:spacing w:before="20" w:after="20" w:line="260" w:lineRule="exact"/>
              <w:jc w:val="center"/>
              <w:rPr>
                <w:b/>
                <w:bCs/>
                <w:color w:val="0000FF"/>
                <w:spacing w:val="-6"/>
                <w:sz w:val="16"/>
                <w:szCs w:val="22"/>
              </w:rPr>
            </w:pPr>
            <w:r w:rsidRPr="00824FF0">
              <w:rPr>
                <w:b/>
                <w:bCs/>
                <w:color w:val="0000FF"/>
                <w:spacing w:val="-6"/>
                <w:sz w:val="16"/>
                <w:szCs w:val="22"/>
                <w:rtl/>
                <w:lang w:bidi="ar-EG"/>
              </w:rPr>
              <w:t>كنسبة مئوية من</w:t>
            </w:r>
          </w:p>
        </w:tc>
      </w:tr>
      <w:tr w:rsidR="005A333C" w:rsidRPr="00EE4F56" w:rsidTr="001957B8">
        <w:trPr>
          <w:trHeight w:val="240"/>
          <w:jc w:val="center"/>
        </w:trPr>
        <w:tc>
          <w:tcPr>
            <w:tcW w:w="473" w:type="dxa"/>
            <w:shd w:val="clear" w:color="auto" w:fill="DCE6F1"/>
            <w:noWrap/>
            <w:vAlign w:val="center"/>
            <w:hideMark/>
          </w:tcPr>
          <w:p w:rsidR="005A333C" w:rsidRPr="00824FF0" w:rsidRDefault="005A333C" w:rsidP="001957B8">
            <w:pPr>
              <w:spacing w:before="20" w:after="20" w:line="260" w:lineRule="exact"/>
              <w:jc w:val="center"/>
              <w:rPr>
                <w:b/>
                <w:bCs/>
                <w:color w:val="0000FF"/>
                <w:sz w:val="16"/>
                <w:szCs w:val="22"/>
              </w:rPr>
            </w:pPr>
          </w:p>
        </w:tc>
        <w:tc>
          <w:tcPr>
            <w:tcW w:w="2268" w:type="dxa"/>
            <w:shd w:val="clear" w:color="auto" w:fill="DCE6F1"/>
            <w:noWrap/>
            <w:vAlign w:val="center"/>
            <w:hideMark/>
          </w:tcPr>
          <w:p w:rsidR="005A333C" w:rsidRPr="00824FF0" w:rsidRDefault="005A333C" w:rsidP="001957B8">
            <w:pPr>
              <w:spacing w:before="20" w:after="20" w:line="260" w:lineRule="exact"/>
              <w:jc w:val="center"/>
              <w:rPr>
                <w:b/>
                <w:bCs/>
                <w:color w:val="0000FF"/>
                <w:sz w:val="16"/>
                <w:szCs w:val="22"/>
              </w:rPr>
            </w:pPr>
          </w:p>
        </w:tc>
        <w:tc>
          <w:tcPr>
            <w:tcW w:w="992" w:type="dxa"/>
            <w:shd w:val="clear" w:color="auto" w:fill="DCE6F1"/>
            <w:noWrap/>
            <w:vAlign w:val="bottom"/>
            <w:hideMark/>
          </w:tcPr>
          <w:p w:rsidR="005A333C" w:rsidRPr="00824FF0" w:rsidRDefault="005A333C" w:rsidP="001957B8">
            <w:pPr>
              <w:spacing w:before="20" w:after="100" w:afterAutospacing="1" w:line="260" w:lineRule="exact"/>
              <w:jc w:val="center"/>
              <w:rPr>
                <w:b/>
                <w:bCs/>
                <w:color w:val="0000FF"/>
                <w:sz w:val="16"/>
                <w:szCs w:val="22"/>
              </w:rPr>
            </w:pPr>
            <w:r w:rsidRPr="00824FF0">
              <w:rPr>
                <w:b/>
                <w:bCs/>
                <w:color w:val="0000FF"/>
                <w:sz w:val="16"/>
                <w:szCs w:val="22"/>
              </w:rPr>
              <w:t>2016-</w:t>
            </w:r>
          </w:p>
        </w:tc>
        <w:tc>
          <w:tcPr>
            <w:tcW w:w="993" w:type="dxa"/>
            <w:shd w:val="clear" w:color="auto" w:fill="DCE6F1"/>
            <w:noWrap/>
            <w:vAlign w:val="bottom"/>
            <w:hideMark/>
          </w:tcPr>
          <w:p w:rsidR="005A333C" w:rsidRPr="00824FF0" w:rsidRDefault="005A333C" w:rsidP="001957B8">
            <w:pPr>
              <w:spacing w:before="20" w:after="100" w:afterAutospacing="1" w:line="260" w:lineRule="exact"/>
              <w:jc w:val="center"/>
              <w:rPr>
                <w:b/>
                <w:bCs/>
                <w:color w:val="0000FF"/>
                <w:sz w:val="16"/>
                <w:szCs w:val="22"/>
              </w:rPr>
            </w:pPr>
            <w:r w:rsidRPr="00824FF0">
              <w:rPr>
                <w:b/>
                <w:bCs/>
                <w:color w:val="0000FF"/>
                <w:sz w:val="16"/>
                <w:szCs w:val="22"/>
              </w:rPr>
              <w:t>2016-</w:t>
            </w:r>
          </w:p>
        </w:tc>
        <w:tc>
          <w:tcPr>
            <w:tcW w:w="992" w:type="dxa"/>
            <w:shd w:val="clear" w:color="auto" w:fill="DCE6F1"/>
            <w:noWrap/>
            <w:vAlign w:val="bottom"/>
            <w:hideMark/>
          </w:tcPr>
          <w:p w:rsidR="005A333C" w:rsidRPr="00824FF0" w:rsidRDefault="005A333C" w:rsidP="005A333C">
            <w:pPr>
              <w:spacing w:before="20" w:after="100" w:afterAutospacing="1" w:line="260" w:lineRule="exact"/>
              <w:jc w:val="center"/>
              <w:rPr>
                <w:b/>
                <w:bCs/>
                <w:color w:val="0000FF"/>
                <w:sz w:val="16"/>
                <w:szCs w:val="22"/>
              </w:rPr>
            </w:pPr>
            <w:r w:rsidRPr="00824FF0">
              <w:rPr>
                <w:b/>
                <w:bCs/>
                <w:color w:val="0000FF"/>
                <w:sz w:val="16"/>
                <w:szCs w:val="22"/>
              </w:rPr>
              <w:t>2018-</w:t>
            </w:r>
          </w:p>
        </w:tc>
        <w:tc>
          <w:tcPr>
            <w:tcW w:w="850" w:type="dxa"/>
            <w:shd w:val="clear" w:color="auto" w:fill="DCE6F1"/>
            <w:noWrap/>
            <w:vAlign w:val="bottom"/>
            <w:hideMark/>
          </w:tcPr>
          <w:p w:rsidR="005A333C" w:rsidRPr="00824FF0" w:rsidRDefault="005A333C" w:rsidP="001957B8">
            <w:pPr>
              <w:spacing w:before="20" w:after="100" w:afterAutospacing="1" w:line="260" w:lineRule="exact"/>
              <w:jc w:val="center"/>
              <w:rPr>
                <w:b/>
                <w:bCs/>
                <w:color w:val="0000FF"/>
                <w:sz w:val="16"/>
                <w:szCs w:val="22"/>
              </w:rPr>
            </w:pPr>
            <w:r w:rsidRPr="00824FF0">
              <w:rPr>
                <w:b/>
                <w:bCs/>
                <w:color w:val="0000FF"/>
                <w:sz w:val="16"/>
                <w:szCs w:val="22"/>
              </w:rPr>
              <w:t>2018</w:t>
            </w:r>
          </w:p>
        </w:tc>
        <w:tc>
          <w:tcPr>
            <w:tcW w:w="992" w:type="dxa"/>
            <w:shd w:val="clear" w:color="auto" w:fill="DCE6F1"/>
            <w:noWrap/>
            <w:vAlign w:val="bottom"/>
            <w:hideMark/>
          </w:tcPr>
          <w:p w:rsidR="005A333C" w:rsidRPr="00824FF0" w:rsidRDefault="005A333C" w:rsidP="001957B8">
            <w:pPr>
              <w:spacing w:before="20" w:after="100" w:afterAutospacing="1" w:line="260" w:lineRule="exact"/>
              <w:jc w:val="center"/>
              <w:rPr>
                <w:b/>
                <w:bCs/>
                <w:color w:val="0000FF"/>
                <w:sz w:val="16"/>
                <w:szCs w:val="22"/>
              </w:rPr>
            </w:pPr>
            <w:r w:rsidRPr="00824FF0">
              <w:rPr>
                <w:b/>
                <w:bCs/>
                <w:color w:val="0000FF"/>
                <w:sz w:val="16"/>
                <w:szCs w:val="22"/>
              </w:rPr>
              <w:t>2020</w:t>
            </w:r>
          </w:p>
        </w:tc>
        <w:tc>
          <w:tcPr>
            <w:tcW w:w="851" w:type="dxa"/>
            <w:shd w:val="clear" w:color="auto" w:fill="DCE6F1"/>
            <w:noWrap/>
            <w:vAlign w:val="bottom"/>
            <w:hideMark/>
          </w:tcPr>
          <w:p w:rsidR="005A333C" w:rsidRPr="00824FF0" w:rsidRDefault="005A333C" w:rsidP="001957B8">
            <w:pPr>
              <w:spacing w:before="20" w:after="100" w:afterAutospacing="1" w:line="260" w:lineRule="exact"/>
              <w:jc w:val="center"/>
              <w:rPr>
                <w:b/>
                <w:bCs/>
                <w:color w:val="0000FF"/>
                <w:sz w:val="16"/>
                <w:szCs w:val="22"/>
              </w:rPr>
            </w:pPr>
            <w:r w:rsidRPr="00824FF0">
              <w:rPr>
                <w:b/>
                <w:bCs/>
                <w:color w:val="0000FF"/>
                <w:sz w:val="16"/>
                <w:szCs w:val="22"/>
              </w:rPr>
              <w:t>2021</w:t>
            </w:r>
          </w:p>
        </w:tc>
        <w:tc>
          <w:tcPr>
            <w:tcW w:w="992" w:type="dxa"/>
            <w:shd w:val="clear" w:color="auto" w:fill="DCE6F1"/>
            <w:noWrap/>
            <w:vAlign w:val="bottom"/>
            <w:hideMark/>
          </w:tcPr>
          <w:p w:rsidR="005A333C" w:rsidRPr="00824FF0" w:rsidRDefault="005A333C" w:rsidP="001957B8">
            <w:pPr>
              <w:spacing w:before="20" w:after="100" w:afterAutospacing="1" w:line="260" w:lineRule="exact"/>
              <w:jc w:val="center"/>
              <w:rPr>
                <w:b/>
                <w:bCs/>
                <w:color w:val="0000FF"/>
                <w:sz w:val="16"/>
                <w:szCs w:val="22"/>
              </w:rPr>
            </w:pPr>
            <w:r w:rsidRPr="00824FF0">
              <w:rPr>
                <w:b/>
                <w:bCs/>
                <w:color w:val="0000FF"/>
                <w:sz w:val="16"/>
                <w:szCs w:val="22"/>
              </w:rPr>
              <w:t>2020-</w:t>
            </w:r>
          </w:p>
        </w:tc>
        <w:tc>
          <w:tcPr>
            <w:tcW w:w="851" w:type="dxa"/>
            <w:shd w:val="clear" w:color="auto" w:fill="DCE6F1"/>
            <w:noWrap/>
            <w:vAlign w:val="bottom"/>
            <w:hideMark/>
          </w:tcPr>
          <w:p w:rsidR="005A333C" w:rsidRPr="00824FF0" w:rsidRDefault="005A333C" w:rsidP="00B21248">
            <w:pPr>
              <w:spacing w:before="20" w:after="100" w:afterAutospacing="1" w:line="260" w:lineRule="exact"/>
              <w:jc w:val="center"/>
              <w:rPr>
                <w:b/>
                <w:bCs/>
                <w:color w:val="0000FF"/>
                <w:sz w:val="16"/>
                <w:szCs w:val="22"/>
              </w:rPr>
            </w:pPr>
            <w:r w:rsidRPr="00824FF0">
              <w:rPr>
                <w:b/>
                <w:bCs/>
                <w:color w:val="0000FF"/>
                <w:sz w:val="16"/>
                <w:szCs w:val="22"/>
              </w:rPr>
              <w:t>2018-</w:t>
            </w:r>
            <w:r w:rsidR="00B21248" w:rsidRPr="00824FF0">
              <w:rPr>
                <w:b/>
                <w:bCs/>
                <w:color w:val="0000FF"/>
                <w:sz w:val="16"/>
                <w:szCs w:val="22"/>
              </w:rPr>
              <w:t>19</w:t>
            </w:r>
          </w:p>
        </w:tc>
        <w:tc>
          <w:tcPr>
            <w:tcW w:w="1134" w:type="dxa"/>
            <w:shd w:val="clear" w:color="auto" w:fill="DCE6F1"/>
            <w:noWrap/>
            <w:vAlign w:val="bottom"/>
            <w:hideMark/>
          </w:tcPr>
          <w:p w:rsidR="005A333C" w:rsidRPr="00824FF0" w:rsidRDefault="005A333C" w:rsidP="00B21248">
            <w:pPr>
              <w:spacing w:before="20" w:after="100" w:afterAutospacing="1" w:line="260" w:lineRule="exact"/>
              <w:jc w:val="center"/>
              <w:rPr>
                <w:b/>
                <w:bCs/>
                <w:color w:val="0000FF"/>
                <w:sz w:val="16"/>
                <w:szCs w:val="22"/>
              </w:rPr>
            </w:pPr>
            <w:r w:rsidRPr="00824FF0">
              <w:rPr>
                <w:b/>
                <w:bCs/>
                <w:color w:val="0000FF"/>
                <w:sz w:val="16"/>
                <w:szCs w:val="22"/>
              </w:rPr>
              <w:t>20</w:t>
            </w:r>
            <w:r w:rsidR="00B21248" w:rsidRPr="00824FF0">
              <w:rPr>
                <w:b/>
                <w:bCs/>
                <w:color w:val="0000FF"/>
                <w:sz w:val="16"/>
                <w:szCs w:val="22"/>
              </w:rPr>
              <w:t>18</w:t>
            </w:r>
            <w:r w:rsidRPr="00824FF0">
              <w:rPr>
                <w:b/>
                <w:bCs/>
                <w:color w:val="0000FF"/>
                <w:sz w:val="16"/>
                <w:szCs w:val="22"/>
              </w:rPr>
              <w:t>-</w:t>
            </w:r>
          </w:p>
        </w:tc>
      </w:tr>
      <w:tr w:rsidR="005A333C" w:rsidRPr="00EE4F56" w:rsidTr="001957B8">
        <w:trPr>
          <w:trHeight w:val="240"/>
          <w:jc w:val="center"/>
        </w:trPr>
        <w:tc>
          <w:tcPr>
            <w:tcW w:w="473" w:type="dxa"/>
            <w:shd w:val="clear" w:color="auto" w:fill="DCE6F1"/>
            <w:noWrap/>
            <w:vAlign w:val="center"/>
            <w:hideMark/>
          </w:tcPr>
          <w:p w:rsidR="005A333C" w:rsidRPr="00824FF0" w:rsidRDefault="005A333C" w:rsidP="001957B8">
            <w:pPr>
              <w:spacing w:before="20" w:after="20" w:line="260" w:lineRule="exact"/>
              <w:jc w:val="center"/>
              <w:rPr>
                <w:b/>
                <w:bCs/>
                <w:color w:val="0000FF"/>
                <w:sz w:val="16"/>
                <w:szCs w:val="22"/>
              </w:rPr>
            </w:pPr>
          </w:p>
        </w:tc>
        <w:tc>
          <w:tcPr>
            <w:tcW w:w="2268" w:type="dxa"/>
            <w:shd w:val="clear" w:color="auto" w:fill="DCE6F1"/>
            <w:noWrap/>
            <w:vAlign w:val="center"/>
            <w:hideMark/>
          </w:tcPr>
          <w:p w:rsidR="005A333C" w:rsidRPr="00824FF0" w:rsidRDefault="005A333C" w:rsidP="001957B8">
            <w:pPr>
              <w:spacing w:before="20" w:after="20" w:line="260" w:lineRule="exact"/>
              <w:jc w:val="center"/>
              <w:rPr>
                <w:b/>
                <w:bCs/>
                <w:color w:val="0000FF"/>
                <w:sz w:val="16"/>
                <w:szCs w:val="22"/>
              </w:rPr>
            </w:pPr>
          </w:p>
        </w:tc>
        <w:tc>
          <w:tcPr>
            <w:tcW w:w="992" w:type="dxa"/>
            <w:shd w:val="clear" w:color="auto" w:fill="DCE6F1"/>
            <w:noWrap/>
            <w:hideMark/>
          </w:tcPr>
          <w:p w:rsidR="005A333C" w:rsidRPr="00824FF0" w:rsidRDefault="005A333C" w:rsidP="001957B8">
            <w:pPr>
              <w:spacing w:before="100" w:beforeAutospacing="1" w:after="20" w:line="260" w:lineRule="exact"/>
              <w:jc w:val="center"/>
              <w:rPr>
                <w:b/>
                <w:bCs/>
                <w:color w:val="0000FF"/>
                <w:sz w:val="16"/>
                <w:szCs w:val="22"/>
              </w:rPr>
            </w:pPr>
            <w:r w:rsidRPr="00824FF0">
              <w:rPr>
                <w:b/>
                <w:bCs/>
                <w:color w:val="0000FF"/>
                <w:sz w:val="16"/>
                <w:szCs w:val="22"/>
              </w:rPr>
              <w:t>2017</w:t>
            </w:r>
          </w:p>
        </w:tc>
        <w:tc>
          <w:tcPr>
            <w:tcW w:w="993" w:type="dxa"/>
            <w:shd w:val="clear" w:color="auto" w:fill="DCE6F1"/>
            <w:noWrap/>
            <w:hideMark/>
          </w:tcPr>
          <w:p w:rsidR="005A333C" w:rsidRPr="00824FF0" w:rsidRDefault="005A333C" w:rsidP="001957B8">
            <w:pPr>
              <w:spacing w:before="100" w:beforeAutospacing="1" w:after="20" w:line="260" w:lineRule="exact"/>
              <w:jc w:val="center"/>
              <w:rPr>
                <w:b/>
                <w:bCs/>
                <w:color w:val="0000FF"/>
                <w:sz w:val="16"/>
                <w:szCs w:val="22"/>
              </w:rPr>
            </w:pPr>
            <w:r w:rsidRPr="00824FF0">
              <w:rPr>
                <w:b/>
                <w:bCs/>
                <w:color w:val="0000FF"/>
                <w:sz w:val="16"/>
                <w:szCs w:val="22"/>
              </w:rPr>
              <w:t>2017</w:t>
            </w:r>
          </w:p>
        </w:tc>
        <w:tc>
          <w:tcPr>
            <w:tcW w:w="992" w:type="dxa"/>
            <w:shd w:val="clear" w:color="auto" w:fill="DCE6F1"/>
            <w:noWrap/>
            <w:hideMark/>
          </w:tcPr>
          <w:p w:rsidR="005A333C" w:rsidRPr="00824FF0" w:rsidRDefault="005A333C" w:rsidP="005A333C">
            <w:pPr>
              <w:spacing w:before="100" w:beforeAutospacing="1" w:after="20" w:line="260" w:lineRule="exact"/>
              <w:jc w:val="center"/>
              <w:rPr>
                <w:b/>
                <w:bCs/>
                <w:color w:val="0000FF"/>
                <w:sz w:val="16"/>
                <w:szCs w:val="22"/>
              </w:rPr>
            </w:pPr>
            <w:r w:rsidRPr="00824FF0">
              <w:rPr>
                <w:b/>
                <w:bCs/>
                <w:color w:val="0000FF"/>
                <w:sz w:val="16"/>
                <w:szCs w:val="22"/>
              </w:rPr>
              <w:t>2019</w:t>
            </w:r>
          </w:p>
        </w:tc>
        <w:tc>
          <w:tcPr>
            <w:tcW w:w="850" w:type="dxa"/>
            <w:shd w:val="clear" w:color="auto" w:fill="DCE6F1"/>
            <w:noWrap/>
            <w:hideMark/>
          </w:tcPr>
          <w:p w:rsidR="005A333C" w:rsidRPr="00824FF0" w:rsidRDefault="005A333C" w:rsidP="001957B8">
            <w:pPr>
              <w:spacing w:before="100" w:beforeAutospacing="1" w:after="20" w:line="260" w:lineRule="exact"/>
              <w:jc w:val="center"/>
              <w:rPr>
                <w:b/>
                <w:bCs/>
                <w:color w:val="0000FF"/>
                <w:sz w:val="16"/>
                <w:szCs w:val="22"/>
              </w:rPr>
            </w:pPr>
          </w:p>
        </w:tc>
        <w:tc>
          <w:tcPr>
            <w:tcW w:w="992" w:type="dxa"/>
            <w:shd w:val="clear" w:color="auto" w:fill="DCE6F1"/>
            <w:noWrap/>
            <w:hideMark/>
          </w:tcPr>
          <w:p w:rsidR="005A333C" w:rsidRPr="00824FF0" w:rsidRDefault="005A333C" w:rsidP="001957B8">
            <w:pPr>
              <w:spacing w:before="100" w:beforeAutospacing="1" w:after="20" w:line="260" w:lineRule="exact"/>
              <w:jc w:val="center"/>
              <w:rPr>
                <w:b/>
                <w:bCs/>
                <w:color w:val="0000FF"/>
                <w:sz w:val="16"/>
                <w:szCs w:val="22"/>
              </w:rPr>
            </w:pPr>
          </w:p>
        </w:tc>
        <w:tc>
          <w:tcPr>
            <w:tcW w:w="851" w:type="dxa"/>
            <w:shd w:val="clear" w:color="auto" w:fill="DCE6F1"/>
            <w:noWrap/>
            <w:hideMark/>
          </w:tcPr>
          <w:p w:rsidR="005A333C" w:rsidRPr="00824FF0" w:rsidRDefault="005A333C" w:rsidP="001957B8">
            <w:pPr>
              <w:spacing w:before="100" w:beforeAutospacing="1" w:after="20" w:line="260" w:lineRule="exact"/>
              <w:jc w:val="center"/>
              <w:rPr>
                <w:b/>
                <w:bCs/>
                <w:color w:val="0000FF"/>
                <w:sz w:val="16"/>
                <w:szCs w:val="22"/>
              </w:rPr>
            </w:pPr>
          </w:p>
        </w:tc>
        <w:tc>
          <w:tcPr>
            <w:tcW w:w="992" w:type="dxa"/>
            <w:shd w:val="clear" w:color="auto" w:fill="DCE6F1"/>
            <w:noWrap/>
            <w:hideMark/>
          </w:tcPr>
          <w:p w:rsidR="005A333C" w:rsidRPr="00824FF0" w:rsidRDefault="005A333C" w:rsidP="005A333C">
            <w:pPr>
              <w:spacing w:before="100" w:beforeAutospacing="1" w:after="20" w:line="260" w:lineRule="exact"/>
              <w:jc w:val="center"/>
              <w:rPr>
                <w:b/>
                <w:bCs/>
                <w:color w:val="0000FF"/>
                <w:sz w:val="16"/>
                <w:szCs w:val="22"/>
              </w:rPr>
            </w:pPr>
            <w:r w:rsidRPr="00824FF0">
              <w:rPr>
                <w:b/>
                <w:bCs/>
                <w:color w:val="0000FF"/>
                <w:sz w:val="16"/>
                <w:szCs w:val="22"/>
              </w:rPr>
              <w:t>2021</w:t>
            </w:r>
          </w:p>
        </w:tc>
        <w:tc>
          <w:tcPr>
            <w:tcW w:w="851" w:type="dxa"/>
            <w:shd w:val="clear" w:color="auto" w:fill="DCE6F1"/>
            <w:noWrap/>
            <w:hideMark/>
          </w:tcPr>
          <w:p w:rsidR="005A333C" w:rsidRPr="00824FF0" w:rsidRDefault="005A333C" w:rsidP="00B21248">
            <w:pPr>
              <w:spacing w:before="100" w:beforeAutospacing="1" w:after="20" w:line="260" w:lineRule="exact"/>
              <w:jc w:val="center"/>
              <w:rPr>
                <w:b/>
                <w:bCs/>
                <w:color w:val="0000FF"/>
                <w:sz w:val="16"/>
                <w:szCs w:val="22"/>
              </w:rPr>
            </w:pPr>
            <w:r w:rsidRPr="00824FF0">
              <w:rPr>
                <w:b/>
                <w:bCs/>
                <w:color w:val="0000FF"/>
                <w:sz w:val="16"/>
                <w:szCs w:val="22"/>
              </w:rPr>
              <w:t>20</w:t>
            </w:r>
            <w:r w:rsidR="00B21248" w:rsidRPr="00824FF0">
              <w:rPr>
                <w:b/>
                <w:bCs/>
                <w:color w:val="0000FF"/>
                <w:sz w:val="16"/>
                <w:szCs w:val="22"/>
              </w:rPr>
              <w:t>20</w:t>
            </w:r>
            <w:r w:rsidRPr="00824FF0">
              <w:rPr>
                <w:b/>
                <w:bCs/>
                <w:color w:val="0000FF"/>
                <w:sz w:val="16"/>
                <w:szCs w:val="22"/>
              </w:rPr>
              <w:t>-</w:t>
            </w:r>
            <w:r w:rsidR="00B21248" w:rsidRPr="00824FF0">
              <w:rPr>
                <w:b/>
                <w:bCs/>
                <w:color w:val="0000FF"/>
                <w:sz w:val="16"/>
                <w:szCs w:val="22"/>
              </w:rPr>
              <w:t>21</w:t>
            </w:r>
          </w:p>
        </w:tc>
        <w:tc>
          <w:tcPr>
            <w:tcW w:w="1134" w:type="dxa"/>
            <w:shd w:val="clear" w:color="auto" w:fill="DCE6F1"/>
            <w:noWrap/>
            <w:hideMark/>
          </w:tcPr>
          <w:p w:rsidR="005A333C" w:rsidRPr="00824FF0" w:rsidRDefault="005A333C" w:rsidP="00B21248">
            <w:pPr>
              <w:spacing w:before="100" w:beforeAutospacing="1" w:after="20" w:line="260" w:lineRule="exact"/>
              <w:jc w:val="center"/>
              <w:rPr>
                <w:b/>
                <w:bCs/>
                <w:color w:val="0000FF"/>
                <w:sz w:val="16"/>
                <w:szCs w:val="22"/>
              </w:rPr>
            </w:pPr>
            <w:r w:rsidRPr="00824FF0">
              <w:rPr>
                <w:b/>
                <w:bCs/>
                <w:color w:val="0000FF"/>
                <w:sz w:val="16"/>
                <w:szCs w:val="22"/>
              </w:rPr>
              <w:t>20</w:t>
            </w:r>
            <w:r w:rsidR="00B21248" w:rsidRPr="00824FF0">
              <w:rPr>
                <w:b/>
                <w:bCs/>
                <w:color w:val="0000FF"/>
                <w:sz w:val="16"/>
                <w:szCs w:val="22"/>
              </w:rPr>
              <w:t>19</w:t>
            </w:r>
          </w:p>
        </w:tc>
      </w:tr>
      <w:tr w:rsidR="005A333C" w:rsidRPr="00EE4F56" w:rsidTr="001957B8">
        <w:trPr>
          <w:trHeight w:val="240"/>
          <w:jc w:val="center"/>
        </w:trPr>
        <w:tc>
          <w:tcPr>
            <w:tcW w:w="473" w:type="dxa"/>
            <w:tcBorders>
              <w:top w:val="nil"/>
              <w:left w:val="nil"/>
              <w:bottom w:val="single" w:sz="4" w:space="0" w:color="auto"/>
              <w:right w:val="nil"/>
            </w:tcBorders>
            <w:shd w:val="clear" w:color="auto" w:fill="DCE6F1"/>
            <w:noWrap/>
            <w:vAlign w:val="center"/>
            <w:hideMark/>
          </w:tcPr>
          <w:p w:rsidR="005A333C" w:rsidRPr="00824FF0" w:rsidRDefault="005A333C" w:rsidP="001957B8">
            <w:pPr>
              <w:spacing w:before="20" w:after="20" w:line="260" w:lineRule="exact"/>
              <w:jc w:val="center"/>
              <w:rPr>
                <w:b/>
                <w:bCs/>
                <w:color w:val="0000FF"/>
                <w:sz w:val="16"/>
                <w:szCs w:val="22"/>
              </w:rPr>
            </w:pPr>
          </w:p>
        </w:tc>
        <w:tc>
          <w:tcPr>
            <w:tcW w:w="2268" w:type="dxa"/>
            <w:tcBorders>
              <w:top w:val="nil"/>
              <w:left w:val="nil"/>
              <w:bottom w:val="single" w:sz="4" w:space="0" w:color="auto"/>
              <w:right w:val="nil"/>
            </w:tcBorders>
            <w:shd w:val="clear" w:color="auto" w:fill="DCE6F1"/>
            <w:noWrap/>
            <w:vAlign w:val="center"/>
            <w:hideMark/>
          </w:tcPr>
          <w:p w:rsidR="005A333C" w:rsidRPr="00824FF0" w:rsidRDefault="005A333C" w:rsidP="001957B8">
            <w:pPr>
              <w:spacing w:before="20" w:after="20" w:line="260" w:lineRule="exact"/>
              <w:jc w:val="center"/>
              <w:rPr>
                <w:b/>
                <w:bCs/>
                <w:color w:val="0000FF"/>
                <w:sz w:val="16"/>
                <w:szCs w:val="22"/>
              </w:rPr>
            </w:pPr>
          </w:p>
        </w:tc>
        <w:tc>
          <w:tcPr>
            <w:tcW w:w="992" w:type="dxa"/>
            <w:tcBorders>
              <w:top w:val="nil"/>
              <w:left w:val="nil"/>
              <w:bottom w:val="single" w:sz="4" w:space="0" w:color="auto"/>
              <w:right w:val="nil"/>
            </w:tcBorders>
            <w:shd w:val="clear" w:color="auto" w:fill="DCE6F1"/>
            <w:noWrap/>
            <w:vAlign w:val="center"/>
            <w:hideMark/>
          </w:tcPr>
          <w:p w:rsidR="005A333C" w:rsidRPr="00824FF0" w:rsidRDefault="00A95C50" w:rsidP="001957B8">
            <w:pPr>
              <w:spacing w:before="20" w:after="20" w:line="260" w:lineRule="exact"/>
              <w:jc w:val="center"/>
              <w:rPr>
                <w:b/>
                <w:bCs/>
                <w:color w:val="0000FF"/>
                <w:sz w:val="16"/>
                <w:szCs w:val="22"/>
              </w:rPr>
            </w:pPr>
            <w:r>
              <w:rPr>
                <w:b/>
                <w:bCs/>
                <w:color w:val="0000FF"/>
                <w:sz w:val="16"/>
                <w:szCs w:val="22"/>
              </w:rPr>
              <w:t>a</w:t>
            </w:r>
          </w:p>
        </w:tc>
        <w:tc>
          <w:tcPr>
            <w:tcW w:w="993" w:type="dxa"/>
            <w:tcBorders>
              <w:top w:val="nil"/>
              <w:left w:val="nil"/>
              <w:bottom w:val="single" w:sz="4" w:space="0" w:color="auto"/>
              <w:right w:val="nil"/>
            </w:tcBorders>
            <w:shd w:val="clear" w:color="auto" w:fill="DCE6F1"/>
            <w:noWrap/>
            <w:vAlign w:val="center"/>
            <w:hideMark/>
          </w:tcPr>
          <w:p w:rsidR="005A333C" w:rsidRPr="00824FF0" w:rsidRDefault="00A95C50" w:rsidP="001957B8">
            <w:pPr>
              <w:spacing w:before="20" w:after="20" w:line="260" w:lineRule="exact"/>
              <w:jc w:val="center"/>
              <w:rPr>
                <w:b/>
                <w:bCs/>
                <w:color w:val="0000FF"/>
                <w:sz w:val="16"/>
                <w:szCs w:val="22"/>
              </w:rPr>
            </w:pPr>
            <w:r>
              <w:rPr>
                <w:b/>
                <w:bCs/>
                <w:color w:val="0000FF"/>
                <w:sz w:val="16"/>
                <w:szCs w:val="22"/>
              </w:rPr>
              <w:t>b</w:t>
            </w:r>
          </w:p>
        </w:tc>
        <w:tc>
          <w:tcPr>
            <w:tcW w:w="992" w:type="dxa"/>
            <w:tcBorders>
              <w:top w:val="nil"/>
              <w:left w:val="nil"/>
              <w:bottom w:val="single" w:sz="4" w:space="0" w:color="auto"/>
              <w:right w:val="nil"/>
            </w:tcBorders>
            <w:shd w:val="clear" w:color="auto" w:fill="DCE6F1"/>
            <w:noWrap/>
            <w:vAlign w:val="center"/>
            <w:hideMark/>
          </w:tcPr>
          <w:p w:rsidR="005A333C" w:rsidRPr="00824FF0" w:rsidRDefault="00A95C50" w:rsidP="001957B8">
            <w:pPr>
              <w:spacing w:before="20" w:after="20" w:line="260" w:lineRule="exact"/>
              <w:jc w:val="center"/>
              <w:rPr>
                <w:b/>
                <w:bCs/>
                <w:color w:val="0000FF"/>
                <w:sz w:val="16"/>
                <w:szCs w:val="22"/>
              </w:rPr>
            </w:pPr>
            <w:r>
              <w:rPr>
                <w:b/>
                <w:bCs/>
                <w:color w:val="0000FF"/>
                <w:sz w:val="16"/>
                <w:szCs w:val="22"/>
              </w:rPr>
              <w:t>c</w:t>
            </w:r>
          </w:p>
        </w:tc>
        <w:tc>
          <w:tcPr>
            <w:tcW w:w="850" w:type="dxa"/>
            <w:tcBorders>
              <w:top w:val="nil"/>
              <w:left w:val="nil"/>
              <w:bottom w:val="single" w:sz="4" w:space="0" w:color="auto"/>
              <w:right w:val="nil"/>
            </w:tcBorders>
            <w:shd w:val="clear" w:color="auto" w:fill="DCE6F1"/>
            <w:noWrap/>
            <w:vAlign w:val="center"/>
            <w:hideMark/>
          </w:tcPr>
          <w:p w:rsidR="005A333C" w:rsidRPr="00824FF0" w:rsidRDefault="00A95C50" w:rsidP="001957B8">
            <w:pPr>
              <w:spacing w:before="20" w:after="20" w:line="260" w:lineRule="exact"/>
              <w:jc w:val="center"/>
              <w:rPr>
                <w:b/>
                <w:bCs/>
                <w:color w:val="0000FF"/>
                <w:sz w:val="16"/>
                <w:szCs w:val="22"/>
              </w:rPr>
            </w:pPr>
            <w:r>
              <w:rPr>
                <w:b/>
                <w:bCs/>
                <w:color w:val="0000FF"/>
                <w:sz w:val="16"/>
                <w:szCs w:val="22"/>
              </w:rPr>
              <w:t>d</w:t>
            </w:r>
          </w:p>
        </w:tc>
        <w:tc>
          <w:tcPr>
            <w:tcW w:w="992" w:type="dxa"/>
            <w:tcBorders>
              <w:top w:val="nil"/>
              <w:left w:val="nil"/>
              <w:bottom w:val="single" w:sz="4" w:space="0" w:color="auto"/>
              <w:right w:val="nil"/>
            </w:tcBorders>
            <w:shd w:val="clear" w:color="auto" w:fill="DCE6F1"/>
            <w:noWrap/>
            <w:vAlign w:val="center"/>
            <w:hideMark/>
          </w:tcPr>
          <w:p w:rsidR="005A333C" w:rsidRPr="00824FF0" w:rsidRDefault="00A95C50" w:rsidP="001957B8">
            <w:pPr>
              <w:spacing w:before="20" w:after="20" w:line="260" w:lineRule="exact"/>
              <w:jc w:val="center"/>
              <w:rPr>
                <w:b/>
                <w:bCs/>
                <w:color w:val="0000FF"/>
                <w:sz w:val="16"/>
                <w:szCs w:val="22"/>
              </w:rPr>
            </w:pPr>
            <w:r>
              <w:rPr>
                <w:b/>
                <w:bCs/>
                <w:color w:val="0000FF"/>
                <w:sz w:val="16"/>
                <w:szCs w:val="22"/>
              </w:rPr>
              <w:t>e</w:t>
            </w:r>
          </w:p>
        </w:tc>
        <w:tc>
          <w:tcPr>
            <w:tcW w:w="851" w:type="dxa"/>
            <w:tcBorders>
              <w:top w:val="nil"/>
              <w:left w:val="nil"/>
              <w:bottom w:val="single" w:sz="4" w:space="0" w:color="auto"/>
              <w:right w:val="nil"/>
            </w:tcBorders>
            <w:shd w:val="clear" w:color="auto" w:fill="DCE6F1"/>
            <w:noWrap/>
            <w:vAlign w:val="center"/>
            <w:hideMark/>
          </w:tcPr>
          <w:p w:rsidR="005A333C" w:rsidRPr="00824FF0" w:rsidRDefault="00A95C50" w:rsidP="001957B8">
            <w:pPr>
              <w:spacing w:before="20" w:after="20" w:line="260" w:lineRule="exact"/>
              <w:jc w:val="center"/>
              <w:rPr>
                <w:b/>
                <w:bCs/>
                <w:color w:val="0000FF"/>
                <w:sz w:val="16"/>
                <w:szCs w:val="22"/>
              </w:rPr>
            </w:pPr>
            <w:r>
              <w:rPr>
                <w:b/>
                <w:bCs/>
                <w:color w:val="0000FF"/>
                <w:sz w:val="16"/>
                <w:szCs w:val="22"/>
              </w:rPr>
              <w:t>f</w:t>
            </w:r>
          </w:p>
        </w:tc>
        <w:tc>
          <w:tcPr>
            <w:tcW w:w="992" w:type="dxa"/>
            <w:tcBorders>
              <w:top w:val="nil"/>
              <w:left w:val="nil"/>
              <w:bottom w:val="single" w:sz="4" w:space="0" w:color="auto"/>
              <w:right w:val="nil"/>
            </w:tcBorders>
            <w:shd w:val="clear" w:color="auto" w:fill="DCE6F1"/>
            <w:noWrap/>
            <w:vAlign w:val="center"/>
            <w:hideMark/>
          </w:tcPr>
          <w:p w:rsidR="005A333C" w:rsidRPr="00824FF0" w:rsidRDefault="00A95C50" w:rsidP="001957B8">
            <w:pPr>
              <w:spacing w:before="20" w:after="20" w:line="260" w:lineRule="exact"/>
              <w:jc w:val="center"/>
              <w:rPr>
                <w:b/>
                <w:bCs/>
                <w:color w:val="0000FF"/>
                <w:sz w:val="16"/>
                <w:szCs w:val="22"/>
              </w:rPr>
            </w:pPr>
            <w:r>
              <w:rPr>
                <w:b/>
                <w:bCs/>
                <w:color w:val="0000FF"/>
                <w:sz w:val="16"/>
                <w:szCs w:val="22"/>
              </w:rPr>
              <w:t>g</w:t>
            </w:r>
          </w:p>
        </w:tc>
        <w:tc>
          <w:tcPr>
            <w:tcW w:w="851" w:type="dxa"/>
            <w:tcBorders>
              <w:top w:val="nil"/>
              <w:left w:val="nil"/>
              <w:bottom w:val="single" w:sz="4" w:space="0" w:color="auto"/>
              <w:right w:val="nil"/>
            </w:tcBorders>
            <w:shd w:val="clear" w:color="auto" w:fill="DCE6F1"/>
            <w:noWrap/>
            <w:vAlign w:val="center"/>
            <w:hideMark/>
          </w:tcPr>
          <w:p w:rsidR="005A333C" w:rsidRPr="00824FF0" w:rsidRDefault="00A95C50" w:rsidP="001957B8">
            <w:pPr>
              <w:spacing w:before="20" w:after="20" w:line="260" w:lineRule="exact"/>
              <w:jc w:val="center"/>
              <w:rPr>
                <w:b/>
                <w:bCs/>
                <w:color w:val="0000FF"/>
                <w:spacing w:val="-6"/>
                <w:sz w:val="16"/>
                <w:szCs w:val="22"/>
              </w:rPr>
            </w:pPr>
            <w:r>
              <w:rPr>
                <w:b/>
                <w:bCs/>
                <w:color w:val="0000FF"/>
                <w:spacing w:val="-6"/>
                <w:sz w:val="16"/>
                <w:szCs w:val="22"/>
              </w:rPr>
              <w:t>h=g-c</w:t>
            </w:r>
          </w:p>
        </w:tc>
        <w:tc>
          <w:tcPr>
            <w:tcW w:w="1134" w:type="dxa"/>
            <w:tcBorders>
              <w:top w:val="nil"/>
              <w:left w:val="nil"/>
              <w:bottom w:val="single" w:sz="4" w:space="0" w:color="auto"/>
              <w:right w:val="nil"/>
            </w:tcBorders>
            <w:shd w:val="clear" w:color="auto" w:fill="DCE6F1"/>
            <w:noWrap/>
            <w:vAlign w:val="center"/>
            <w:hideMark/>
          </w:tcPr>
          <w:p w:rsidR="005A333C" w:rsidRPr="00824FF0" w:rsidRDefault="00A95C50" w:rsidP="001957B8">
            <w:pPr>
              <w:spacing w:before="20" w:after="20" w:line="260" w:lineRule="exact"/>
              <w:jc w:val="center"/>
              <w:rPr>
                <w:b/>
                <w:bCs/>
                <w:color w:val="0000FF"/>
                <w:sz w:val="16"/>
                <w:szCs w:val="22"/>
              </w:rPr>
            </w:pPr>
            <w:proofErr w:type="spellStart"/>
            <w:r>
              <w:rPr>
                <w:b/>
                <w:bCs/>
                <w:color w:val="0000FF"/>
                <w:sz w:val="16"/>
                <w:szCs w:val="22"/>
              </w:rPr>
              <w:t>i</w:t>
            </w:r>
            <w:proofErr w:type="spellEnd"/>
            <w:r>
              <w:rPr>
                <w:b/>
                <w:bCs/>
                <w:color w:val="0000FF"/>
                <w:sz w:val="16"/>
                <w:szCs w:val="22"/>
              </w:rPr>
              <w:t>=h/c</w:t>
            </w:r>
          </w:p>
        </w:tc>
      </w:tr>
      <w:tr w:rsidR="005A333C" w:rsidRPr="00EE4F56" w:rsidTr="001957B8">
        <w:trPr>
          <w:trHeight w:val="315"/>
          <w:jc w:val="center"/>
        </w:trPr>
        <w:tc>
          <w:tcPr>
            <w:tcW w:w="473" w:type="dxa"/>
            <w:noWrap/>
            <w:hideMark/>
          </w:tcPr>
          <w:p w:rsidR="005A333C" w:rsidRPr="00EE4F56" w:rsidRDefault="005A333C" w:rsidP="001957B8">
            <w:pPr>
              <w:spacing w:before="20" w:after="20" w:line="260" w:lineRule="exact"/>
              <w:jc w:val="left"/>
              <w:rPr>
                <w:sz w:val="16"/>
                <w:szCs w:val="22"/>
              </w:rPr>
            </w:pPr>
            <w:r>
              <w:rPr>
                <w:sz w:val="16"/>
                <w:szCs w:val="22"/>
              </w:rPr>
              <w:t>2-1</w:t>
            </w:r>
          </w:p>
        </w:tc>
        <w:tc>
          <w:tcPr>
            <w:tcW w:w="2268" w:type="dxa"/>
            <w:noWrap/>
            <w:hideMark/>
          </w:tcPr>
          <w:p w:rsidR="005A333C" w:rsidRPr="00EE4F56" w:rsidRDefault="005A333C" w:rsidP="005A333C">
            <w:pPr>
              <w:spacing w:before="20" w:after="20" w:line="260" w:lineRule="exact"/>
              <w:jc w:val="left"/>
              <w:rPr>
                <w:sz w:val="16"/>
                <w:szCs w:val="22"/>
              </w:rPr>
            </w:pPr>
            <w:r w:rsidRPr="00EE4F56">
              <w:rPr>
                <w:sz w:val="16"/>
                <w:szCs w:val="22"/>
                <w:rtl/>
                <w:lang w:bidi="ar-EG"/>
              </w:rPr>
              <w:t>التكاليف الخاصة بالموظفين</w:t>
            </w:r>
            <w:r>
              <w:rPr>
                <w:sz w:val="16"/>
                <w:szCs w:val="22"/>
                <w:rtl/>
                <w:lang w:bidi="ar-EG"/>
              </w:rPr>
              <w:br/>
            </w:r>
            <w:r>
              <w:rPr>
                <w:rFonts w:hint="cs"/>
                <w:sz w:val="16"/>
                <w:szCs w:val="22"/>
                <w:rtl/>
                <w:lang w:bidi="ar-EG"/>
              </w:rPr>
              <w:t>و</w:t>
            </w:r>
            <w:r w:rsidRPr="00EE4F56">
              <w:rPr>
                <w:sz w:val="16"/>
                <w:szCs w:val="22"/>
                <w:rtl/>
                <w:lang w:bidi="ar-EG"/>
              </w:rPr>
              <w:t>التكاليف الأخرى الخاصة بالموظفين</w:t>
            </w:r>
          </w:p>
        </w:tc>
        <w:tc>
          <w:tcPr>
            <w:tcW w:w="992" w:type="dxa"/>
            <w:noWrap/>
            <w:hideMark/>
          </w:tcPr>
          <w:p w:rsidR="005A333C" w:rsidRPr="00EE4F56" w:rsidRDefault="005A333C" w:rsidP="005A333C">
            <w:pPr>
              <w:spacing w:before="20" w:after="20" w:line="260" w:lineRule="exact"/>
              <w:jc w:val="left"/>
              <w:rPr>
                <w:sz w:val="16"/>
                <w:szCs w:val="22"/>
                <w:rtl/>
                <w:lang w:bidi="ar-EG"/>
              </w:rPr>
            </w:pPr>
            <w:r>
              <w:rPr>
                <w:sz w:val="16"/>
                <w:szCs w:val="22"/>
              </w:rPr>
              <w:t>7 316</w:t>
            </w:r>
          </w:p>
        </w:tc>
        <w:tc>
          <w:tcPr>
            <w:tcW w:w="993" w:type="dxa"/>
            <w:noWrap/>
            <w:hideMark/>
          </w:tcPr>
          <w:p w:rsidR="005A333C" w:rsidRPr="00EE4F56" w:rsidRDefault="005A333C" w:rsidP="001957B8">
            <w:pPr>
              <w:spacing w:before="20" w:after="20" w:line="260" w:lineRule="exact"/>
              <w:jc w:val="left"/>
              <w:rPr>
                <w:sz w:val="16"/>
                <w:szCs w:val="22"/>
              </w:rPr>
            </w:pPr>
            <w:r>
              <w:rPr>
                <w:sz w:val="16"/>
                <w:szCs w:val="22"/>
              </w:rPr>
              <w:t>5 995</w:t>
            </w:r>
          </w:p>
        </w:tc>
        <w:tc>
          <w:tcPr>
            <w:tcW w:w="992" w:type="dxa"/>
            <w:noWrap/>
            <w:hideMark/>
          </w:tcPr>
          <w:p w:rsidR="005A333C" w:rsidRPr="00EE4F56" w:rsidRDefault="005A333C" w:rsidP="001957B8">
            <w:pPr>
              <w:spacing w:before="20" w:after="20" w:line="260" w:lineRule="exact"/>
              <w:jc w:val="left"/>
              <w:rPr>
                <w:sz w:val="16"/>
                <w:szCs w:val="22"/>
              </w:rPr>
            </w:pPr>
            <w:r>
              <w:rPr>
                <w:sz w:val="16"/>
                <w:szCs w:val="22"/>
              </w:rPr>
              <w:t>7 756</w:t>
            </w:r>
          </w:p>
        </w:tc>
        <w:tc>
          <w:tcPr>
            <w:tcW w:w="850" w:type="dxa"/>
            <w:noWrap/>
            <w:hideMark/>
          </w:tcPr>
          <w:p w:rsidR="005A333C" w:rsidRPr="00EE4F56" w:rsidRDefault="005A333C" w:rsidP="001957B8">
            <w:pPr>
              <w:spacing w:before="20" w:after="20" w:line="260" w:lineRule="exact"/>
              <w:jc w:val="left"/>
              <w:rPr>
                <w:sz w:val="16"/>
                <w:szCs w:val="22"/>
              </w:rPr>
            </w:pPr>
            <w:r>
              <w:rPr>
                <w:sz w:val="16"/>
                <w:szCs w:val="22"/>
              </w:rPr>
              <w:t>2 589</w:t>
            </w:r>
          </w:p>
        </w:tc>
        <w:tc>
          <w:tcPr>
            <w:tcW w:w="992" w:type="dxa"/>
            <w:noWrap/>
            <w:hideMark/>
          </w:tcPr>
          <w:p w:rsidR="005A333C" w:rsidRPr="00EE4F56" w:rsidRDefault="005A333C" w:rsidP="001957B8">
            <w:pPr>
              <w:spacing w:before="20" w:after="20" w:line="260" w:lineRule="exact"/>
              <w:jc w:val="left"/>
              <w:rPr>
                <w:sz w:val="16"/>
                <w:szCs w:val="22"/>
              </w:rPr>
            </w:pPr>
            <w:r>
              <w:rPr>
                <w:sz w:val="16"/>
                <w:szCs w:val="22"/>
              </w:rPr>
              <w:t>3 490</w:t>
            </w:r>
          </w:p>
        </w:tc>
        <w:tc>
          <w:tcPr>
            <w:tcW w:w="851" w:type="dxa"/>
            <w:noWrap/>
            <w:hideMark/>
          </w:tcPr>
          <w:p w:rsidR="005A333C" w:rsidRPr="00EE4F56" w:rsidRDefault="005A333C" w:rsidP="001957B8">
            <w:pPr>
              <w:spacing w:before="20" w:after="20" w:line="260" w:lineRule="exact"/>
              <w:jc w:val="left"/>
              <w:rPr>
                <w:sz w:val="16"/>
                <w:szCs w:val="22"/>
              </w:rPr>
            </w:pPr>
            <w:r>
              <w:rPr>
                <w:sz w:val="16"/>
                <w:szCs w:val="22"/>
              </w:rPr>
              <w:t>3 490</w:t>
            </w:r>
          </w:p>
        </w:tc>
        <w:tc>
          <w:tcPr>
            <w:tcW w:w="992" w:type="dxa"/>
            <w:noWrap/>
            <w:hideMark/>
          </w:tcPr>
          <w:p w:rsidR="005A333C" w:rsidRPr="00EE4F56" w:rsidRDefault="005A333C" w:rsidP="001957B8">
            <w:pPr>
              <w:spacing w:before="20" w:after="20" w:line="260" w:lineRule="exact"/>
              <w:jc w:val="left"/>
              <w:rPr>
                <w:sz w:val="16"/>
                <w:szCs w:val="22"/>
              </w:rPr>
            </w:pPr>
            <w:r>
              <w:rPr>
                <w:sz w:val="16"/>
                <w:szCs w:val="22"/>
              </w:rPr>
              <w:t>6 980</w:t>
            </w:r>
          </w:p>
        </w:tc>
        <w:tc>
          <w:tcPr>
            <w:tcW w:w="851" w:type="dxa"/>
            <w:noWrap/>
            <w:hideMark/>
          </w:tcPr>
          <w:p w:rsidR="005A333C" w:rsidRPr="00EE4F56" w:rsidRDefault="005A333C" w:rsidP="001957B8">
            <w:pPr>
              <w:spacing w:before="20" w:after="20" w:line="260" w:lineRule="exact"/>
              <w:jc w:val="left"/>
              <w:rPr>
                <w:sz w:val="16"/>
                <w:szCs w:val="22"/>
              </w:rPr>
            </w:pPr>
            <w:r>
              <w:rPr>
                <w:sz w:val="16"/>
                <w:szCs w:val="22"/>
              </w:rPr>
              <w:t>776-</w:t>
            </w:r>
          </w:p>
        </w:tc>
        <w:tc>
          <w:tcPr>
            <w:tcW w:w="1134" w:type="dxa"/>
            <w:noWrap/>
            <w:hideMark/>
          </w:tcPr>
          <w:p w:rsidR="005A333C" w:rsidRPr="00EE4F56" w:rsidRDefault="005A333C" w:rsidP="005A333C">
            <w:pPr>
              <w:spacing w:before="20" w:after="20" w:line="260" w:lineRule="exact"/>
              <w:jc w:val="left"/>
              <w:rPr>
                <w:sz w:val="16"/>
                <w:szCs w:val="22"/>
              </w:rPr>
            </w:pPr>
            <w:r w:rsidRPr="00EE4F56">
              <w:rPr>
                <w:sz w:val="16"/>
                <w:szCs w:val="22"/>
              </w:rPr>
              <w:t>%</w:t>
            </w:r>
            <w:r>
              <w:rPr>
                <w:sz w:val="16"/>
                <w:szCs w:val="22"/>
              </w:rPr>
              <w:t>10-</w:t>
            </w:r>
          </w:p>
        </w:tc>
      </w:tr>
      <w:tr w:rsidR="005A333C" w:rsidRPr="00EE4F56" w:rsidTr="001957B8">
        <w:trPr>
          <w:trHeight w:val="315"/>
          <w:jc w:val="center"/>
        </w:trPr>
        <w:tc>
          <w:tcPr>
            <w:tcW w:w="473" w:type="dxa"/>
            <w:noWrap/>
            <w:hideMark/>
          </w:tcPr>
          <w:p w:rsidR="005A333C" w:rsidRPr="00EE4F56" w:rsidRDefault="005A333C" w:rsidP="001957B8">
            <w:pPr>
              <w:spacing w:before="20" w:after="20" w:line="260" w:lineRule="exact"/>
              <w:jc w:val="left"/>
              <w:rPr>
                <w:sz w:val="16"/>
                <w:szCs w:val="22"/>
              </w:rPr>
            </w:pPr>
            <w:r w:rsidRPr="00EE4F56">
              <w:rPr>
                <w:sz w:val="16"/>
                <w:szCs w:val="22"/>
              </w:rPr>
              <w:t>3</w:t>
            </w:r>
          </w:p>
        </w:tc>
        <w:tc>
          <w:tcPr>
            <w:tcW w:w="2268" w:type="dxa"/>
            <w:noWrap/>
            <w:hideMark/>
          </w:tcPr>
          <w:p w:rsidR="005A333C" w:rsidRPr="00EE4F56" w:rsidRDefault="005A333C" w:rsidP="001957B8">
            <w:pPr>
              <w:spacing w:before="20" w:after="20" w:line="260" w:lineRule="exact"/>
              <w:jc w:val="left"/>
              <w:rPr>
                <w:sz w:val="16"/>
                <w:szCs w:val="22"/>
              </w:rPr>
            </w:pPr>
            <w:r w:rsidRPr="00EE4F56">
              <w:rPr>
                <w:sz w:val="16"/>
                <w:szCs w:val="22"/>
                <w:rtl/>
                <w:lang w:bidi="ar-EG"/>
              </w:rPr>
              <w:t>السفر في مهام رسمية</w:t>
            </w:r>
          </w:p>
        </w:tc>
        <w:tc>
          <w:tcPr>
            <w:tcW w:w="992" w:type="dxa"/>
            <w:noWrap/>
            <w:hideMark/>
          </w:tcPr>
          <w:p w:rsidR="005A333C" w:rsidRPr="00EE4F56" w:rsidRDefault="005A333C" w:rsidP="001957B8">
            <w:pPr>
              <w:spacing w:before="20" w:after="20" w:line="260" w:lineRule="exact"/>
              <w:jc w:val="left"/>
              <w:rPr>
                <w:sz w:val="16"/>
                <w:szCs w:val="22"/>
              </w:rPr>
            </w:pPr>
            <w:r w:rsidRPr="00EE4F56">
              <w:rPr>
                <w:sz w:val="16"/>
                <w:szCs w:val="22"/>
              </w:rPr>
              <w:t>50</w:t>
            </w:r>
          </w:p>
        </w:tc>
        <w:tc>
          <w:tcPr>
            <w:tcW w:w="993" w:type="dxa"/>
            <w:noWrap/>
            <w:hideMark/>
          </w:tcPr>
          <w:p w:rsidR="005A333C" w:rsidRPr="00EE4F56" w:rsidRDefault="00B21248" w:rsidP="001957B8">
            <w:pPr>
              <w:spacing w:before="20" w:after="20" w:line="260" w:lineRule="exact"/>
              <w:jc w:val="left"/>
              <w:rPr>
                <w:sz w:val="16"/>
                <w:szCs w:val="22"/>
              </w:rPr>
            </w:pPr>
            <w:r>
              <w:rPr>
                <w:sz w:val="16"/>
                <w:szCs w:val="22"/>
              </w:rPr>
              <w:t>5</w:t>
            </w:r>
          </w:p>
        </w:tc>
        <w:tc>
          <w:tcPr>
            <w:tcW w:w="992" w:type="dxa"/>
            <w:noWrap/>
            <w:hideMark/>
          </w:tcPr>
          <w:p w:rsidR="005A333C" w:rsidRPr="00EE4F56" w:rsidRDefault="005A333C" w:rsidP="001957B8">
            <w:pPr>
              <w:spacing w:before="20" w:after="20" w:line="260" w:lineRule="exact"/>
              <w:jc w:val="left"/>
              <w:rPr>
                <w:sz w:val="16"/>
                <w:szCs w:val="22"/>
              </w:rPr>
            </w:pPr>
            <w:r w:rsidRPr="00EE4F56">
              <w:rPr>
                <w:sz w:val="16"/>
                <w:szCs w:val="22"/>
              </w:rPr>
              <w:t>50</w:t>
            </w:r>
          </w:p>
        </w:tc>
        <w:tc>
          <w:tcPr>
            <w:tcW w:w="850" w:type="dxa"/>
            <w:noWrap/>
            <w:hideMark/>
          </w:tcPr>
          <w:p w:rsidR="005A333C" w:rsidRPr="00EE4F56" w:rsidRDefault="00B21248" w:rsidP="001957B8">
            <w:pPr>
              <w:spacing w:before="20" w:after="20" w:line="260" w:lineRule="exact"/>
              <w:jc w:val="left"/>
              <w:rPr>
                <w:sz w:val="16"/>
                <w:szCs w:val="22"/>
              </w:rPr>
            </w:pPr>
            <w:r>
              <w:rPr>
                <w:sz w:val="16"/>
                <w:szCs w:val="22"/>
              </w:rPr>
              <w:t>5</w:t>
            </w:r>
          </w:p>
        </w:tc>
        <w:tc>
          <w:tcPr>
            <w:tcW w:w="992" w:type="dxa"/>
            <w:noWrap/>
            <w:hideMark/>
          </w:tcPr>
          <w:p w:rsidR="005A333C" w:rsidRPr="00EE4F56" w:rsidRDefault="00B21248" w:rsidP="001957B8">
            <w:pPr>
              <w:spacing w:before="20" w:after="20" w:line="260" w:lineRule="exact"/>
              <w:jc w:val="left"/>
              <w:rPr>
                <w:sz w:val="16"/>
                <w:szCs w:val="22"/>
              </w:rPr>
            </w:pPr>
            <w:r>
              <w:rPr>
                <w:sz w:val="16"/>
                <w:szCs w:val="22"/>
              </w:rPr>
              <w:t>15</w:t>
            </w:r>
          </w:p>
        </w:tc>
        <w:tc>
          <w:tcPr>
            <w:tcW w:w="851" w:type="dxa"/>
            <w:noWrap/>
            <w:hideMark/>
          </w:tcPr>
          <w:p w:rsidR="005A333C" w:rsidRPr="00EE4F56" w:rsidRDefault="00B21248" w:rsidP="001957B8">
            <w:pPr>
              <w:spacing w:before="20" w:after="20" w:line="260" w:lineRule="exact"/>
              <w:jc w:val="left"/>
              <w:rPr>
                <w:sz w:val="16"/>
                <w:szCs w:val="22"/>
              </w:rPr>
            </w:pPr>
            <w:r>
              <w:rPr>
                <w:sz w:val="16"/>
                <w:szCs w:val="22"/>
              </w:rPr>
              <w:t>15</w:t>
            </w:r>
          </w:p>
        </w:tc>
        <w:tc>
          <w:tcPr>
            <w:tcW w:w="992" w:type="dxa"/>
            <w:noWrap/>
            <w:hideMark/>
          </w:tcPr>
          <w:p w:rsidR="005A333C" w:rsidRPr="00EE4F56" w:rsidRDefault="00B21248" w:rsidP="001957B8">
            <w:pPr>
              <w:spacing w:before="20" w:after="20" w:line="260" w:lineRule="exact"/>
              <w:jc w:val="left"/>
              <w:rPr>
                <w:sz w:val="16"/>
                <w:szCs w:val="22"/>
              </w:rPr>
            </w:pPr>
            <w:r>
              <w:rPr>
                <w:sz w:val="16"/>
                <w:szCs w:val="22"/>
              </w:rPr>
              <w:t>30</w:t>
            </w:r>
          </w:p>
        </w:tc>
        <w:tc>
          <w:tcPr>
            <w:tcW w:w="851" w:type="dxa"/>
            <w:noWrap/>
            <w:hideMark/>
          </w:tcPr>
          <w:p w:rsidR="005A333C" w:rsidRPr="00EE4F56" w:rsidRDefault="00B21248" w:rsidP="001957B8">
            <w:pPr>
              <w:spacing w:before="20" w:after="20" w:line="260" w:lineRule="exact"/>
              <w:jc w:val="left"/>
              <w:rPr>
                <w:sz w:val="16"/>
                <w:szCs w:val="22"/>
              </w:rPr>
            </w:pPr>
            <w:r>
              <w:rPr>
                <w:sz w:val="16"/>
                <w:szCs w:val="22"/>
              </w:rPr>
              <w:t>20-</w:t>
            </w:r>
          </w:p>
        </w:tc>
        <w:tc>
          <w:tcPr>
            <w:tcW w:w="1134" w:type="dxa"/>
            <w:noWrap/>
            <w:hideMark/>
          </w:tcPr>
          <w:p w:rsidR="005A333C" w:rsidRPr="00EE4F56" w:rsidRDefault="005A333C" w:rsidP="00B21248">
            <w:pPr>
              <w:spacing w:before="20" w:after="20" w:line="260" w:lineRule="exact"/>
              <w:jc w:val="left"/>
              <w:rPr>
                <w:sz w:val="16"/>
                <w:szCs w:val="22"/>
              </w:rPr>
            </w:pPr>
            <w:r w:rsidRPr="00EE4F56">
              <w:rPr>
                <w:sz w:val="16"/>
                <w:szCs w:val="22"/>
              </w:rPr>
              <w:t>%</w:t>
            </w:r>
            <w:r w:rsidR="00B21248">
              <w:rPr>
                <w:sz w:val="16"/>
                <w:szCs w:val="22"/>
              </w:rPr>
              <w:t>40-</w:t>
            </w:r>
          </w:p>
        </w:tc>
      </w:tr>
      <w:tr w:rsidR="005A333C" w:rsidRPr="00EE4F56" w:rsidTr="001957B8">
        <w:trPr>
          <w:trHeight w:val="315"/>
          <w:jc w:val="center"/>
        </w:trPr>
        <w:tc>
          <w:tcPr>
            <w:tcW w:w="473" w:type="dxa"/>
            <w:noWrap/>
            <w:hideMark/>
          </w:tcPr>
          <w:p w:rsidR="005A333C" w:rsidRPr="00EE4F56" w:rsidRDefault="005A333C" w:rsidP="001957B8">
            <w:pPr>
              <w:spacing w:before="20" w:after="20" w:line="260" w:lineRule="exact"/>
              <w:jc w:val="left"/>
              <w:rPr>
                <w:sz w:val="16"/>
                <w:szCs w:val="22"/>
              </w:rPr>
            </w:pPr>
            <w:r w:rsidRPr="00EE4F56">
              <w:rPr>
                <w:sz w:val="16"/>
                <w:szCs w:val="22"/>
              </w:rPr>
              <w:t>4</w:t>
            </w:r>
          </w:p>
        </w:tc>
        <w:tc>
          <w:tcPr>
            <w:tcW w:w="2268" w:type="dxa"/>
            <w:noWrap/>
            <w:hideMark/>
          </w:tcPr>
          <w:p w:rsidR="005A333C" w:rsidRPr="00EE4F56" w:rsidRDefault="005A333C" w:rsidP="001957B8">
            <w:pPr>
              <w:spacing w:before="20" w:after="20" w:line="260" w:lineRule="exact"/>
              <w:jc w:val="left"/>
              <w:rPr>
                <w:sz w:val="16"/>
                <w:szCs w:val="22"/>
              </w:rPr>
            </w:pPr>
            <w:r w:rsidRPr="00EE4F56">
              <w:rPr>
                <w:sz w:val="16"/>
                <w:szCs w:val="22"/>
                <w:rtl/>
                <w:lang w:bidi="ar-EG"/>
              </w:rPr>
              <w:t>الخدمات التعاقدية</w:t>
            </w:r>
          </w:p>
        </w:tc>
        <w:tc>
          <w:tcPr>
            <w:tcW w:w="992" w:type="dxa"/>
            <w:noWrap/>
            <w:hideMark/>
          </w:tcPr>
          <w:p w:rsidR="005A333C" w:rsidRPr="00EE4F56" w:rsidRDefault="00B21248" w:rsidP="001957B8">
            <w:pPr>
              <w:spacing w:before="20" w:after="20" w:line="260" w:lineRule="exact"/>
              <w:jc w:val="left"/>
              <w:rPr>
                <w:sz w:val="16"/>
                <w:szCs w:val="22"/>
              </w:rPr>
            </w:pPr>
            <w:r>
              <w:rPr>
                <w:sz w:val="16"/>
                <w:szCs w:val="22"/>
              </w:rPr>
              <w:t>150</w:t>
            </w:r>
          </w:p>
        </w:tc>
        <w:tc>
          <w:tcPr>
            <w:tcW w:w="993" w:type="dxa"/>
            <w:noWrap/>
            <w:hideMark/>
          </w:tcPr>
          <w:p w:rsidR="005A333C" w:rsidRPr="00EE4F56" w:rsidRDefault="00B21248" w:rsidP="001957B8">
            <w:pPr>
              <w:spacing w:before="20" w:after="20" w:line="260" w:lineRule="exact"/>
              <w:jc w:val="left"/>
              <w:rPr>
                <w:sz w:val="16"/>
                <w:szCs w:val="22"/>
              </w:rPr>
            </w:pPr>
            <w:r>
              <w:rPr>
                <w:sz w:val="16"/>
                <w:szCs w:val="22"/>
              </w:rPr>
              <w:t>84</w:t>
            </w:r>
          </w:p>
        </w:tc>
        <w:tc>
          <w:tcPr>
            <w:tcW w:w="992" w:type="dxa"/>
            <w:noWrap/>
            <w:hideMark/>
          </w:tcPr>
          <w:p w:rsidR="005A333C" w:rsidRPr="00EE4F56" w:rsidRDefault="005A333C" w:rsidP="001957B8">
            <w:pPr>
              <w:spacing w:before="20" w:after="20" w:line="260" w:lineRule="exact"/>
              <w:jc w:val="left"/>
              <w:rPr>
                <w:sz w:val="16"/>
                <w:szCs w:val="22"/>
              </w:rPr>
            </w:pPr>
            <w:r w:rsidRPr="00EE4F56">
              <w:rPr>
                <w:sz w:val="16"/>
                <w:szCs w:val="22"/>
              </w:rPr>
              <w:t>150</w:t>
            </w:r>
          </w:p>
        </w:tc>
        <w:tc>
          <w:tcPr>
            <w:tcW w:w="850" w:type="dxa"/>
            <w:noWrap/>
            <w:hideMark/>
          </w:tcPr>
          <w:p w:rsidR="005A333C" w:rsidRPr="00EE4F56" w:rsidRDefault="00B21248" w:rsidP="001957B8">
            <w:pPr>
              <w:spacing w:before="20" w:after="20" w:line="260" w:lineRule="exact"/>
              <w:jc w:val="left"/>
              <w:rPr>
                <w:sz w:val="16"/>
                <w:szCs w:val="22"/>
              </w:rPr>
            </w:pPr>
            <w:r>
              <w:rPr>
                <w:sz w:val="16"/>
                <w:szCs w:val="22"/>
              </w:rPr>
              <w:t>41</w:t>
            </w:r>
          </w:p>
        </w:tc>
        <w:tc>
          <w:tcPr>
            <w:tcW w:w="992" w:type="dxa"/>
            <w:noWrap/>
            <w:hideMark/>
          </w:tcPr>
          <w:p w:rsidR="005A333C" w:rsidRPr="00EE4F56" w:rsidRDefault="00824FF0" w:rsidP="001957B8">
            <w:pPr>
              <w:spacing w:before="20" w:after="20" w:line="260" w:lineRule="exact"/>
              <w:jc w:val="left"/>
              <w:rPr>
                <w:sz w:val="16"/>
                <w:szCs w:val="22"/>
              </w:rPr>
            </w:pPr>
            <w:r>
              <w:rPr>
                <w:sz w:val="16"/>
                <w:szCs w:val="22"/>
              </w:rPr>
              <w:t>60</w:t>
            </w:r>
          </w:p>
        </w:tc>
        <w:tc>
          <w:tcPr>
            <w:tcW w:w="851" w:type="dxa"/>
            <w:noWrap/>
            <w:hideMark/>
          </w:tcPr>
          <w:p w:rsidR="005A333C" w:rsidRPr="00EE4F56" w:rsidRDefault="00824FF0" w:rsidP="001957B8">
            <w:pPr>
              <w:spacing w:before="20" w:after="20" w:line="260" w:lineRule="exact"/>
              <w:jc w:val="left"/>
              <w:rPr>
                <w:sz w:val="16"/>
                <w:szCs w:val="22"/>
              </w:rPr>
            </w:pPr>
            <w:r>
              <w:rPr>
                <w:sz w:val="16"/>
                <w:szCs w:val="22"/>
              </w:rPr>
              <w:t>60</w:t>
            </w:r>
          </w:p>
        </w:tc>
        <w:tc>
          <w:tcPr>
            <w:tcW w:w="992" w:type="dxa"/>
            <w:noWrap/>
            <w:hideMark/>
          </w:tcPr>
          <w:p w:rsidR="005A333C" w:rsidRPr="00EE4F56" w:rsidRDefault="00B21248" w:rsidP="001957B8">
            <w:pPr>
              <w:spacing w:before="20" w:after="20" w:line="260" w:lineRule="exact"/>
              <w:jc w:val="left"/>
              <w:rPr>
                <w:sz w:val="16"/>
                <w:szCs w:val="22"/>
              </w:rPr>
            </w:pPr>
            <w:r>
              <w:rPr>
                <w:sz w:val="16"/>
                <w:szCs w:val="22"/>
              </w:rPr>
              <w:t>120</w:t>
            </w:r>
          </w:p>
        </w:tc>
        <w:tc>
          <w:tcPr>
            <w:tcW w:w="851" w:type="dxa"/>
            <w:noWrap/>
            <w:hideMark/>
          </w:tcPr>
          <w:p w:rsidR="005A333C" w:rsidRPr="00EE4F56" w:rsidRDefault="00B21248" w:rsidP="001957B8">
            <w:pPr>
              <w:spacing w:before="20" w:after="20" w:line="260" w:lineRule="exact"/>
              <w:jc w:val="left"/>
              <w:rPr>
                <w:sz w:val="16"/>
                <w:szCs w:val="22"/>
              </w:rPr>
            </w:pPr>
            <w:r>
              <w:rPr>
                <w:sz w:val="16"/>
                <w:szCs w:val="22"/>
              </w:rPr>
              <w:t>30-</w:t>
            </w:r>
          </w:p>
        </w:tc>
        <w:tc>
          <w:tcPr>
            <w:tcW w:w="1134" w:type="dxa"/>
            <w:noWrap/>
            <w:hideMark/>
          </w:tcPr>
          <w:p w:rsidR="005A333C" w:rsidRPr="00EE4F56" w:rsidRDefault="005A333C" w:rsidP="00B21248">
            <w:pPr>
              <w:spacing w:before="20" w:after="20" w:line="260" w:lineRule="exact"/>
              <w:jc w:val="left"/>
              <w:rPr>
                <w:sz w:val="16"/>
                <w:szCs w:val="22"/>
              </w:rPr>
            </w:pPr>
            <w:r w:rsidRPr="00EE4F56">
              <w:rPr>
                <w:sz w:val="16"/>
                <w:szCs w:val="22"/>
              </w:rPr>
              <w:t>%</w:t>
            </w:r>
            <w:r w:rsidR="00B21248">
              <w:rPr>
                <w:sz w:val="16"/>
                <w:szCs w:val="22"/>
              </w:rPr>
              <w:t>20-</w:t>
            </w:r>
          </w:p>
        </w:tc>
      </w:tr>
      <w:tr w:rsidR="005A333C" w:rsidRPr="00EE4F56" w:rsidTr="001957B8">
        <w:trPr>
          <w:trHeight w:val="315"/>
          <w:jc w:val="center"/>
        </w:trPr>
        <w:tc>
          <w:tcPr>
            <w:tcW w:w="473" w:type="dxa"/>
            <w:noWrap/>
            <w:hideMark/>
          </w:tcPr>
          <w:p w:rsidR="005A333C" w:rsidRPr="00EE4F56" w:rsidRDefault="005A333C" w:rsidP="001957B8">
            <w:pPr>
              <w:spacing w:before="20" w:after="20" w:line="260" w:lineRule="exact"/>
              <w:jc w:val="left"/>
              <w:rPr>
                <w:sz w:val="16"/>
                <w:szCs w:val="22"/>
              </w:rPr>
            </w:pPr>
            <w:r w:rsidRPr="00EE4F56">
              <w:rPr>
                <w:sz w:val="16"/>
                <w:szCs w:val="22"/>
              </w:rPr>
              <w:t>5</w:t>
            </w:r>
          </w:p>
        </w:tc>
        <w:tc>
          <w:tcPr>
            <w:tcW w:w="2268" w:type="dxa"/>
            <w:noWrap/>
            <w:hideMark/>
          </w:tcPr>
          <w:p w:rsidR="005A333C" w:rsidRPr="00EE4F56" w:rsidRDefault="005A333C" w:rsidP="001957B8">
            <w:pPr>
              <w:spacing w:before="20" w:after="20" w:line="260" w:lineRule="exact"/>
              <w:jc w:val="left"/>
              <w:rPr>
                <w:sz w:val="16"/>
                <w:szCs w:val="22"/>
              </w:rPr>
            </w:pPr>
            <w:r w:rsidRPr="00EE4F56">
              <w:rPr>
                <w:sz w:val="16"/>
                <w:szCs w:val="22"/>
                <w:rtl/>
                <w:lang w:bidi="ar-EG"/>
              </w:rPr>
              <w:t>الاستئجار والصيانة</w:t>
            </w:r>
          </w:p>
        </w:tc>
        <w:tc>
          <w:tcPr>
            <w:tcW w:w="992" w:type="dxa"/>
            <w:noWrap/>
            <w:hideMark/>
          </w:tcPr>
          <w:p w:rsidR="005A333C" w:rsidRPr="00EE4F56" w:rsidRDefault="005A333C" w:rsidP="001957B8">
            <w:pPr>
              <w:spacing w:before="20" w:after="20" w:line="260" w:lineRule="exact"/>
              <w:jc w:val="left"/>
              <w:rPr>
                <w:sz w:val="16"/>
                <w:szCs w:val="22"/>
              </w:rPr>
            </w:pPr>
            <w:r w:rsidRPr="00EE4F56">
              <w:rPr>
                <w:sz w:val="16"/>
                <w:szCs w:val="22"/>
              </w:rPr>
              <w:t>30</w:t>
            </w:r>
          </w:p>
        </w:tc>
        <w:tc>
          <w:tcPr>
            <w:tcW w:w="993" w:type="dxa"/>
            <w:noWrap/>
            <w:hideMark/>
          </w:tcPr>
          <w:p w:rsidR="005A333C" w:rsidRPr="00EE4F56" w:rsidRDefault="00B21248" w:rsidP="001957B8">
            <w:pPr>
              <w:spacing w:before="20" w:after="20" w:line="260" w:lineRule="exact"/>
              <w:jc w:val="left"/>
              <w:rPr>
                <w:sz w:val="16"/>
                <w:szCs w:val="22"/>
              </w:rPr>
            </w:pPr>
            <w:r>
              <w:rPr>
                <w:sz w:val="16"/>
                <w:szCs w:val="22"/>
              </w:rPr>
              <w:t>1</w:t>
            </w:r>
          </w:p>
        </w:tc>
        <w:tc>
          <w:tcPr>
            <w:tcW w:w="992" w:type="dxa"/>
            <w:noWrap/>
            <w:hideMark/>
          </w:tcPr>
          <w:p w:rsidR="005A333C" w:rsidRPr="00EE4F56" w:rsidRDefault="005A333C" w:rsidP="001957B8">
            <w:pPr>
              <w:spacing w:before="20" w:after="20" w:line="260" w:lineRule="exact"/>
              <w:jc w:val="left"/>
              <w:rPr>
                <w:sz w:val="16"/>
                <w:szCs w:val="22"/>
              </w:rPr>
            </w:pPr>
            <w:r w:rsidRPr="00EE4F56">
              <w:rPr>
                <w:sz w:val="16"/>
                <w:szCs w:val="22"/>
              </w:rPr>
              <w:t>30</w:t>
            </w:r>
          </w:p>
        </w:tc>
        <w:tc>
          <w:tcPr>
            <w:tcW w:w="850" w:type="dxa"/>
            <w:noWrap/>
            <w:hideMark/>
          </w:tcPr>
          <w:p w:rsidR="005A333C" w:rsidRPr="00EE4F56" w:rsidRDefault="005A333C" w:rsidP="001957B8">
            <w:pPr>
              <w:spacing w:before="20" w:after="20" w:line="260" w:lineRule="exact"/>
              <w:jc w:val="left"/>
              <w:rPr>
                <w:sz w:val="16"/>
                <w:szCs w:val="22"/>
              </w:rPr>
            </w:pPr>
            <w:r w:rsidRPr="00EE4F56">
              <w:rPr>
                <w:sz w:val="16"/>
                <w:szCs w:val="22"/>
              </w:rPr>
              <w:t>1</w:t>
            </w:r>
          </w:p>
        </w:tc>
        <w:tc>
          <w:tcPr>
            <w:tcW w:w="992" w:type="dxa"/>
            <w:noWrap/>
            <w:hideMark/>
          </w:tcPr>
          <w:p w:rsidR="005A333C" w:rsidRPr="00EE4F56" w:rsidRDefault="00824FF0" w:rsidP="001957B8">
            <w:pPr>
              <w:spacing w:before="20" w:after="20" w:line="260" w:lineRule="exact"/>
              <w:jc w:val="left"/>
              <w:rPr>
                <w:sz w:val="16"/>
                <w:szCs w:val="22"/>
              </w:rPr>
            </w:pPr>
            <w:r>
              <w:rPr>
                <w:sz w:val="16"/>
                <w:szCs w:val="22"/>
              </w:rPr>
              <w:t>10</w:t>
            </w:r>
          </w:p>
        </w:tc>
        <w:tc>
          <w:tcPr>
            <w:tcW w:w="851" w:type="dxa"/>
            <w:noWrap/>
            <w:hideMark/>
          </w:tcPr>
          <w:p w:rsidR="005A333C" w:rsidRPr="00EE4F56" w:rsidRDefault="00824FF0" w:rsidP="001957B8">
            <w:pPr>
              <w:spacing w:before="20" w:after="20" w:line="260" w:lineRule="exact"/>
              <w:jc w:val="left"/>
              <w:rPr>
                <w:sz w:val="16"/>
                <w:szCs w:val="22"/>
              </w:rPr>
            </w:pPr>
            <w:r>
              <w:rPr>
                <w:sz w:val="16"/>
                <w:szCs w:val="22"/>
              </w:rPr>
              <w:t>10</w:t>
            </w:r>
          </w:p>
        </w:tc>
        <w:tc>
          <w:tcPr>
            <w:tcW w:w="992" w:type="dxa"/>
            <w:noWrap/>
            <w:hideMark/>
          </w:tcPr>
          <w:p w:rsidR="005A333C" w:rsidRPr="00EE4F56" w:rsidRDefault="00B21248" w:rsidP="001957B8">
            <w:pPr>
              <w:spacing w:before="20" w:after="20" w:line="260" w:lineRule="exact"/>
              <w:jc w:val="left"/>
              <w:rPr>
                <w:sz w:val="16"/>
                <w:szCs w:val="22"/>
              </w:rPr>
            </w:pPr>
            <w:r>
              <w:rPr>
                <w:sz w:val="16"/>
                <w:szCs w:val="22"/>
              </w:rPr>
              <w:t>20</w:t>
            </w:r>
          </w:p>
        </w:tc>
        <w:tc>
          <w:tcPr>
            <w:tcW w:w="851" w:type="dxa"/>
            <w:noWrap/>
            <w:hideMark/>
          </w:tcPr>
          <w:p w:rsidR="005A333C" w:rsidRPr="00EE4F56" w:rsidRDefault="00B21248" w:rsidP="001957B8">
            <w:pPr>
              <w:spacing w:before="20" w:after="20" w:line="260" w:lineRule="exact"/>
              <w:jc w:val="left"/>
              <w:rPr>
                <w:sz w:val="16"/>
                <w:szCs w:val="22"/>
              </w:rPr>
            </w:pPr>
            <w:r>
              <w:rPr>
                <w:sz w:val="16"/>
                <w:szCs w:val="22"/>
              </w:rPr>
              <w:t>10-</w:t>
            </w:r>
          </w:p>
        </w:tc>
        <w:tc>
          <w:tcPr>
            <w:tcW w:w="1134" w:type="dxa"/>
            <w:noWrap/>
            <w:hideMark/>
          </w:tcPr>
          <w:p w:rsidR="005A333C" w:rsidRPr="00EE4F56" w:rsidRDefault="005A333C" w:rsidP="00B21248">
            <w:pPr>
              <w:spacing w:before="20" w:after="20" w:line="260" w:lineRule="exact"/>
              <w:jc w:val="left"/>
              <w:rPr>
                <w:sz w:val="16"/>
                <w:szCs w:val="22"/>
              </w:rPr>
            </w:pPr>
            <w:r w:rsidRPr="00EE4F56">
              <w:rPr>
                <w:sz w:val="16"/>
                <w:szCs w:val="22"/>
              </w:rPr>
              <w:t>%</w:t>
            </w:r>
            <w:r w:rsidR="00B21248">
              <w:rPr>
                <w:sz w:val="16"/>
                <w:szCs w:val="22"/>
              </w:rPr>
              <w:t>33-</w:t>
            </w:r>
          </w:p>
        </w:tc>
      </w:tr>
      <w:tr w:rsidR="005A333C" w:rsidRPr="00EE4F56" w:rsidTr="001957B8">
        <w:trPr>
          <w:trHeight w:val="315"/>
          <w:jc w:val="center"/>
        </w:trPr>
        <w:tc>
          <w:tcPr>
            <w:tcW w:w="473" w:type="dxa"/>
            <w:noWrap/>
            <w:hideMark/>
          </w:tcPr>
          <w:p w:rsidR="005A333C" w:rsidRPr="00EE4F56" w:rsidRDefault="005A333C" w:rsidP="001957B8">
            <w:pPr>
              <w:spacing w:before="20" w:after="20" w:line="260" w:lineRule="exact"/>
              <w:jc w:val="left"/>
              <w:rPr>
                <w:sz w:val="16"/>
                <w:szCs w:val="22"/>
              </w:rPr>
            </w:pPr>
            <w:r w:rsidRPr="00EE4F56">
              <w:rPr>
                <w:sz w:val="16"/>
                <w:szCs w:val="22"/>
              </w:rPr>
              <w:t>6</w:t>
            </w:r>
          </w:p>
        </w:tc>
        <w:tc>
          <w:tcPr>
            <w:tcW w:w="2268" w:type="dxa"/>
            <w:noWrap/>
            <w:hideMark/>
          </w:tcPr>
          <w:p w:rsidR="005A333C" w:rsidRPr="00EE4F56" w:rsidRDefault="005A333C" w:rsidP="001957B8">
            <w:pPr>
              <w:spacing w:before="20" w:after="20" w:line="260" w:lineRule="exact"/>
              <w:jc w:val="left"/>
              <w:rPr>
                <w:sz w:val="16"/>
                <w:szCs w:val="22"/>
              </w:rPr>
            </w:pPr>
            <w:r w:rsidRPr="00EE4F56">
              <w:rPr>
                <w:sz w:val="16"/>
                <w:szCs w:val="22"/>
                <w:rtl/>
                <w:lang w:bidi="ar-EG"/>
              </w:rPr>
              <w:t>المعدات واللوازم</w:t>
            </w:r>
          </w:p>
        </w:tc>
        <w:tc>
          <w:tcPr>
            <w:tcW w:w="992" w:type="dxa"/>
            <w:noWrap/>
            <w:hideMark/>
          </w:tcPr>
          <w:p w:rsidR="005A333C" w:rsidRPr="00EE4F56" w:rsidRDefault="005A333C" w:rsidP="001957B8">
            <w:pPr>
              <w:spacing w:before="20" w:after="20" w:line="260" w:lineRule="exact"/>
              <w:jc w:val="left"/>
              <w:rPr>
                <w:sz w:val="16"/>
                <w:szCs w:val="22"/>
              </w:rPr>
            </w:pPr>
            <w:r w:rsidRPr="00EE4F56">
              <w:rPr>
                <w:sz w:val="16"/>
                <w:szCs w:val="22"/>
              </w:rPr>
              <w:t>40</w:t>
            </w:r>
          </w:p>
        </w:tc>
        <w:tc>
          <w:tcPr>
            <w:tcW w:w="993" w:type="dxa"/>
            <w:noWrap/>
            <w:hideMark/>
          </w:tcPr>
          <w:p w:rsidR="005A333C" w:rsidRPr="00EE4F56" w:rsidRDefault="00B21248" w:rsidP="001957B8">
            <w:pPr>
              <w:spacing w:before="20" w:after="20" w:line="260" w:lineRule="exact"/>
              <w:jc w:val="left"/>
              <w:rPr>
                <w:sz w:val="16"/>
                <w:szCs w:val="22"/>
              </w:rPr>
            </w:pPr>
            <w:r>
              <w:rPr>
                <w:sz w:val="16"/>
                <w:szCs w:val="22"/>
              </w:rPr>
              <w:t>5</w:t>
            </w:r>
          </w:p>
        </w:tc>
        <w:tc>
          <w:tcPr>
            <w:tcW w:w="992" w:type="dxa"/>
            <w:noWrap/>
            <w:hideMark/>
          </w:tcPr>
          <w:p w:rsidR="005A333C" w:rsidRPr="00EE4F56" w:rsidRDefault="005A333C" w:rsidP="001957B8">
            <w:pPr>
              <w:spacing w:before="20" w:after="20" w:line="260" w:lineRule="exact"/>
              <w:jc w:val="left"/>
              <w:rPr>
                <w:sz w:val="16"/>
                <w:szCs w:val="22"/>
              </w:rPr>
            </w:pPr>
            <w:r w:rsidRPr="00EE4F56">
              <w:rPr>
                <w:sz w:val="16"/>
                <w:szCs w:val="22"/>
              </w:rPr>
              <w:t>40</w:t>
            </w:r>
          </w:p>
        </w:tc>
        <w:tc>
          <w:tcPr>
            <w:tcW w:w="850" w:type="dxa"/>
            <w:noWrap/>
            <w:hideMark/>
          </w:tcPr>
          <w:p w:rsidR="005A333C" w:rsidRPr="00EE4F56" w:rsidRDefault="00B21248" w:rsidP="001957B8">
            <w:pPr>
              <w:spacing w:before="20" w:after="20" w:line="260" w:lineRule="exact"/>
              <w:jc w:val="left"/>
              <w:rPr>
                <w:sz w:val="16"/>
                <w:szCs w:val="22"/>
              </w:rPr>
            </w:pPr>
            <w:r>
              <w:rPr>
                <w:sz w:val="16"/>
                <w:szCs w:val="22"/>
              </w:rPr>
              <w:t>6</w:t>
            </w:r>
          </w:p>
        </w:tc>
        <w:tc>
          <w:tcPr>
            <w:tcW w:w="992" w:type="dxa"/>
            <w:noWrap/>
            <w:hideMark/>
          </w:tcPr>
          <w:p w:rsidR="005A333C" w:rsidRPr="00EE4F56" w:rsidRDefault="00824FF0" w:rsidP="001957B8">
            <w:pPr>
              <w:spacing w:before="20" w:after="20" w:line="260" w:lineRule="exact"/>
              <w:jc w:val="left"/>
              <w:rPr>
                <w:sz w:val="16"/>
                <w:szCs w:val="22"/>
              </w:rPr>
            </w:pPr>
            <w:r>
              <w:rPr>
                <w:sz w:val="16"/>
                <w:szCs w:val="22"/>
              </w:rPr>
              <w:t>15</w:t>
            </w:r>
          </w:p>
        </w:tc>
        <w:tc>
          <w:tcPr>
            <w:tcW w:w="851" w:type="dxa"/>
            <w:noWrap/>
            <w:hideMark/>
          </w:tcPr>
          <w:p w:rsidR="005A333C" w:rsidRPr="00EE4F56" w:rsidRDefault="00824FF0" w:rsidP="001957B8">
            <w:pPr>
              <w:spacing w:before="20" w:after="20" w:line="260" w:lineRule="exact"/>
              <w:jc w:val="left"/>
              <w:rPr>
                <w:sz w:val="16"/>
                <w:szCs w:val="22"/>
              </w:rPr>
            </w:pPr>
            <w:r>
              <w:rPr>
                <w:sz w:val="16"/>
                <w:szCs w:val="22"/>
              </w:rPr>
              <w:t>15</w:t>
            </w:r>
          </w:p>
        </w:tc>
        <w:tc>
          <w:tcPr>
            <w:tcW w:w="992" w:type="dxa"/>
            <w:noWrap/>
            <w:hideMark/>
          </w:tcPr>
          <w:p w:rsidR="005A333C" w:rsidRPr="00EE4F56" w:rsidRDefault="00B21248" w:rsidP="001957B8">
            <w:pPr>
              <w:spacing w:before="20" w:after="20" w:line="260" w:lineRule="exact"/>
              <w:jc w:val="left"/>
              <w:rPr>
                <w:sz w:val="16"/>
                <w:szCs w:val="22"/>
              </w:rPr>
            </w:pPr>
            <w:r>
              <w:rPr>
                <w:sz w:val="16"/>
                <w:szCs w:val="22"/>
              </w:rPr>
              <w:t>30</w:t>
            </w:r>
          </w:p>
        </w:tc>
        <w:tc>
          <w:tcPr>
            <w:tcW w:w="851" w:type="dxa"/>
            <w:noWrap/>
            <w:hideMark/>
          </w:tcPr>
          <w:p w:rsidR="005A333C" w:rsidRPr="00EE4F56" w:rsidRDefault="00B21248" w:rsidP="001957B8">
            <w:pPr>
              <w:spacing w:before="20" w:after="20" w:line="260" w:lineRule="exact"/>
              <w:jc w:val="left"/>
              <w:rPr>
                <w:sz w:val="16"/>
                <w:szCs w:val="22"/>
              </w:rPr>
            </w:pPr>
            <w:r>
              <w:rPr>
                <w:sz w:val="16"/>
                <w:szCs w:val="22"/>
              </w:rPr>
              <w:t>10-</w:t>
            </w:r>
          </w:p>
        </w:tc>
        <w:tc>
          <w:tcPr>
            <w:tcW w:w="1134" w:type="dxa"/>
            <w:noWrap/>
            <w:hideMark/>
          </w:tcPr>
          <w:p w:rsidR="005A333C" w:rsidRPr="00EE4F56" w:rsidRDefault="005A333C" w:rsidP="00B21248">
            <w:pPr>
              <w:spacing w:before="20" w:after="20" w:line="260" w:lineRule="exact"/>
              <w:jc w:val="left"/>
              <w:rPr>
                <w:sz w:val="16"/>
                <w:szCs w:val="22"/>
              </w:rPr>
            </w:pPr>
            <w:r w:rsidRPr="00EE4F56">
              <w:rPr>
                <w:sz w:val="16"/>
                <w:szCs w:val="22"/>
              </w:rPr>
              <w:t>%</w:t>
            </w:r>
            <w:r w:rsidR="00B21248">
              <w:rPr>
                <w:sz w:val="16"/>
                <w:szCs w:val="22"/>
              </w:rPr>
              <w:t>25-</w:t>
            </w:r>
          </w:p>
        </w:tc>
      </w:tr>
      <w:tr w:rsidR="005A333C" w:rsidRPr="00EE4F56" w:rsidTr="001957B8">
        <w:trPr>
          <w:trHeight w:val="315"/>
          <w:jc w:val="center"/>
        </w:trPr>
        <w:tc>
          <w:tcPr>
            <w:tcW w:w="473" w:type="dxa"/>
            <w:noWrap/>
            <w:hideMark/>
          </w:tcPr>
          <w:p w:rsidR="005A333C" w:rsidRPr="00EE4F56" w:rsidRDefault="005A333C" w:rsidP="001957B8">
            <w:pPr>
              <w:spacing w:before="20" w:after="20" w:line="260" w:lineRule="exact"/>
              <w:jc w:val="left"/>
              <w:rPr>
                <w:sz w:val="16"/>
                <w:szCs w:val="22"/>
              </w:rPr>
            </w:pPr>
            <w:r w:rsidRPr="00EE4F56">
              <w:rPr>
                <w:sz w:val="16"/>
                <w:szCs w:val="22"/>
              </w:rPr>
              <w:t>7</w:t>
            </w:r>
          </w:p>
        </w:tc>
        <w:tc>
          <w:tcPr>
            <w:tcW w:w="2268" w:type="dxa"/>
            <w:noWrap/>
            <w:hideMark/>
          </w:tcPr>
          <w:p w:rsidR="005A333C" w:rsidRPr="00EE4F56" w:rsidRDefault="005A333C" w:rsidP="001957B8">
            <w:pPr>
              <w:spacing w:before="20" w:after="20" w:line="260" w:lineRule="exact"/>
              <w:jc w:val="left"/>
              <w:rPr>
                <w:sz w:val="16"/>
                <w:szCs w:val="22"/>
              </w:rPr>
            </w:pPr>
            <w:r w:rsidRPr="00EE4F56">
              <w:rPr>
                <w:sz w:val="16"/>
                <w:szCs w:val="22"/>
                <w:rtl/>
                <w:lang w:bidi="ar-EG"/>
              </w:rPr>
              <w:t>الحيازة</w:t>
            </w:r>
          </w:p>
        </w:tc>
        <w:tc>
          <w:tcPr>
            <w:tcW w:w="992" w:type="dxa"/>
            <w:noWrap/>
            <w:hideMark/>
          </w:tcPr>
          <w:p w:rsidR="005A333C" w:rsidRPr="00EE4F56" w:rsidRDefault="005A333C" w:rsidP="001957B8">
            <w:pPr>
              <w:spacing w:before="20" w:after="20" w:line="260" w:lineRule="exact"/>
              <w:jc w:val="left"/>
              <w:rPr>
                <w:sz w:val="16"/>
                <w:szCs w:val="22"/>
              </w:rPr>
            </w:pPr>
            <w:r w:rsidRPr="00EE4F56">
              <w:rPr>
                <w:sz w:val="16"/>
                <w:szCs w:val="22"/>
              </w:rPr>
              <w:t>50</w:t>
            </w:r>
          </w:p>
        </w:tc>
        <w:tc>
          <w:tcPr>
            <w:tcW w:w="993" w:type="dxa"/>
            <w:noWrap/>
            <w:hideMark/>
          </w:tcPr>
          <w:p w:rsidR="005A333C" w:rsidRPr="00EE4F56" w:rsidRDefault="00B21248" w:rsidP="001957B8">
            <w:pPr>
              <w:spacing w:before="20" w:after="20" w:line="260" w:lineRule="exact"/>
              <w:jc w:val="left"/>
              <w:rPr>
                <w:sz w:val="16"/>
                <w:szCs w:val="22"/>
              </w:rPr>
            </w:pPr>
            <w:r>
              <w:rPr>
                <w:sz w:val="16"/>
                <w:szCs w:val="22"/>
              </w:rPr>
              <w:t>21</w:t>
            </w:r>
          </w:p>
        </w:tc>
        <w:tc>
          <w:tcPr>
            <w:tcW w:w="992" w:type="dxa"/>
            <w:noWrap/>
            <w:hideMark/>
          </w:tcPr>
          <w:p w:rsidR="005A333C" w:rsidRPr="00EE4F56" w:rsidRDefault="005A333C" w:rsidP="001957B8">
            <w:pPr>
              <w:spacing w:before="20" w:after="20" w:line="260" w:lineRule="exact"/>
              <w:jc w:val="left"/>
              <w:rPr>
                <w:sz w:val="16"/>
                <w:szCs w:val="22"/>
              </w:rPr>
            </w:pPr>
            <w:r w:rsidRPr="00EE4F56">
              <w:rPr>
                <w:sz w:val="16"/>
                <w:szCs w:val="22"/>
              </w:rPr>
              <w:t>50</w:t>
            </w:r>
          </w:p>
        </w:tc>
        <w:tc>
          <w:tcPr>
            <w:tcW w:w="850" w:type="dxa"/>
            <w:noWrap/>
            <w:hideMark/>
          </w:tcPr>
          <w:p w:rsidR="005A333C" w:rsidRPr="00EE4F56" w:rsidRDefault="005A333C" w:rsidP="001957B8">
            <w:pPr>
              <w:spacing w:before="20" w:after="20" w:line="260" w:lineRule="exact"/>
              <w:jc w:val="left"/>
              <w:rPr>
                <w:sz w:val="16"/>
                <w:szCs w:val="22"/>
              </w:rPr>
            </w:pPr>
            <w:r w:rsidRPr="00EE4F56">
              <w:rPr>
                <w:sz w:val="16"/>
                <w:szCs w:val="22"/>
              </w:rPr>
              <w:t>11</w:t>
            </w:r>
          </w:p>
        </w:tc>
        <w:tc>
          <w:tcPr>
            <w:tcW w:w="992" w:type="dxa"/>
            <w:noWrap/>
            <w:hideMark/>
          </w:tcPr>
          <w:p w:rsidR="005A333C" w:rsidRPr="00EE4F56" w:rsidRDefault="005A333C" w:rsidP="001957B8">
            <w:pPr>
              <w:spacing w:before="20" w:after="20" w:line="260" w:lineRule="exact"/>
              <w:jc w:val="left"/>
              <w:rPr>
                <w:sz w:val="16"/>
                <w:szCs w:val="22"/>
              </w:rPr>
            </w:pPr>
            <w:r w:rsidRPr="00EE4F56">
              <w:rPr>
                <w:sz w:val="16"/>
                <w:szCs w:val="22"/>
              </w:rPr>
              <w:t>25</w:t>
            </w:r>
          </w:p>
        </w:tc>
        <w:tc>
          <w:tcPr>
            <w:tcW w:w="851" w:type="dxa"/>
            <w:noWrap/>
            <w:hideMark/>
          </w:tcPr>
          <w:p w:rsidR="005A333C" w:rsidRPr="00EE4F56" w:rsidRDefault="005A333C" w:rsidP="001957B8">
            <w:pPr>
              <w:spacing w:before="20" w:after="20" w:line="260" w:lineRule="exact"/>
              <w:jc w:val="left"/>
              <w:rPr>
                <w:sz w:val="16"/>
                <w:szCs w:val="22"/>
              </w:rPr>
            </w:pPr>
            <w:r w:rsidRPr="00EE4F56">
              <w:rPr>
                <w:sz w:val="16"/>
                <w:szCs w:val="22"/>
              </w:rPr>
              <w:t>25</w:t>
            </w:r>
          </w:p>
        </w:tc>
        <w:tc>
          <w:tcPr>
            <w:tcW w:w="992" w:type="dxa"/>
            <w:noWrap/>
            <w:hideMark/>
          </w:tcPr>
          <w:p w:rsidR="005A333C" w:rsidRPr="00EE4F56" w:rsidRDefault="005A333C" w:rsidP="001957B8">
            <w:pPr>
              <w:spacing w:before="20" w:after="20" w:line="260" w:lineRule="exact"/>
              <w:jc w:val="left"/>
              <w:rPr>
                <w:sz w:val="16"/>
                <w:szCs w:val="22"/>
              </w:rPr>
            </w:pPr>
            <w:r w:rsidRPr="00EE4F56">
              <w:rPr>
                <w:sz w:val="16"/>
                <w:szCs w:val="22"/>
              </w:rPr>
              <w:t>50</w:t>
            </w:r>
          </w:p>
        </w:tc>
        <w:tc>
          <w:tcPr>
            <w:tcW w:w="851" w:type="dxa"/>
            <w:noWrap/>
            <w:hideMark/>
          </w:tcPr>
          <w:p w:rsidR="005A333C" w:rsidRPr="00EE4F56" w:rsidRDefault="005A333C" w:rsidP="001957B8">
            <w:pPr>
              <w:spacing w:before="20" w:after="20" w:line="260" w:lineRule="exact"/>
              <w:jc w:val="left"/>
              <w:rPr>
                <w:sz w:val="16"/>
                <w:szCs w:val="22"/>
              </w:rPr>
            </w:pPr>
            <w:r w:rsidRPr="00EE4F56">
              <w:rPr>
                <w:sz w:val="16"/>
                <w:szCs w:val="22"/>
              </w:rPr>
              <w:t>-</w:t>
            </w:r>
          </w:p>
        </w:tc>
        <w:tc>
          <w:tcPr>
            <w:tcW w:w="1134" w:type="dxa"/>
            <w:noWrap/>
            <w:hideMark/>
          </w:tcPr>
          <w:p w:rsidR="005A333C" w:rsidRPr="00EE4F56" w:rsidRDefault="005A333C" w:rsidP="001957B8">
            <w:pPr>
              <w:spacing w:before="20" w:after="20" w:line="260" w:lineRule="exact"/>
              <w:jc w:val="left"/>
              <w:rPr>
                <w:sz w:val="16"/>
                <w:szCs w:val="22"/>
              </w:rPr>
            </w:pPr>
            <w:r w:rsidRPr="00EE4F56">
              <w:rPr>
                <w:sz w:val="16"/>
                <w:szCs w:val="22"/>
              </w:rPr>
              <w:t>%0</w:t>
            </w:r>
          </w:p>
        </w:tc>
      </w:tr>
      <w:tr w:rsidR="005A333C" w:rsidRPr="00EE4F56" w:rsidTr="001957B8">
        <w:trPr>
          <w:trHeight w:val="315"/>
          <w:jc w:val="center"/>
        </w:trPr>
        <w:tc>
          <w:tcPr>
            <w:tcW w:w="473" w:type="dxa"/>
            <w:noWrap/>
            <w:hideMark/>
          </w:tcPr>
          <w:p w:rsidR="005A333C" w:rsidRPr="00EE4F56" w:rsidRDefault="005A333C" w:rsidP="001957B8">
            <w:pPr>
              <w:spacing w:before="20" w:after="20" w:line="260" w:lineRule="exact"/>
              <w:jc w:val="left"/>
              <w:rPr>
                <w:sz w:val="16"/>
                <w:szCs w:val="22"/>
              </w:rPr>
            </w:pPr>
            <w:r w:rsidRPr="00EE4F56">
              <w:rPr>
                <w:sz w:val="16"/>
                <w:szCs w:val="22"/>
              </w:rPr>
              <w:t>8</w:t>
            </w:r>
          </w:p>
        </w:tc>
        <w:tc>
          <w:tcPr>
            <w:tcW w:w="2268" w:type="dxa"/>
            <w:hideMark/>
          </w:tcPr>
          <w:p w:rsidR="005A333C" w:rsidRPr="00EE4F56" w:rsidRDefault="005A333C" w:rsidP="001957B8">
            <w:pPr>
              <w:spacing w:before="20" w:after="20" w:line="260" w:lineRule="exact"/>
              <w:jc w:val="left"/>
              <w:rPr>
                <w:sz w:val="16"/>
                <w:szCs w:val="22"/>
              </w:rPr>
            </w:pPr>
            <w:r w:rsidRPr="00EE4F56">
              <w:rPr>
                <w:sz w:val="16"/>
                <w:szCs w:val="22"/>
                <w:rtl/>
                <w:lang w:bidi="ar-EG"/>
              </w:rPr>
              <w:t>مرافق الخدمات العامة والداخلية</w:t>
            </w:r>
          </w:p>
        </w:tc>
        <w:tc>
          <w:tcPr>
            <w:tcW w:w="992" w:type="dxa"/>
            <w:noWrap/>
            <w:hideMark/>
          </w:tcPr>
          <w:p w:rsidR="005A333C" w:rsidRPr="00EE4F56" w:rsidRDefault="005A333C" w:rsidP="001957B8">
            <w:pPr>
              <w:spacing w:before="20" w:after="20" w:line="260" w:lineRule="exact"/>
              <w:jc w:val="left"/>
              <w:rPr>
                <w:sz w:val="16"/>
                <w:szCs w:val="22"/>
              </w:rPr>
            </w:pPr>
            <w:r w:rsidRPr="00EE4F56">
              <w:rPr>
                <w:sz w:val="16"/>
                <w:szCs w:val="22"/>
              </w:rPr>
              <w:t>50</w:t>
            </w:r>
          </w:p>
        </w:tc>
        <w:tc>
          <w:tcPr>
            <w:tcW w:w="993" w:type="dxa"/>
            <w:noWrap/>
            <w:hideMark/>
          </w:tcPr>
          <w:p w:rsidR="005A333C" w:rsidRPr="00EE4F56" w:rsidRDefault="00B21248" w:rsidP="001957B8">
            <w:pPr>
              <w:spacing w:before="20" w:after="20" w:line="260" w:lineRule="exact"/>
              <w:jc w:val="left"/>
              <w:rPr>
                <w:sz w:val="16"/>
                <w:szCs w:val="22"/>
              </w:rPr>
            </w:pPr>
            <w:r>
              <w:rPr>
                <w:sz w:val="16"/>
                <w:szCs w:val="22"/>
              </w:rPr>
              <w:t>13</w:t>
            </w:r>
          </w:p>
        </w:tc>
        <w:tc>
          <w:tcPr>
            <w:tcW w:w="992" w:type="dxa"/>
            <w:noWrap/>
            <w:hideMark/>
          </w:tcPr>
          <w:p w:rsidR="005A333C" w:rsidRPr="00EE4F56" w:rsidRDefault="005A333C" w:rsidP="001957B8">
            <w:pPr>
              <w:spacing w:before="20" w:after="20" w:line="260" w:lineRule="exact"/>
              <w:jc w:val="left"/>
              <w:rPr>
                <w:sz w:val="16"/>
                <w:szCs w:val="22"/>
              </w:rPr>
            </w:pPr>
            <w:r w:rsidRPr="00EE4F56">
              <w:rPr>
                <w:sz w:val="16"/>
                <w:szCs w:val="22"/>
              </w:rPr>
              <w:t>50</w:t>
            </w:r>
          </w:p>
        </w:tc>
        <w:tc>
          <w:tcPr>
            <w:tcW w:w="850" w:type="dxa"/>
            <w:noWrap/>
            <w:hideMark/>
          </w:tcPr>
          <w:p w:rsidR="005A333C" w:rsidRPr="00EE4F56" w:rsidRDefault="00B21248" w:rsidP="001957B8">
            <w:pPr>
              <w:spacing w:before="20" w:after="20" w:line="260" w:lineRule="exact"/>
              <w:jc w:val="left"/>
              <w:rPr>
                <w:sz w:val="16"/>
                <w:szCs w:val="22"/>
              </w:rPr>
            </w:pPr>
            <w:r>
              <w:rPr>
                <w:sz w:val="16"/>
                <w:szCs w:val="22"/>
              </w:rPr>
              <w:t>5</w:t>
            </w:r>
          </w:p>
        </w:tc>
        <w:tc>
          <w:tcPr>
            <w:tcW w:w="992" w:type="dxa"/>
            <w:noWrap/>
            <w:hideMark/>
          </w:tcPr>
          <w:p w:rsidR="005A333C" w:rsidRPr="00EE4F56" w:rsidRDefault="00824FF0" w:rsidP="001957B8">
            <w:pPr>
              <w:spacing w:before="20" w:after="20" w:line="260" w:lineRule="exact"/>
              <w:jc w:val="left"/>
              <w:rPr>
                <w:sz w:val="16"/>
                <w:szCs w:val="22"/>
              </w:rPr>
            </w:pPr>
            <w:r>
              <w:rPr>
                <w:sz w:val="16"/>
                <w:szCs w:val="22"/>
              </w:rPr>
              <w:t>10</w:t>
            </w:r>
          </w:p>
        </w:tc>
        <w:tc>
          <w:tcPr>
            <w:tcW w:w="851" w:type="dxa"/>
            <w:noWrap/>
            <w:hideMark/>
          </w:tcPr>
          <w:p w:rsidR="005A333C" w:rsidRPr="00EE4F56" w:rsidRDefault="00824FF0" w:rsidP="001957B8">
            <w:pPr>
              <w:spacing w:before="20" w:after="20" w:line="260" w:lineRule="exact"/>
              <w:jc w:val="left"/>
              <w:rPr>
                <w:sz w:val="16"/>
                <w:szCs w:val="22"/>
              </w:rPr>
            </w:pPr>
            <w:r>
              <w:rPr>
                <w:sz w:val="16"/>
                <w:szCs w:val="22"/>
              </w:rPr>
              <w:t>10</w:t>
            </w:r>
          </w:p>
        </w:tc>
        <w:tc>
          <w:tcPr>
            <w:tcW w:w="992" w:type="dxa"/>
            <w:noWrap/>
            <w:hideMark/>
          </w:tcPr>
          <w:p w:rsidR="005A333C" w:rsidRPr="00EE4F56" w:rsidRDefault="00B21248" w:rsidP="001957B8">
            <w:pPr>
              <w:spacing w:before="20" w:after="20" w:line="260" w:lineRule="exact"/>
              <w:jc w:val="left"/>
              <w:rPr>
                <w:sz w:val="16"/>
                <w:szCs w:val="22"/>
              </w:rPr>
            </w:pPr>
            <w:r>
              <w:rPr>
                <w:sz w:val="16"/>
                <w:szCs w:val="22"/>
              </w:rPr>
              <w:t>20</w:t>
            </w:r>
          </w:p>
        </w:tc>
        <w:tc>
          <w:tcPr>
            <w:tcW w:w="851" w:type="dxa"/>
            <w:noWrap/>
            <w:hideMark/>
          </w:tcPr>
          <w:p w:rsidR="005A333C" w:rsidRPr="00EE4F56" w:rsidRDefault="00B21248" w:rsidP="001957B8">
            <w:pPr>
              <w:spacing w:before="20" w:after="20" w:line="260" w:lineRule="exact"/>
              <w:jc w:val="left"/>
              <w:rPr>
                <w:sz w:val="16"/>
                <w:szCs w:val="22"/>
              </w:rPr>
            </w:pPr>
            <w:r>
              <w:rPr>
                <w:sz w:val="16"/>
                <w:szCs w:val="22"/>
              </w:rPr>
              <w:t>30-</w:t>
            </w:r>
          </w:p>
        </w:tc>
        <w:tc>
          <w:tcPr>
            <w:tcW w:w="1134" w:type="dxa"/>
            <w:noWrap/>
            <w:hideMark/>
          </w:tcPr>
          <w:p w:rsidR="005A333C" w:rsidRPr="00EE4F56" w:rsidRDefault="005A333C" w:rsidP="00B21248">
            <w:pPr>
              <w:spacing w:before="20" w:after="20" w:line="260" w:lineRule="exact"/>
              <w:jc w:val="left"/>
              <w:rPr>
                <w:sz w:val="16"/>
                <w:szCs w:val="22"/>
              </w:rPr>
            </w:pPr>
            <w:r w:rsidRPr="00EE4F56">
              <w:rPr>
                <w:sz w:val="16"/>
                <w:szCs w:val="22"/>
              </w:rPr>
              <w:t>%</w:t>
            </w:r>
            <w:r w:rsidR="00B21248">
              <w:rPr>
                <w:sz w:val="16"/>
                <w:szCs w:val="22"/>
              </w:rPr>
              <w:t>60-</w:t>
            </w:r>
          </w:p>
        </w:tc>
      </w:tr>
      <w:tr w:rsidR="005A333C" w:rsidRPr="00EE4F56" w:rsidTr="001957B8">
        <w:trPr>
          <w:trHeight w:val="315"/>
          <w:jc w:val="center"/>
        </w:trPr>
        <w:tc>
          <w:tcPr>
            <w:tcW w:w="473" w:type="dxa"/>
            <w:noWrap/>
            <w:hideMark/>
          </w:tcPr>
          <w:p w:rsidR="005A333C" w:rsidRPr="00EE4F56" w:rsidRDefault="005A333C" w:rsidP="001957B8">
            <w:pPr>
              <w:spacing w:before="20" w:after="20" w:line="260" w:lineRule="exact"/>
              <w:jc w:val="left"/>
              <w:rPr>
                <w:sz w:val="16"/>
                <w:szCs w:val="22"/>
              </w:rPr>
            </w:pPr>
            <w:r w:rsidRPr="00EE4F56">
              <w:rPr>
                <w:sz w:val="16"/>
                <w:szCs w:val="22"/>
              </w:rPr>
              <w:t>9</w:t>
            </w:r>
            <w:r>
              <w:rPr>
                <w:rFonts w:hint="cs"/>
                <w:sz w:val="16"/>
                <w:szCs w:val="22"/>
                <w:rtl/>
              </w:rPr>
              <w:t>أ</w:t>
            </w:r>
          </w:p>
        </w:tc>
        <w:tc>
          <w:tcPr>
            <w:tcW w:w="2268" w:type="dxa"/>
            <w:noWrap/>
            <w:hideMark/>
          </w:tcPr>
          <w:p w:rsidR="005A333C" w:rsidRPr="00EE4F56" w:rsidRDefault="005A333C" w:rsidP="001957B8">
            <w:pPr>
              <w:spacing w:before="20" w:after="20" w:line="260" w:lineRule="exact"/>
              <w:jc w:val="left"/>
              <w:rPr>
                <w:sz w:val="16"/>
                <w:szCs w:val="22"/>
              </w:rPr>
            </w:pPr>
            <w:r w:rsidRPr="00EE4F56">
              <w:rPr>
                <w:sz w:val="16"/>
                <w:szCs w:val="22"/>
                <w:rtl/>
                <w:lang w:bidi="ar-EG"/>
              </w:rPr>
              <w:t>نفقات متفرقة</w:t>
            </w:r>
          </w:p>
        </w:tc>
        <w:tc>
          <w:tcPr>
            <w:tcW w:w="992" w:type="dxa"/>
            <w:noWrap/>
            <w:hideMark/>
          </w:tcPr>
          <w:p w:rsidR="005A333C" w:rsidRPr="00EE4F56" w:rsidRDefault="005A333C" w:rsidP="001957B8">
            <w:pPr>
              <w:spacing w:before="20" w:after="20" w:line="260" w:lineRule="exact"/>
              <w:jc w:val="left"/>
              <w:rPr>
                <w:sz w:val="16"/>
                <w:szCs w:val="22"/>
              </w:rPr>
            </w:pPr>
            <w:r w:rsidRPr="00EE4F56">
              <w:rPr>
                <w:sz w:val="16"/>
                <w:szCs w:val="22"/>
              </w:rPr>
              <w:t>20</w:t>
            </w:r>
          </w:p>
        </w:tc>
        <w:tc>
          <w:tcPr>
            <w:tcW w:w="993" w:type="dxa"/>
            <w:noWrap/>
            <w:hideMark/>
          </w:tcPr>
          <w:p w:rsidR="005A333C" w:rsidRPr="00EE4F56" w:rsidRDefault="00B21248" w:rsidP="001957B8">
            <w:pPr>
              <w:spacing w:before="20" w:after="20" w:line="260" w:lineRule="exact"/>
              <w:jc w:val="left"/>
              <w:rPr>
                <w:sz w:val="16"/>
                <w:szCs w:val="22"/>
              </w:rPr>
            </w:pPr>
            <w:r>
              <w:rPr>
                <w:sz w:val="16"/>
                <w:szCs w:val="22"/>
              </w:rPr>
              <w:t>1</w:t>
            </w:r>
          </w:p>
        </w:tc>
        <w:tc>
          <w:tcPr>
            <w:tcW w:w="992" w:type="dxa"/>
            <w:noWrap/>
            <w:hideMark/>
          </w:tcPr>
          <w:p w:rsidR="005A333C" w:rsidRPr="00EE4F56" w:rsidRDefault="005A333C" w:rsidP="001957B8">
            <w:pPr>
              <w:spacing w:before="20" w:after="20" w:line="260" w:lineRule="exact"/>
              <w:jc w:val="left"/>
              <w:rPr>
                <w:sz w:val="16"/>
                <w:szCs w:val="22"/>
              </w:rPr>
            </w:pPr>
            <w:r w:rsidRPr="00EE4F56">
              <w:rPr>
                <w:sz w:val="16"/>
                <w:szCs w:val="22"/>
              </w:rPr>
              <w:t>20</w:t>
            </w:r>
          </w:p>
        </w:tc>
        <w:tc>
          <w:tcPr>
            <w:tcW w:w="850" w:type="dxa"/>
            <w:noWrap/>
            <w:hideMark/>
          </w:tcPr>
          <w:p w:rsidR="005A333C" w:rsidRPr="00EE4F56" w:rsidRDefault="005A333C" w:rsidP="001957B8">
            <w:pPr>
              <w:spacing w:before="20" w:after="20" w:line="260" w:lineRule="exact"/>
              <w:jc w:val="left"/>
              <w:rPr>
                <w:sz w:val="16"/>
                <w:szCs w:val="22"/>
              </w:rPr>
            </w:pPr>
            <w:r w:rsidRPr="00EE4F56">
              <w:rPr>
                <w:sz w:val="16"/>
                <w:szCs w:val="22"/>
              </w:rPr>
              <w:t>0</w:t>
            </w:r>
          </w:p>
        </w:tc>
        <w:tc>
          <w:tcPr>
            <w:tcW w:w="992" w:type="dxa"/>
            <w:noWrap/>
            <w:hideMark/>
          </w:tcPr>
          <w:p w:rsidR="005A333C" w:rsidRPr="00EE4F56" w:rsidRDefault="005A333C" w:rsidP="001957B8">
            <w:pPr>
              <w:spacing w:before="20" w:after="20" w:line="260" w:lineRule="exact"/>
              <w:jc w:val="left"/>
              <w:rPr>
                <w:sz w:val="16"/>
                <w:szCs w:val="22"/>
              </w:rPr>
            </w:pPr>
            <w:r w:rsidRPr="00EE4F56">
              <w:rPr>
                <w:sz w:val="16"/>
                <w:szCs w:val="22"/>
              </w:rPr>
              <w:t>10</w:t>
            </w:r>
          </w:p>
        </w:tc>
        <w:tc>
          <w:tcPr>
            <w:tcW w:w="851" w:type="dxa"/>
            <w:noWrap/>
            <w:hideMark/>
          </w:tcPr>
          <w:p w:rsidR="005A333C" w:rsidRPr="00EE4F56" w:rsidRDefault="005A333C" w:rsidP="001957B8">
            <w:pPr>
              <w:spacing w:before="20" w:after="20" w:line="260" w:lineRule="exact"/>
              <w:jc w:val="left"/>
              <w:rPr>
                <w:sz w:val="16"/>
                <w:szCs w:val="22"/>
              </w:rPr>
            </w:pPr>
            <w:r w:rsidRPr="00EE4F56">
              <w:rPr>
                <w:sz w:val="16"/>
                <w:szCs w:val="22"/>
              </w:rPr>
              <w:t>10</w:t>
            </w:r>
          </w:p>
        </w:tc>
        <w:tc>
          <w:tcPr>
            <w:tcW w:w="992" w:type="dxa"/>
            <w:noWrap/>
            <w:hideMark/>
          </w:tcPr>
          <w:p w:rsidR="005A333C" w:rsidRPr="00EE4F56" w:rsidRDefault="005A333C" w:rsidP="001957B8">
            <w:pPr>
              <w:spacing w:before="20" w:after="20" w:line="260" w:lineRule="exact"/>
              <w:jc w:val="left"/>
              <w:rPr>
                <w:sz w:val="16"/>
                <w:szCs w:val="22"/>
              </w:rPr>
            </w:pPr>
            <w:r w:rsidRPr="00EE4F56">
              <w:rPr>
                <w:sz w:val="16"/>
                <w:szCs w:val="22"/>
              </w:rPr>
              <w:t>20</w:t>
            </w:r>
          </w:p>
        </w:tc>
        <w:tc>
          <w:tcPr>
            <w:tcW w:w="851" w:type="dxa"/>
            <w:noWrap/>
            <w:hideMark/>
          </w:tcPr>
          <w:p w:rsidR="005A333C" w:rsidRPr="00EE4F56" w:rsidRDefault="005A333C" w:rsidP="001957B8">
            <w:pPr>
              <w:spacing w:before="20" w:after="20" w:line="260" w:lineRule="exact"/>
              <w:jc w:val="left"/>
              <w:rPr>
                <w:sz w:val="16"/>
                <w:szCs w:val="22"/>
              </w:rPr>
            </w:pPr>
            <w:r w:rsidRPr="00EE4F56">
              <w:rPr>
                <w:sz w:val="16"/>
                <w:szCs w:val="22"/>
              </w:rPr>
              <w:t>-</w:t>
            </w:r>
          </w:p>
        </w:tc>
        <w:tc>
          <w:tcPr>
            <w:tcW w:w="1134" w:type="dxa"/>
            <w:noWrap/>
            <w:hideMark/>
          </w:tcPr>
          <w:p w:rsidR="005A333C" w:rsidRPr="00EE4F56" w:rsidRDefault="005A333C" w:rsidP="001957B8">
            <w:pPr>
              <w:spacing w:before="20" w:after="20" w:line="260" w:lineRule="exact"/>
              <w:jc w:val="left"/>
              <w:rPr>
                <w:sz w:val="16"/>
                <w:szCs w:val="22"/>
              </w:rPr>
            </w:pPr>
            <w:r w:rsidRPr="00EE4F56">
              <w:rPr>
                <w:sz w:val="16"/>
                <w:szCs w:val="22"/>
              </w:rPr>
              <w:t>%0</w:t>
            </w:r>
          </w:p>
        </w:tc>
      </w:tr>
      <w:tr w:rsidR="005A333C" w:rsidRPr="00EE4F56" w:rsidTr="001957B8">
        <w:trPr>
          <w:trHeight w:val="315"/>
          <w:jc w:val="center"/>
        </w:trPr>
        <w:tc>
          <w:tcPr>
            <w:tcW w:w="473" w:type="dxa"/>
            <w:noWrap/>
            <w:hideMark/>
          </w:tcPr>
          <w:p w:rsidR="005A333C" w:rsidRPr="00EE4F56" w:rsidRDefault="005A333C" w:rsidP="001957B8">
            <w:pPr>
              <w:spacing w:before="20" w:after="20" w:line="260" w:lineRule="exact"/>
              <w:jc w:val="left"/>
              <w:rPr>
                <w:sz w:val="16"/>
                <w:szCs w:val="22"/>
              </w:rPr>
            </w:pPr>
            <w:r w:rsidRPr="00EE4F56">
              <w:rPr>
                <w:sz w:val="16"/>
                <w:szCs w:val="22"/>
              </w:rPr>
              <w:t>9</w:t>
            </w:r>
            <w:r>
              <w:rPr>
                <w:rFonts w:hint="cs"/>
                <w:sz w:val="16"/>
                <w:szCs w:val="22"/>
                <w:rtl/>
              </w:rPr>
              <w:t>ب</w:t>
            </w:r>
          </w:p>
        </w:tc>
        <w:tc>
          <w:tcPr>
            <w:tcW w:w="2268" w:type="dxa"/>
            <w:noWrap/>
            <w:hideMark/>
          </w:tcPr>
          <w:p w:rsidR="005A333C" w:rsidRPr="00EE4F56" w:rsidRDefault="005A333C" w:rsidP="001957B8">
            <w:pPr>
              <w:spacing w:before="20" w:after="20" w:line="260" w:lineRule="exact"/>
              <w:jc w:val="left"/>
              <w:rPr>
                <w:sz w:val="16"/>
                <w:szCs w:val="22"/>
              </w:rPr>
            </w:pPr>
            <w:r w:rsidRPr="00EE4F56">
              <w:rPr>
                <w:sz w:val="16"/>
                <w:szCs w:val="22"/>
                <w:rtl/>
                <w:lang w:bidi="ar-EG"/>
              </w:rPr>
              <w:t>استرداد التكاليف</w:t>
            </w:r>
          </w:p>
        </w:tc>
        <w:tc>
          <w:tcPr>
            <w:tcW w:w="992" w:type="dxa"/>
            <w:noWrap/>
            <w:hideMark/>
          </w:tcPr>
          <w:p w:rsidR="005A333C" w:rsidRPr="00EE4F56" w:rsidRDefault="005A333C" w:rsidP="001957B8">
            <w:pPr>
              <w:spacing w:before="20" w:after="20" w:line="260" w:lineRule="exact"/>
              <w:jc w:val="left"/>
              <w:rPr>
                <w:sz w:val="16"/>
                <w:szCs w:val="22"/>
              </w:rPr>
            </w:pPr>
            <w:r w:rsidRPr="00EE4F56">
              <w:rPr>
                <w:sz w:val="16"/>
                <w:szCs w:val="22"/>
              </w:rPr>
              <w:t>3 000</w:t>
            </w:r>
          </w:p>
        </w:tc>
        <w:tc>
          <w:tcPr>
            <w:tcW w:w="993" w:type="dxa"/>
            <w:noWrap/>
            <w:hideMark/>
          </w:tcPr>
          <w:p w:rsidR="005A333C" w:rsidRPr="00EE4F56" w:rsidRDefault="005A333C" w:rsidP="001957B8">
            <w:pPr>
              <w:spacing w:before="20" w:after="20" w:line="260" w:lineRule="exact"/>
              <w:jc w:val="left"/>
              <w:rPr>
                <w:sz w:val="16"/>
                <w:szCs w:val="22"/>
              </w:rPr>
            </w:pPr>
            <w:r w:rsidRPr="00EE4F56">
              <w:rPr>
                <w:sz w:val="16"/>
                <w:szCs w:val="22"/>
              </w:rPr>
              <w:t>3 000</w:t>
            </w:r>
          </w:p>
        </w:tc>
        <w:tc>
          <w:tcPr>
            <w:tcW w:w="992" w:type="dxa"/>
            <w:noWrap/>
            <w:hideMark/>
          </w:tcPr>
          <w:p w:rsidR="005A333C" w:rsidRPr="00EE4F56" w:rsidRDefault="005A333C" w:rsidP="001957B8">
            <w:pPr>
              <w:spacing w:before="20" w:after="20" w:line="260" w:lineRule="exact"/>
              <w:jc w:val="left"/>
              <w:rPr>
                <w:sz w:val="16"/>
                <w:szCs w:val="22"/>
              </w:rPr>
            </w:pPr>
            <w:r w:rsidRPr="00EE4F56">
              <w:rPr>
                <w:sz w:val="16"/>
                <w:szCs w:val="22"/>
              </w:rPr>
              <w:t>3 000</w:t>
            </w:r>
          </w:p>
        </w:tc>
        <w:tc>
          <w:tcPr>
            <w:tcW w:w="850" w:type="dxa"/>
            <w:noWrap/>
            <w:hideMark/>
          </w:tcPr>
          <w:p w:rsidR="005A333C" w:rsidRPr="00EE4F56" w:rsidRDefault="00824FF0" w:rsidP="001957B8">
            <w:pPr>
              <w:spacing w:before="20" w:after="20" w:line="260" w:lineRule="exact"/>
              <w:jc w:val="left"/>
              <w:rPr>
                <w:sz w:val="16"/>
                <w:szCs w:val="22"/>
              </w:rPr>
            </w:pPr>
            <w:r>
              <w:rPr>
                <w:sz w:val="16"/>
                <w:szCs w:val="22"/>
              </w:rPr>
              <w:t>1 000</w:t>
            </w:r>
          </w:p>
        </w:tc>
        <w:tc>
          <w:tcPr>
            <w:tcW w:w="992" w:type="dxa"/>
            <w:noWrap/>
            <w:hideMark/>
          </w:tcPr>
          <w:p w:rsidR="005A333C" w:rsidRPr="00EE4F56" w:rsidRDefault="005A333C" w:rsidP="001957B8">
            <w:pPr>
              <w:spacing w:before="20" w:after="20" w:line="260" w:lineRule="exact"/>
              <w:jc w:val="left"/>
              <w:rPr>
                <w:sz w:val="16"/>
                <w:szCs w:val="22"/>
              </w:rPr>
            </w:pPr>
            <w:r w:rsidRPr="00EE4F56">
              <w:rPr>
                <w:sz w:val="16"/>
                <w:szCs w:val="22"/>
              </w:rPr>
              <w:t>1 500</w:t>
            </w:r>
          </w:p>
        </w:tc>
        <w:tc>
          <w:tcPr>
            <w:tcW w:w="851" w:type="dxa"/>
            <w:noWrap/>
            <w:hideMark/>
          </w:tcPr>
          <w:p w:rsidR="005A333C" w:rsidRPr="00EE4F56" w:rsidRDefault="005A333C" w:rsidP="001957B8">
            <w:pPr>
              <w:spacing w:before="20" w:after="20" w:line="260" w:lineRule="exact"/>
              <w:jc w:val="left"/>
              <w:rPr>
                <w:sz w:val="16"/>
                <w:szCs w:val="22"/>
              </w:rPr>
            </w:pPr>
            <w:r w:rsidRPr="00EE4F56">
              <w:rPr>
                <w:sz w:val="16"/>
                <w:szCs w:val="22"/>
              </w:rPr>
              <w:t>1 500</w:t>
            </w:r>
          </w:p>
        </w:tc>
        <w:tc>
          <w:tcPr>
            <w:tcW w:w="992" w:type="dxa"/>
            <w:noWrap/>
            <w:hideMark/>
          </w:tcPr>
          <w:p w:rsidR="005A333C" w:rsidRPr="00EE4F56" w:rsidRDefault="005A333C" w:rsidP="001957B8">
            <w:pPr>
              <w:spacing w:before="20" w:after="20" w:line="260" w:lineRule="exact"/>
              <w:jc w:val="left"/>
              <w:rPr>
                <w:sz w:val="16"/>
                <w:szCs w:val="22"/>
              </w:rPr>
            </w:pPr>
            <w:r w:rsidRPr="00EE4F56">
              <w:rPr>
                <w:sz w:val="16"/>
                <w:szCs w:val="22"/>
              </w:rPr>
              <w:t>3 000</w:t>
            </w:r>
          </w:p>
        </w:tc>
        <w:tc>
          <w:tcPr>
            <w:tcW w:w="851" w:type="dxa"/>
            <w:noWrap/>
            <w:hideMark/>
          </w:tcPr>
          <w:p w:rsidR="005A333C" w:rsidRPr="00EE4F56" w:rsidRDefault="005A333C" w:rsidP="001957B8">
            <w:pPr>
              <w:spacing w:before="20" w:after="20" w:line="260" w:lineRule="exact"/>
              <w:jc w:val="left"/>
              <w:rPr>
                <w:sz w:val="16"/>
                <w:szCs w:val="22"/>
              </w:rPr>
            </w:pPr>
            <w:r w:rsidRPr="00EE4F56">
              <w:rPr>
                <w:sz w:val="16"/>
                <w:szCs w:val="22"/>
              </w:rPr>
              <w:t>-</w:t>
            </w:r>
          </w:p>
        </w:tc>
        <w:tc>
          <w:tcPr>
            <w:tcW w:w="1134" w:type="dxa"/>
            <w:noWrap/>
            <w:hideMark/>
          </w:tcPr>
          <w:p w:rsidR="005A333C" w:rsidRPr="00EE4F56" w:rsidRDefault="005A333C" w:rsidP="001957B8">
            <w:pPr>
              <w:spacing w:before="20" w:after="20" w:line="260" w:lineRule="exact"/>
              <w:jc w:val="left"/>
              <w:rPr>
                <w:sz w:val="16"/>
                <w:szCs w:val="22"/>
              </w:rPr>
            </w:pPr>
            <w:r w:rsidRPr="00EE4F56">
              <w:rPr>
                <w:sz w:val="16"/>
                <w:szCs w:val="22"/>
              </w:rPr>
              <w:t>%0</w:t>
            </w:r>
          </w:p>
        </w:tc>
      </w:tr>
      <w:tr w:rsidR="005A333C" w:rsidRPr="00EE4F56" w:rsidTr="001957B8">
        <w:trPr>
          <w:trHeight w:val="315"/>
          <w:jc w:val="center"/>
        </w:trPr>
        <w:tc>
          <w:tcPr>
            <w:tcW w:w="473" w:type="dxa"/>
            <w:tcBorders>
              <w:top w:val="single" w:sz="4" w:space="0" w:color="auto"/>
              <w:left w:val="nil"/>
              <w:bottom w:val="single" w:sz="4" w:space="0" w:color="auto"/>
              <w:right w:val="nil"/>
            </w:tcBorders>
            <w:shd w:val="clear" w:color="auto" w:fill="DCE6F1"/>
            <w:noWrap/>
            <w:vAlign w:val="center"/>
            <w:hideMark/>
          </w:tcPr>
          <w:p w:rsidR="005A333C" w:rsidRPr="00824FF0" w:rsidRDefault="005A333C" w:rsidP="001957B8">
            <w:pPr>
              <w:spacing w:before="60" w:after="20" w:line="260" w:lineRule="exact"/>
              <w:rPr>
                <w:b/>
                <w:bCs/>
                <w:color w:val="0000FF"/>
                <w:sz w:val="16"/>
                <w:szCs w:val="22"/>
              </w:rPr>
            </w:pPr>
            <w:r w:rsidRPr="00824FF0">
              <w:rPr>
                <w:b/>
                <w:bCs/>
                <w:color w:val="0000FF"/>
                <w:sz w:val="16"/>
                <w:szCs w:val="22"/>
              </w:rPr>
              <w:t> </w:t>
            </w:r>
          </w:p>
        </w:tc>
        <w:tc>
          <w:tcPr>
            <w:tcW w:w="2268" w:type="dxa"/>
            <w:tcBorders>
              <w:top w:val="single" w:sz="4" w:space="0" w:color="auto"/>
              <w:left w:val="nil"/>
              <w:bottom w:val="single" w:sz="4" w:space="0" w:color="auto"/>
              <w:right w:val="nil"/>
            </w:tcBorders>
            <w:shd w:val="clear" w:color="auto" w:fill="DCE6F1"/>
            <w:noWrap/>
            <w:hideMark/>
          </w:tcPr>
          <w:p w:rsidR="005A333C" w:rsidRPr="00824FF0" w:rsidRDefault="005A333C" w:rsidP="001957B8">
            <w:pPr>
              <w:spacing w:before="60" w:after="20" w:line="260" w:lineRule="exact"/>
              <w:jc w:val="left"/>
              <w:rPr>
                <w:b/>
                <w:bCs/>
                <w:color w:val="0000FF"/>
                <w:sz w:val="16"/>
                <w:szCs w:val="22"/>
              </w:rPr>
            </w:pPr>
            <w:r w:rsidRPr="00824FF0">
              <w:rPr>
                <w:b/>
                <w:bCs/>
                <w:color w:val="0000FF"/>
                <w:sz w:val="16"/>
                <w:szCs w:val="22"/>
                <w:rtl/>
                <w:lang w:bidi="ar-EG"/>
              </w:rPr>
              <w:t>المجموع</w:t>
            </w:r>
          </w:p>
        </w:tc>
        <w:tc>
          <w:tcPr>
            <w:tcW w:w="992" w:type="dxa"/>
            <w:tcBorders>
              <w:top w:val="single" w:sz="4" w:space="0" w:color="auto"/>
              <w:left w:val="nil"/>
              <w:bottom w:val="single" w:sz="4" w:space="0" w:color="auto"/>
              <w:right w:val="nil"/>
            </w:tcBorders>
            <w:shd w:val="clear" w:color="auto" w:fill="DCE6F1"/>
            <w:noWrap/>
            <w:hideMark/>
          </w:tcPr>
          <w:p w:rsidR="005A333C" w:rsidRPr="00824FF0" w:rsidRDefault="005A333C" w:rsidP="00824FF0">
            <w:pPr>
              <w:spacing w:before="60" w:after="20" w:line="260" w:lineRule="exact"/>
              <w:jc w:val="left"/>
              <w:rPr>
                <w:b/>
                <w:bCs/>
                <w:color w:val="0000FF"/>
                <w:sz w:val="16"/>
                <w:szCs w:val="22"/>
              </w:rPr>
            </w:pPr>
            <w:r w:rsidRPr="00824FF0">
              <w:rPr>
                <w:b/>
                <w:bCs/>
                <w:color w:val="0000FF"/>
                <w:sz w:val="16"/>
                <w:szCs w:val="22"/>
              </w:rPr>
              <w:t>10 </w:t>
            </w:r>
            <w:r w:rsidR="00824FF0">
              <w:rPr>
                <w:b/>
                <w:bCs/>
                <w:color w:val="0000FF"/>
                <w:sz w:val="16"/>
                <w:szCs w:val="22"/>
              </w:rPr>
              <w:t>706</w:t>
            </w:r>
          </w:p>
        </w:tc>
        <w:tc>
          <w:tcPr>
            <w:tcW w:w="993" w:type="dxa"/>
            <w:tcBorders>
              <w:top w:val="single" w:sz="4" w:space="0" w:color="auto"/>
              <w:left w:val="nil"/>
              <w:bottom w:val="single" w:sz="4" w:space="0" w:color="auto"/>
              <w:right w:val="nil"/>
            </w:tcBorders>
            <w:shd w:val="clear" w:color="auto" w:fill="DCE6F1"/>
            <w:noWrap/>
            <w:hideMark/>
          </w:tcPr>
          <w:p w:rsidR="005A333C" w:rsidRPr="00824FF0" w:rsidRDefault="00B21248" w:rsidP="001957B8">
            <w:pPr>
              <w:spacing w:before="60" w:after="20" w:line="260" w:lineRule="exact"/>
              <w:jc w:val="left"/>
              <w:rPr>
                <w:b/>
                <w:bCs/>
                <w:color w:val="0000FF"/>
                <w:sz w:val="16"/>
                <w:szCs w:val="22"/>
              </w:rPr>
            </w:pPr>
            <w:r w:rsidRPr="00824FF0">
              <w:rPr>
                <w:b/>
                <w:bCs/>
                <w:color w:val="0000FF"/>
                <w:sz w:val="16"/>
                <w:szCs w:val="22"/>
              </w:rPr>
              <w:t>9 124</w:t>
            </w:r>
          </w:p>
        </w:tc>
        <w:tc>
          <w:tcPr>
            <w:tcW w:w="992" w:type="dxa"/>
            <w:tcBorders>
              <w:top w:val="single" w:sz="4" w:space="0" w:color="auto"/>
              <w:left w:val="nil"/>
              <w:bottom w:val="single" w:sz="4" w:space="0" w:color="auto"/>
              <w:right w:val="nil"/>
            </w:tcBorders>
            <w:shd w:val="clear" w:color="auto" w:fill="DCE6F1"/>
            <w:noWrap/>
            <w:hideMark/>
          </w:tcPr>
          <w:p w:rsidR="005A333C" w:rsidRPr="00824FF0" w:rsidRDefault="00B21248" w:rsidP="001957B8">
            <w:pPr>
              <w:spacing w:before="60" w:after="20" w:line="260" w:lineRule="exact"/>
              <w:jc w:val="left"/>
              <w:rPr>
                <w:b/>
                <w:bCs/>
                <w:color w:val="0000FF"/>
                <w:sz w:val="16"/>
                <w:szCs w:val="22"/>
              </w:rPr>
            </w:pPr>
            <w:r w:rsidRPr="00824FF0">
              <w:rPr>
                <w:b/>
                <w:bCs/>
                <w:color w:val="0000FF"/>
                <w:sz w:val="16"/>
                <w:szCs w:val="22"/>
              </w:rPr>
              <w:t>11 146</w:t>
            </w:r>
          </w:p>
        </w:tc>
        <w:tc>
          <w:tcPr>
            <w:tcW w:w="850" w:type="dxa"/>
            <w:tcBorders>
              <w:top w:val="single" w:sz="4" w:space="0" w:color="auto"/>
              <w:left w:val="nil"/>
              <w:bottom w:val="single" w:sz="4" w:space="0" w:color="auto"/>
              <w:right w:val="nil"/>
            </w:tcBorders>
            <w:shd w:val="clear" w:color="auto" w:fill="DCE6F1"/>
            <w:noWrap/>
            <w:hideMark/>
          </w:tcPr>
          <w:p w:rsidR="005A333C" w:rsidRPr="00824FF0" w:rsidRDefault="00B21248" w:rsidP="001957B8">
            <w:pPr>
              <w:spacing w:before="60" w:after="20" w:line="260" w:lineRule="exact"/>
              <w:jc w:val="left"/>
              <w:rPr>
                <w:b/>
                <w:bCs/>
                <w:color w:val="0000FF"/>
                <w:sz w:val="16"/>
                <w:szCs w:val="22"/>
              </w:rPr>
            </w:pPr>
            <w:r w:rsidRPr="00824FF0">
              <w:rPr>
                <w:b/>
                <w:bCs/>
                <w:color w:val="0000FF"/>
                <w:sz w:val="16"/>
                <w:szCs w:val="22"/>
              </w:rPr>
              <w:t>3 658</w:t>
            </w:r>
          </w:p>
        </w:tc>
        <w:tc>
          <w:tcPr>
            <w:tcW w:w="992" w:type="dxa"/>
            <w:tcBorders>
              <w:top w:val="single" w:sz="4" w:space="0" w:color="auto"/>
              <w:left w:val="nil"/>
              <w:bottom w:val="single" w:sz="4" w:space="0" w:color="auto"/>
              <w:right w:val="nil"/>
            </w:tcBorders>
            <w:shd w:val="clear" w:color="auto" w:fill="DCE6F1"/>
            <w:noWrap/>
            <w:hideMark/>
          </w:tcPr>
          <w:p w:rsidR="005A333C" w:rsidRPr="00824FF0" w:rsidRDefault="00B21248" w:rsidP="001957B8">
            <w:pPr>
              <w:spacing w:before="60" w:after="20" w:line="260" w:lineRule="exact"/>
              <w:jc w:val="left"/>
              <w:rPr>
                <w:b/>
                <w:bCs/>
                <w:color w:val="0000FF"/>
                <w:sz w:val="16"/>
                <w:szCs w:val="22"/>
              </w:rPr>
            </w:pPr>
            <w:r w:rsidRPr="00824FF0">
              <w:rPr>
                <w:b/>
                <w:bCs/>
                <w:color w:val="0000FF"/>
                <w:sz w:val="16"/>
                <w:szCs w:val="22"/>
              </w:rPr>
              <w:t>5 135</w:t>
            </w:r>
          </w:p>
        </w:tc>
        <w:tc>
          <w:tcPr>
            <w:tcW w:w="851" w:type="dxa"/>
            <w:tcBorders>
              <w:top w:val="single" w:sz="4" w:space="0" w:color="auto"/>
              <w:left w:val="nil"/>
              <w:bottom w:val="single" w:sz="4" w:space="0" w:color="auto"/>
              <w:right w:val="nil"/>
            </w:tcBorders>
            <w:shd w:val="clear" w:color="auto" w:fill="DCE6F1"/>
            <w:noWrap/>
            <w:hideMark/>
          </w:tcPr>
          <w:p w:rsidR="005A333C" w:rsidRPr="00824FF0" w:rsidRDefault="00B21248" w:rsidP="001957B8">
            <w:pPr>
              <w:spacing w:before="60" w:after="20" w:line="260" w:lineRule="exact"/>
              <w:jc w:val="left"/>
              <w:rPr>
                <w:b/>
                <w:bCs/>
                <w:color w:val="0000FF"/>
                <w:sz w:val="16"/>
                <w:szCs w:val="22"/>
              </w:rPr>
            </w:pPr>
            <w:r w:rsidRPr="00824FF0">
              <w:rPr>
                <w:b/>
                <w:bCs/>
                <w:color w:val="0000FF"/>
                <w:sz w:val="16"/>
                <w:szCs w:val="22"/>
              </w:rPr>
              <w:t>5 135</w:t>
            </w:r>
          </w:p>
        </w:tc>
        <w:tc>
          <w:tcPr>
            <w:tcW w:w="992" w:type="dxa"/>
            <w:tcBorders>
              <w:top w:val="single" w:sz="4" w:space="0" w:color="auto"/>
              <w:left w:val="nil"/>
              <w:bottom w:val="single" w:sz="4" w:space="0" w:color="auto"/>
              <w:right w:val="nil"/>
            </w:tcBorders>
            <w:shd w:val="clear" w:color="auto" w:fill="DCE6F1"/>
            <w:noWrap/>
            <w:hideMark/>
          </w:tcPr>
          <w:p w:rsidR="005A333C" w:rsidRPr="00824FF0" w:rsidRDefault="00B21248" w:rsidP="001957B8">
            <w:pPr>
              <w:spacing w:before="60" w:after="20" w:line="260" w:lineRule="exact"/>
              <w:jc w:val="left"/>
              <w:rPr>
                <w:b/>
                <w:bCs/>
                <w:color w:val="0000FF"/>
                <w:sz w:val="16"/>
                <w:szCs w:val="22"/>
              </w:rPr>
            </w:pPr>
            <w:r w:rsidRPr="00824FF0">
              <w:rPr>
                <w:b/>
                <w:bCs/>
                <w:color w:val="0000FF"/>
                <w:sz w:val="16"/>
                <w:szCs w:val="22"/>
              </w:rPr>
              <w:t>10 270</w:t>
            </w:r>
          </w:p>
        </w:tc>
        <w:tc>
          <w:tcPr>
            <w:tcW w:w="851" w:type="dxa"/>
            <w:tcBorders>
              <w:top w:val="single" w:sz="4" w:space="0" w:color="auto"/>
              <w:left w:val="nil"/>
              <w:bottom w:val="single" w:sz="4" w:space="0" w:color="auto"/>
              <w:right w:val="nil"/>
            </w:tcBorders>
            <w:shd w:val="clear" w:color="auto" w:fill="DCE6F1"/>
            <w:noWrap/>
            <w:hideMark/>
          </w:tcPr>
          <w:p w:rsidR="005A333C" w:rsidRPr="00824FF0" w:rsidRDefault="00B21248" w:rsidP="001957B8">
            <w:pPr>
              <w:spacing w:before="60" w:after="20" w:line="260" w:lineRule="exact"/>
              <w:jc w:val="left"/>
              <w:rPr>
                <w:b/>
                <w:bCs/>
                <w:color w:val="0000FF"/>
                <w:sz w:val="16"/>
                <w:szCs w:val="22"/>
              </w:rPr>
            </w:pPr>
            <w:r w:rsidRPr="00824FF0">
              <w:rPr>
                <w:b/>
                <w:bCs/>
                <w:color w:val="0000FF"/>
                <w:sz w:val="16"/>
                <w:szCs w:val="22"/>
              </w:rPr>
              <w:t>876-</w:t>
            </w:r>
          </w:p>
        </w:tc>
        <w:tc>
          <w:tcPr>
            <w:tcW w:w="1134" w:type="dxa"/>
            <w:tcBorders>
              <w:top w:val="single" w:sz="4" w:space="0" w:color="auto"/>
              <w:left w:val="nil"/>
              <w:bottom w:val="single" w:sz="4" w:space="0" w:color="auto"/>
              <w:right w:val="nil"/>
            </w:tcBorders>
            <w:shd w:val="clear" w:color="auto" w:fill="DCE6F1"/>
            <w:noWrap/>
            <w:hideMark/>
          </w:tcPr>
          <w:p w:rsidR="005A333C" w:rsidRPr="00824FF0" w:rsidRDefault="005A333C" w:rsidP="00B21248">
            <w:pPr>
              <w:spacing w:before="60" w:after="20" w:line="260" w:lineRule="exact"/>
              <w:jc w:val="left"/>
              <w:rPr>
                <w:b/>
                <w:bCs/>
                <w:color w:val="0000FF"/>
                <w:sz w:val="16"/>
                <w:szCs w:val="22"/>
              </w:rPr>
            </w:pPr>
            <w:r w:rsidRPr="00824FF0">
              <w:rPr>
                <w:b/>
                <w:bCs/>
                <w:color w:val="0000FF"/>
                <w:sz w:val="16"/>
                <w:szCs w:val="22"/>
              </w:rPr>
              <w:t>%</w:t>
            </w:r>
            <w:r w:rsidR="00B21248" w:rsidRPr="00824FF0">
              <w:rPr>
                <w:b/>
                <w:bCs/>
                <w:color w:val="0000FF"/>
                <w:sz w:val="16"/>
                <w:szCs w:val="22"/>
              </w:rPr>
              <w:t>8-</w:t>
            </w:r>
          </w:p>
        </w:tc>
      </w:tr>
    </w:tbl>
    <w:p w:rsidR="00B21248" w:rsidRDefault="00B21248" w:rsidP="00B43F60">
      <w:pPr>
        <w:pStyle w:val="Headingb"/>
        <w:spacing w:before="360"/>
        <w:rPr>
          <w:rtl/>
          <w:lang w:val="en-GB" w:bidi="ar-SY"/>
        </w:rPr>
      </w:pPr>
      <w:bookmarkStart w:id="2" w:name="_Toc482367226"/>
      <w:r>
        <w:rPr>
          <w:rtl/>
          <w:lang w:bidi="ar-EG"/>
        </w:rPr>
        <w:t>موارد أمانة تليكوم الاتحاد</w:t>
      </w:r>
      <w:bookmarkEnd w:id="2"/>
    </w:p>
    <w:p w:rsidR="00840B10" w:rsidRPr="00A95C50" w:rsidRDefault="00B21248" w:rsidP="00A95C50">
      <w:pPr>
        <w:rPr>
          <w:spacing w:val="-2"/>
          <w:rtl/>
          <w:lang w:bidi="ar-EG"/>
        </w:rPr>
      </w:pPr>
      <w:r w:rsidRPr="00A95C50">
        <w:rPr>
          <w:spacing w:val="-2"/>
          <w:lang w:bidi="ar-SY"/>
        </w:rPr>
        <w:t>4</w:t>
      </w:r>
      <w:r w:rsidRPr="00A95C50">
        <w:rPr>
          <w:spacing w:val="-2"/>
          <w:rtl/>
          <w:lang w:bidi="ar-EG"/>
        </w:rPr>
        <w:tab/>
        <w:t>تش</w:t>
      </w:r>
      <w:r w:rsidR="00852596" w:rsidRPr="00A95C50">
        <w:rPr>
          <w:rFonts w:hint="cs"/>
          <w:spacing w:val="-2"/>
          <w:rtl/>
          <w:lang w:bidi="ar-EG"/>
        </w:rPr>
        <w:t>ير</w:t>
      </w:r>
      <w:r w:rsidRPr="00A95C50">
        <w:rPr>
          <w:spacing w:val="-2"/>
          <w:rtl/>
          <w:lang w:bidi="ar-EG"/>
        </w:rPr>
        <w:t xml:space="preserve"> "التكاليف الخاصة بالموظفين" </w:t>
      </w:r>
      <w:r w:rsidR="00852596" w:rsidRPr="00A95C50">
        <w:rPr>
          <w:rFonts w:hint="cs"/>
          <w:spacing w:val="-2"/>
          <w:rtl/>
          <w:lang w:bidi="ar-EG"/>
        </w:rPr>
        <w:t xml:space="preserve">إلى </w:t>
      </w:r>
      <w:r w:rsidR="00852596" w:rsidRPr="00A95C50">
        <w:rPr>
          <w:spacing w:val="-2"/>
          <w:rtl/>
          <w:lang w:bidi="ar-EG"/>
        </w:rPr>
        <w:t>المرتب</w:t>
      </w:r>
      <w:r w:rsidR="00852596" w:rsidRPr="00A95C50">
        <w:rPr>
          <w:rFonts w:hint="cs"/>
          <w:spacing w:val="-2"/>
          <w:rtl/>
          <w:lang w:bidi="ar-EG"/>
        </w:rPr>
        <w:t>ات الأساسية</w:t>
      </w:r>
      <w:r w:rsidRPr="00A95C50">
        <w:rPr>
          <w:spacing w:val="-2"/>
          <w:rtl/>
          <w:lang w:bidi="ar-EG"/>
        </w:rPr>
        <w:t xml:space="preserve"> </w:t>
      </w:r>
      <w:r w:rsidR="00852596" w:rsidRPr="00A95C50">
        <w:rPr>
          <w:rFonts w:hint="cs"/>
          <w:spacing w:val="-2"/>
          <w:rtl/>
          <w:lang w:bidi="ar-EG"/>
        </w:rPr>
        <w:t>و</w:t>
      </w:r>
      <w:r w:rsidRPr="00A95C50">
        <w:rPr>
          <w:spacing w:val="-2"/>
          <w:rtl/>
          <w:lang w:bidi="ar-EG"/>
        </w:rPr>
        <w:t>تسوية مقر العمل وعلاوات الأسرة</w:t>
      </w:r>
      <w:r w:rsidR="00852596" w:rsidRPr="00A95C50">
        <w:rPr>
          <w:rFonts w:hint="cs"/>
          <w:spacing w:val="-2"/>
          <w:rtl/>
          <w:lang w:bidi="ar-EG"/>
        </w:rPr>
        <w:t xml:space="preserve"> وبدلات السكن (للفئة المهنية والفئات الأعلى)، بينما</w:t>
      </w:r>
      <w:r w:rsidR="00852596" w:rsidRPr="00A95C50">
        <w:rPr>
          <w:spacing w:val="-2"/>
          <w:rtl/>
          <w:lang w:bidi="ar-EG"/>
        </w:rPr>
        <w:t xml:space="preserve"> </w:t>
      </w:r>
      <w:r w:rsidRPr="00A95C50">
        <w:rPr>
          <w:spacing w:val="-2"/>
          <w:rtl/>
          <w:lang w:bidi="ar-EG"/>
        </w:rPr>
        <w:t xml:space="preserve">تشمل "التكاليف الأخرى الخاصة بالموظفين" مساهمة الاتحاد في صندوق المعاشات وفي التأمين الصحي والتأمين ضد الحوادث ومنحة التعليم والسفر </w:t>
      </w:r>
      <w:proofErr w:type="spellStart"/>
      <w:r w:rsidRPr="00A95C50">
        <w:rPr>
          <w:spacing w:val="-2"/>
          <w:rtl/>
          <w:lang w:bidi="ar-EG"/>
        </w:rPr>
        <w:t>والسفر</w:t>
      </w:r>
      <w:proofErr w:type="spellEnd"/>
      <w:r w:rsidRPr="00A95C50">
        <w:rPr>
          <w:spacing w:val="-2"/>
          <w:rtl/>
          <w:lang w:bidi="ar-EG"/>
        </w:rPr>
        <w:t xml:space="preserve"> عند التعيين وترك الخدمة وعلاوة الاستقرار والعودة إلى أرض الوطن والسفر في</w:t>
      </w:r>
      <w:r w:rsidRPr="00A95C50">
        <w:rPr>
          <w:rFonts w:hint="cs"/>
          <w:spacing w:val="-2"/>
          <w:rtl/>
          <w:lang w:bidi="ar-EG"/>
        </w:rPr>
        <w:t> </w:t>
      </w:r>
      <w:r w:rsidRPr="00A95C50">
        <w:rPr>
          <w:spacing w:val="-2"/>
          <w:rtl/>
          <w:lang w:bidi="ar-EG"/>
        </w:rPr>
        <w:t>إجازات إلى أرض الوطن والإجازات المتجمعة ومنحة نهاية الخدمة ومصاريف نقل الأمتعة. وبغية تجنب زيادة كبيرة في</w:t>
      </w:r>
      <w:r w:rsidR="00A95C50" w:rsidRPr="00A95C50">
        <w:rPr>
          <w:rFonts w:hint="cs"/>
          <w:spacing w:val="-2"/>
          <w:rtl/>
          <w:lang w:bidi="ar-EG"/>
        </w:rPr>
        <w:t> </w:t>
      </w:r>
      <w:r w:rsidRPr="00A95C50">
        <w:rPr>
          <w:spacing w:val="-2"/>
          <w:rtl/>
          <w:lang w:bidi="ar-EG"/>
        </w:rPr>
        <w:t>الميزانية، يتم الحفاظ على عدد الوظائف</w:t>
      </w:r>
      <w:r w:rsidR="00852596" w:rsidRPr="00A95C50">
        <w:rPr>
          <w:rFonts w:hint="cs"/>
          <w:spacing w:val="-2"/>
          <w:rtl/>
          <w:lang w:bidi="ar-EG"/>
        </w:rPr>
        <w:t xml:space="preserve"> المدرجة في ميزانية</w:t>
      </w:r>
      <w:r w:rsidRPr="00A95C50">
        <w:rPr>
          <w:spacing w:val="-2"/>
          <w:rtl/>
          <w:lang w:bidi="ar-EG"/>
        </w:rPr>
        <w:t xml:space="preserve"> أمانة تليكوم الاتحاد عند </w:t>
      </w:r>
      <w:r w:rsidRPr="00A95C50">
        <w:rPr>
          <w:spacing w:val="-2"/>
          <w:lang w:bidi="ar-SY"/>
        </w:rPr>
        <w:t>23</w:t>
      </w:r>
      <w:r w:rsidRPr="00A95C50">
        <w:rPr>
          <w:spacing w:val="-2"/>
          <w:rtl/>
        </w:rPr>
        <w:t xml:space="preserve"> وظيفة في</w:t>
      </w:r>
      <w:r w:rsidR="00811BBF" w:rsidRPr="00A95C50">
        <w:rPr>
          <w:rFonts w:hint="cs"/>
          <w:spacing w:val="-2"/>
          <w:rtl/>
        </w:rPr>
        <w:t xml:space="preserve"> الفترة</w:t>
      </w:r>
      <w:r w:rsidRPr="00A95C50">
        <w:rPr>
          <w:spacing w:val="-2"/>
          <w:rtl/>
        </w:rPr>
        <w:t xml:space="preserve"> </w:t>
      </w:r>
      <w:r w:rsidRPr="00A95C50">
        <w:rPr>
          <w:spacing w:val="-2"/>
        </w:rPr>
        <w:t>20</w:t>
      </w:r>
      <w:r w:rsidR="00811BBF" w:rsidRPr="00A95C50">
        <w:rPr>
          <w:spacing w:val="-2"/>
        </w:rPr>
        <w:t>21</w:t>
      </w:r>
      <w:r w:rsidRPr="00A95C50">
        <w:rPr>
          <w:spacing w:val="-2"/>
        </w:rPr>
        <w:t>-20</w:t>
      </w:r>
      <w:r w:rsidR="00811BBF" w:rsidRPr="00A95C50">
        <w:rPr>
          <w:spacing w:val="-2"/>
        </w:rPr>
        <w:t>20</w:t>
      </w:r>
      <w:r w:rsidR="00811BBF" w:rsidRPr="00A95C50">
        <w:rPr>
          <w:rFonts w:hint="cs"/>
          <w:spacing w:val="-2"/>
          <w:rtl/>
        </w:rPr>
        <w:t xml:space="preserve">. </w:t>
      </w:r>
      <w:r w:rsidRPr="00A95C50">
        <w:rPr>
          <w:rFonts w:hint="cs"/>
          <w:spacing w:val="-2"/>
          <w:rtl/>
        </w:rPr>
        <w:t xml:space="preserve">وقد اكتسب عدد من الموظفين الخبرة والمهارات ذات الصلة لتلبية الحاجة إلى تحمل مستوى أعلى من المسؤوليات الأمر الذي يبرر رفع رتبة بعض الوظائف. </w:t>
      </w:r>
      <w:r w:rsidRPr="00A95C50">
        <w:rPr>
          <w:spacing w:val="-2"/>
          <w:rtl/>
          <w:lang w:bidi="ar-EG"/>
        </w:rPr>
        <w:t xml:space="preserve">ويؤخذ في الحسبان في </w:t>
      </w:r>
      <w:r w:rsidRPr="00A95C50">
        <w:rPr>
          <w:spacing w:val="-2"/>
          <w:rtl/>
        </w:rPr>
        <w:t>ميزانية</w:t>
      </w:r>
      <w:r w:rsidR="00811BBF" w:rsidRPr="00A95C50">
        <w:rPr>
          <w:rFonts w:hint="cs"/>
          <w:spacing w:val="-2"/>
          <w:rtl/>
        </w:rPr>
        <w:t xml:space="preserve"> الفترة</w:t>
      </w:r>
      <w:r w:rsidRPr="00A95C50">
        <w:rPr>
          <w:spacing w:val="-2"/>
          <w:rtl/>
        </w:rPr>
        <w:t xml:space="preserve"> </w:t>
      </w:r>
      <w:r w:rsidR="00811BBF" w:rsidRPr="00A95C50">
        <w:rPr>
          <w:spacing w:val="-2"/>
        </w:rPr>
        <w:t>2021-2020</w:t>
      </w:r>
      <w:r w:rsidRPr="00A95C50">
        <w:rPr>
          <w:spacing w:val="-2"/>
          <w:rtl/>
        </w:rPr>
        <w:t xml:space="preserve"> </w:t>
      </w:r>
      <w:r w:rsidRPr="00A95C50">
        <w:rPr>
          <w:rFonts w:hint="cs"/>
          <w:spacing w:val="-2"/>
          <w:rtl/>
        </w:rPr>
        <w:t xml:space="preserve">رفع رتبة </w:t>
      </w:r>
      <w:r w:rsidR="00811BBF" w:rsidRPr="00A95C50">
        <w:rPr>
          <w:spacing w:val="-2"/>
          <w:lang w:bidi="ar-SY"/>
        </w:rPr>
        <w:t>4</w:t>
      </w:r>
      <w:r w:rsidRPr="00A95C50">
        <w:rPr>
          <w:spacing w:val="-2"/>
          <w:rtl/>
        </w:rPr>
        <w:t xml:space="preserve"> وظائف </w:t>
      </w:r>
      <w:r w:rsidR="00A95C50" w:rsidRPr="00A95C50">
        <w:rPr>
          <w:rFonts w:hint="cs"/>
          <w:spacing w:val="-2"/>
          <w:rtl/>
        </w:rPr>
        <w:t xml:space="preserve">(من </w:t>
      </w:r>
      <w:r w:rsidRPr="00A95C50">
        <w:rPr>
          <w:spacing w:val="-2"/>
        </w:rPr>
        <w:t>P-1</w:t>
      </w:r>
      <w:r w:rsidRPr="00A95C50">
        <w:rPr>
          <w:spacing w:val="-2"/>
          <w:rtl/>
        </w:rPr>
        <w:t xml:space="preserve"> </w:t>
      </w:r>
      <w:r w:rsidRPr="00A95C50">
        <w:rPr>
          <w:rFonts w:hint="cs"/>
          <w:spacing w:val="-2"/>
          <w:rtl/>
        </w:rPr>
        <w:t xml:space="preserve">إلى </w:t>
      </w:r>
      <w:r w:rsidRPr="00A95C50">
        <w:rPr>
          <w:spacing w:val="-2"/>
        </w:rPr>
        <w:t>P2</w:t>
      </w:r>
      <w:r w:rsidRPr="00A95C50">
        <w:rPr>
          <w:spacing w:val="-2"/>
          <w:rtl/>
        </w:rPr>
        <w:t xml:space="preserve">) </w:t>
      </w:r>
      <w:r w:rsidRPr="00A95C50">
        <w:rPr>
          <w:spacing w:val="-2"/>
          <w:rtl/>
          <w:lang w:bidi="ar-EG"/>
        </w:rPr>
        <w:t xml:space="preserve">وإنشاء وظيفة </w:t>
      </w:r>
      <w:r w:rsidRPr="00A95C50">
        <w:rPr>
          <w:spacing w:val="-2"/>
          <w:lang w:bidi="ar-EG"/>
        </w:rPr>
        <w:t>P-</w:t>
      </w:r>
      <w:r w:rsidR="00824FF0" w:rsidRPr="00A95C50">
        <w:rPr>
          <w:spacing w:val="-2"/>
          <w:lang w:bidi="ar-EG"/>
        </w:rPr>
        <w:t>5</w:t>
      </w:r>
      <w:r w:rsidRPr="00A95C50">
        <w:rPr>
          <w:spacing w:val="-2"/>
          <w:rtl/>
          <w:lang w:bidi="ar-EG"/>
        </w:rPr>
        <w:t xml:space="preserve"> </w:t>
      </w:r>
      <w:r w:rsidRPr="00A95C50">
        <w:rPr>
          <w:rFonts w:hint="cs"/>
          <w:spacing w:val="-2"/>
          <w:rtl/>
          <w:lang w:bidi="ar-EG"/>
        </w:rPr>
        <w:t>جديدة.</w:t>
      </w:r>
    </w:p>
    <w:p w:rsidR="001957B8" w:rsidRDefault="001957B8" w:rsidP="001957B8">
      <w:pPr>
        <w:pStyle w:val="TableNo"/>
        <w:rPr>
          <w:rtl/>
        </w:rPr>
      </w:pPr>
      <w:r>
        <w:rPr>
          <w:rtl/>
        </w:rPr>
        <w:t xml:space="preserve">الجدول </w:t>
      </w:r>
      <w:r>
        <w:rPr>
          <w:lang w:val="en-GB"/>
        </w:rPr>
        <w:t>2</w:t>
      </w:r>
    </w:p>
    <w:p w:rsidR="001957B8" w:rsidRDefault="001957B8" w:rsidP="001957B8">
      <w:pPr>
        <w:pStyle w:val="Tabletitle"/>
        <w:spacing w:after="120"/>
        <w:rPr>
          <w:rtl/>
        </w:rPr>
      </w:pPr>
      <w:r>
        <w:rPr>
          <w:rtl/>
        </w:rPr>
        <w:t>الوظائف المدرجة في الميزانية</w:t>
      </w:r>
    </w:p>
    <w:tbl>
      <w:tblPr>
        <w:bidiVisual/>
        <w:tblW w:w="5000" w:type="pct"/>
        <w:jc w:val="center"/>
        <w:tblLook w:val="04A0" w:firstRow="1" w:lastRow="0" w:firstColumn="1" w:lastColumn="0" w:noHBand="0" w:noVBand="1"/>
      </w:tblPr>
      <w:tblGrid>
        <w:gridCol w:w="2923"/>
        <w:gridCol w:w="1891"/>
        <w:gridCol w:w="1891"/>
        <w:gridCol w:w="1901"/>
        <w:gridCol w:w="1033"/>
      </w:tblGrid>
      <w:tr w:rsidR="001957B8" w:rsidRPr="00EB0541" w:rsidTr="001957B8">
        <w:trPr>
          <w:trHeight w:val="315"/>
          <w:jc w:val="center"/>
        </w:trPr>
        <w:tc>
          <w:tcPr>
            <w:tcW w:w="1516" w:type="pct"/>
            <w:vMerge w:val="restart"/>
            <w:tcBorders>
              <w:top w:val="single" w:sz="4" w:space="0" w:color="auto"/>
              <w:left w:val="nil"/>
              <w:right w:val="nil"/>
            </w:tcBorders>
            <w:shd w:val="clear" w:color="auto" w:fill="DCE6F1"/>
            <w:noWrap/>
            <w:vAlign w:val="center"/>
            <w:hideMark/>
          </w:tcPr>
          <w:p w:rsidR="001957B8" w:rsidRPr="00A95C50" w:rsidRDefault="001957B8" w:rsidP="00EC2AFC">
            <w:pPr>
              <w:pStyle w:val="TableHead"/>
              <w:rPr>
                <w:color w:val="1F4E79" w:themeColor="accent1" w:themeShade="80"/>
                <w:rtl/>
              </w:rPr>
            </w:pPr>
            <w:r w:rsidRPr="00A95C50">
              <w:rPr>
                <w:color w:val="1F4E79" w:themeColor="accent1" w:themeShade="80"/>
                <w:rtl/>
              </w:rPr>
              <w:t>الوظائف المدرجة في الميزانية</w:t>
            </w:r>
          </w:p>
        </w:tc>
        <w:tc>
          <w:tcPr>
            <w:tcW w:w="981" w:type="pct"/>
            <w:tcBorders>
              <w:top w:val="single" w:sz="4" w:space="0" w:color="auto"/>
              <w:left w:val="nil"/>
              <w:bottom w:val="nil"/>
              <w:right w:val="nil"/>
            </w:tcBorders>
            <w:shd w:val="clear" w:color="auto" w:fill="DCE6F1"/>
            <w:noWrap/>
            <w:vAlign w:val="center"/>
            <w:hideMark/>
          </w:tcPr>
          <w:p w:rsidR="001957B8" w:rsidRPr="00A95C50" w:rsidRDefault="001957B8" w:rsidP="00EC2AFC">
            <w:pPr>
              <w:pStyle w:val="TableHead"/>
              <w:rPr>
                <w:rFonts w:eastAsia="SimSun"/>
                <w:color w:val="1F4E79" w:themeColor="accent1" w:themeShade="80"/>
                <w:lang w:val="en-GB" w:bidi="ar-SY"/>
              </w:rPr>
            </w:pPr>
            <w:r w:rsidRPr="00A95C50">
              <w:rPr>
                <w:color w:val="1F4E79" w:themeColor="accent1" w:themeShade="80"/>
                <w:lang w:val="en-GB" w:bidi="ar-SY"/>
              </w:rPr>
              <w:t>2019-2018</w:t>
            </w:r>
          </w:p>
        </w:tc>
        <w:tc>
          <w:tcPr>
            <w:tcW w:w="981" w:type="pct"/>
            <w:tcBorders>
              <w:top w:val="single" w:sz="4" w:space="0" w:color="auto"/>
              <w:left w:val="nil"/>
              <w:bottom w:val="nil"/>
              <w:right w:val="nil"/>
            </w:tcBorders>
            <w:shd w:val="clear" w:color="auto" w:fill="DCE6F1"/>
            <w:noWrap/>
            <w:vAlign w:val="center"/>
            <w:hideMark/>
          </w:tcPr>
          <w:p w:rsidR="001957B8" w:rsidRPr="00A95C50" w:rsidRDefault="001957B8" w:rsidP="00EC2AFC">
            <w:pPr>
              <w:pStyle w:val="TableHead"/>
              <w:rPr>
                <w:color w:val="1F4E79" w:themeColor="accent1" w:themeShade="80"/>
                <w:lang w:val="en-GB" w:bidi="ar-SY"/>
              </w:rPr>
            </w:pPr>
            <w:r w:rsidRPr="00A95C50">
              <w:rPr>
                <w:color w:val="1F4E79" w:themeColor="accent1" w:themeShade="80"/>
                <w:lang w:val="en-GB" w:bidi="ar-SY"/>
              </w:rPr>
              <w:t>2021-2020</w:t>
            </w:r>
          </w:p>
        </w:tc>
        <w:tc>
          <w:tcPr>
            <w:tcW w:w="986" w:type="pct"/>
            <w:tcBorders>
              <w:top w:val="single" w:sz="4" w:space="0" w:color="auto"/>
              <w:left w:val="nil"/>
              <w:bottom w:val="nil"/>
              <w:right w:val="nil"/>
            </w:tcBorders>
            <w:shd w:val="clear" w:color="auto" w:fill="DCE6F1"/>
            <w:noWrap/>
            <w:vAlign w:val="center"/>
            <w:hideMark/>
          </w:tcPr>
          <w:p w:rsidR="001957B8" w:rsidRPr="00A95C50" w:rsidRDefault="001957B8" w:rsidP="00EC2AFC">
            <w:pPr>
              <w:pStyle w:val="TableHead"/>
              <w:rPr>
                <w:color w:val="1F4E79" w:themeColor="accent1" w:themeShade="80"/>
                <w:lang w:val="en-GB" w:bidi="ar-SY"/>
              </w:rPr>
            </w:pPr>
            <w:r w:rsidRPr="00A95C50">
              <w:rPr>
                <w:color w:val="1F4E79" w:themeColor="accent1" w:themeShade="80"/>
                <w:rtl/>
              </w:rPr>
              <w:t>التغير</w:t>
            </w:r>
          </w:p>
        </w:tc>
        <w:tc>
          <w:tcPr>
            <w:tcW w:w="536" w:type="pct"/>
            <w:tcBorders>
              <w:top w:val="single" w:sz="4" w:space="0" w:color="auto"/>
              <w:left w:val="nil"/>
              <w:bottom w:val="nil"/>
              <w:right w:val="nil"/>
            </w:tcBorders>
            <w:shd w:val="clear" w:color="auto" w:fill="DCE6F1"/>
            <w:noWrap/>
            <w:vAlign w:val="center"/>
            <w:hideMark/>
          </w:tcPr>
          <w:p w:rsidR="001957B8" w:rsidRPr="00A95C50" w:rsidRDefault="001957B8" w:rsidP="00EC2AFC">
            <w:pPr>
              <w:pStyle w:val="TableHead"/>
              <w:rPr>
                <w:color w:val="1F4E79" w:themeColor="accent1" w:themeShade="80"/>
                <w:lang w:val="en-GB" w:bidi="ar-SY"/>
              </w:rPr>
            </w:pPr>
            <w:r w:rsidRPr="00A95C50">
              <w:rPr>
                <w:color w:val="1F4E79" w:themeColor="accent1" w:themeShade="80"/>
                <w:rtl/>
              </w:rPr>
              <w:t>التغير</w:t>
            </w:r>
          </w:p>
        </w:tc>
      </w:tr>
      <w:tr w:rsidR="001957B8" w:rsidRPr="00EB0541" w:rsidTr="001957B8">
        <w:trPr>
          <w:trHeight w:val="300"/>
          <w:jc w:val="center"/>
        </w:trPr>
        <w:tc>
          <w:tcPr>
            <w:tcW w:w="1516" w:type="pct"/>
            <w:vMerge/>
            <w:tcBorders>
              <w:left w:val="nil"/>
              <w:bottom w:val="single" w:sz="4" w:space="0" w:color="auto"/>
              <w:right w:val="nil"/>
            </w:tcBorders>
            <w:shd w:val="clear" w:color="auto" w:fill="DCE6F1"/>
            <w:noWrap/>
            <w:vAlign w:val="center"/>
            <w:hideMark/>
          </w:tcPr>
          <w:p w:rsidR="001957B8" w:rsidRPr="00A95C50" w:rsidRDefault="001957B8" w:rsidP="00EC2AFC">
            <w:pPr>
              <w:pStyle w:val="TableHead"/>
              <w:rPr>
                <w:color w:val="1F4E79" w:themeColor="accent1" w:themeShade="80"/>
                <w:lang w:val="en-GB" w:bidi="ar-SY"/>
              </w:rPr>
            </w:pPr>
          </w:p>
        </w:tc>
        <w:tc>
          <w:tcPr>
            <w:tcW w:w="981" w:type="pct"/>
            <w:tcBorders>
              <w:top w:val="nil"/>
              <w:left w:val="nil"/>
              <w:bottom w:val="single" w:sz="4" w:space="0" w:color="auto"/>
              <w:right w:val="nil"/>
            </w:tcBorders>
            <w:shd w:val="clear" w:color="auto" w:fill="DCE6F1"/>
            <w:noWrap/>
            <w:vAlign w:val="center"/>
            <w:hideMark/>
          </w:tcPr>
          <w:p w:rsidR="001957B8" w:rsidRPr="00A95C50" w:rsidRDefault="00A95C50" w:rsidP="00EC2AFC">
            <w:pPr>
              <w:pStyle w:val="TableHead"/>
              <w:rPr>
                <w:color w:val="1F4E79" w:themeColor="accent1" w:themeShade="80"/>
              </w:rPr>
            </w:pPr>
            <w:r w:rsidRPr="00A95C50">
              <w:rPr>
                <w:color w:val="1F4E79" w:themeColor="accent1" w:themeShade="80"/>
              </w:rPr>
              <w:t>a</w:t>
            </w:r>
          </w:p>
        </w:tc>
        <w:tc>
          <w:tcPr>
            <w:tcW w:w="981" w:type="pct"/>
            <w:tcBorders>
              <w:top w:val="nil"/>
              <w:left w:val="nil"/>
              <w:bottom w:val="single" w:sz="4" w:space="0" w:color="auto"/>
              <w:right w:val="nil"/>
            </w:tcBorders>
            <w:shd w:val="clear" w:color="auto" w:fill="DCE6F1"/>
            <w:noWrap/>
            <w:vAlign w:val="center"/>
            <w:hideMark/>
          </w:tcPr>
          <w:p w:rsidR="001957B8" w:rsidRPr="00A95C50" w:rsidRDefault="00A95C50" w:rsidP="00EC2AFC">
            <w:pPr>
              <w:pStyle w:val="TableHead"/>
              <w:rPr>
                <w:color w:val="1F4E79" w:themeColor="accent1" w:themeShade="80"/>
              </w:rPr>
            </w:pPr>
            <w:r w:rsidRPr="00A95C50">
              <w:rPr>
                <w:color w:val="1F4E79" w:themeColor="accent1" w:themeShade="80"/>
              </w:rPr>
              <w:t>b</w:t>
            </w:r>
          </w:p>
        </w:tc>
        <w:tc>
          <w:tcPr>
            <w:tcW w:w="986" w:type="pct"/>
            <w:tcBorders>
              <w:top w:val="nil"/>
              <w:left w:val="nil"/>
              <w:bottom w:val="single" w:sz="4" w:space="0" w:color="auto"/>
              <w:right w:val="nil"/>
            </w:tcBorders>
            <w:shd w:val="clear" w:color="auto" w:fill="DCE6F1"/>
            <w:noWrap/>
            <w:vAlign w:val="center"/>
            <w:hideMark/>
          </w:tcPr>
          <w:p w:rsidR="001957B8" w:rsidRPr="00A95C50" w:rsidRDefault="00A95C50" w:rsidP="00EC2AFC">
            <w:pPr>
              <w:pStyle w:val="TableHead"/>
              <w:rPr>
                <w:color w:val="1F4E79" w:themeColor="accent1" w:themeShade="80"/>
              </w:rPr>
            </w:pPr>
            <w:r w:rsidRPr="00A95C50">
              <w:rPr>
                <w:color w:val="1F4E79" w:themeColor="accent1" w:themeShade="80"/>
              </w:rPr>
              <w:t>c=b-a</w:t>
            </w:r>
          </w:p>
        </w:tc>
        <w:tc>
          <w:tcPr>
            <w:tcW w:w="536" w:type="pct"/>
            <w:tcBorders>
              <w:top w:val="nil"/>
              <w:left w:val="nil"/>
              <w:bottom w:val="single" w:sz="4" w:space="0" w:color="auto"/>
              <w:right w:val="nil"/>
            </w:tcBorders>
            <w:shd w:val="clear" w:color="auto" w:fill="DCE6F1"/>
            <w:noWrap/>
            <w:vAlign w:val="center"/>
            <w:hideMark/>
          </w:tcPr>
          <w:p w:rsidR="001957B8" w:rsidRPr="00A95C50" w:rsidRDefault="00A95C50" w:rsidP="00EC2AFC">
            <w:pPr>
              <w:pStyle w:val="TableHead"/>
              <w:rPr>
                <w:color w:val="1F4E79" w:themeColor="accent1" w:themeShade="80"/>
              </w:rPr>
            </w:pPr>
            <w:r w:rsidRPr="00A95C50">
              <w:rPr>
                <w:color w:val="1F4E79" w:themeColor="accent1" w:themeShade="80"/>
              </w:rPr>
              <w:t>d=c/a</w:t>
            </w:r>
          </w:p>
        </w:tc>
      </w:tr>
      <w:tr w:rsidR="001957B8" w:rsidRPr="00EB0541" w:rsidTr="001957B8">
        <w:trPr>
          <w:trHeight w:val="450"/>
          <w:jc w:val="center"/>
        </w:trPr>
        <w:tc>
          <w:tcPr>
            <w:tcW w:w="1516" w:type="pct"/>
            <w:noWrap/>
            <w:vAlign w:val="center"/>
            <w:hideMark/>
          </w:tcPr>
          <w:p w:rsidR="001957B8" w:rsidRPr="00EB0541" w:rsidRDefault="001957B8" w:rsidP="00EC2AFC">
            <w:pPr>
              <w:pStyle w:val="Tabletexte"/>
              <w:rPr>
                <w:rFonts w:eastAsia="SimSun"/>
                <w:lang w:val="en-GB"/>
              </w:rPr>
            </w:pPr>
            <w:r w:rsidRPr="00EB0541">
              <w:rPr>
                <w:rtl/>
              </w:rPr>
              <w:t>عدد الوظائف المدرجة في الميزانية</w:t>
            </w:r>
          </w:p>
        </w:tc>
        <w:tc>
          <w:tcPr>
            <w:tcW w:w="981" w:type="pct"/>
            <w:noWrap/>
            <w:vAlign w:val="center"/>
            <w:hideMark/>
          </w:tcPr>
          <w:p w:rsidR="001957B8" w:rsidRPr="00EB0541" w:rsidRDefault="001957B8" w:rsidP="00EC2AFC">
            <w:pPr>
              <w:pStyle w:val="Tabletexte"/>
            </w:pPr>
            <w:r w:rsidRPr="00EB0541">
              <w:t>23</w:t>
            </w:r>
          </w:p>
        </w:tc>
        <w:tc>
          <w:tcPr>
            <w:tcW w:w="981" w:type="pct"/>
            <w:noWrap/>
            <w:vAlign w:val="center"/>
            <w:hideMark/>
          </w:tcPr>
          <w:p w:rsidR="001957B8" w:rsidRPr="00EB0541" w:rsidRDefault="001957B8" w:rsidP="00EC2AFC">
            <w:pPr>
              <w:pStyle w:val="Tabletexte"/>
            </w:pPr>
            <w:r w:rsidRPr="00EB0541">
              <w:t>23</w:t>
            </w:r>
          </w:p>
        </w:tc>
        <w:tc>
          <w:tcPr>
            <w:tcW w:w="986" w:type="pct"/>
            <w:noWrap/>
            <w:vAlign w:val="center"/>
            <w:hideMark/>
          </w:tcPr>
          <w:p w:rsidR="001957B8" w:rsidRPr="00EB0541" w:rsidRDefault="001957B8" w:rsidP="00EC2AFC">
            <w:pPr>
              <w:pStyle w:val="Tabletexte"/>
            </w:pPr>
            <w:r w:rsidRPr="00EB0541">
              <w:t>-</w:t>
            </w:r>
          </w:p>
        </w:tc>
        <w:tc>
          <w:tcPr>
            <w:tcW w:w="536" w:type="pct"/>
            <w:noWrap/>
            <w:vAlign w:val="center"/>
            <w:hideMark/>
          </w:tcPr>
          <w:p w:rsidR="001957B8" w:rsidRPr="00EB0541" w:rsidRDefault="001957B8" w:rsidP="00EC2AFC">
            <w:pPr>
              <w:pStyle w:val="Tabletexte"/>
            </w:pPr>
            <w:r w:rsidRPr="00EB0541">
              <w:t>%0</w:t>
            </w:r>
          </w:p>
        </w:tc>
      </w:tr>
      <w:tr w:rsidR="001957B8" w:rsidRPr="00EB0541" w:rsidTr="001957B8">
        <w:trPr>
          <w:trHeight w:val="450"/>
          <w:jc w:val="center"/>
        </w:trPr>
        <w:tc>
          <w:tcPr>
            <w:tcW w:w="1516" w:type="pct"/>
            <w:noWrap/>
            <w:vAlign w:val="center"/>
            <w:hideMark/>
          </w:tcPr>
          <w:p w:rsidR="001957B8" w:rsidRPr="00EB0541" w:rsidRDefault="001957B8" w:rsidP="00EC2AFC">
            <w:pPr>
              <w:pStyle w:val="Tabletexte"/>
              <w:rPr>
                <w:rFonts w:eastAsia="SimSun"/>
                <w:lang w:val="en-GB"/>
              </w:rPr>
            </w:pPr>
            <w:r w:rsidRPr="00EB0541">
              <w:rPr>
                <w:rtl/>
              </w:rPr>
              <w:t>التكلفة (بآلاف الفرنكات السويسرية)</w:t>
            </w:r>
          </w:p>
        </w:tc>
        <w:tc>
          <w:tcPr>
            <w:tcW w:w="981" w:type="pct"/>
            <w:noWrap/>
            <w:vAlign w:val="center"/>
            <w:hideMark/>
          </w:tcPr>
          <w:p w:rsidR="001957B8" w:rsidRPr="00EB0541" w:rsidRDefault="001957B8" w:rsidP="00EC2AFC">
            <w:pPr>
              <w:pStyle w:val="Tabletexte"/>
            </w:pPr>
            <w:r w:rsidRPr="00EB0541">
              <w:t>7 </w:t>
            </w:r>
            <w:r>
              <w:t>756</w:t>
            </w:r>
          </w:p>
        </w:tc>
        <w:tc>
          <w:tcPr>
            <w:tcW w:w="981" w:type="pct"/>
            <w:noWrap/>
            <w:vAlign w:val="center"/>
            <w:hideMark/>
          </w:tcPr>
          <w:p w:rsidR="001957B8" w:rsidRPr="00EB0541" w:rsidRDefault="001957B8" w:rsidP="00EC2AFC">
            <w:pPr>
              <w:pStyle w:val="Tabletexte"/>
            </w:pPr>
            <w:r>
              <w:t>6 980</w:t>
            </w:r>
          </w:p>
        </w:tc>
        <w:tc>
          <w:tcPr>
            <w:tcW w:w="986" w:type="pct"/>
            <w:noWrap/>
            <w:vAlign w:val="center"/>
            <w:hideMark/>
          </w:tcPr>
          <w:p w:rsidR="001957B8" w:rsidRPr="00EB0541" w:rsidRDefault="001957B8" w:rsidP="00EC2AFC">
            <w:pPr>
              <w:pStyle w:val="Tabletexte"/>
            </w:pPr>
            <w:r>
              <w:t>776-</w:t>
            </w:r>
          </w:p>
        </w:tc>
        <w:tc>
          <w:tcPr>
            <w:tcW w:w="536" w:type="pct"/>
            <w:noWrap/>
            <w:vAlign w:val="center"/>
            <w:hideMark/>
          </w:tcPr>
          <w:p w:rsidR="001957B8" w:rsidRPr="00EB0541" w:rsidRDefault="001957B8" w:rsidP="00EC2AFC">
            <w:pPr>
              <w:pStyle w:val="Tabletexte"/>
            </w:pPr>
            <w:r w:rsidRPr="00EB0541">
              <w:t>%</w:t>
            </w:r>
            <w:r>
              <w:t>10-</w:t>
            </w:r>
          </w:p>
        </w:tc>
      </w:tr>
    </w:tbl>
    <w:p w:rsidR="001957B8" w:rsidRDefault="001957B8" w:rsidP="001957B8">
      <w:pPr>
        <w:spacing w:before="240"/>
        <w:rPr>
          <w:rFonts w:eastAsia="SimSun"/>
        </w:rPr>
      </w:pPr>
      <w:r>
        <w:rPr>
          <w:lang w:val="en-GB"/>
        </w:rPr>
        <w:lastRenderedPageBreak/>
        <w:t>5</w:t>
      </w:r>
      <w:r>
        <w:rPr>
          <w:rtl/>
        </w:rPr>
        <w:tab/>
        <w:t>تتصل الفئات من </w:t>
      </w:r>
      <w:r>
        <w:rPr>
          <w:lang w:val="en-GB"/>
        </w:rPr>
        <w:t>3</w:t>
      </w:r>
      <w:r>
        <w:rPr>
          <w:rtl/>
        </w:rPr>
        <w:t xml:space="preserve"> إلى </w:t>
      </w:r>
      <w:r>
        <w:rPr>
          <w:lang w:val="en-GB"/>
        </w:rPr>
        <w:t>9</w:t>
      </w:r>
      <w:r>
        <w:rPr>
          <w:rtl/>
        </w:rPr>
        <w:t xml:space="preserve"> من نفقات الميزانية بالسفر في مهام رسمية والخدمات التعاقدية والاستئجار والصيانة والمعدات واللوازم والحيازة ومرافق الخدمات العامة والداخلية والنفقات المتفرقة.</w:t>
      </w:r>
    </w:p>
    <w:p w:rsidR="001957B8" w:rsidRPr="001957B8" w:rsidRDefault="001957B8" w:rsidP="00644A00">
      <w:pPr>
        <w:pStyle w:val="enumlev1"/>
        <w:ind w:left="794" w:hanging="794"/>
        <w:rPr>
          <w:rtl/>
        </w:rPr>
      </w:pPr>
      <w:r w:rsidRPr="001957B8">
        <w:rPr>
          <w:rtl/>
        </w:rPr>
        <w:t xml:space="preserve"> أ )</w:t>
      </w:r>
      <w:r w:rsidRPr="001957B8">
        <w:rPr>
          <w:rtl/>
        </w:rPr>
        <w:tab/>
        <w:t xml:space="preserve">وتتصل الفئة </w:t>
      </w:r>
      <w:r w:rsidRPr="001957B8">
        <w:t>3</w:t>
      </w:r>
      <w:r w:rsidRPr="001957B8">
        <w:rPr>
          <w:rtl/>
        </w:rPr>
        <w:t xml:space="preserve"> بالسفر في مهام رسمية حيث تشمل تكاليف مثل البدل اليومي (بدل المعيشة اليومي المقرر في الأمم المتحدة أو </w:t>
      </w:r>
      <w:r w:rsidRPr="001957B8">
        <w:t>"DSA"</w:t>
      </w:r>
      <w:r w:rsidRPr="001957B8">
        <w:rPr>
          <w:rtl/>
        </w:rPr>
        <w:t xml:space="preserve">) والنفقات النثرية في محطات السفر والتأمين. وتبذل الجهود لكفالة إجراء بعثات تليكوم الاتحاد بشكل يحقق فعالية التكاليف. ويجري استخدام المراسلات الإلكترونية وخدمة المؤتمرات عن بُعد قدر الإمكان لتجنب نفقات السفر غير الضرورية. ويسافر بعض الموظفين في مهام باختصاصات مشتركة مع تقليل فترات الرحلات إلى الحد الأدنى. </w:t>
      </w:r>
      <w:r w:rsidR="0026761E" w:rsidRPr="007E2E30">
        <w:rPr>
          <w:rFonts w:hint="cs"/>
          <w:rtl/>
        </w:rPr>
        <w:t xml:space="preserve">وبالتالي، فقد خُفّضت </w:t>
      </w:r>
      <w:r w:rsidRPr="007E2E30">
        <w:rPr>
          <w:rtl/>
        </w:rPr>
        <w:t>التكلفة المقدرة للسفر في مهام رسمية للفترة </w:t>
      </w:r>
      <w:r w:rsidRPr="007E2E30">
        <w:t>2021-2020</w:t>
      </w:r>
      <w:r w:rsidRPr="007E2E30">
        <w:rPr>
          <w:rtl/>
        </w:rPr>
        <w:t xml:space="preserve"> </w:t>
      </w:r>
      <w:r w:rsidR="0026761E" w:rsidRPr="007E2E30">
        <w:rPr>
          <w:rFonts w:hint="cs"/>
          <w:rtl/>
        </w:rPr>
        <w:t xml:space="preserve">بنسبة </w:t>
      </w:r>
      <w:r w:rsidR="0026761E" w:rsidRPr="007E2E30">
        <w:rPr>
          <w:lang w:val="es-ES"/>
        </w:rPr>
        <w:t>40</w:t>
      </w:r>
      <w:r w:rsidR="0026761E" w:rsidRPr="007E2E30">
        <w:rPr>
          <w:rFonts w:hint="cs"/>
          <w:rtl/>
          <w:lang w:val="es-ES" w:bidi="ar-EG"/>
        </w:rPr>
        <w:t xml:space="preserve"> في المائة </w:t>
      </w:r>
      <w:r w:rsidR="00E84F30" w:rsidRPr="007E2E30">
        <w:rPr>
          <w:rFonts w:hint="cs"/>
          <w:rtl/>
          <w:lang w:val="es-ES" w:bidi="ar-EG"/>
        </w:rPr>
        <w:t>مقارنة</w:t>
      </w:r>
      <w:r w:rsidR="00644A00" w:rsidRPr="007E2E30">
        <w:rPr>
          <w:rFonts w:hint="cs"/>
          <w:rtl/>
          <w:lang w:val="es-ES" w:bidi="ar-EG"/>
        </w:rPr>
        <w:t xml:space="preserve"> بتكلفته</w:t>
      </w:r>
      <w:r w:rsidR="00D13979" w:rsidRPr="007E2E30">
        <w:rPr>
          <w:rFonts w:hint="cs"/>
          <w:rtl/>
          <w:lang w:val="es-ES" w:bidi="ar-EG"/>
        </w:rPr>
        <w:t xml:space="preserve"> </w:t>
      </w:r>
      <w:r w:rsidR="009850F8" w:rsidRPr="007E2E30">
        <w:rPr>
          <w:rFonts w:hint="cs"/>
          <w:rtl/>
          <w:lang w:val="es-ES" w:bidi="ar-EG"/>
        </w:rPr>
        <w:t xml:space="preserve">المقدّرة </w:t>
      </w:r>
      <w:r w:rsidR="00D13979" w:rsidRPr="007E2E30">
        <w:rPr>
          <w:rFonts w:hint="cs"/>
          <w:rtl/>
          <w:lang w:val="es-ES" w:bidi="ar-EG"/>
        </w:rPr>
        <w:t>في ميزانية الفترة</w:t>
      </w:r>
      <w:r w:rsidRPr="007E2E30">
        <w:rPr>
          <w:rtl/>
        </w:rPr>
        <w:t> </w:t>
      </w:r>
      <w:r w:rsidRPr="007E2E30">
        <w:t>201</w:t>
      </w:r>
      <w:r w:rsidR="00D13979" w:rsidRPr="007E2E30">
        <w:t>9</w:t>
      </w:r>
      <w:r w:rsidRPr="007E2E30">
        <w:t>-201</w:t>
      </w:r>
      <w:r w:rsidR="00D13979" w:rsidRPr="007E2E30">
        <w:t>8</w:t>
      </w:r>
      <w:r w:rsidRPr="007E2E30">
        <w:rPr>
          <w:rtl/>
        </w:rPr>
        <w:t>. ويتم تحميل المهام الخاصة بالحدث على الميزانية المخصصة للحدث.</w:t>
      </w:r>
    </w:p>
    <w:p w:rsidR="001957B8" w:rsidRPr="007E2E30" w:rsidRDefault="001957B8" w:rsidP="00A95C50">
      <w:pPr>
        <w:pStyle w:val="enumlev1"/>
        <w:ind w:left="794" w:hanging="794"/>
        <w:rPr>
          <w:rtl/>
        </w:rPr>
      </w:pPr>
      <w:r>
        <w:rPr>
          <w:rtl/>
        </w:rPr>
        <w:t>ب)</w:t>
      </w:r>
      <w:r>
        <w:rPr>
          <w:rtl/>
        </w:rPr>
        <w:tab/>
      </w:r>
      <w:r w:rsidRPr="00A95C50">
        <w:rPr>
          <w:rtl/>
        </w:rPr>
        <w:t xml:space="preserve">وتشير الفئة </w:t>
      </w:r>
      <w:r w:rsidRPr="00A95C50">
        <w:rPr>
          <w:lang w:val="en-GB"/>
        </w:rPr>
        <w:t>4</w:t>
      </w:r>
      <w:r w:rsidRPr="00A95C50">
        <w:rPr>
          <w:rtl/>
        </w:rPr>
        <w:t xml:space="preserve"> إلى</w:t>
      </w:r>
      <w:r>
        <w:rPr>
          <w:rtl/>
        </w:rPr>
        <w:t xml:space="preserve"> </w:t>
      </w:r>
      <w:r w:rsidRPr="007E2E30">
        <w:rPr>
          <w:rtl/>
        </w:rPr>
        <w:t xml:space="preserve">الخدمات التعاقدية. </w:t>
      </w:r>
      <w:r w:rsidR="003A5BA6" w:rsidRPr="007E2E30">
        <w:rPr>
          <w:rFonts w:hint="cs"/>
          <w:rtl/>
          <w:lang w:bidi="ar-EG"/>
        </w:rPr>
        <w:t>وإجمالي ميزانية</w:t>
      </w:r>
      <w:r w:rsidR="003A5BA6" w:rsidRPr="007E2E30">
        <w:rPr>
          <w:rtl/>
        </w:rPr>
        <w:t xml:space="preserve"> </w:t>
      </w:r>
      <w:r w:rsidR="003A5BA6" w:rsidRPr="007E2E30">
        <w:rPr>
          <w:rFonts w:hint="cs"/>
          <w:rtl/>
        </w:rPr>
        <w:t>ا</w:t>
      </w:r>
      <w:r w:rsidRPr="007E2E30">
        <w:rPr>
          <w:rtl/>
        </w:rPr>
        <w:t>لخدمات التعاقدية</w:t>
      </w:r>
      <w:r w:rsidR="00644A00" w:rsidRPr="007E2E30">
        <w:rPr>
          <w:rFonts w:hint="cs"/>
          <w:rtl/>
        </w:rPr>
        <w:t xml:space="preserve"> </w:t>
      </w:r>
      <w:r w:rsidR="00644A00" w:rsidRPr="007E2E30">
        <w:rPr>
          <w:rtl/>
        </w:rPr>
        <w:t>للفترة </w:t>
      </w:r>
      <w:r w:rsidR="00644A00" w:rsidRPr="007E2E30">
        <w:rPr>
          <w:rFonts w:hint="cs"/>
          <w:rtl/>
        </w:rPr>
        <w:t>المشار إليها</w:t>
      </w:r>
      <w:r w:rsidRPr="007E2E30">
        <w:rPr>
          <w:rtl/>
        </w:rPr>
        <w:t xml:space="preserve"> </w:t>
      </w:r>
      <w:r w:rsidR="003A5BA6" w:rsidRPr="007E2E30">
        <w:rPr>
          <w:rFonts w:hint="cs"/>
          <w:rtl/>
        </w:rPr>
        <w:t xml:space="preserve">أدنى بنسبة </w:t>
      </w:r>
      <w:r w:rsidR="003A5BA6" w:rsidRPr="007E2E30">
        <w:rPr>
          <w:lang w:val="es-ES"/>
        </w:rPr>
        <w:t>20</w:t>
      </w:r>
      <w:r w:rsidR="003A5BA6" w:rsidRPr="007E2E30">
        <w:rPr>
          <w:rFonts w:hint="cs"/>
          <w:rtl/>
          <w:lang w:bidi="ar-EG"/>
        </w:rPr>
        <w:t xml:space="preserve"> في المائة </w:t>
      </w:r>
      <w:r w:rsidR="00A95C50">
        <w:rPr>
          <w:rFonts w:hint="cs"/>
          <w:rtl/>
          <w:lang w:bidi="ar-EG"/>
        </w:rPr>
        <w:t xml:space="preserve">مما </w:t>
      </w:r>
      <w:r w:rsidR="00644A00" w:rsidRPr="007E2E30">
        <w:rPr>
          <w:rtl/>
        </w:rPr>
        <w:t>كان</w:t>
      </w:r>
      <w:r w:rsidRPr="007E2E30">
        <w:rPr>
          <w:rtl/>
        </w:rPr>
        <w:t xml:space="preserve"> عليه في الفترة </w:t>
      </w:r>
      <w:r w:rsidRPr="007E2E30">
        <w:rPr>
          <w:lang w:val="en-GB"/>
        </w:rPr>
        <w:t>201</w:t>
      </w:r>
      <w:r w:rsidR="00F322EF" w:rsidRPr="007E2E30">
        <w:rPr>
          <w:lang w:val="en-GB"/>
        </w:rPr>
        <w:t>9</w:t>
      </w:r>
      <w:r w:rsidR="00824FF0" w:rsidRPr="007E2E30">
        <w:rPr>
          <w:lang w:val="en-GB"/>
        </w:rPr>
        <w:t>-</w:t>
      </w:r>
      <w:r w:rsidR="00F322EF" w:rsidRPr="007E2E30">
        <w:rPr>
          <w:lang w:val="en-GB"/>
        </w:rPr>
        <w:t>2018</w:t>
      </w:r>
      <w:r w:rsidRPr="007E2E30">
        <w:rPr>
          <w:rtl/>
        </w:rPr>
        <w:t>. وتُحمّل أنشطة وحملات التسويق التي تتضمن الترويج للأحداث على ميزانيات الأحداث ذات الصلة.</w:t>
      </w:r>
    </w:p>
    <w:p w:rsidR="001957B8" w:rsidRPr="003736B4" w:rsidRDefault="001957B8" w:rsidP="003736B4">
      <w:pPr>
        <w:pStyle w:val="enumlev1"/>
        <w:ind w:left="794" w:hanging="794"/>
      </w:pPr>
      <w:r w:rsidRPr="003736B4">
        <w:rPr>
          <w:rtl/>
        </w:rPr>
        <w:t>ج)</w:t>
      </w:r>
      <w:r w:rsidRPr="003736B4">
        <w:rPr>
          <w:rtl/>
        </w:rPr>
        <w:tab/>
        <w:t xml:space="preserve">تتعلق الفئة </w:t>
      </w:r>
      <w:r w:rsidRPr="003736B4">
        <w:rPr>
          <w:lang w:val="en-GB"/>
        </w:rPr>
        <w:t>5</w:t>
      </w:r>
      <w:r w:rsidRPr="003736B4">
        <w:rPr>
          <w:rtl/>
          <w:lang w:val="en-GB"/>
        </w:rPr>
        <w:t xml:space="preserve"> </w:t>
      </w:r>
      <w:r w:rsidRPr="003736B4">
        <w:rPr>
          <w:rtl/>
        </w:rPr>
        <w:t>ب</w:t>
      </w:r>
      <w:r w:rsidR="008D4FBA" w:rsidRPr="003736B4">
        <w:rPr>
          <w:rFonts w:hint="cs"/>
          <w:rtl/>
        </w:rPr>
        <w:t xml:space="preserve">نفقات </w:t>
      </w:r>
      <w:r w:rsidRPr="003736B4">
        <w:rPr>
          <w:rtl/>
        </w:rPr>
        <w:t>استئجار وصيانة</w:t>
      </w:r>
      <w:r w:rsidR="003A5BA6" w:rsidRPr="003736B4">
        <w:rPr>
          <w:rtl/>
        </w:rPr>
        <w:t xml:space="preserve"> الأماكن والمعدات</w:t>
      </w:r>
      <w:r w:rsidR="003A5BA6" w:rsidRPr="003736B4">
        <w:rPr>
          <w:rFonts w:hint="cs"/>
          <w:rtl/>
        </w:rPr>
        <w:t>،</w:t>
      </w:r>
      <w:r w:rsidRPr="003736B4">
        <w:rPr>
          <w:rtl/>
        </w:rPr>
        <w:t xml:space="preserve"> </w:t>
      </w:r>
      <w:r w:rsidR="003A5BA6" w:rsidRPr="003736B4">
        <w:rPr>
          <w:rFonts w:hint="cs"/>
          <w:rtl/>
        </w:rPr>
        <w:t>وقد خُفّضت</w:t>
      </w:r>
      <w:r w:rsidR="008D4FBA" w:rsidRPr="003736B4">
        <w:rPr>
          <w:rFonts w:hint="cs"/>
          <w:rtl/>
        </w:rPr>
        <w:t xml:space="preserve"> قيمتها</w:t>
      </w:r>
      <w:r w:rsidR="003A5BA6" w:rsidRPr="003736B4">
        <w:rPr>
          <w:rFonts w:hint="cs"/>
          <w:rtl/>
        </w:rPr>
        <w:t xml:space="preserve"> </w:t>
      </w:r>
      <w:r w:rsidR="00644A00" w:rsidRPr="003736B4">
        <w:rPr>
          <w:rFonts w:hint="cs"/>
          <w:rtl/>
        </w:rPr>
        <w:t xml:space="preserve">بنسبة </w:t>
      </w:r>
      <w:r w:rsidR="00644A00" w:rsidRPr="003736B4">
        <w:rPr>
          <w:lang w:val="es-ES"/>
        </w:rPr>
        <w:t>33</w:t>
      </w:r>
      <w:r w:rsidR="00644A00" w:rsidRPr="003736B4">
        <w:rPr>
          <w:rFonts w:hint="cs"/>
          <w:rtl/>
          <w:lang w:bidi="ar-EG"/>
        </w:rPr>
        <w:t xml:space="preserve"> في المائة ع</w:t>
      </w:r>
      <w:r w:rsidR="008D4FBA" w:rsidRPr="003736B4">
        <w:rPr>
          <w:rFonts w:hint="cs"/>
          <w:rtl/>
          <w:lang w:bidi="ar-EG"/>
        </w:rPr>
        <w:t xml:space="preserve">ما كانت عليه </w:t>
      </w:r>
      <w:r w:rsidR="00644A00" w:rsidRPr="003736B4">
        <w:rPr>
          <w:rFonts w:hint="cs"/>
          <w:rtl/>
          <w:lang w:bidi="ar-EG"/>
        </w:rPr>
        <w:t>في</w:t>
      </w:r>
      <w:r w:rsidR="003736B4" w:rsidRPr="003736B4">
        <w:rPr>
          <w:rFonts w:hint="eastAsia"/>
          <w:rtl/>
          <w:lang w:bidi="ar-EG"/>
        </w:rPr>
        <w:t> </w:t>
      </w:r>
      <w:r w:rsidRPr="003736B4">
        <w:rPr>
          <w:rtl/>
        </w:rPr>
        <w:t>الفترة </w:t>
      </w:r>
      <w:r w:rsidRPr="003736B4">
        <w:t>2019-2018</w:t>
      </w:r>
      <w:r w:rsidRPr="003736B4">
        <w:rPr>
          <w:rtl/>
        </w:rPr>
        <w:t>. وتت</w:t>
      </w:r>
      <w:r w:rsidR="007E2E30" w:rsidRPr="003736B4">
        <w:rPr>
          <w:rFonts w:hint="cs"/>
          <w:rtl/>
        </w:rPr>
        <w:t>صل</w:t>
      </w:r>
      <w:r w:rsidRPr="003736B4">
        <w:rPr>
          <w:rtl/>
        </w:rPr>
        <w:t xml:space="preserve"> فئة النفقات هذه بمتطلبات الاجتماعات والأنشطة الترويجية لأحداث تليكوم الاتحاد بصفة عامة.</w:t>
      </w:r>
    </w:p>
    <w:p w:rsidR="001957B8" w:rsidRDefault="001957B8" w:rsidP="00A95C50">
      <w:pPr>
        <w:pStyle w:val="enumlev1"/>
        <w:ind w:left="794" w:hanging="794"/>
        <w:rPr>
          <w:rtl/>
        </w:rPr>
      </w:pPr>
      <w:r>
        <w:rPr>
          <w:rtl/>
        </w:rPr>
        <w:t>د</w:t>
      </w:r>
      <w:r>
        <w:rPr>
          <w:rtl/>
          <w:lang w:val="en-GB"/>
        </w:rPr>
        <w:t xml:space="preserve"> )</w:t>
      </w:r>
      <w:r>
        <w:rPr>
          <w:rtl/>
        </w:rPr>
        <w:tab/>
      </w:r>
      <w:r w:rsidR="00A95C50">
        <w:rPr>
          <w:rFonts w:hint="cs"/>
          <w:rtl/>
        </w:rPr>
        <w:t>وتبين</w:t>
      </w:r>
      <w:r>
        <w:rPr>
          <w:rtl/>
        </w:rPr>
        <w:t xml:space="preserve"> الفئة </w:t>
      </w:r>
      <w:r>
        <w:rPr>
          <w:lang w:val="en-GB"/>
        </w:rPr>
        <w:t>6</w:t>
      </w:r>
      <w:r>
        <w:rPr>
          <w:rtl/>
          <w:lang w:val="en-GB"/>
        </w:rPr>
        <w:t xml:space="preserve"> </w:t>
      </w:r>
      <w:r w:rsidR="008D4FBA">
        <w:rPr>
          <w:rFonts w:hint="cs"/>
          <w:rtl/>
          <w:lang w:val="en-GB"/>
        </w:rPr>
        <w:t>ا</w:t>
      </w:r>
      <w:r w:rsidR="00644A00">
        <w:rPr>
          <w:rFonts w:hint="cs"/>
          <w:rtl/>
          <w:lang w:val="en-GB"/>
        </w:rPr>
        <w:t>نخفاض</w:t>
      </w:r>
      <w:r w:rsidR="005674C8">
        <w:rPr>
          <w:rFonts w:hint="cs"/>
          <w:rtl/>
          <w:lang w:val="en-GB"/>
        </w:rPr>
        <w:t xml:space="preserve">اً </w:t>
      </w:r>
      <w:r w:rsidR="00644A00">
        <w:rPr>
          <w:rFonts w:hint="cs"/>
          <w:rtl/>
          <w:lang w:val="en-GB"/>
        </w:rPr>
        <w:t xml:space="preserve">بنسبة </w:t>
      </w:r>
      <w:r w:rsidR="00644A00">
        <w:rPr>
          <w:lang w:val="es-ES"/>
        </w:rPr>
        <w:t>25</w:t>
      </w:r>
      <w:r w:rsidR="00644A00">
        <w:rPr>
          <w:rFonts w:hint="cs"/>
          <w:rtl/>
          <w:lang w:bidi="ar-EG"/>
        </w:rPr>
        <w:t xml:space="preserve"> في المائة </w:t>
      </w:r>
      <w:r w:rsidR="008D4FBA">
        <w:rPr>
          <w:rFonts w:hint="cs"/>
          <w:rtl/>
          <w:lang w:bidi="ar-EG"/>
        </w:rPr>
        <w:t>عن قيمتها</w:t>
      </w:r>
      <w:r w:rsidR="00E84F30">
        <w:rPr>
          <w:rFonts w:hint="cs"/>
          <w:rtl/>
          <w:lang w:bidi="ar-EG"/>
        </w:rPr>
        <w:t xml:space="preserve"> في </w:t>
      </w:r>
      <w:r w:rsidR="00644A00">
        <w:rPr>
          <w:rFonts w:hint="cs"/>
          <w:rtl/>
          <w:lang w:bidi="ar-EG"/>
        </w:rPr>
        <w:t xml:space="preserve">ميزانية الفترة </w:t>
      </w:r>
      <w:r w:rsidR="00644A00" w:rsidRPr="006855B4">
        <w:rPr>
          <w:spacing w:val="-4"/>
        </w:rPr>
        <w:t>2019-2018</w:t>
      </w:r>
      <w:r w:rsidR="00644A00">
        <w:rPr>
          <w:rFonts w:hint="cs"/>
          <w:rtl/>
          <w:lang w:val="en-GB"/>
        </w:rPr>
        <w:t xml:space="preserve">. </w:t>
      </w:r>
      <w:r w:rsidR="007E2E30">
        <w:rPr>
          <w:rFonts w:hint="cs"/>
          <w:rtl/>
          <w:lang w:val="en-GB"/>
        </w:rPr>
        <w:t>وتتعلق</w:t>
      </w:r>
      <w:r w:rsidR="00644A00">
        <w:rPr>
          <w:rFonts w:hint="cs"/>
          <w:rtl/>
          <w:lang w:val="en-GB"/>
        </w:rPr>
        <w:t xml:space="preserve"> هذه الفئة </w:t>
      </w:r>
      <w:r>
        <w:rPr>
          <w:rtl/>
        </w:rPr>
        <w:t xml:space="preserve">بالنفقات المتصلة بالمعدات واللوازم مثل اللوازم المكتبية ومواد الطباعة ولوازم تكنولوجيا المعلومات والمواد المرجعية وكذلك طباعة وإنتاج الكتيبات. </w:t>
      </w:r>
      <w:r w:rsidR="00E84F30">
        <w:rPr>
          <w:rFonts w:hint="cs"/>
          <w:rtl/>
        </w:rPr>
        <w:t>ويُعزى انخفاض ميزانية هذه الفئة إلى حدوث انخفاض كبير</w:t>
      </w:r>
      <w:r w:rsidR="009850F8">
        <w:rPr>
          <w:rFonts w:hint="cs"/>
          <w:rtl/>
        </w:rPr>
        <w:t xml:space="preserve"> في </w:t>
      </w:r>
      <w:r w:rsidR="007E2E30">
        <w:rPr>
          <w:rFonts w:hint="cs"/>
          <w:rtl/>
        </w:rPr>
        <w:t>ال</w:t>
      </w:r>
      <w:r w:rsidR="009850F8">
        <w:rPr>
          <w:rFonts w:hint="cs"/>
          <w:rtl/>
        </w:rPr>
        <w:t>نفقات</w:t>
      </w:r>
      <w:r w:rsidR="007E2E30">
        <w:rPr>
          <w:rFonts w:hint="cs"/>
          <w:rtl/>
        </w:rPr>
        <w:t xml:space="preserve"> المتعلقة</w:t>
      </w:r>
      <w:r w:rsidR="00E84F30">
        <w:rPr>
          <w:rFonts w:hint="cs"/>
          <w:rtl/>
        </w:rPr>
        <w:t xml:space="preserve"> </w:t>
      </w:r>
      <w:r w:rsidR="007E2E30">
        <w:rPr>
          <w:rFonts w:hint="cs"/>
          <w:rtl/>
        </w:rPr>
        <w:t>ب</w:t>
      </w:r>
      <w:r w:rsidR="00E84F30">
        <w:rPr>
          <w:rFonts w:hint="cs"/>
          <w:rtl/>
        </w:rPr>
        <w:t>المواد المطبوعة لصالح المواد الرقمية تماشياً مع سياسة الاتحاد، وكذلك إلى طباعة بعض الكتيبات داخلياً.</w:t>
      </w:r>
      <w:r>
        <w:rPr>
          <w:rtl/>
        </w:rPr>
        <w:t xml:space="preserve"> وتتاح أيضاً الاعتمادات اللازمة لطباعة وإنتاج الكتيبات المتعلقة بحدث خاص من ميزانية الحدث ذي الصلة.</w:t>
      </w:r>
    </w:p>
    <w:p w:rsidR="001957B8" w:rsidRDefault="001957B8" w:rsidP="00F322EF">
      <w:pPr>
        <w:pStyle w:val="enumlev1"/>
        <w:ind w:left="794" w:hanging="794"/>
        <w:rPr>
          <w:rtl/>
        </w:rPr>
      </w:pPr>
      <w:r>
        <w:rPr>
          <w:rtl/>
        </w:rPr>
        <w:t>ﻫ )</w:t>
      </w:r>
      <w:r>
        <w:rPr>
          <w:rtl/>
        </w:rPr>
        <w:tab/>
        <w:t xml:space="preserve">وتشير الفئة </w:t>
      </w:r>
      <w:r>
        <w:rPr>
          <w:lang w:val="en-GB"/>
        </w:rPr>
        <w:t>7</w:t>
      </w:r>
      <w:r>
        <w:rPr>
          <w:rtl/>
        </w:rPr>
        <w:t xml:space="preserve"> إلى تكاليف حيازة الأثاث ولوازم تكنولوجيا المعلومات والمعدات والمنشآت التقنية الأخرى. ولا يتوقع حدوث زيادة في هذا البند من الميزانية في الفترة </w:t>
      </w:r>
      <w:r>
        <w:t>20</w:t>
      </w:r>
      <w:r w:rsidR="00F322EF">
        <w:t>21</w:t>
      </w:r>
      <w:r>
        <w:t>-</w:t>
      </w:r>
      <w:r w:rsidR="00F322EF">
        <w:t>2020</w:t>
      </w:r>
      <w:r>
        <w:rPr>
          <w:rtl/>
        </w:rPr>
        <w:t>.</w:t>
      </w:r>
    </w:p>
    <w:p w:rsidR="001957B8" w:rsidRDefault="001957B8" w:rsidP="002E44E9">
      <w:pPr>
        <w:pStyle w:val="enumlev1"/>
        <w:ind w:left="794" w:hanging="794"/>
        <w:rPr>
          <w:rtl/>
        </w:rPr>
      </w:pPr>
      <w:r>
        <w:rPr>
          <w:rtl/>
        </w:rPr>
        <w:t>و )</w:t>
      </w:r>
      <w:r>
        <w:rPr>
          <w:rtl/>
        </w:rPr>
        <w:tab/>
        <w:t xml:space="preserve">وتتصل الفئة </w:t>
      </w:r>
      <w:r>
        <w:rPr>
          <w:lang w:val="en-GB"/>
        </w:rPr>
        <w:t>8</w:t>
      </w:r>
      <w:r>
        <w:rPr>
          <w:rtl/>
        </w:rPr>
        <w:t xml:space="preserve"> بتكاليف مرافق الخدمات العامة والداخلية بما في ذلك الخدمات الرسمية التي يقدمها </w:t>
      </w:r>
      <w:r w:rsidR="00A95C50">
        <w:rPr>
          <w:rFonts w:hint="cs"/>
          <w:rtl/>
        </w:rPr>
        <w:t>مور</w:t>
      </w:r>
      <w:r w:rsidR="002E44E9">
        <w:rPr>
          <w:rFonts w:hint="cs"/>
          <w:rtl/>
        </w:rPr>
        <w:t>د</w:t>
      </w:r>
      <w:r w:rsidR="00A95C50">
        <w:rPr>
          <w:rFonts w:hint="cs"/>
          <w:rtl/>
        </w:rPr>
        <w:t>و الخدمات</w:t>
      </w:r>
      <w:r>
        <w:rPr>
          <w:rtl/>
        </w:rPr>
        <w:t xml:space="preserve"> المحليون والوطنيون، مثل خدمات الكهرباء والمياه والبريد والهاتف. وتشمل هذه النفقات أيضاً تكاليف البريد وشحن الكتيبات والمنشورات وغيرها من المواد الدعائية العالمية. </w:t>
      </w:r>
      <w:r w:rsidR="00E14F8A">
        <w:rPr>
          <w:rFonts w:hint="cs"/>
          <w:rtl/>
        </w:rPr>
        <w:t>و</w:t>
      </w:r>
      <w:r w:rsidR="008D4FBA">
        <w:rPr>
          <w:rFonts w:hint="cs"/>
          <w:rtl/>
        </w:rPr>
        <w:t>في ظل</w:t>
      </w:r>
      <w:r w:rsidR="00E14F8A">
        <w:rPr>
          <w:rFonts w:hint="cs"/>
          <w:rtl/>
        </w:rPr>
        <w:t xml:space="preserve"> </w:t>
      </w:r>
      <w:r w:rsidR="008D4FBA">
        <w:rPr>
          <w:rFonts w:hint="cs"/>
          <w:rtl/>
        </w:rPr>
        <w:t xml:space="preserve">تدابير الكفاءة المنفَّذة حالياً، يُتوقع انخفاض النفقات المدرجة في الفئة </w:t>
      </w:r>
      <w:r w:rsidR="008D4FBA">
        <w:rPr>
          <w:lang w:val="es-ES"/>
        </w:rPr>
        <w:t>8</w:t>
      </w:r>
      <w:r w:rsidR="008D4FBA">
        <w:rPr>
          <w:rFonts w:hint="cs"/>
          <w:rtl/>
          <w:lang w:bidi="ar-EG"/>
        </w:rPr>
        <w:t xml:space="preserve"> بنسبة </w:t>
      </w:r>
      <w:r w:rsidR="008D4FBA">
        <w:rPr>
          <w:lang w:val="es-ES" w:bidi="ar-EG"/>
        </w:rPr>
        <w:t>60</w:t>
      </w:r>
      <w:r w:rsidR="008D4FBA">
        <w:rPr>
          <w:rFonts w:hint="cs"/>
          <w:rtl/>
          <w:lang w:bidi="ar-EG"/>
        </w:rPr>
        <w:t xml:space="preserve"> في المائة عن </w:t>
      </w:r>
      <w:r>
        <w:rPr>
          <w:rtl/>
        </w:rPr>
        <w:t>اعتمادات</w:t>
      </w:r>
      <w:r w:rsidR="008D4FBA">
        <w:rPr>
          <w:rFonts w:hint="cs"/>
          <w:rtl/>
        </w:rPr>
        <w:t>ها في</w:t>
      </w:r>
      <w:r>
        <w:rPr>
          <w:rtl/>
        </w:rPr>
        <w:t xml:space="preserve"> ميزانية الفترة </w:t>
      </w:r>
      <w:r>
        <w:t>2019-2018</w:t>
      </w:r>
      <w:r>
        <w:rPr>
          <w:rtl/>
        </w:rPr>
        <w:t>. وتتضمن الميزانية الخاصة بحدث معين اعتمادات مماثلة تخص هذا الحدث.</w:t>
      </w:r>
    </w:p>
    <w:p w:rsidR="001957B8" w:rsidRDefault="001957B8" w:rsidP="001957B8">
      <w:pPr>
        <w:pStyle w:val="Headingb"/>
        <w:spacing w:line="240" w:lineRule="auto"/>
        <w:rPr>
          <w:rtl/>
          <w:lang w:bidi="ar-EG"/>
        </w:rPr>
      </w:pPr>
      <w:bookmarkStart w:id="3" w:name="_Toc482367227"/>
      <w:r>
        <w:rPr>
          <w:rtl/>
          <w:lang w:bidi="ar-EG"/>
        </w:rPr>
        <w:t>استرداد التكاليف من تليكوم الاتحاد</w:t>
      </w:r>
      <w:bookmarkEnd w:id="3"/>
    </w:p>
    <w:p w:rsidR="001957B8" w:rsidRDefault="001957B8" w:rsidP="00620DF3">
      <w:pPr>
        <w:rPr>
          <w:rtl/>
        </w:rPr>
      </w:pPr>
      <w:r>
        <w:rPr>
          <w:lang w:val="en-GB" w:bidi="ar-SY"/>
        </w:rPr>
        <w:t>6</w:t>
      </w:r>
      <w:r>
        <w:rPr>
          <w:rtl/>
          <w:lang w:bidi="ar-EG"/>
        </w:rPr>
        <w:tab/>
      </w:r>
      <w:r w:rsidR="00A95C50">
        <w:rPr>
          <w:rFonts w:hint="cs"/>
          <w:rtl/>
        </w:rPr>
        <w:t>يمثل</w:t>
      </w:r>
      <w:r>
        <w:rPr>
          <w:rtl/>
        </w:rPr>
        <w:t xml:space="preserve"> استرداد التكاليف في الاتحاد </w:t>
      </w:r>
      <w:r w:rsidRPr="00620DF3">
        <w:rPr>
          <w:rtl/>
        </w:rPr>
        <w:t>مبلغاً</w:t>
      </w:r>
      <w:r>
        <w:rPr>
          <w:rtl/>
        </w:rPr>
        <w:t xml:space="preserve"> ثابتاً يمثل الخدمات التي يقدمها موظفو الدوائر أو الوحدات أو القطاعات الأخرى في الاتحاد إلى تليكوم الاتحاد. ويستند ذلك إلى تقدير لمرتبات الموظفين وأجورهم الأخرى إضافةً إلى جميع العناصر المطلوبة لأداء موظفي الاتحاد لوظائفهم المتعلقة بتليكوم الاتحاد مثل الحواسيب ومعدات ومواد تكنولوجيا المعلومات والاتصالات الأخرى وأماكن المكاتب والأثاث ومستلزمات المكاتب، إلخ. و</w:t>
      </w:r>
      <w:r w:rsidR="006369D7">
        <w:rPr>
          <w:rFonts w:hint="cs"/>
          <w:rtl/>
        </w:rPr>
        <w:t>في السنتين الأخيرتين</w:t>
      </w:r>
      <w:r w:rsidR="006369D7">
        <w:rPr>
          <w:rtl/>
        </w:rPr>
        <w:t> </w:t>
      </w:r>
      <w:r w:rsidR="006369D7">
        <w:t>2018</w:t>
      </w:r>
      <w:r w:rsidR="006369D7">
        <w:rPr>
          <w:rtl/>
        </w:rPr>
        <w:t xml:space="preserve"> و</w:t>
      </w:r>
      <w:r w:rsidR="006369D7">
        <w:t>2019</w:t>
      </w:r>
      <w:r w:rsidR="006369D7">
        <w:rPr>
          <w:rFonts w:hint="cs"/>
          <w:rtl/>
        </w:rPr>
        <w:t xml:space="preserve">، </w:t>
      </w:r>
      <w:r w:rsidR="006369D7">
        <w:rPr>
          <w:rFonts w:hint="cs"/>
          <w:rtl/>
          <w:lang w:bidi="ar-EG"/>
        </w:rPr>
        <w:t>بلغت</w:t>
      </w:r>
      <w:r>
        <w:rPr>
          <w:rtl/>
        </w:rPr>
        <w:t xml:space="preserve"> قيمة استرداد التكاليف</w:t>
      </w:r>
      <w:r w:rsidR="006369D7">
        <w:rPr>
          <w:rFonts w:hint="cs"/>
          <w:rtl/>
        </w:rPr>
        <w:t xml:space="preserve"> في ميزانية أمانة الاتحاد </w:t>
      </w:r>
      <w:r w:rsidR="006369D7">
        <w:t>1,5</w:t>
      </w:r>
      <w:r w:rsidR="006369D7">
        <w:rPr>
          <w:rtl/>
        </w:rPr>
        <w:t> مليون فرنك سويسري</w:t>
      </w:r>
      <w:r w:rsidR="00A95C50">
        <w:rPr>
          <w:rFonts w:hint="cs"/>
          <w:rtl/>
        </w:rPr>
        <w:t xml:space="preserve"> في السنة</w:t>
      </w:r>
      <w:r w:rsidR="006369D7">
        <w:rPr>
          <w:rFonts w:hint="cs"/>
          <w:rtl/>
        </w:rPr>
        <w:t>.</w:t>
      </w:r>
      <w:r w:rsidR="006369D7">
        <w:rPr>
          <w:rtl/>
        </w:rPr>
        <w:t xml:space="preserve"> </w:t>
      </w:r>
      <w:r w:rsidR="004E5768">
        <w:rPr>
          <w:rFonts w:hint="cs"/>
          <w:rtl/>
        </w:rPr>
        <w:t xml:space="preserve">وقد </w:t>
      </w:r>
      <w:r w:rsidR="00E6496A">
        <w:rPr>
          <w:rFonts w:hint="cs"/>
          <w:rtl/>
        </w:rPr>
        <w:t xml:space="preserve">استُحق سنوياً </w:t>
      </w:r>
      <w:r w:rsidR="00C1178A">
        <w:rPr>
          <w:rFonts w:hint="cs"/>
          <w:rtl/>
          <w:lang w:bidi="ar-EG"/>
        </w:rPr>
        <w:t xml:space="preserve">المبلغ ذاته </w:t>
      </w:r>
      <w:r w:rsidR="00E6496A">
        <w:rPr>
          <w:rFonts w:hint="cs"/>
          <w:rtl/>
          <w:lang w:bidi="ar-EG"/>
        </w:rPr>
        <w:t>المدرج في الميزانية</w:t>
      </w:r>
      <w:r w:rsidR="004E5768">
        <w:rPr>
          <w:rFonts w:hint="cs"/>
          <w:rtl/>
          <w:lang w:bidi="ar-EG"/>
        </w:rPr>
        <w:t xml:space="preserve"> منذ عام </w:t>
      </w:r>
      <w:r w:rsidR="004E5768">
        <w:rPr>
          <w:lang w:val="es-ES" w:bidi="ar-EG"/>
        </w:rPr>
        <w:t>2014</w:t>
      </w:r>
      <w:r w:rsidR="00C1178A">
        <w:rPr>
          <w:rFonts w:hint="cs"/>
          <w:rtl/>
          <w:lang w:bidi="ar-EG"/>
        </w:rPr>
        <w:t xml:space="preserve">. </w:t>
      </w:r>
      <w:r w:rsidR="00E6496A">
        <w:rPr>
          <w:rFonts w:hint="cs"/>
          <w:rtl/>
          <w:lang w:bidi="ar-EG"/>
        </w:rPr>
        <w:t xml:space="preserve">غير أنه في عام </w:t>
      </w:r>
      <w:r w:rsidR="00E6496A">
        <w:rPr>
          <w:lang w:val="es-ES" w:bidi="ar-EG"/>
        </w:rPr>
        <w:t>2018</w:t>
      </w:r>
      <w:r w:rsidR="00E6496A">
        <w:rPr>
          <w:rFonts w:hint="cs"/>
          <w:rtl/>
          <w:lang w:bidi="ar-EG"/>
        </w:rPr>
        <w:t xml:space="preserve">، قرر الأمين العام </w:t>
      </w:r>
      <w:r w:rsidR="00E6496A">
        <w:rPr>
          <w:rFonts w:hint="cs"/>
          <w:rtl/>
          <w:lang w:val="es-ES" w:bidi="ar-EG"/>
        </w:rPr>
        <w:t xml:space="preserve">خفض مبلغ استرداد التكاليف الحالي إلى </w:t>
      </w:r>
      <w:r w:rsidR="00E6496A">
        <w:rPr>
          <w:lang w:val="es-ES" w:bidi="ar-EG"/>
        </w:rPr>
        <w:t>1</w:t>
      </w:r>
      <w:r w:rsidR="00E6496A">
        <w:rPr>
          <w:rFonts w:hint="cs"/>
          <w:rtl/>
          <w:lang w:bidi="ar-EG"/>
        </w:rPr>
        <w:t xml:space="preserve"> مليون فرنك سويسري</w:t>
      </w:r>
      <w:r w:rsidR="00E6496A">
        <w:rPr>
          <w:rFonts w:hint="cs"/>
          <w:rtl/>
          <w:lang w:val="es-ES" w:bidi="ar-EG"/>
        </w:rPr>
        <w:t xml:space="preserve"> </w:t>
      </w:r>
      <w:r>
        <w:rPr>
          <w:color w:val="000000"/>
          <w:rtl/>
        </w:rPr>
        <w:t xml:space="preserve">لمساعدة أمانة تليكوم الاتحاد وتذليل ما </w:t>
      </w:r>
      <w:r w:rsidR="00E6496A">
        <w:rPr>
          <w:rFonts w:hint="cs"/>
          <w:color w:val="000000"/>
          <w:rtl/>
        </w:rPr>
        <w:t>واجهته</w:t>
      </w:r>
      <w:r>
        <w:rPr>
          <w:color w:val="000000"/>
          <w:rtl/>
        </w:rPr>
        <w:t xml:space="preserve"> من مصاعب </w:t>
      </w:r>
      <w:r w:rsidR="00196D3C">
        <w:rPr>
          <w:rFonts w:hint="cs"/>
          <w:color w:val="000000"/>
          <w:rtl/>
        </w:rPr>
        <w:t>في حدث تليكوم الاتحاد في</w:t>
      </w:r>
      <w:r w:rsidR="00E6496A">
        <w:rPr>
          <w:rFonts w:hint="cs"/>
          <w:color w:val="000000"/>
          <w:rtl/>
        </w:rPr>
        <w:t xml:space="preserve"> عام </w:t>
      </w:r>
      <w:r w:rsidR="00E6496A">
        <w:rPr>
          <w:color w:val="000000"/>
          <w:lang w:val="es-ES"/>
        </w:rPr>
        <w:t>2018</w:t>
      </w:r>
      <w:r w:rsidR="00E6496A">
        <w:rPr>
          <w:rFonts w:hint="cs"/>
          <w:color w:val="000000"/>
          <w:rtl/>
          <w:lang w:bidi="ar-EG"/>
        </w:rPr>
        <w:t>.</w:t>
      </w:r>
      <w:r w:rsidR="004E5768">
        <w:rPr>
          <w:rFonts w:hint="cs"/>
          <w:color w:val="000000"/>
          <w:rtl/>
          <w:lang w:bidi="ar-EG"/>
        </w:rPr>
        <w:t xml:space="preserve"> أما </w:t>
      </w:r>
      <w:r w:rsidR="00E6496A">
        <w:rPr>
          <w:rFonts w:hint="cs"/>
          <w:color w:val="000000"/>
          <w:rtl/>
          <w:lang w:bidi="ar-EG"/>
        </w:rPr>
        <w:t xml:space="preserve">في الفترة </w:t>
      </w:r>
      <w:r w:rsidR="00E6496A">
        <w:t>2021-2020</w:t>
      </w:r>
      <w:r w:rsidR="004E5768">
        <w:rPr>
          <w:rFonts w:hint="cs"/>
          <w:rtl/>
        </w:rPr>
        <w:t>،</w:t>
      </w:r>
      <w:r>
        <w:rPr>
          <w:color w:val="000000"/>
          <w:rtl/>
        </w:rPr>
        <w:t xml:space="preserve"> </w:t>
      </w:r>
      <w:r w:rsidR="004E5768">
        <w:rPr>
          <w:rFonts w:hint="cs"/>
          <w:color w:val="000000"/>
          <w:rtl/>
        </w:rPr>
        <w:t>فيُطبَّق</w:t>
      </w:r>
      <w:r>
        <w:rPr>
          <w:color w:val="000000"/>
          <w:rtl/>
        </w:rPr>
        <w:t xml:space="preserve"> </w:t>
      </w:r>
      <w:r w:rsidR="00E6496A">
        <w:rPr>
          <w:rFonts w:hint="cs"/>
          <w:color w:val="000000"/>
          <w:rtl/>
        </w:rPr>
        <w:t>مبلغ</w:t>
      </w:r>
      <w:r>
        <w:rPr>
          <w:color w:val="000000"/>
          <w:rtl/>
        </w:rPr>
        <w:t xml:space="preserve"> استرداد التكاليف</w:t>
      </w:r>
      <w:r w:rsidR="004E5768">
        <w:rPr>
          <w:rFonts w:hint="cs"/>
          <w:color w:val="000000"/>
          <w:rtl/>
        </w:rPr>
        <w:t xml:space="preserve"> ذاته المدرج في</w:t>
      </w:r>
      <w:r w:rsidR="00620DF3">
        <w:rPr>
          <w:rFonts w:hint="eastAsia"/>
          <w:color w:val="000000"/>
          <w:rtl/>
        </w:rPr>
        <w:t> </w:t>
      </w:r>
      <w:r w:rsidR="004E5768">
        <w:rPr>
          <w:rFonts w:hint="cs"/>
          <w:color w:val="000000"/>
          <w:rtl/>
        </w:rPr>
        <w:t>الميزانية</w:t>
      </w:r>
      <w:r>
        <w:rPr>
          <w:color w:val="000000"/>
          <w:rtl/>
        </w:rPr>
        <w:t xml:space="preserve"> </w:t>
      </w:r>
      <w:r w:rsidR="004E5768">
        <w:rPr>
          <w:rFonts w:hint="cs"/>
          <w:color w:val="000000"/>
          <w:rtl/>
        </w:rPr>
        <w:t xml:space="preserve">وهو </w:t>
      </w:r>
      <w:r w:rsidR="004E5768">
        <w:rPr>
          <w:color w:val="000000"/>
          <w:lang w:val="es-ES"/>
        </w:rPr>
        <w:t>1,5</w:t>
      </w:r>
      <w:r w:rsidR="004E5768">
        <w:rPr>
          <w:rFonts w:hint="cs"/>
          <w:color w:val="000000"/>
          <w:rtl/>
          <w:lang w:bidi="ar-EG"/>
        </w:rPr>
        <w:t xml:space="preserve"> </w:t>
      </w:r>
      <w:r w:rsidR="004E5768">
        <w:rPr>
          <w:color w:val="000000"/>
          <w:rtl/>
        </w:rPr>
        <w:t>مل</w:t>
      </w:r>
      <w:r w:rsidR="004E5768">
        <w:rPr>
          <w:rFonts w:hint="cs"/>
          <w:color w:val="000000"/>
          <w:rtl/>
        </w:rPr>
        <w:t>يون</w:t>
      </w:r>
      <w:r>
        <w:rPr>
          <w:color w:val="000000"/>
          <w:rtl/>
        </w:rPr>
        <w:t xml:space="preserve"> فرنك سويسري </w:t>
      </w:r>
      <w:r w:rsidR="004E5768">
        <w:rPr>
          <w:rFonts w:hint="cs"/>
          <w:color w:val="000000"/>
          <w:rtl/>
        </w:rPr>
        <w:t>سنوياً.</w:t>
      </w:r>
    </w:p>
    <w:p w:rsidR="001957B8" w:rsidRDefault="001957B8" w:rsidP="001957B8">
      <w:pPr>
        <w:pStyle w:val="Headingb"/>
        <w:spacing w:line="240" w:lineRule="auto"/>
        <w:rPr>
          <w:rtl/>
          <w:lang w:val="en-GB" w:bidi="ar-SY"/>
        </w:rPr>
      </w:pPr>
      <w:bookmarkStart w:id="4" w:name="_Toc482367228"/>
      <w:r>
        <w:rPr>
          <w:rtl/>
          <w:lang w:bidi="ar-EG"/>
        </w:rPr>
        <w:lastRenderedPageBreak/>
        <w:t>استخدام الموارد</w:t>
      </w:r>
      <w:bookmarkEnd w:id="4"/>
    </w:p>
    <w:p w:rsidR="001957B8" w:rsidRDefault="001957B8" w:rsidP="001957B8">
      <w:r>
        <w:rPr>
          <w:lang w:val="en-GB" w:bidi="ar-SY"/>
        </w:rPr>
        <w:t>7</w:t>
      </w:r>
      <w:r>
        <w:rPr>
          <w:rtl/>
          <w:lang w:bidi="ar-EG"/>
        </w:rPr>
        <w:tab/>
      </w:r>
      <w:r>
        <w:rPr>
          <w:rtl/>
        </w:rPr>
        <w:t>تتألف النفقات الأساسية في ميزانيات أحداث تليكوم الاتحاد من تكاليف الأمانة واسترداد تكاليف الاتحاد. وتوزع النفقات الأساسية على ميزانية كل حدث من أحداث تليكوم الاتحاد على أساس الوقت المقدر الذي يستغرقه عمل موظفي تليكوم الاتحاد في كل حدث محدد.</w:t>
      </w:r>
    </w:p>
    <w:p w:rsidR="001957B8" w:rsidRDefault="001957B8" w:rsidP="00F322EF">
      <w:pPr>
        <w:rPr>
          <w:rtl/>
          <w:lang w:bidi="ar-EG"/>
        </w:rPr>
      </w:pPr>
      <w:r>
        <w:t>8</w:t>
      </w:r>
      <w:r>
        <w:tab/>
      </w:r>
      <w:r>
        <w:rPr>
          <w:rtl/>
        </w:rPr>
        <w:t xml:space="preserve">ويوضح الجدول </w:t>
      </w:r>
      <w:r>
        <w:t>3</w:t>
      </w:r>
      <w:r>
        <w:rPr>
          <w:rtl/>
        </w:rPr>
        <w:t xml:space="preserve"> أدناه النسب المقدرة للوقت الذي سيستغرقه الموظفون وتُستعمل هذه النسب كأساس لتوزيع التكاليف على النواتج ذات الصلة بما يتماشى مع الميزانية القائمة على النتائج </w:t>
      </w:r>
      <w:r>
        <w:t>(RBB)</w:t>
      </w:r>
      <w:r>
        <w:rPr>
          <w:rtl/>
        </w:rPr>
        <w:t xml:space="preserve">. كما يوضح الجدول التكاليف المقابلة لكل ناتج فيما يتعلق بالنسبة المئوية من الميزانية الإجمالية لأمانة تليكوم الاتحاد للفترة </w:t>
      </w:r>
      <w:r>
        <w:t>20</w:t>
      </w:r>
      <w:r w:rsidR="00F322EF">
        <w:t>21</w:t>
      </w:r>
      <w:r>
        <w:t>-20</w:t>
      </w:r>
      <w:r w:rsidR="00F322EF">
        <w:t>20</w:t>
      </w:r>
      <w:r>
        <w:rPr>
          <w:rtl/>
        </w:rPr>
        <w:t>. وطبقاً لمعايير المحاسبة الدولية للقطاع العام </w:t>
      </w:r>
      <w:r>
        <w:t>(IPSAS)</w:t>
      </w:r>
      <w:r>
        <w:rPr>
          <w:rtl/>
        </w:rPr>
        <w:t xml:space="preserve">، </w:t>
      </w:r>
      <w:r>
        <w:rPr>
          <w:rFonts w:hint="cs"/>
          <w:rtl/>
        </w:rPr>
        <w:t>تغلق جميع</w:t>
      </w:r>
      <w:r>
        <w:rPr>
          <w:rtl/>
        </w:rPr>
        <w:t xml:space="preserve"> حسابات الأحداث يوم </w:t>
      </w:r>
      <w:r>
        <w:t>31</w:t>
      </w:r>
      <w:r>
        <w:rPr>
          <w:rtl/>
        </w:rPr>
        <w:t xml:space="preserve"> ديسمبر من العام الذي تم فيه تنظيم الحدث.</w:t>
      </w:r>
    </w:p>
    <w:p w:rsidR="001957B8" w:rsidRDefault="001957B8" w:rsidP="001957B8">
      <w:pPr>
        <w:pStyle w:val="TableNo"/>
        <w:rPr>
          <w:rtl/>
        </w:rPr>
      </w:pPr>
      <w:r>
        <w:rPr>
          <w:rtl/>
        </w:rPr>
        <w:t xml:space="preserve">الجدول </w:t>
      </w:r>
      <w:r>
        <w:rPr>
          <w:lang w:val="en-GB"/>
        </w:rPr>
        <w:t>3</w:t>
      </w:r>
    </w:p>
    <w:p w:rsidR="001957B8" w:rsidRDefault="001957B8" w:rsidP="001957B8">
      <w:pPr>
        <w:pStyle w:val="Tabletitle"/>
        <w:spacing w:after="120"/>
        <w:rPr>
          <w:rtl/>
        </w:rPr>
      </w:pPr>
      <w:r>
        <w:rPr>
          <w:rtl/>
        </w:rPr>
        <w:t>توزيع الوقت على النواتج</w:t>
      </w:r>
    </w:p>
    <w:tbl>
      <w:tblPr>
        <w:bidiVisual/>
        <w:tblW w:w="10467" w:type="dxa"/>
        <w:jc w:val="center"/>
        <w:tblLook w:val="04A0" w:firstRow="1" w:lastRow="0" w:firstColumn="1" w:lastColumn="0" w:noHBand="0" w:noVBand="1"/>
      </w:tblPr>
      <w:tblGrid>
        <w:gridCol w:w="367"/>
        <w:gridCol w:w="3462"/>
        <w:gridCol w:w="1264"/>
        <w:gridCol w:w="1125"/>
        <w:gridCol w:w="1297"/>
        <w:gridCol w:w="850"/>
        <w:gridCol w:w="2102"/>
      </w:tblGrid>
      <w:tr w:rsidR="001957B8" w:rsidRPr="00EB0541" w:rsidTr="001957B8">
        <w:trPr>
          <w:trHeight w:val="290"/>
          <w:jc w:val="center"/>
        </w:trPr>
        <w:tc>
          <w:tcPr>
            <w:tcW w:w="367" w:type="dxa"/>
            <w:tcBorders>
              <w:top w:val="single" w:sz="4" w:space="0" w:color="auto"/>
              <w:left w:val="nil"/>
              <w:bottom w:val="nil"/>
              <w:right w:val="nil"/>
            </w:tcBorders>
            <w:shd w:val="clear" w:color="auto" w:fill="DCE6F1"/>
            <w:noWrap/>
            <w:hideMark/>
          </w:tcPr>
          <w:p w:rsidR="001957B8" w:rsidRPr="00EB0541" w:rsidRDefault="001957B8" w:rsidP="00F322EF">
            <w:pPr>
              <w:pStyle w:val="TableHead"/>
              <w:rPr>
                <w:rtl/>
              </w:rPr>
            </w:pPr>
          </w:p>
        </w:tc>
        <w:tc>
          <w:tcPr>
            <w:tcW w:w="3462" w:type="dxa"/>
            <w:tcBorders>
              <w:top w:val="single" w:sz="4" w:space="0" w:color="auto"/>
              <w:left w:val="nil"/>
              <w:bottom w:val="nil"/>
              <w:right w:val="nil"/>
            </w:tcBorders>
            <w:shd w:val="clear" w:color="auto" w:fill="DCE6F1"/>
            <w:noWrap/>
            <w:hideMark/>
          </w:tcPr>
          <w:p w:rsidR="001957B8" w:rsidRPr="008009A0" w:rsidRDefault="001957B8" w:rsidP="00F322EF">
            <w:pPr>
              <w:pStyle w:val="TableHead"/>
              <w:rPr>
                <w:rFonts w:cs="Arial"/>
                <w:color w:val="0000FF"/>
              </w:rPr>
            </w:pPr>
          </w:p>
        </w:tc>
        <w:tc>
          <w:tcPr>
            <w:tcW w:w="6638" w:type="dxa"/>
            <w:gridSpan w:val="5"/>
            <w:tcBorders>
              <w:top w:val="single" w:sz="4" w:space="0" w:color="auto"/>
              <w:left w:val="nil"/>
              <w:bottom w:val="nil"/>
              <w:right w:val="nil"/>
            </w:tcBorders>
            <w:shd w:val="clear" w:color="auto" w:fill="DCE6F1"/>
            <w:noWrap/>
            <w:hideMark/>
          </w:tcPr>
          <w:p w:rsidR="001957B8" w:rsidRPr="008009A0" w:rsidRDefault="001957B8" w:rsidP="00F322EF">
            <w:pPr>
              <w:pStyle w:val="TableHead"/>
              <w:rPr>
                <w:i/>
                <w:iCs/>
                <w:color w:val="0000FF"/>
              </w:rPr>
            </w:pPr>
            <w:r w:rsidRPr="008009A0">
              <w:rPr>
                <w:i/>
                <w:iCs/>
                <w:color w:val="0000FF"/>
                <w:rtl/>
                <w:lang w:bidi="ar-EG"/>
              </w:rPr>
              <w:t>بآلاف الفرنكات السويسرية</w:t>
            </w:r>
          </w:p>
        </w:tc>
      </w:tr>
      <w:tr w:rsidR="001957B8" w:rsidRPr="00EB0541" w:rsidTr="001957B8">
        <w:trPr>
          <w:trHeight w:val="552"/>
          <w:jc w:val="center"/>
        </w:trPr>
        <w:tc>
          <w:tcPr>
            <w:tcW w:w="367" w:type="dxa"/>
            <w:shd w:val="clear" w:color="auto" w:fill="DCE6F1"/>
            <w:noWrap/>
          </w:tcPr>
          <w:p w:rsidR="001957B8" w:rsidRPr="00EB0541" w:rsidRDefault="001957B8" w:rsidP="00F322EF">
            <w:pPr>
              <w:pStyle w:val="TableHead"/>
            </w:pPr>
          </w:p>
        </w:tc>
        <w:tc>
          <w:tcPr>
            <w:tcW w:w="3462" w:type="dxa"/>
            <w:shd w:val="clear" w:color="auto" w:fill="DCE6F1"/>
            <w:noWrap/>
            <w:vAlign w:val="center"/>
            <w:hideMark/>
          </w:tcPr>
          <w:p w:rsidR="001957B8" w:rsidRPr="008009A0" w:rsidRDefault="001957B8" w:rsidP="00F322EF">
            <w:pPr>
              <w:pStyle w:val="TableHead"/>
              <w:rPr>
                <w:color w:val="0000FF"/>
              </w:rPr>
            </w:pPr>
            <w:r w:rsidRPr="008009A0">
              <w:rPr>
                <w:color w:val="0000FF"/>
                <w:rtl/>
              </w:rPr>
              <w:t>النواتج</w:t>
            </w:r>
          </w:p>
        </w:tc>
        <w:tc>
          <w:tcPr>
            <w:tcW w:w="1264" w:type="dxa"/>
            <w:shd w:val="clear" w:color="auto" w:fill="DCE6F1"/>
            <w:noWrap/>
            <w:vAlign w:val="center"/>
            <w:hideMark/>
          </w:tcPr>
          <w:p w:rsidR="001957B8" w:rsidRPr="008009A0" w:rsidRDefault="001957B8" w:rsidP="00F322EF">
            <w:pPr>
              <w:pStyle w:val="TableHead"/>
              <w:rPr>
                <w:color w:val="0000FF"/>
              </w:rPr>
            </w:pPr>
            <w:r w:rsidRPr="008009A0">
              <w:rPr>
                <w:color w:val="0000FF"/>
              </w:rPr>
              <w:t>2020</w:t>
            </w:r>
          </w:p>
          <w:p w:rsidR="001957B8" w:rsidRPr="008009A0" w:rsidRDefault="001957B8" w:rsidP="00F322EF">
            <w:pPr>
              <w:pStyle w:val="TableHead"/>
              <w:rPr>
                <w:color w:val="0000FF"/>
              </w:rPr>
            </w:pPr>
            <w:r w:rsidRPr="008009A0">
              <w:rPr>
                <w:color w:val="0000FF"/>
                <w:rtl/>
              </w:rPr>
              <w:t>وقت الموظفين</w:t>
            </w:r>
          </w:p>
        </w:tc>
        <w:tc>
          <w:tcPr>
            <w:tcW w:w="1125" w:type="dxa"/>
            <w:shd w:val="clear" w:color="auto" w:fill="DCE6F1"/>
            <w:noWrap/>
            <w:vAlign w:val="center"/>
            <w:hideMark/>
          </w:tcPr>
          <w:p w:rsidR="00097F3B" w:rsidRDefault="00097F3B" w:rsidP="00F322EF">
            <w:pPr>
              <w:pStyle w:val="TableHead"/>
              <w:rPr>
                <w:color w:val="0000FF"/>
                <w:rtl/>
              </w:rPr>
            </w:pPr>
          </w:p>
          <w:p w:rsidR="001957B8" w:rsidRPr="008009A0" w:rsidRDefault="00620DF3" w:rsidP="00F322EF">
            <w:pPr>
              <w:pStyle w:val="TableHead"/>
              <w:rPr>
                <w:color w:val="0000FF"/>
              </w:rPr>
            </w:pPr>
            <w:r w:rsidRPr="008009A0">
              <w:rPr>
                <w:color w:val="0000FF"/>
                <w:rtl/>
              </w:rPr>
              <w:t>التكلفة</w:t>
            </w:r>
          </w:p>
        </w:tc>
        <w:tc>
          <w:tcPr>
            <w:tcW w:w="1297" w:type="dxa"/>
            <w:shd w:val="clear" w:color="auto" w:fill="DCE6F1"/>
            <w:noWrap/>
            <w:vAlign w:val="center"/>
            <w:hideMark/>
          </w:tcPr>
          <w:p w:rsidR="001957B8" w:rsidRPr="008009A0" w:rsidRDefault="001957B8" w:rsidP="00F322EF">
            <w:pPr>
              <w:pStyle w:val="TableHead"/>
              <w:rPr>
                <w:color w:val="0000FF"/>
              </w:rPr>
            </w:pPr>
            <w:r w:rsidRPr="008009A0">
              <w:rPr>
                <w:color w:val="0000FF"/>
              </w:rPr>
              <w:t>2021</w:t>
            </w:r>
          </w:p>
          <w:p w:rsidR="001957B8" w:rsidRPr="008009A0" w:rsidRDefault="001957B8" w:rsidP="00F322EF">
            <w:pPr>
              <w:pStyle w:val="TableHead"/>
              <w:rPr>
                <w:color w:val="0000FF"/>
              </w:rPr>
            </w:pPr>
            <w:r w:rsidRPr="008009A0">
              <w:rPr>
                <w:color w:val="0000FF"/>
                <w:rtl/>
              </w:rPr>
              <w:t>وقت الموظفين</w:t>
            </w:r>
          </w:p>
        </w:tc>
        <w:tc>
          <w:tcPr>
            <w:tcW w:w="850" w:type="dxa"/>
            <w:shd w:val="clear" w:color="auto" w:fill="DCE6F1"/>
            <w:noWrap/>
            <w:vAlign w:val="center"/>
            <w:hideMark/>
          </w:tcPr>
          <w:p w:rsidR="00097F3B" w:rsidRDefault="00097F3B" w:rsidP="00F322EF">
            <w:pPr>
              <w:pStyle w:val="TableHead"/>
              <w:rPr>
                <w:color w:val="0000FF"/>
                <w:rtl/>
              </w:rPr>
            </w:pPr>
          </w:p>
          <w:p w:rsidR="001957B8" w:rsidRPr="008009A0" w:rsidRDefault="00620DF3" w:rsidP="00F322EF">
            <w:pPr>
              <w:pStyle w:val="TableHead"/>
              <w:rPr>
                <w:color w:val="0000FF"/>
              </w:rPr>
            </w:pPr>
            <w:r w:rsidRPr="008009A0">
              <w:rPr>
                <w:color w:val="0000FF"/>
                <w:rtl/>
              </w:rPr>
              <w:t>التكلفة</w:t>
            </w:r>
          </w:p>
        </w:tc>
        <w:tc>
          <w:tcPr>
            <w:tcW w:w="2102" w:type="dxa"/>
            <w:shd w:val="clear" w:color="auto" w:fill="DCE6F1"/>
            <w:noWrap/>
            <w:vAlign w:val="center"/>
            <w:hideMark/>
          </w:tcPr>
          <w:p w:rsidR="001957B8" w:rsidRPr="008009A0" w:rsidRDefault="001957B8" w:rsidP="00F322EF">
            <w:pPr>
              <w:pStyle w:val="TableHead"/>
              <w:rPr>
                <w:color w:val="0000FF"/>
              </w:rPr>
            </w:pPr>
            <w:r w:rsidRPr="008009A0">
              <w:rPr>
                <w:color w:val="0000FF"/>
              </w:rPr>
              <w:t>2021-2020</w:t>
            </w:r>
          </w:p>
          <w:p w:rsidR="001957B8" w:rsidRPr="008009A0" w:rsidRDefault="001957B8" w:rsidP="00F322EF">
            <w:pPr>
              <w:pStyle w:val="TableHead"/>
              <w:rPr>
                <w:color w:val="0000FF"/>
                <w:rtl/>
              </w:rPr>
            </w:pPr>
            <w:r w:rsidRPr="008009A0">
              <w:rPr>
                <w:color w:val="0000FF"/>
                <w:rtl/>
              </w:rPr>
              <w:t>إجمالي التكاليف الأساسية</w:t>
            </w:r>
          </w:p>
        </w:tc>
      </w:tr>
      <w:tr w:rsidR="001957B8" w:rsidRPr="00EB0541" w:rsidTr="001957B8">
        <w:trPr>
          <w:trHeight w:val="53"/>
          <w:jc w:val="center"/>
        </w:trPr>
        <w:tc>
          <w:tcPr>
            <w:tcW w:w="367" w:type="dxa"/>
            <w:tcBorders>
              <w:top w:val="nil"/>
              <w:left w:val="nil"/>
              <w:bottom w:val="single" w:sz="4" w:space="0" w:color="auto"/>
              <w:right w:val="nil"/>
            </w:tcBorders>
            <w:shd w:val="clear" w:color="auto" w:fill="DCE6F1"/>
            <w:noWrap/>
            <w:hideMark/>
          </w:tcPr>
          <w:p w:rsidR="001957B8" w:rsidRPr="00EB0541" w:rsidRDefault="001957B8" w:rsidP="00F322EF">
            <w:pPr>
              <w:pStyle w:val="TableHead"/>
            </w:pPr>
          </w:p>
        </w:tc>
        <w:tc>
          <w:tcPr>
            <w:tcW w:w="3462" w:type="dxa"/>
            <w:tcBorders>
              <w:top w:val="nil"/>
              <w:left w:val="nil"/>
              <w:bottom w:val="single" w:sz="4" w:space="0" w:color="auto"/>
              <w:right w:val="nil"/>
            </w:tcBorders>
            <w:shd w:val="clear" w:color="auto" w:fill="DCE6F1"/>
            <w:noWrap/>
            <w:hideMark/>
          </w:tcPr>
          <w:p w:rsidR="001957B8" w:rsidRPr="008009A0" w:rsidRDefault="001957B8" w:rsidP="00F322EF">
            <w:pPr>
              <w:pStyle w:val="TableHead"/>
              <w:rPr>
                <w:rFonts w:cs="Arial"/>
                <w:color w:val="0000FF"/>
              </w:rPr>
            </w:pPr>
          </w:p>
        </w:tc>
        <w:tc>
          <w:tcPr>
            <w:tcW w:w="1264" w:type="dxa"/>
            <w:tcBorders>
              <w:top w:val="nil"/>
              <w:left w:val="nil"/>
              <w:bottom w:val="single" w:sz="4" w:space="0" w:color="auto"/>
              <w:right w:val="nil"/>
            </w:tcBorders>
            <w:shd w:val="clear" w:color="auto" w:fill="DCE6F1"/>
            <w:noWrap/>
            <w:hideMark/>
          </w:tcPr>
          <w:p w:rsidR="001957B8" w:rsidRPr="008009A0" w:rsidRDefault="001957B8" w:rsidP="00F322EF">
            <w:pPr>
              <w:pStyle w:val="TableHead"/>
              <w:rPr>
                <w:color w:val="0000FF"/>
              </w:rPr>
            </w:pPr>
            <w:r w:rsidRPr="008009A0">
              <w:rPr>
                <w:color w:val="0000FF"/>
              </w:rPr>
              <w:t>%</w:t>
            </w:r>
          </w:p>
        </w:tc>
        <w:tc>
          <w:tcPr>
            <w:tcW w:w="1125" w:type="dxa"/>
            <w:tcBorders>
              <w:top w:val="nil"/>
              <w:left w:val="nil"/>
              <w:bottom w:val="single" w:sz="4" w:space="0" w:color="auto"/>
              <w:right w:val="nil"/>
            </w:tcBorders>
            <w:shd w:val="clear" w:color="auto" w:fill="DCE6F1"/>
            <w:noWrap/>
            <w:hideMark/>
          </w:tcPr>
          <w:p w:rsidR="001957B8" w:rsidRPr="008009A0" w:rsidRDefault="001957B8" w:rsidP="00F322EF">
            <w:pPr>
              <w:pStyle w:val="TableHead"/>
              <w:rPr>
                <w:color w:val="0000FF"/>
              </w:rPr>
            </w:pPr>
          </w:p>
        </w:tc>
        <w:tc>
          <w:tcPr>
            <w:tcW w:w="1297" w:type="dxa"/>
            <w:tcBorders>
              <w:top w:val="nil"/>
              <w:left w:val="nil"/>
              <w:bottom w:val="single" w:sz="4" w:space="0" w:color="auto"/>
              <w:right w:val="nil"/>
            </w:tcBorders>
            <w:shd w:val="clear" w:color="auto" w:fill="DCE6F1"/>
            <w:noWrap/>
            <w:hideMark/>
          </w:tcPr>
          <w:p w:rsidR="001957B8" w:rsidRPr="008009A0" w:rsidRDefault="001957B8" w:rsidP="00F322EF">
            <w:pPr>
              <w:pStyle w:val="TableHead"/>
              <w:rPr>
                <w:color w:val="0000FF"/>
              </w:rPr>
            </w:pPr>
            <w:r w:rsidRPr="008009A0">
              <w:rPr>
                <w:color w:val="0000FF"/>
              </w:rPr>
              <w:t>%</w:t>
            </w:r>
          </w:p>
        </w:tc>
        <w:tc>
          <w:tcPr>
            <w:tcW w:w="850" w:type="dxa"/>
            <w:tcBorders>
              <w:top w:val="nil"/>
              <w:left w:val="nil"/>
              <w:bottom w:val="single" w:sz="4" w:space="0" w:color="auto"/>
              <w:right w:val="nil"/>
            </w:tcBorders>
            <w:shd w:val="clear" w:color="auto" w:fill="DCE6F1"/>
            <w:noWrap/>
            <w:hideMark/>
          </w:tcPr>
          <w:p w:rsidR="001957B8" w:rsidRPr="008009A0" w:rsidRDefault="001957B8" w:rsidP="00F322EF">
            <w:pPr>
              <w:pStyle w:val="TableHead"/>
              <w:rPr>
                <w:color w:val="0000FF"/>
              </w:rPr>
            </w:pPr>
          </w:p>
        </w:tc>
        <w:tc>
          <w:tcPr>
            <w:tcW w:w="2102" w:type="dxa"/>
            <w:tcBorders>
              <w:top w:val="nil"/>
              <w:left w:val="nil"/>
              <w:bottom w:val="single" w:sz="4" w:space="0" w:color="auto"/>
              <w:right w:val="nil"/>
            </w:tcBorders>
            <w:shd w:val="clear" w:color="auto" w:fill="DCE6F1"/>
            <w:noWrap/>
            <w:hideMark/>
          </w:tcPr>
          <w:p w:rsidR="001957B8" w:rsidRPr="008009A0" w:rsidRDefault="001957B8" w:rsidP="00F322EF">
            <w:pPr>
              <w:pStyle w:val="TableHead"/>
              <w:rPr>
                <w:rFonts w:cs="Arial"/>
                <w:color w:val="0000FF"/>
              </w:rPr>
            </w:pPr>
          </w:p>
        </w:tc>
      </w:tr>
      <w:tr w:rsidR="001957B8" w:rsidRPr="00EB0541" w:rsidTr="001957B8">
        <w:trPr>
          <w:trHeight w:val="125"/>
          <w:jc w:val="center"/>
        </w:trPr>
        <w:tc>
          <w:tcPr>
            <w:tcW w:w="367" w:type="dxa"/>
            <w:noWrap/>
            <w:hideMark/>
          </w:tcPr>
          <w:p w:rsidR="001957B8" w:rsidRPr="00EB0541" w:rsidRDefault="001957B8" w:rsidP="00F322EF">
            <w:pPr>
              <w:pStyle w:val="Tabletexte"/>
            </w:pPr>
            <w:r w:rsidRPr="00EB0541">
              <w:t>1</w:t>
            </w:r>
          </w:p>
        </w:tc>
        <w:tc>
          <w:tcPr>
            <w:tcW w:w="3462" w:type="dxa"/>
            <w:noWrap/>
            <w:hideMark/>
          </w:tcPr>
          <w:p w:rsidR="001957B8" w:rsidRPr="00EB0541" w:rsidRDefault="001957B8" w:rsidP="00F322EF">
            <w:pPr>
              <w:pStyle w:val="Tabletexte"/>
              <w:rPr>
                <w:rFonts w:eastAsia="SimSun"/>
                <w:lang w:bidi="ar-EG"/>
              </w:rPr>
            </w:pPr>
            <w:r w:rsidRPr="00EB0541">
              <w:rPr>
                <w:rtl/>
                <w:lang w:bidi="ar-EG"/>
              </w:rPr>
              <w:t xml:space="preserve">تليكوم العالمي للاتحاد لعام </w:t>
            </w:r>
            <w:r>
              <w:rPr>
                <w:lang w:val="en-GB"/>
              </w:rPr>
              <w:t>2020</w:t>
            </w:r>
          </w:p>
        </w:tc>
        <w:tc>
          <w:tcPr>
            <w:tcW w:w="1264" w:type="dxa"/>
            <w:noWrap/>
            <w:hideMark/>
          </w:tcPr>
          <w:p w:rsidR="001957B8" w:rsidRPr="00EB0541" w:rsidRDefault="001957B8" w:rsidP="00F322EF">
            <w:pPr>
              <w:pStyle w:val="Tabletexte"/>
              <w:rPr>
                <w:rtl/>
              </w:rPr>
            </w:pPr>
            <w:r w:rsidRPr="00EB0541">
              <w:t>%80</w:t>
            </w:r>
          </w:p>
        </w:tc>
        <w:tc>
          <w:tcPr>
            <w:tcW w:w="1125" w:type="dxa"/>
            <w:noWrap/>
            <w:hideMark/>
          </w:tcPr>
          <w:p w:rsidR="001957B8" w:rsidRPr="00EB0541" w:rsidRDefault="001957B8" w:rsidP="00F322EF">
            <w:pPr>
              <w:pStyle w:val="Tabletexte"/>
            </w:pPr>
            <w:r w:rsidRPr="00EB0541">
              <w:t>4 </w:t>
            </w:r>
            <w:r>
              <w:t>108</w:t>
            </w:r>
          </w:p>
        </w:tc>
        <w:tc>
          <w:tcPr>
            <w:tcW w:w="1297" w:type="dxa"/>
            <w:noWrap/>
          </w:tcPr>
          <w:p w:rsidR="001957B8" w:rsidRPr="00EB0541" w:rsidRDefault="001957B8" w:rsidP="00F322EF">
            <w:pPr>
              <w:pStyle w:val="Tabletexte"/>
            </w:pPr>
          </w:p>
        </w:tc>
        <w:tc>
          <w:tcPr>
            <w:tcW w:w="850" w:type="dxa"/>
            <w:noWrap/>
          </w:tcPr>
          <w:p w:rsidR="001957B8" w:rsidRPr="00EB0541" w:rsidRDefault="001957B8" w:rsidP="00F322EF">
            <w:pPr>
              <w:pStyle w:val="Tabletexte"/>
            </w:pPr>
          </w:p>
        </w:tc>
        <w:tc>
          <w:tcPr>
            <w:tcW w:w="2102" w:type="dxa"/>
            <w:noWrap/>
            <w:hideMark/>
          </w:tcPr>
          <w:p w:rsidR="001957B8" w:rsidRPr="00EB0541" w:rsidRDefault="001957B8" w:rsidP="00F322EF">
            <w:pPr>
              <w:pStyle w:val="Tabletexte"/>
            </w:pPr>
            <w:r>
              <w:t>4 108</w:t>
            </w:r>
          </w:p>
        </w:tc>
      </w:tr>
      <w:tr w:rsidR="001957B8" w:rsidRPr="00EB0541" w:rsidTr="001957B8">
        <w:trPr>
          <w:trHeight w:val="53"/>
          <w:jc w:val="center"/>
        </w:trPr>
        <w:tc>
          <w:tcPr>
            <w:tcW w:w="367" w:type="dxa"/>
            <w:noWrap/>
            <w:hideMark/>
          </w:tcPr>
          <w:p w:rsidR="001957B8" w:rsidRPr="00EB0541" w:rsidRDefault="001957B8" w:rsidP="00F322EF">
            <w:pPr>
              <w:pStyle w:val="Tabletexte"/>
            </w:pPr>
            <w:r w:rsidRPr="00EB0541">
              <w:t>2</w:t>
            </w:r>
          </w:p>
        </w:tc>
        <w:tc>
          <w:tcPr>
            <w:tcW w:w="3462" w:type="dxa"/>
            <w:noWrap/>
            <w:hideMark/>
          </w:tcPr>
          <w:p w:rsidR="001957B8" w:rsidRPr="00EB0541" w:rsidRDefault="001957B8" w:rsidP="00F322EF">
            <w:pPr>
              <w:pStyle w:val="Tabletexte"/>
              <w:rPr>
                <w:rFonts w:eastAsia="SimSun"/>
                <w:lang w:bidi="ar-EG"/>
              </w:rPr>
            </w:pPr>
            <w:r w:rsidRPr="00EB0541">
              <w:rPr>
                <w:rtl/>
                <w:lang w:bidi="ar-EG"/>
              </w:rPr>
              <w:t xml:space="preserve">تليكوم العالمي للاتحاد لعام </w:t>
            </w:r>
            <w:r w:rsidRPr="00EB0541">
              <w:rPr>
                <w:lang w:val="en-GB"/>
              </w:rPr>
              <w:t>20</w:t>
            </w:r>
            <w:r>
              <w:rPr>
                <w:lang w:val="en-GB"/>
              </w:rPr>
              <w:t>21</w:t>
            </w:r>
          </w:p>
        </w:tc>
        <w:tc>
          <w:tcPr>
            <w:tcW w:w="1264" w:type="dxa"/>
            <w:noWrap/>
            <w:hideMark/>
          </w:tcPr>
          <w:p w:rsidR="001957B8" w:rsidRPr="00EB0541" w:rsidRDefault="001957B8" w:rsidP="00F322EF">
            <w:pPr>
              <w:pStyle w:val="Tabletexte"/>
              <w:rPr>
                <w:rtl/>
              </w:rPr>
            </w:pPr>
            <w:r w:rsidRPr="00EB0541">
              <w:t>%</w:t>
            </w:r>
            <w:r>
              <w:t>10</w:t>
            </w:r>
          </w:p>
        </w:tc>
        <w:tc>
          <w:tcPr>
            <w:tcW w:w="1125" w:type="dxa"/>
            <w:noWrap/>
            <w:hideMark/>
          </w:tcPr>
          <w:p w:rsidR="001957B8" w:rsidRPr="00EB0541" w:rsidRDefault="001957B8" w:rsidP="00F322EF">
            <w:pPr>
              <w:pStyle w:val="Tabletexte"/>
            </w:pPr>
            <w:r>
              <w:t>514</w:t>
            </w:r>
          </w:p>
        </w:tc>
        <w:tc>
          <w:tcPr>
            <w:tcW w:w="1297" w:type="dxa"/>
            <w:noWrap/>
            <w:hideMark/>
          </w:tcPr>
          <w:p w:rsidR="001957B8" w:rsidRPr="00EB0541" w:rsidRDefault="001957B8" w:rsidP="00F322EF">
            <w:pPr>
              <w:pStyle w:val="Tabletexte"/>
            </w:pPr>
            <w:r w:rsidRPr="00EB0541">
              <w:t>%80</w:t>
            </w:r>
          </w:p>
        </w:tc>
        <w:tc>
          <w:tcPr>
            <w:tcW w:w="850" w:type="dxa"/>
            <w:noWrap/>
            <w:hideMark/>
          </w:tcPr>
          <w:p w:rsidR="001957B8" w:rsidRPr="00EB0541" w:rsidRDefault="001957B8" w:rsidP="00F322EF">
            <w:pPr>
              <w:pStyle w:val="Tabletexte"/>
            </w:pPr>
            <w:r w:rsidRPr="00EB0541">
              <w:t>4 </w:t>
            </w:r>
            <w:r>
              <w:t>108</w:t>
            </w:r>
          </w:p>
        </w:tc>
        <w:tc>
          <w:tcPr>
            <w:tcW w:w="2102" w:type="dxa"/>
            <w:noWrap/>
            <w:hideMark/>
          </w:tcPr>
          <w:p w:rsidR="001957B8" w:rsidRPr="00EB0541" w:rsidRDefault="001957B8" w:rsidP="00F322EF">
            <w:pPr>
              <w:pStyle w:val="Tabletexte"/>
            </w:pPr>
            <w:r>
              <w:t>4 622</w:t>
            </w:r>
          </w:p>
        </w:tc>
      </w:tr>
      <w:tr w:rsidR="001957B8" w:rsidRPr="00EB0541" w:rsidTr="001957B8">
        <w:trPr>
          <w:trHeight w:val="104"/>
          <w:jc w:val="center"/>
        </w:trPr>
        <w:tc>
          <w:tcPr>
            <w:tcW w:w="367" w:type="dxa"/>
            <w:noWrap/>
            <w:hideMark/>
          </w:tcPr>
          <w:p w:rsidR="001957B8" w:rsidRPr="00EB0541" w:rsidRDefault="001957B8" w:rsidP="00F322EF">
            <w:pPr>
              <w:pStyle w:val="Tabletexte"/>
            </w:pPr>
            <w:r w:rsidRPr="00EB0541">
              <w:t>3</w:t>
            </w:r>
          </w:p>
        </w:tc>
        <w:tc>
          <w:tcPr>
            <w:tcW w:w="3462" w:type="dxa"/>
            <w:noWrap/>
            <w:hideMark/>
          </w:tcPr>
          <w:p w:rsidR="001957B8" w:rsidRPr="00EB0541" w:rsidRDefault="001957B8" w:rsidP="00F322EF">
            <w:pPr>
              <w:pStyle w:val="Tabletexte"/>
              <w:rPr>
                <w:rFonts w:eastAsia="SimSun"/>
                <w:lang w:bidi="ar-EG"/>
              </w:rPr>
            </w:pPr>
            <w:r w:rsidRPr="00EB0541">
              <w:rPr>
                <w:rtl/>
                <w:lang w:bidi="ar-EG"/>
              </w:rPr>
              <w:t xml:space="preserve">تليكوم العالمي للاتحاد لعام </w:t>
            </w:r>
            <w:r w:rsidRPr="00EB0541">
              <w:rPr>
                <w:lang w:val="en-GB"/>
              </w:rPr>
              <w:t>20</w:t>
            </w:r>
            <w:r>
              <w:rPr>
                <w:lang w:val="en-GB"/>
              </w:rPr>
              <w:t>22</w:t>
            </w:r>
          </w:p>
        </w:tc>
        <w:tc>
          <w:tcPr>
            <w:tcW w:w="1264" w:type="dxa"/>
            <w:noWrap/>
            <w:hideMark/>
          </w:tcPr>
          <w:p w:rsidR="001957B8" w:rsidRPr="00EB0541" w:rsidRDefault="001957B8" w:rsidP="00F322EF">
            <w:pPr>
              <w:pStyle w:val="Tabletexte"/>
              <w:rPr>
                <w:rtl/>
              </w:rPr>
            </w:pPr>
          </w:p>
        </w:tc>
        <w:tc>
          <w:tcPr>
            <w:tcW w:w="1125" w:type="dxa"/>
            <w:noWrap/>
            <w:hideMark/>
          </w:tcPr>
          <w:p w:rsidR="001957B8" w:rsidRPr="00EB0541" w:rsidRDefault="001957B8" w:rsidP="00F322EF">
            <w:pPr>
              <w:pStyle w:val="Tabletexte"/>
            </w:pPr>
          </w:p>
        </w:tc>
        <w:tc>
          <w:tcPr>
            <w:tcW w:w="1297" w:type="dxa"/>
            <w:noWrap/>
            <w:hideMark/>
          </w:tcPr>
          <w:p w:rsidR="001957B8" w:rsidRPr="00EB0541" w:rsidRDefault="001957B8" w:rsidP="00F322EF">
            <w:pPr>
              <w:pStyle w:val="Tabletexte"/>
            </w:pPr>
            <w:r w:rsidRPr="00EB0541">
              <w:t>%</w:t>
            </w:r>
            <w:r w:rsidR="008009A0">
              <w:t>10</w:t>
            </w:r>
          </w:p>
        </w:tc>
        <w:tc>
          <w:tcPr>
            <w:tcW w:w="850" w:type="dxa"/>
            <w:noWrap/>
            <w:hideMark/>
          </w:tcPr>
          <w:p w:rsidR="001957B8" w:rsidRPr="00EB0541" w:rsidRDefault="008009A0" w:rsidP="00F322EF">
            <w:pPr>
              <w:pStyle w:val="Tabletexte"/>
            </w:pPr>
            <w:r>
              <w:t>514</w:t>
            </w:r>
          </w:p>
        </w:tc>
        <w:tc>
          <w:tcPr>
            <w:tcW w:w="2102" w:type="dxa"/>
            <w:noWrap/>
            <w:hideMark/>
          </w:tcPr>
          <w:p w:rsidR="001957B8" w:rsidRPr="00EB0541" w:rsidRDefault="008009A0" w:rsidP="00F322EF">
            <w:pPr>
              <w:pStyle w:val="Tabletexte"/>
            </w:pPr>
            <w:r>
              <w:t>514</w:t>
            </w:r>
          </w:p>
        </w:tc>
      </w:tr>
      <w:tr w:rsidR="001957B8" w:rsidRPr="00EB0541" w:rsidTr="001957B8">
        <w:trPr>
          <w:trHeight w:val="53"/>
          <w:jc w:val="center"/>
        </w:trPr>
        <w:tc>
          <w:tcPr>
            <w:tcW w:w="367" w:type="dxa"/>
            <w:noWrap/>
            <w:hideMark/>
          </w:tcPr>
          <w:p w:rsidR="001957B8" w:rsidRPr="00EB0541" w:rsidRDefault="001957B8" w:rsidP="00F322EF">
            <w:pPr>
              <w:pStyle w:val="Tabletexte"/>
            </w:pPr>
            <w:r>
              <w:t>4</w:t>
            </w:r>
          </w:p>
        </w:tc>
        <w:tc>
          <w:tcPr>
            <w:tcW w:w="3462" w:type="dxa"/>
            <w:noWrap/>
            <w:hideMark/>
          </w:tcPr>
          <w:p w:rsidR="001957B8" w:rsidRPr="00EB0541" w:rsidRDefault="001957B8" w:rsidP="00F322EF">
            <w:pPr>
              <w:pStyle w:val="Tabletexte"/>
              <w:rPr>
                <w:rFonts w:eastAsia="SimSun"/>
                <w:lang w:val="en-GB"/>
              </w:rPr>
            </w:pPr>
            <w:r w:rsidRPr="00EB0541">
              <w:rPr>
                <w:rtl/>
                <w:lang w:bidi="ar-EG"/>
              </w:rPr>
              <w:t>منصة علاقات تكنولوجيا المعلومات والاتصالات</w:t>
            </w:r>
          </w:p>
        </w:tc>
        <w:tc>
          <w:tcPr>
            <w:tcW w:w="1264" w:type="dxa"/>
            <w:noWrap/>
            <w:hideMark/>
          </w:tcPr>
          <w:p w:rsidR="001957B8" w:rsidRPr="00EB0541" w:rsidRDefault="001957B8" w:rsidP="00F322EF">
            <w:pPr>
              <w:pStyle w:val="Tabletexte"/>
            </w:pPr>
            <w:r w:rsidRPr="00EB0541">
              <w:t>%</w:t>
            </w:r>
            <w:r>
              <w:t>2</w:t>
            </w:r>
          </w:p>
        </w:tc>
        <w:tc>
          <w:tcPr>
            <w:tcW w:w="1125" w:type="dxa"/>
            <w:noWrap/>
            <w:hideMark/>
          </w:tcPr>
          <w:p w:rsidR="001957B8" w:rsidRPr="00EB0541" w:rsidRDefault="001957B8" w:rsidP="00F322EF">
            <w:pPr>
              <w:pStyle w:val="Tabletexte"/>
            </w:pPr>
            <w:r>
              <w:t>103</w:t>
            </w:r>
          </w:p>
        </w:tc>
        <w:tc>
          <w:tcPr>
            <w:tcW w:w="1297" w:type="dxa"/>
            <w:noWrap/>
            <w:hideMark/>
          </w:tcPr>
          <w:p w:rsidR="001957B8" w:rsidRPr="00EB0541" w:rsidRDefault="001957B8" w:rsidP="00F322EF">
            <w:pPr>
              <w:pStyle w:val="Tabletexte"/>
            </w:pPr>
            <w:r w:rsidRPr="00EB0541">
              <w:t>%</w:t>
            </w:r>
            <w:r>
              <w:t>2</w:t>
            </w:r>
          </w:p>
        </w:tc>
        <w:tc>
          <w:tcPr>
            <w:tcW w:w="850" w:type="dxa"/>
            <w:noWrap/>
            <w:hideMark/>
          </w:tcPr>
          <w:p w:rsidR="001957B8" w:rsidRPr="00EB0541" w:rsidRDefault="001957B8" w:rsidP="00F322EF">
            <w:pPr>
              <w:pStyle w:val="Tabletexte"/>
            </w:pPr>
            <w:r>
              <w:t>103</w:t>
            </w:r>
          </w:p>
        </w:tc>
        <w:tc>
          <w:tcPr>
            <w:tcW w:w="2102" w:type="dxa"/>
            <w:noWrap/>
            <w:hideMark/>
          </w:tcPr>
          <w:p w:rsidR="001957B8" w:rsidRPr="00EB0541" w:rsidRDefault="001957B8" w:rsidP="00F322EF">
            <w:pPr>
              <w:pStyle w:val="Tabletexte"/>
            </w:pPr>
            <w:r>
              <w:t>205</w:t>
            </w:r>
          </w:p>
        </w:tc>
      </w:tr>
      <w:tr w:rsidR="001957B8" w:rsidRPr="00EB0541" w:rsidTr="001957B8">
        <w:trPr>
          <w:trHeight w:val="53"/>
          <w:jc w:val="center"/>
        </w:trPr>
        <w:tc>
          <w:tcPr>
            <w:tcW w:w="367" w:type="dxa"/>
            <w:noWrap/>
            <w:hideMark/>
          </w:tcPr>
          <w:p w:rsidR="001957B8" w:rsidRPr="00EB0541" w:rsidRDefault="001957B8" w:rsidP="00F322EF">
            <w:pPr>
              <w:pStyle w:val="Tabletexte"/>
            </w:pPr>
            <w:r>
              <w:t>5</w:t>
            </w:r>
          </w:p>
        </w:tc>
        <w:tc>
          <w:tcPr>
            <w:tcW w:w="3462" w:type="dxa"/>
            <w:noWrap/>
            <w:hideMark/>
          </w:tcPr>
          <w:p w:rsidR="001957B8" w:rsidRPr="00EB0541" w:rsidRDefault="001957B8" w:rsidP="00F322EF">
            <w:pPr>
              <w:pStyle w:val="Tabletexte"/>
              <w:rPr>
                <w:rFonts w:eastAsia="SimSun"/>
                <w:lang w:bidi="ar-EG"/>
              </w:rPr>
            </w:pPr>
            <w:r w:rsidRPr="00EB0541">
              <w:rPr>
                <w:rtl/>
                <w:lang w:bidi="ar-EG"/>
              </w:rPr>
              <w:t>دعم أحداث أخرى للاتحاد</w:t>
            </w:r>
          </w:p>
        </w:tc>
        <w:tc>
          <w:tcPr>
            <w:tcW w:w="1264" w:type="dxa"/>
            <w:noWrap/>
            <w:hideMark/>
          </w:tcPr>
          <w:p w:rsidR="001957B8" w:rsidRPr="00EB0541" w:rsidRDefault="001957B8" w:rsidP="00F322EF">
            <w:pPr>
              <w:pStyle w:val="Tabletexte"/>
              <w:rPr>
                <w:rtl/>
              </w:rPr>
            </w:pPr>
            <w:r w:rsidRPr="00EB0541">
              <w:t>%</w:t>
            </w:r>
            <w:r>
              <w:t>8</w:t>
            </w:r>
          </w:p>
        </w:tc>
        <w:tc>
          <w:tcPr>
            <w:tcW w:w="1125" w:type="dxa"/>
            <w:noWrap/>
            <w:hideMark/>
          </w:tcPr>
          <w:p w:rsidR="001957B8" w:rsidRPr="00EB0541" w:rsidRDefault="001957B8" w:rsidP="00F322EF">
            <w:pPr>
              <w:pStyle w:val="Tabletexte"/>
            </w:pPr>
            <w:r>
              <w:t>411</w:t>
            </w:r>
          </w:p>
        </w:tc>
        <w:tc>
          <w:tcPr>
            <w:tcW w:w="1297" w:type="dxa"/>
            <w:noWrap/>
            <w:hideMark/>
          </w:tcPr>
          <w:p w:rsidR="001957B8" w:rsidRPr="00EB0541" w:rsidRDefault="001957B8" w:rsidP="00F322EF">
            <w:pPr>
              <w:pStyle w:val="Tabletexte"/>
            </w:pPr>
            <w:r w:rsidRPr="00EB0541">
              <w:t>%</w:t>
            </w:r>
            <w:r>
              <w:t>8</w:t>
            </w:r>
          </w:p>
        </w:tc>
        <w:tc>
          <w:tcPr>
            <w:tcW w:w="850" w:type="dxa"/>
            <w:noWrap/>
            <w:hideMark/>
          </w:tcPr>
          <w:p w:rsidR="001957B8" w:rsidRPr="00EB0541" w:rsidRDefault="001957B8" w:rsidP="00F322EF">
            <w:pPr>
              <w:pStyle w:val="Tabletexte"/>
            </w:pPr>
            <w:r>
              <w:t>411</w:t>
            </w:r>
          </w:p>
        </w:tc>
        <w:tc>
          <w:tcPr>
            <w:tcW w:w="2102" w:type="dxa"/>
            <w:noWrap/>
            <w:hideMark/>
          </w:tcPr>
          <w:p w:rsidR="001957B8" w:rsidRPr="00EB0541" w:rsidRDefault="001957B8" w:rsidP="00F322EF">
            <w:pPr>
              <w:pStyle w:val="Tabletexte"/>
            </w:pPr>
            <w:r>
              <w:t>822</w:t>
            </w:r>
          </w:p>
        </w:tc>
      </w:tr>
      <w:tr w:rsidR="001957B8" w:rsidRPr="00EB0541" w:rsidTr="001957B8">
        <w:trPr>
          <w:trHeight w:val="43"/>
          <w:jc w:val="center"/>
        </w:trPr>
        <w:tc>
          <w:tcPr>
            <w:tcW w:w="367" w:type="dxa"/>
            <w:tcBorders>
              <w:top w:val="single" w:sz="4" w:space="0" w:color="auto"/>
              <w:left w:val="nil"/>
              <w:bottom w:val="single" w:sz="4" w:space="0" w:color="auto"/>
              <w:right w:val="nil"/>
            </w:tcBorders>
            <w:shd w:val="clear" w:color="auto" w:fill="C5D9F1"/>
            <w:noWrap/>
            <w:hideMark/>
          </w:tcPr>
          <w:p w:rsidR="001957B8" w:rsidRPr="00EB0541" w:rsidRDefault="001957B8" w:rsidP="00F322EF">
            <w:pPr>
              <w:pStyle w:val="Tabletexte"/>
            </w:pPr>
            <w:r w:rsidRPr="00EB0541">
              <w:t> </w:t>
            </w:r>
          </w:p>
        </w:tc>
        <w:tc>
          <w:tcPr>
            <w:tcW w:w="3462" w:type="dxa"/>
            <w:tcBorders>
              <w:top w:val="single" w:sz="4" w:space="0" w:color="auto"/>
              <w:left w:val="nil"/>
              <w:bottom w:val="single" w:sz="4" w:space="0" w:color="auto"/>
              <w:right w:val="nil"/>
            </w:tcBorders>
            <w:shd w:val="clear" w:color="auto" w:fill="C5D9F1"/>
            <w:noWrap/>
            <w:hideMark/>
          </w:tcPr>
          <w:p w:rsidR="001957B8" w:rsidRPr="008009A0" w:rsidRDefault="001957B8" w:rsidP="00F322EF">
            <w:pPr>
              <w:pStyle w:val="Tabletexte"/>
              <w:rPr>
                <w:b/>
                <w:bCs/>
                <w:color w:val="0000FF"/>
              </w:rPr>
            </w:pPr>
            <w:r w:rsidRPr="008009A0">
              <w:rPr>
                <w:b/>
                <w:bCs/>
                <w:color w:val="0000FF"/>
                <w:rtl/>
              </w:rPr>
              <w:t>المجموع</w:t>
            </w:r>
          </w:p>
        </w:tc>
        <w:tc>
          <w:tcPr>
            <w:tcW w:w="1264" w:type="dxa"/>
            <w:tcBorders>
              <w:top w:val="single" w:sz="4" w:space="0" w:color="auto"/>
              <w:left w:val="nil"/>
              <w:bottom w:val="single" w:sz="4" w:space="0" w:color="auto"/>
              <w:right w:val="nil"/>
            </w:tcBorders>
            <w:shd w:val="clear" w:color="auto" w:fill="C5D9F1"/>
            <w:noWrap/>
            <w:hideMark/>
          </w:tcPr>
          <w:p w:rsidR="001957B8" w:rsidRPr="008009A0" w:rsidRDefault="001957B8" w:rsidP="00F322EF">
            <w:pPr>
              <w:pStyle w:val="Tabletexte"/>
              <w:rPr>
                <w:color w:val="0000FF"/>
              </w:rPr>
            </w:pPr>
            <w:r w:rsidRPr="008009A0">
              <w:rPr>
                <w:color w:val="0000FF"/>
              </w:rPr>
              <w:t>%100</w:t>
            </w:r>
          </w:p>
        </w:tc>
        <w:tc>
          <w:tcPr>
            <w:tcW w:w="1125" w:type="dxa"/>
            <w:tcBorders>
              <w:top w:val="single" w:sz="4" w:space="0" w:color="auto"/>
              <w:left w:val="nil"/>
              <w:bottom w:val="single" w:sz="4" w:space="0" w:color="auto"/>
              <w:right w:val="nil"/>
            </w:tcBorders>
            <w:shd w:val="clear" w:color="auto" w:fill="C5D9F1"/>
            <w:noWrap/>
            <w:hideMark/>
          </w:tcPr>
          <w:p w:rsidR="001957B8" w:rsidRPr="008009A0" w:rsidRDefault="001957B8" w:rsidP="00F322EF">
            <w:pPr>
              <w:pStyle w:val="Tabletexte"/>
              <w:rPr>
                <w:color w:val="0000FF"/>
              </w:rPr>
            </w:pPr>
            <w:r w:rsidRPr="008009A0">
              <w:rPr>
                <w:color w:val="0000FF"/>
              </w:rPr>
              <w:t>5 135</w:t>
            </w:r>
          </w:p>
        </w:tc>
        <w:tc>
          <w:tcPr>
            <w:tcW w:w="1297" w:type="dxa"/>
            <w:tcBorders>
              <w:top w:val="single" w:sz="4" w:space="0" w:color="auto"/>
              <w:left w:val="nil"/>
              <w:bottom w:val="single" w:sz="4" w:space="0" w:color="auto"/>
              <w:right w:val="nil"/>
            </w:tcBorders>
            <w:shd w:val="clear" w:color="auto" w:fill="C5D9F1"/>
            <w:noWrap/>
            <w:hideMark/>
          </w:tcPr>
          <w:p w:rsidR="001957B8" w:rsidRPr="008009A0" w:rsidRDefault="001957B8" w:rsidP="00F322EF">
            <w:pPr>
              <w:pStyle w:val="Tabletexte"/>
              <w:rPr>
                <w:color w:val="0000FF"/>
              </w:rPr>
            </w:pPr>
            <w:r w:rsidRPr="008009A0">
              <w:rPr>
                <w:color w:val="0000FF"/>
              </w:rPr>
              <w:t>%100</w:t>
            </w:r>
          </w:p>
        </w:tc>
        <w:tc>
          <w:tcPr>
            <w:tcW w:w="850" w:type="dxa"/>
            <w:tcBorders>
              <w:top w:val="single" w:sz="4" w:space="0" w:color="auto"/>
              <w:left w:val="nil"/>
              <w:bottom w:val="single" w:sz="4" w:space="0" w:color="auto"/>
              <w:right w:val="nil"/>
            </w:tcBorders>
            <w:shd w:val="clear" w:color="auto" w:fill="C5D9F1"/>
            <w:noWrap/>
            <w:hideMark/>
          </w:tcPr>
          <w:p w:rsidR="001957B8" w:rsidRPr="008009A0" w:rsidRDefault="001957B8" w:rsidP="00F322EF">
            <w:pPr>
              <w:pStyle w:val="Tabletexte"/>
              <w:rPr>
                <w:color w:val="0000FF"/>
              </w:rPr>
            </w:pPr>
            <w:r w:rsidRPr="008009A0">
              <w:rPr>
                <w:color w:val="0000FF"/>
              </w:rPr>
              <w:t>5 135</w:t>
            </w:r>
          </w:p>
        </w:tc>
        <w:tc>
          <w:tcPr>
            <w:tcW w:w="2102" w:type="dxa"/>
            <w:tcBorders>
              <w:top w:val="single" w:sz="4" w:space="0" w:color="auto"/>
              <w:left w:val="nil"/>
              <w:bottom w:val="single" w:sz="4" w:space="0" w:color="auto"/>
              <w:right w:val="nil"/>
            </w:tcBorders>
            <w:shd w:val="clear" w:color="auto" w:fill="C5D9F1"/>
            <w:noWrap/>
            <w:hideMark/>
          </w:tcPr>
          <w:p w:rsidR="001957B8" w:rsidRPr="008009A0" w:rsidRDefault="001957B8" w:rsidP="00F322EF">
            <w:pPr>
              <w:pStyle w:val="Tabletexte"/>
              <w:rPr>
                <w:color w:val="0000FF"/>
              </w:rPr>
            </w:pPr>
            <w:r w:rsidRPr="008009A0">
              <w:rPr>
                <w:color w:val="0000FF"/>
              </w:rPr>
              <w:t>10 270</w:t>
            </w:r>
          </w:p>
        </w:tc>
      </w:tr>
    </w:tbl>
    <w:p w:rsidR="001957B8" w:rsidRDefault="001957B8" w:rsidP="00F36D92">
      <w:pPr>
        <w:pStyle w:val="Headingb"/>
        <w:spacing w:before="360"/>
        <w:rPr>
          <w:lang w:val="en-GB" w:bidi="ar-SY"/>
        </w:rPr>
      </w:pPr>
      <w:bookmarkStart w:id="5" w:name="_Toc482367229"/>
      <w:r>
        <w:rPr>
          <w:rtl/>
          <w:lang w:bidi="ar-EG"/>
        </w:rPr>
        <w:t>تمويل الموارد</w:t>
      </w:r>
      <w:bookmarkEnd w:id="5"/>
    </w:p>
    <w:p w:rsidR="001957B8" w:rsidRDefault="001957B8" w:rsidP="00F36D92">
      <w:r w:rsidRPr="00870D7A">
        <w:rPr>
          <w:lang w:val="en-GB" w:bidi="ar-SY"/>
        </w:rPr>
        <w:t>9</w:t>
      </w:r>
      <w:r w:rsidRPr="00870D7A">
        <w:rPr>
          <w:lang w:val="en-GB" w:bidi="ar-SY"/>
        </w:rPr>
        <w:tab/>
      </w:r>
      <w:r w:rsidRPr="00870D7A">
        <w:rPr>
          <w:rtl/>
        </w:rPr>
        <w:t>الإيرادات الإجمالية المتولدة عن أحداث تليكوم الاتحاد هي مصدر تمويل ميزانية أمانة تليكوم الاتحاد. ويبين الجدول </w:t>
      </w:r>
      <w:r w:rsidRPr="00870D7A">
        <w:t>4</w:t>
      </w:r>
      <w:r w:rsidRPr="00870D7A">
        <w:rPr>
          <w:rtl/>
        </w:rPr>
        <w:t> أدناه الإيرادات والنفقات التقديرية للأحداث المقررة في الفترة </w:t>
      </w:r>
      <w:r w:rsidR="008009A0">
        <w:t>2021-2020</w:t>
      </w:r>
      <w:r w:rsidRPr="00870D7A">
        <w:rPr>
          <w:rtl/>
        </w:rPr>
        <w:t>. ومع ت</w:t>
      </w:r>
      <w:r w:rsidRPr="00870D7A">
        <w:rPr>
          <w:rFonts w:hint="cs"/>
          <w:rtl/>
        </w:rPr>
        <w:t>قدير</w:t>
      </w:r>
      <w:r w:rsidRPr="00870D7A">
        <w:rPr>
          <w:rtl/>
        </w:rPr>
        <w:t xml:space="preserve"> إيرادات إجمالية بمبلغ </w:t>
      </w:r>
      <w:r w:rsidR="008009A0">
        <w:t>16 200</w:t>
      </w:r>
      <w:r w:rsidRPr="00870D7A">
        <w:t> 000</w:t>
      </w:r>
      <w:r w:rsidRPr="00870D7A">
        <w:rPr>
          <w:rtl/>
        </w:rPr>
        <w:t xml:space="preserve"> فرنك </w:t>
      </w:r>
      <w:r>
        <w:rPr>
          <w:rtl/>
        </w:rPr>
        <w:t xml:space="preserve">سويسري </w:t>
      </w:r>
      <w:r w:rsidRPr="003C45FA">
        <w:rPr>
          <w:rtl/>
        </w:rPr>
        <w:t>لفترة السنتين و</w:t>
      </w:r>
      <w:r w:rsidRPr="003C45FA">
        <w:rPr>
          <w:rFonts w:hint="cs"/>
          <w:rtl/>
        </w:rPr>
        <w:t xml:space="preserve">تقدير </w:t>
      </w:r>
      <w:r w:rsidRPr="003C45FA">
        <w:rPr>
          <w:rtl/>
        </w:rPr>
        <w:t xml:space="preserve">نفقات إجمالية بأكثر من </w:t>
      </w:r>
      <w:r w:rsidRPr="003C45FA">
        <w:t>15 </w:t>
      </w:r>
      <w:r w:rsidR="00F322EF">
        <w:t>454</w:t>
      </w:r>
      <w:r w:rsidRPr="003C45FA">
        <w:t> 000</w:t>
      </w:r>
      <w:r w:rsidRPr="003C45FA">
        <w:rPr>
          <w:rtl/>
        </w:rPr>
        <w:t> فرنك سويسري، من المتوخى تحقيق مكاسب صافية بمبلغ</w:t>
      </w:r>
      <w:r w:rsidR="00F36D92">
        <w:rPr>
          <w:rFonts w:hint="cs"/>
          <w:rtl/>
        </w:rPr>
        <w:t xml:space="preserve"> </w:t>
      </w:r>
      <w:r w:rsidR="008009A0">
        <w:t>746</w:t>
      </w:r>
      <w:r w:rsidRPr="003C45FA">
        <w:t> 000</w:t>
      </w:r>
      <w:r w:rsidRPr="003C45FA">
        <w:rPr>
          <w:rtl/>
        </w:rPr>
        <w:t xml:space="preserve"> فرنك </w:t>
      </w:r>
      <w:r w:rsidRPr="008009A0">
        <w:rPr>
          <w:rtl/>
        </w:rPr>
        <w:t>سويسري</w:t>
      </w:r>
      <w:r w:rsidRPr="003C45FA">
        <w:rPr>
          <w:rtl/>
        </w:rPr>
        <w:t xml:space="preserve"> للفترة </w:t>
      </w:r>
      <w:r w:rsidR="008009A0">
        <w:t>2021-2020</w:t>
      </w:r>
      <w:r w:rsidRPr="003C45FA">
        <w:rPr>
          <w:rtl/>
        </w:rPr>
        <w:t>.</w:t>
      </w:r>
    </w:p>
    <w:p w:rsidR="001957B8" w:rsidRDefault="001957B8" w:rsidP="00F36D92">
      <w:pPr>
        <w:rPr>
          <w:rtl/>
          <w:lang w:bidi="ar-SY"/>
        </w:rPr>
      </w:pPr>
      <w:r>
        <w:rPr>
          <w:lang w:val="en-GB" w:bidi="ar-SY"/>
        </w:rPr>
        <w:t>10</w:t>
      </w:r>
      <w:r>
        <w:rPr>
          <w:rtl/>
          <w:lang w:bidi="ar-EG"/>
        </w:rPr>
        <w:tab/>
      </w:r>
      <w:r>
        <w:rPr>
          <w:rtl/>
        </w:rPr>
        <w:t xml:space="preserve">والمصدر الرئيسي للإيرادات هو المساحات المؤجرة وجهات الرعاية ومساهمات البلد المضيف ورسوم الدخول وإيرادات أخرى متعلقة بالحدث. ويسعى تليكوم الاتحاد دائماً إلى البحث عن طرائق وأساليب جديدة لتقديم خدمات </w:t>
      </w:r>
      <w:r>
        <w:rPr>
          <w:spacing w:val="-4"/>
          <w:rtl/>
        </w:rPr>
        <w:t>إضافية لإرضاء الاحتياجات المتغيرة لعملائه، والحصول في الوقت نفسه على إيرادات للاتحاد. وتتألف النفقات الإجمالية من النفقات</w:t>
      </w:r>
      <w:r>
        <w:rPr>
          <w:rtl/>
        </w:rPr>
        <w:t xml:space="preserve"> الأساسية لأمانة تليكوم </w:t>
      </w:r>
      <w:r w:rsidRPr="00BB1008">
        <w:rPr>
          <w:rtl/>
        </w:rPr>
        <w:t xml:space="preserve">الاتحاد المقدرة بمبلغ </w:t>
      </w:r>
      <w:r w:rsidR="008009A0" w:rsidRPr="00BB1008">
        <w:t>10</w:t>
      </w:r>
      <w:r w:rsidR="00620DF3">
        <w:t>,</w:t>
      </w:r>
      <w:r w:rsidR="008009A0" w:rsidRPr="00BB1008">
        <w:t>27</w:t>
      </w:r>
      <w:r w:rsidRPr="00BB1008">
        <w:rPr>
          <w:rtl/>
        </w:rPr>
        <w:t> </w:t>
      </w:r>
      <w:r w:rsidR="00F36D92">
        <w:rPr>
          <w:rFonts w:hint="cs"/>
          <w:rtl/>
        </w:rPr>
        <w:t>ملايين</w:t>
      </w:r>
      <w:r w:rsidR="00BB1008">
        <w:rPr>
          <w:rFonts w:hint="cs"/>
          <w:rtl/>
          <w:lang w:bidi="ar-EG"/>
        </w:rPr>
        <w:t xml:space="preserve"> </w:t>
      </w:r>
      <w:r w:rsidRPr="00BB1008">
        <w:rPr>
          <w:rtl/>
        </w:rPr>
        <w:t>فرنك</w:t>
      </w:r>
      <w:r>
        <w:rPr>
          <w:rtl/>
        </w:rPr>
        <w:t xml:space="preserve"> سويسري، تشمل نفقات استرداد التكاليف بمبلغ </w:t>
      </w:r>
      <w:r>
        <w:t>3</w:t>
      </w:r>
      <w:r>
        <w:rPr>
          <w:rtl/>
        </w:rPr>
        <w:t> ملايين فرنك سويسري إضافةً إلى النفقات المخصصة للأحداث، أي التكاليف الخاصة بالموظفين وتكاليف السفر والخدمات التعاقدية والاستئجار والصيانة والمواد واللوازم والخدمات العامة والنفقات المتفرقة.</w:t>
      </w:r>
    </w:p>
    <w:p w:rsidR="001957B8" w:rsidRDefault="001957B8" w:rsidP="001957B8">
      <w:pPr>
        <w:pStyle w:val="TableNo"/>
        <w:rPr>
          <w:rtl/>
        </w:rPr>
      </w:pPr>
      <w:r>
        <w:rPr>
          <w:rtl/>
        </w:rPr>
        <w:lastRenderedPageBreak/>
        <w:t xml:space="preserve">الجدول </w:t>
      </w:r>
      <w:r>
        <w:rPr>
          <w:lang w:val="en-GB"/>
        </w:rPr>
        <w:t>4</w:t>
      </w:r>
    </w:p>
    <w:p w:rsidR="001957B8" w:rsidRDefault="001957B8" w:rsidP="00EC2AFC">
      <w:pPr>
        <w:pStyle w:val="Tabletitle"/>
        <w:rPr>
          <w:rtl/>
        </w:rPr>
      </w:pPr>
      <w:r>
        <w:rPr>
          <w:rtl/>
        </w:rPr>
        <w:t xml:space="preserve">التمويل في الفترة </w:t>
      </w:r>
      <w:r w:rsidR="00EC2AFC">
        <w:t>2021</w:t>
      </w:r>
      <w:r>
        <w:t>-</w:t>
      </w:r>
      <w:r w:rsidR="00EC2AFC">
        <w:t>2020</w:t>
      </w:r>
    </w:p>
    <w:tbl>
      <w:tblPr>
        <w:bidiVisual/>
        <w:tblW w:w="9639" w:type="dxa"/>
        <w:jc w:val="center"/>
        <w:tblLook w:val="04A0" w:firstRow="1" w:lastRow="0" w:firstColumn="1" w:lastColumn="0" w:noHBand="0" w:noVBand="1"/>
      </w:tblPr>
      <w:tblGrid>
        <w:gridCol w:w="4961"/>
        <w:gridCol w:w="1559"/>
        <w:gridCol w:w="1701"/>
        <w:gridCol w:w="1418"/>
      </w:tblGrid>
      <w:tr w:rsidR="001957B8" w:rsidRPr="00FC7F4B" w:rsidTr="001957B8">
        <w:trPr>
          <w:jc w:val="center"/>
        </w:trPr>
        <w:tc>
          <w:tcPr>
            <w:tcW w:w="4961" w:type="dxa"/>
            <w:tcBorders>
              <w:top w:val="single" w:sz="4" w:space="0" w:color="auto"/>
              <w:left w:val="nil"/>
              <w:bottom w:val="nil"/>
              <w:right w:val="nil"/>
            </w:tcBorders>
            <w:shd w:val="clear" w:color="auto" w:fill="DCE6F1"/>
            <w:noWrap/>
            <w:vAlign w:val="bottom"/>
            <w:hideMark/>
          </w:tcPr>
          <w:p w:rsidR="001957B8" w:rsidRPr="00F322EF" w:rsidRDefault="001957B8" w:rsidP="00F322EF">
            <w:pPr>
              <w:pStyle w:val="TableHead"/>
              <w:rPr>
                <w:color w:val="0000FF"/>
                <w:rtl/>
                <w:lang w:bidi="ar-EG"/>
              </w:rPr>
            </w:pPr>
            <w:r w:rsidRPr="00F322EF">
              <w:rPr>
                <w:color w:val="0000FF"/>
              </w:rPr>
              <w:t> </w:t>
            </w:r>
          </w:p>
        </w:tc>
        <w:tc>
          <w:tcPr>
            <w:tcW w:w="4678" w:type="dxa"/>
            <w:gridSpan w:val="3"/>
            <w:tcBorders>
              <w:top w:val="single" w:sz="4" w:space="0" w:color="auto"/>
              <w:left w:val="nil"/>
              <w:bottom w:val="nil"/>
              <w:right w:val="nil"/>
            </w:tcBorders>
            <w:shd w:val="clear" w:color="auto" w:fill="DCE6F1"/>
            <w:noWrap/>
            <w:vAlign w:val="bottom"/>
            <w:hideMark/>
          </w:tcPr>
          <w:p w:rsidR="001957B8" w:rsidRPr="00F322EF" w:rsidRDefault="001957B8" w:rsidP="00F322EF">
            <w:pPr>
              <w:pStyle w:val="TableHead"/>
              <w:rPr>
                <w:i/>
                <w:iCs/>
                <w:color w:val="0000FF"/>
              </w:rPr>
            </w:pPr>
            <w:r w:rsidRPr="00F322EF">
              <w:rPr>
                <w:i/>
                <w:iCs/>
                <w:color w:val="0000FF"/>
                <w:rtl/>
                <w:lang w:bidi="ar-EG"/>
              </w:rPr>
              <w:t>بآلاف الفرنكات السويسرية</w:t>
            </w:r>
          </w:p>
        </w:tc>
      </w:tr>
      <w:tr w:rsidR="001957B8" w:rsidRPr="00FC7F4B" w:rsidTr="001957B8">
        <w:trPr>
          <w:jc w:val="center"/>
        </w:trPr>
        <w:tc>
          <w:tcPr>
            <w:tcW w:w="4961" w:type="dxa"/>
            <w:shd w:val="clear" w:color="auto" w:fill="DCE6F1"/>
            <w:noWrap/>
            <w:vAlign w:val="bottom"/>
            <w:hideMark/>
          </w:tcPr>
          <w:p w:rsidR="001957B8" w:rsidRPr="00F322EF" w:rsidRDefault="001957B8" w:rsidP="00F322EF">
            <w:pPr>
              <w:pStyle w:val="TableHead"/>
              <w:rPr>
                <w:color w:val="0000FF"/>
              </w:rPr>
            </w:pPr>
            <w:r w:rsidRPr="00F322EF">
              <w:rPr>
                <w:color w:val="0000FF"/>
              </w:rPr>
              <w:t> </w:t>
            </w:r>
          </w:p>
        </w:tc>
        <w:tc>
          <w:tcPr>
            <w:tcW w:w="1559" w:type="dxa"/>
            <w:vMerge w:val="restart"/>
            <w:tcBorders>
              <w:top w:val="nil"/>
              <w:left w:val="nil"/>
              <w:bottom w:val="single" w:sz="4" w:space="0" w:color="auto"/>
              <w:right w:val="nil"/>
            </w:tcBorders>
            <w:shd w:val="clear" w:color="auto" w:fill="DCE6F1"/>
            <w:noWrap/>
            <w:vAlign w:val="bottom"/>
            <w:hideMark/>
          </w:tcPr>
          <w:p w:rsidR="001957B8" w:rsidRPr="00F322EF" w:rsidRDefault="008009A0" w:rsidP="00F322EF">
            <w:pPr>
              <w:pStyle w:val="TableHead"/>
              <w:rPr>
                <w:color w:val="0000FF"/>
              </w:rPr>
            </w:pPr>
            <w:r w:rsidRPr="00F322EF">
              <w:rPr>
                <w:color w:val="0000FF"/>
              </w:rPr>
              <w:t>2020</w:t>
            </w:r>
          </w:p>
        </w:tc>
        <w:tc>
          <w:tcPr>
            <w:tcW w:w="1701" w:type="dxa"/>
            <w:vMerge w:val="restart"/>
            <w:tcBorders>
              <w:top w:val="nil"/>
              <w:left w:val="nil"/>
              <w:bottom w:val="single" w:sz="4" w:space="0" w:color="auto"/>
              <w:right w:val="nil"/>
            </w:tcBorders>
            <w:shd w:val="clear" w:color="auto" w:fill="DCE6F1"/>
            <w:noWrap/>
            <w:vAlign w:val="bottom"/>
            <w:hideMark/>
          </w:tcPr>
          <w:p w:rsidR="001957B8" w:rsidRPr="00F322EF" w:rsidRDefault="008009A0" w:rsidP="00F322EF">
            <w:pPr>
              <w:pStyle w:val="TableHead"/>
              <w:rPr>
                <w:color w:val="0000FF"/>
                <w:lang w:bidi="ar-EG"/>
              </w:rPr>
            </w:pPr>
            <w:r w:rsidRPr="00F322EF">
              <w:rPr>
                <w:color w:val="0000FF"/>
              </w:rPr>
              <w:t>2021</w:t>
            </w:r>
          </w:p>
        </w:tc>
        <w:tc>
          <w:tcPr>
            <w:tcW w:w="1418" w:type="dxa"/>
            <w:shd w:val="clear" w:color="auto" w:fill="DCE6F1"/>
            <w:noWrap/>
            <w:vAlign w:val="bottom"/>
            <w:hideMark/>
          </w:tcPr>
          <w:p w:rsidR="001957B8" w:rsidRPr="00F322EF" w:rsidRDefault="001957B8" w:rsidP="00F322EF">
            <w:pPr>
              <w:pStyle w:val="TableHead"/>
              <w:rPr>
                <w:color w:val="0000FF"/>
                <w:rtl/>
              </w:rPr>
            </w:pPr>
            <w:r w:rsidRPr="00F322EF">
              <w:rPr>
                <w:color w:val="0000FF"/>
                <w:rtl/>
                <w:lang w:bidi="ar-EG"/>
              </w:rPr>
              <w:t>المجموع</w:t>
            </w:r>
          </w:p>
        </w:tc>
      </w:tr>
      <w:tr w:rsidR="001957B8" w:rsidRPr="00FC7F4B" w:rsidTr="001957B8">
        <w:trPr>
          <w:jc w:val="center"/>
        </w:trPr>
        <w:tc>
          <w:tcPr>
            <w:tcW w:w="4961" w:type="dxa"/>
            <w:tcBorders>
              <w:top w:val="nil"/>
              <w:left w:val="nil"/>
              <w:bottom w:val="single" w:sz="4" w:space="0" w:color="auto"/>
              <w:right w:val="nil"/>
            </w:tcBorders>
            <w:shd w:val="clear" w:color="auto" w:fill="DCE6F1"/>
            <w:noWrap/>
            <w:vAlign w:val="bottom"/>
            <w:hideMark/>
          </w:tcPr>
          <w:p w:rsidR="001957B8" w:rsidRPr="00F322EF" w:rsidRDefault="001957B8" w:rsidP="00F322EF">
            <w:pPr>
              <w:pStyle w:val="TableHead"/>
              <w:rPr>
                <w:color w:val="0000FF"/>
              </w:rPr>
            </w:pPr>
            <w:r w:rsidRPr="00F322EF">
              <w:rPr>
                <w:color w:val="0000FF"/>
              </w:rPr>
              <w:t> </w:t>
            </w:r>
          </w:p>
        </w:tc>
        <w:tc>
          <w:tcPr>
            <w:tcW w:w="0" w:type="auto"/>
            <w:vMerge/>
            <w:tcBorders>
              <w:top w:val="nil"/>
              <w:left w:val="nil"/>
              <w:bottom w:val="single" w:sz="4" w:space="0" w:color="auto"/>
              <w:right w:val="nil"/>
            </w:tcBorders>
            <w:vAlign w:val="center"/>
            <w:hideMark/>
          </w:tcPr>
          <w:p w:rsidR="001957B8" w:rsidRPr="00F322EF" w:rsidRDefault="001957B8" w:rsidP="00F322EF">
            <w:pPr>
              <w:pStyle w:val="TableHead"/>
              <w:rPr>
                <w:color w:val="0000FF"/>
              </w:rPr>
            </w:pPr>
          </w:p>
        </w:tc>
        <w:tc>
          <w:tcPr>
            <w:tcW w:w="0" w:type="auto"/>
            <w:vMerge/>
            <w:tcBorders>
              <w:top w:val="nil"/>
              <w:left w:val="nil"/>
              <w:bottom w:val="single" w:sz="4" w:space="0" w:color="auto"/>
              <w:right w:val="nil"/>
            </w:tcBorders>
            <w:vAlign w:val="center"/>
            <w:hideMark/>
          </w:tcPr>
          <w:p w:rsidR="001957B8" w:rsidRPr="00F322EF" w:rsidRDefault="001957B8" w:rsidP="00F322EF">
            <w:pPr>
              <w:pStyle w:val="TableHead"/>
              <w:rPr>
                <w:color w:val="0000FF"/>
                <w:lang w:bidi="ar-EG"/>
              </w:rPr>
            </w:pPr>
          </w:p>
        </w:tc>
        <w:tc>
          <w:tcPr>
            <w:tcW w:w="1418" w:type="dxa"/>
            <w:tcBorders>
              <w:top w:val="nil"/>
              <w:left w:val="nil"/>
              <w:bottom w:val="single" w:sz="4" w:space="0" w:color="auto"/>
              <w:right w:val="nil"/>
            </w:tcBorders>
            <w:shd w:val="clear" w:color="auto" w:fill="DCE6F1"/>
            <w:noWrap/>
            <w:vAlign w:val="bottom"/>
            <w:hideMark/>
          </w:tcPr>
          <w:p w:rsidR="001957B8" w:rsidRPr="00F322EF" w:rsidRDefault="008009A0" w:rsidP="00F322EF">
            <w:pPr>
              <w:pStyle w:val="TableHead"/>
              <w:rPr>
                <w:color w:val="0000FF"/>
                <w:lang w:bidi="ar-SY"/>
              </w:rPr>
            </w:pPr>
            <w:r w:rsidRPr="00F322EF">
              <w:rPr>
                <w:color w:val="0000FF"/>
              </w:rPr>
              <w:t>2021-2020</w:t>
            </w:r>
          </w:p>
        </w:tc>
      </w:tr>
      <w:tr w:rsidR="001957B8" w:rsidRPr="00FC7F4B" w:rsidTr="001957B8">
        <w:trPr>
          <w:jc w:val="center"/>
        </w:trPr>
        <w:tc>
          <w:tcPr>
            <w:tcW w:w="4961" w:type="dxa"/>
            <w:noWrap/>
            <w:vAlign w:val="bottom"/>
            <w:hideMark/>
          </w:tcPr>
          <w:p w:rsidR="001957B8" w:rsidRPr="00620DF3" w:rsidRDefault="001957B8" w:rsidP="00F322EF">
            <w:pPr>
              <w:pStyle w:val="Tabletexte"/>
              <w:rPr>
                <w:b/>
                <w:bCs/>
                <w:rtl/>
              </w:rPr>
            </w:pPr>
            <w:r w:rsidRPr="00620DF3">
              <w:rPr>
                <w:b/>
                <w:bCs/>
                <w:rtl/>
              </w:rPr>
              <w:t>الإيرادات</w:t>
            </w:r>
          </w:p>
        </w:tc>
        <w:tc>
          <w:tcPr>
            <w:tcW w:w="1559" w:type="dxa"/>
            <w:noWrap/>
            <w:vAlign w:val="bottom"/>
            <w:hideMark/>
          </w:tcPr>
          <w:p w:rsidR="001957B8" w:rsidRPr="00FC7F4B" w:rsidRDefault="001957B8" w:rsidP="00F322EF">
            <w:pPr>
              <w:pStyle w:val="Tabletexte"/>
            </w:pPr>
          </w:p>
        </w:tc>
        <w:tc>
          <w:tcPr>
            <w:tcW w:w="1701" w:type="dxa"/>
            <w:noWrap/>
            <w:vAlign w:val="bottom"/>
            <w:hideMark/>
          </w:tcPr>
          <w:p w:rsidR="001957B8" w:rsidRPr="00FC7F4B" w:rsidRDefault="001957B8" w:rsidP="00F322EF">
            <w:pPr>
              <w:pStyle w:val="Tabletexte"/>
              <w:rPr>
                <w:rFonts w:cs="Arial"/>
              </w:rPr>
            </w:pPr>
          </w:p>
        </w:tc>
        <w:tc>
          <w:tcPr>
            <w:tcW w:w="1418" w:type="dxa"/>
            <w:noWrap/>
            <w:vAlign w:val="bottom"/>
            <w:hideMark/>
          </w:tcPr>
          <w:p w:rsidR="001957B8" w:rsidRPr="00FC7F4B" w:rsidRDefault="001957B8" w:rsidP="00F322EF">
            <w:pPr>
              <w:pStyle w:val="Tabletexte"/>
              <w:rPr>
                <w:rFonts w:cs="Arial"/>
              </w:rPr>
            </w:pPr>
          </w:p>
        </w:tc>
      </w:tr>
      <w:tr w:rsidR="001957B8" w:rsidRPr="00FC7F4B" w:rsidTr="001957B8">
        <w:trPr>
          <w:jc w:val="center"/>
        </w:trPr>
        <w:tc>
          <w:tcPr>
            <w:tcW w:w="4961" w:type="dxa"/>
            <w:noWrap/>
            <w:hideMark/>
          </w:tcPr>
          <w:p w:rsidR="001957B8" w:rsidRPr="00FC7F4B" w:rsidRDefault="001957B8" w:rsidP="00F322EF">
            <w:pPr>
              <w:pStyle w:val="Tabletexte"/>
            </w:pPr>
            <w:r w:rsidRPr="00FC7F4B">
              <w:rPr>
                <w:rtl/>
              </w:rPr>
              <w:t>الإيرادات المتصلة بمساحة العرض والحدث</w:t>
            </w:r>
          </w:p>
        </w:tc>
        <w:tc>
          <w:tcPr>
            <w:tcW w:w="1559" w:type="dxa"/>
            <w:noWrap/>
            <w:vAlign w:val="bottom"/>
            <w:hideMark/>
          </w:tcPr>
          <w:p w:rsidR="001957B8" w:rsidRPr="00FC7F4B" w:rsidRDefault="008009A0" w:rsidP="00F322EF">
            <w:pPr>
              <w:pStyle w:val="Tabletexte"/>
            </w:pPr>
            <w:r>
              <w:t>3 600</w:t>
            </w:r>
          </w:p>
        </w:tc>
        <w:tc>
          <w:tcPr>
            <w:tcW w:w="1701" w:type="dxa"/>
            <w:noWrap/>
            <w:vAlign w:val="bottom"/>
            <w:hideMark/>
          </w:tcPr>
          <w:p w:rsidR="001957B8" w:rsidRPr="00FC7F4B" w:rsidRDefault="008009A0" w:rsidP="00F322EF">
            <w:pPr>
              <w:pStyle w:val="Tabletexte"/>
              <w:rPr>
                <w:rtl/>
              </w:rPr>
            </w:pPr>
            <w:r>
              <w:t>3 600</w:t>
            </w:r>
          </w:p>
        </w:tc>
        <w:tc>
          <w:tcPr>
            <w:tcW w:w="1418" w:type="dxa"/>
            <w:noWrap/>
            <w:vAlign w:val="bottom"/>
            <w:hideMark/>
          </w:tcPr>
          <w:p w:rsidR="001957B8" w:rsidRPr="00FC7F4B" w:rsidRDefault="008009A0" w:rsidP="00F322EF">
            <w:pPr>
              <w:pStyle w:val="Tabletexte"/>
            </w:pPr>
            <w:r>
              <w:t>7 200</w:t>
            </w:r>
          </w:p>
        </w:tc>
      </w:tr>
      <w:tr w:rsidR="001957B8" w:rsidRPr="00FC7F4B" w:rsidTr="001957B8">
        <w:trPr>
          <w:jc w:val="center"/>
        </w:trPr>
        <w:tc>
          <w:tcPr>
            <w:tcW w:w="4961" w:type="dxa"/>
            <w:noWrap/>
            <w:hideMark/>
          </w:tcPr>
          <w:p w:rsidR="001957B8" w:rsidRPr="00FC7F4B" w:rsidRDefault="001957B8" w:rsidP="00F322EF">
            <w:pPr>
              <w:pStyle w:val="Tabletexte"/>
              <w:rPr>
                <w:rFonts w:eastAsia="Arial Unicode MS"/>
              </w:rPr>
            </w:pPr>
            <w:r w:rsidRPr="00FC7F4B">
              <w:rPr>
                <w:rtl/>
              </w:rPr>
              <w:t>رسوم الدخول</w:t>
            </w:r>
          </w:p>
        </w:tc>
        <w:tc>
          <w:tcPr>
            <w:tcW w:w="1559" w:type="dxa"/>
            <w:noWrap/>
            <w:vAlign w:val="bottom"/>
            <w:hideMark/>
          </w:tcPr>
          <w:p w:rsidR="001957B8" w:rsidRPr="00FC7F4B" w:rsidRDefault="008009A0" w:rsidP="00F322EF">
            <w:pPr>
              <w:pStyle w:val="Tabletexte"/>
            </w:pPr>
            <w:r>
              <w:t>200</w:t>
            </w:r>
          </w:p>
        </w:tc>
        <w:tc>
          <w:tcPr>
            <w:tcW w:w="1701" w:type="dxa"/>
            <w:noWrap/>
            <w:vAlign w:val="bottom"/>
            <w:hideMark/>
          </w:tcPr>
          <w:p w:rsidR="001957B8" w:rsidRPr="00FC7F4B" w:rsidRDefault="001957B8" w:rsidP="00F322EF">
            <w:pPr>
              <w:pStyle w:val="Tabletexte"/>
            </w:pPr>
            <w:r w:rsidRPr="00FC7F4B">
              <w:t>200</w:t>
            </w:r>
          </w:p>
        </w:tc>
        <w:tc>
          <w:tcPr>
            <w:tcW w:w="1418" w:type="dxa"/>
            <w:noWrap/>
            <w:vAlign w:val="bottom"/>
            <w:hideMark/>
          </w:tcPr>
          <w:p w:rsidR="001957B8" w:rsidRPr="00FC7F4B" w:rsidRDefault="008009A0" w:rsidP="00F322EF">
            <w:pPr>
              <w:pStyle w:val="Tabletexte"/>
            </w:pPr>
            <w:r>
              <w:t>400</w:t>
            </w:r>
          </w:p>
        </w:tc>
      </w:tr>
      <w:tr w:rsidR="001957B8" w:rsidRPr="00FC7F4B" w:rsidTr="001957B8">
        <w:trPr>
          <w:jc w:val="center"/>
        </w:trPr>
        <w:tc>
          <w:tcPr>
            <w:tcW w:w="4961" w:type="dxa"/>
            <w:noWrap/>
            <w:hideMark/>
          </w:tcPr>
          <w:p w:rsidR="001957B8" w:rsidRPr="00FC7F4B" w:rsidRDefault="001957B8" w:rsidP="00F322EF">
            <w:pPr>
              <w:pStyle w:val="Tabletexte"/>
              <w:rPr>
                <w:rFonts w:eastAsia="Arial Unicode MS"/>
              </w:rPr>
            </w:pPr>
            <w:r w:rsidRPr="00FC7F4B">
              <w:rPr>
                <w:rtl/>
              </w:rPr>
              <w:t>جهات الرعاية والمساهمات</w:t>
            </w:r>
          </w:p>
        </w:tc>
        <w:tc>
          <w:tcPr>
            <w:tcW w:w="1559" w:type="dxa"/>
            <w:noWrap/>
            <w:vAlign w:val="bottom"/>
            <w:hideMark/>
          </w:tcPr>
          <w:p w:rsidR="001957B8" w:rsidRPr="00FC7F4B" w:rsidRDefault="008009A0" w:rsidP="00F322EF">
            <w:pPr>
              <w:pStyle w:val="Tabletexte"/>
            </w:pPr>
            <w:r>
              <w:t>4 300</w:t>
            </w:r>
          </w:p>
        </w:tc>
        <w:tc>
          <w:tcPr>
            <w:tcW w:w="1701" w:type="dxa"/>
            <w:noWrap/>
            <w:vAlign w:val="bottom"/>
            <w:hideMark/>
          </w:tcPr>
          <w:p w:rsidR="001957B8" w:rsidRPr="00FC7F4B" w:rsidRDefault="008009A0" w:rsidP="00F322EF">
            <w:pPr>
              <w:pStyle w:val="Tabletexte"/>
            </w:pPr>
            <w:r>
              <w:t>4 300</w:t>
            </w:r>
          </w:p>
        </w:tc>
        <w:tc>
          <w:tcPr>
            <w:tcW w:w="1418" w:type="dxa"/>
            <w:noWrap/>
            <w:vAlign w:val="bottom"/>
            <w:hideMark/>
          </w:tcPr>
          <w:p w:rsidR="001957B8" w:rsidRPr="00FC7F4B" w:rsidRDefault="008009A0" w:rsidP="00F322EF">
            <w:pPr>
              <w:pStyle w:val="Tabletexte"/>
            </w:pPr>
            <w:r>
              <w:t>8 600</w:t>
            </w:r>
          </w:p>
        </w:tc>
      </w:tr>
      <w:tr w:rsidR="001957B8" w:rsidRPr="00FC7F4B" w:rsidTr="001957B8">
        <w:trPr>
          <w:jc w:val="center"/>
        </w:trPr>
        <w:tc>
          <w:tcPr>
            <w:tcW w:w="4961" w:type="dxa"/>
            <w:tcBorders>
              <w:top w:val="single" w:sz="4" w:space="0" w:color="auto"/>
              <w:left w:val="nil"/>
              <w:bottom w:val="single" w:sz="4" w:space="0" w:color="auto"/>
              <w:right w:val="nil"/>
            </w:tcBorders>
            <w:noWrap/>
            <w:vAlign w:val="bottom"/>
            <w:hideMark/>
          </w:tcPr>
          <w:p w:rsidR="001957B8" w:rsidRPr="00A95C50" w:rsidRDefault="001957B8" w:rsidP="00A95C50">
            <w:pPr>
              <w:pStyle w:val="Tabletexte"/>
              <w:rPr>
                <w:b/>
                <w:bCs/>
                <w:i/>
                <w:iCs/>
              </w:rPr>
            </w:pPr>
            <w:r w:rsidRPr="00A95C50">
              <w:rPr>
                <w:b/>
                <w:bCs/>
                <w:i/>
                <w:iCs/>
                <w:rtl/>
                <w:lang w:bidi="ar-EG"/>
              </w:rPr>
              <w:t xml:space="preserve">مجموع الإيرادات </w:t>
            </w:r>
            <w:r w:rsidR="00A95C50" w:rsidRPr="00A95C50">
              <w:rPr>
                <w:b/>
                <w:bCs/>
                <w:i/>
                <w:iCs/>
                <w:lang w:val="en-GB"/>
              </w:rPr>
              <w:t>(A)</w:t>
            </w:r>
          </w:p>
        </w:tc>
        <w:tc>
          <w:tcPr>
            <w:tcW w:w="1559" w:type="dxa"/>
            <w:tcBorders>
              <w:top w:val="single" w:sz="4" w:space="0" w:color="auto"/>
              <w:left w:val="nil"/>
              <w:bottom w:val="single" w:sz="4" w:space="0" w:color="auto"/>
              <w:right w:val="nil"/>
            </w:tcBorders>
            <w:noWrap/>
            <w:vAlign w:val="bottom"/>
            <w:hideMark/>
          </w:tcPr>
          <w:p w:rsidR="001957B8" w:rsidRPr="00A95C50" w:rsidRDefault="008009A0" w:rsidP="00F322EF">
            <w:pPr>
              <w:pStyle w:val="Tabletexte"/>
              <w:rPr>
                <w:b/>
                <w:bCs/>
                <w:i/>
                <w:iCs/>
              </w:rPr>
            </w:pPr>
            <w:r w:rsidRPr="00A95C50">
              <w:rPr>
                <w:b/>
                <w:bCs/>
                <w:i/>
                <w:iCs/>
              </w:rPr>
              <w:t>8 100</w:t>
            </w:r>
          </w:p>
        </w:tc>
        <w:tc>
          <w:tcPr>
            <w:tcW w:w="1701" w:type="dxa"/>
            <w:tcBorders>
              <w:top w:val="single" w:sz="4" w:space="0" w:color="auto"/>
              <w:left w:val="nil"/>
              <w:bottom w:val="single" w:sz="4" w:space="0" w:color="auto"/>
              <w:right w:val="nil"/>
            </w:tcBorders>
            <w:noWrap/>
            <w:vAlign w:val="bottom"/>
            <w:hideMark/>
          </w:tcPr>
          <w:p w:rsidR="001957B8" w:rsidRPr="00A95C50" w:rsidRDefault="008009A0" w:rsidP="00F322EF">
            <w:pPr>
              <w:pStyle w:val="Tabletexte"/>
              <w:rPr>
                <w:b/>
                <w:bCs/>
                <w:i/>
                <w:iCs/>
              </w:rPr>
            </w:pPr>
            <w:r w:rsidRPr="00A95C50">
              <w:rPr>
                <w:b/>
                <w:bCs/>
                <w:i/>
                <w:iCs/>
              </w:rPr>
              <w:t>8 100</w:t>
            </w:r>
          </w:p>
        </w:tc>
        <w:tc>
          <w:tcPr>
            <w:tcW w:w="1418" w:type="dxa"/>
            <w:tcBorders>
              <w:top w:val="single" w:sz="4" w:space="0" w:color="auto"/>
              <w:left w:val="nil"/>
              <w:bottom w:val="single" w:sz="4" w:space="0" w:color="auto"/>
              <w:right w:val="nil"/>
            </w:tcBorders>
            <w:noWrap/>
            <w:vAlign w:val="bottom"/>
            <w:hideMark/>
          </w:tcPr>
          <w:p w:rsidR="001957B8" w:rsidRPr="006517CB" w:rsidRDefault="008009A0" w:rsidP="00F322EF">
            <w:pPr>
              <w:pStyle w:val="Tabletexte"/>
              <w:rPr>
                <w:b/>
                <w:bCs/>
              </w:rPr>
            </w:pPr>
            <w:r w:rsidRPr="006517CB">
              <w:rPr>
                <w:b/>
                <w:bCs/>
              </w:rPr>
              <w:t>16 200</w:t>
            </w:r>
          </w:p>
        </w:tc>
      </w:tr>
      <w:tr w:rsidR="001957B8" w:rsidRPr="00FC7F4B" w:rsidTr="001957B8">
        <w:trPr>
          <w:jc w:val="center"/>
        </w:trPr>
        <w:tc>
          <w:tcPr>
            <w:tcW w:w="4961" w:type="dxa"/>
            <w:noWrap/>
            <w:vAlign w:val="bottom"/>
            <w:hideMark/>
          </w:tcPr>
          <w:p w:rsidR="001957B8" w:rsidRPr="00FC7F4B" w:rsidRDefault="001957B8" w:rsidP="00F322EF">
            <w:pPr>
              <w:pStyle w:val="Tabletexte"/>
              <w:rPr>
                <w:i/>
                <w:iCs/>
              </w:rPr>
            </w:pPr>
          </w:p>
        </w:tc>
        <w:tc>
          <w:tcPr>
            <w:tcW w:w="1559" w:type="dxa"/>
            <w:noWrap/>
            <w:vAlign w:val="bottom"/>
            <w:hideMark/>
          </w:tcPr>
          <w:p w:rsidR="001957B8" w:rsidRPr="00FC7F4B" w:rsidRDefault="001957B8" w:rsidP="00F322EF">
            <w:pPr>
              <w:pStyle w:val="Tabletexte"/>
              <w:rPr>
                <w:rFonts w:cs="Arial"/>
              </w:rPr>
            </w:pPr>
          </w:p>
        </w:tc>
        <w:tc>
          <w:tcPr>
            <w:tcW w:w="1701" w:type="dxa"/>
            <w:noWrap/>
            <w:vAlign w:val="bottom"/>
            <w:hideMark/>
          </w:tcPr>
          <w:p w:rsidR="001957B8" w:rsidRPr="00FC7F4B" w:rsidRDefault="001957B8" w:rsidP="00F322EF">
            <w:pPr>
              <w:pStyle w:val="Tabletexte"/>
              <w:rPr>
                <w:rFonts w:cs="Arial"/>
              </w:rPr>
            </w:pPr>
          </w:p>
        </w:tc>
        <w:tc>
          <w:tcPr>
            <w:tcW w:w="1418" w:type="dxa"/>
            <w:noWrap/>
            <w:vAlign w:val="bottom"/>
            <w:hideMark/>
          </w:tcPr>
          <w:p w:rsidR="001957B8" w:rsidRPr="00FC7F4B" w:rsidRDefault="001957B8" w:rsidP="00F322EF">
            <w:pPr>
              <w:pStyle w:val="Tabletexte"/>
              <w:rPr>
                <w:rFonts w:cs="Arial"/>
              </w:rPr>
            </w:pPr>
          </w:p>
        </w:tc>
      </w:tr>
      <w:tr w:rsidR="001957B8" w:rsidRPr="00FC7F4B" w:rsidTr="001957B8">
        <w:trPr>
          <w:jc w:val="center"/>
        </w:trPr>
        <w:tc>
          <w:tcPr>
            <w:tcW w:w="4961" w:type="dxa"/>
            <w:noWrap/>
            <w:vAlign w:val="bottom"/>
            <w:hideMark/>
          </w:tcPr>
          <w:p w:rsidR="001957B8" w:rsidRPr="00620DF3" w:rsidRDefault="001957B8" w:rsidP="00F322EF">
            <w:pPr>
              <w:pStyle w:val="Tabletexte"/>
              <w:rPr>
                <w:b/>
                <w:bCs/>
                <w:lang w:bidi="ar-EG"/>
              </w:rPr>
            </w:pPr>
            <w:r w:rsidRPr="00620DF3">
              <w:rPr>
                <w:b/>
                <w:bCs/>
                <w:rtl/>
                <w:lang w:bidi="ar-EG"/>
              </w:rPr>
              <w:t>النفقات</w:t>
            </w:r>
          </w:p>
        </w:tc>
        <w:tc>
          <w:tcPr>
            <w:tcW w:w="1559" w:type="dxa"/>
            <w:noWrap/>
            <w:vAlign w:val="bottom"/>
            <w:hideMark/>
          </w:tcPr>
          <w:p w:rsidR="001957B8" w:rsidRPr="00FC7F4B" w:rsidRDefault="001957B8" w:rsidP="00F322EF">
            <w:pPr>
              <w:pStyle w:val="Tabletexte"/>
              <w:rPr>
                <w:rtl/>
                <w:lang w:bidi="ar-EG"/>
              </w:rPr>
            </w:pPr>
          </w:p>
        </w:tc>
        <w:tc>
          <w:tcPr>
            <w:tcW w:w="1701" w:type="dxa"/>
            <w:noWrap/>
            <w:vAlign w:val="bottom"/>
            <w:hideMark/>
          </w:tcPr>
          <w:p w:rsidR="001957B8" w:rsidRPr="00FC7F4B" w:rsidRDefault="001957B8" w:rsidP="00F322EF">
            <w:pPr>
              <w:pStyle w:val="Tabletexte"/>
              <w:rPr>
                <w:rFonts w:cs="Arial"/>
              </w:rPr>
            </w:pPr>
          </w:p>
        </w:tc>
        <w:tc>
          <w:tcPr>
            <w:tcW w:w="1418" w:type="dxa"/>
            <w:noWrap/>
            <w:vAlign w:val="bottom"/>
            <w:hideMark/>
          </w:tcPr>
          <w:p w:rsidR="001957B8" w:rsidRPr="00FC7F4B" w:rsidRDefault="001957B8" w:rsidP="00F322EF">
            <w:pPr>
              <w:pStyle w:val="Tabletexte"/>
              <w:rPr>
                <w:rFonts w:cs="Arial"/>
              </w:rPr>
            </w:pPr>
          </w:p>
        </w:tc>
      </w:tr>
      <w:tr w:rsidR="001957B8" w:rsidRPr="00FC7F4B" w:rsidTr="001957B8">
        <w:trPr>
          <w:jc w:val="center"/>
        </w:trPr>
        <w:tc>
          <w:tcPr>
            <w:tcW w:w="4961" w:type="dxa"/>
            <w:noWrap/>
            <w:hideMark/>
          </w:tcPr>
          <w:p w:rsidR="001957B8" w:rsidRPr="00FC7F4B" w:rsidRDefault="001957B8" w:rsidP="00F322EF">
            <w:pPr>
              <w:pStyle w:val="Tabletexte"/>
            </w:pPr>
            <w:r w:rsidRPr="00FC7F4B">
              <w:rPr>
                <w:rtl/>
              </w:rPr>
              <w:t xml:space="preserve">النفقات الأساسية (الجدول </w:t>
            </w:r>
            <w:r w:rsidRPr="00FC7F4B">
              <w:t>1</w:t>
            </w:r>
            <w:r w:rsidRPr="00FC7F4B">
              <w:rPr>
                <w:rtl/>
              </w:rPr>
              <w:t>)</w:t>
            </w:r>
          </w:p>
        </w:tc>
        <w:tc>
          <w:tcPr>
            <w:tcW w:w="1559" w:type="dxa"/>
            <w:noWrap/>
            <w:vAlign w:val="bottom"/>
            <w:hideMark/>
          </w:tcPr>
          <w:p w:rsidR="001957B8" w:rsidRPr="00FC7F4B" w:rsidRDefault="008009A0" w:rsidP="00F322EF">
            <w:pPr>
              <w:pStyle w:val="Tabletexte"/>
              <w:rPr>
                <w:rtl/>
              </w:rPr>
            </w:pPr>
            <w:r>
              <w:t>5 135</w:t>
            </w:r>
          </w:p>
        </w:tc>
        <w:tc>
          <w:tcPr>
            <w:tcW w:w="1701" w:type="dxa"/>
            <w:noWrap/>
            <w:vAlign w:val="bottom"/>
            <w:hideMark/>
          </w:tcPr>
          <w:p w:rsidR="001957B8" w:rsidRPr="00FC7F4B" w:rsidRDefault="008009A0" w:rsidP="00F322EF">
            <w:pPr>
              <w:pStyle w:val="Tabletexte"/>
            </w:pPr>
            <w:r>
              <w:t>5 135</w:t>
            </w:r>
          </w:p>
        </w:tc>
        <w:tc>
          <w:tcPr>
            <w:tcW w:w="1418" w:type="dxa"/>
            <w:noWrap/>
            <w:vAlign w:val="bottom"/>
            <w:hideMark/>
          </w:tcPr>
          <w:p w:rsidR="001957B8" w:rsidRPr="00FC7F4B" w:rsidRDefault="008009A0" w:rsidP="00F322EF">
            <w:pPr>
              <w:pStyle w:val="Tabletexte"/>
            </w:pPr>
            <w:r>
              <w:t>10 270</w:t>
            </w:r>
          </w:p>
        </w:tc>
      </w:tr>
      <w:tr w:rsidR="001957B8" w:rsidRPr="00FC7F4B" w:rsidTr="001957B8">
        <w:trPr>
          <w:jc w:val="center"/>
        </w:trPr>
        <w:tc>
          <w:tcPr>
            <w:tcW w:w="4961" w:type="dxa"/>
            <w:noWrap/>
            <w:hideMark/>
          </w:tcPr>
          <w:p w:rsidR="001957B8" w:rsidRPr="00FC7F4B" w:rsidRDefault="001957B8" w:rsidP="00F322EF">
            <w:pPr>
              <w:pStyle w:val="Tabletexte"/>
              <w:rPr>
                <w:rFonts w:eastAsia="Arial Unicode MS"/>
              </w:rPr>
            </w:pPr>
            <w:r w:rsidRPr="00FC7F4B">
              <w:rPr>
                <w:rtl/>
              </w:rPr>
              <w:t xml:space="preserve">التكاليف الخاصة بالموظفين وتكاليف أخرى </w:t>
            </w:r>
            <w:r w:rsidRPr="00FC7F4B">
              <w:rPr>
                <w:rFonts w:hint="cs"/>
                <w:rtl/>
              </w:rPr>
              <w:t>خاصة بالموظفين</w:t>
            </w:r>
            <w:r w:rsidRPr="00FC7F4B">
              <w:rPr>
                <w:rtl/>
              </w:rPr>
              <w:t xml:space="preserve"> (للحدث)</w:t>
            </w:r>
          </w:p>
        </w:tc>
        <w:tc>
          <w:tcPr>
            <w:tcW w:w="1559" w:type="dxa"/>
            <w:noWrap/>
            <w:vAlign w:val="bottom"/>
            <w:hideMark/>
          </w:tcPr>
          <w:p w:rsidR="001957B8" w:rsidRPr="00FC7F4B" w:rsidRDefault="008009A0" w:rsidP="00F322EF">
            <w:pPr>
              <w:pStyle w:val="Tabletexte"/>
            </w:pPr>
            <w:r>
              <w:t>120</w:t>
            </w:r>
          </w:p>
        </w:tc>
        <w:tc>
          <w:tcPr>
            <w:tcW w:w="1701" w:type="dxa"/>
            <w:noWrap/>
            <w:vAlign w:val="bottom"/>
            <w:hideMark/>
          </w:tcPr>
          <w:p w:rsidR="001957B8" w:rsidRPr="00FC7F4B" w:rsidRDefault="008009A0" w:rsidP="00F322EF">
            <w:pPr>
              <w:pStyle w:val="Tabletexte"/>
            </w:pPr>
            <w:r>
              <w:t>120</w:t>
            </w:r>
          </w:p>
        </w:tc>
        <w:tc>
          <w:tcPr>
            <w:tcW w:w="1418" w:type="dxa"/>
            <w:noWrap/>
            <w:vAlign w:val="bottom"/>
            <w:hideMark/>
          </w:tcPr>
          <w:p w:rsidR="001957B8" w:rsidRPr="00FC7F4B" w:rsidRDefault="008009A0" w:rsidP="00F322EF">
            <w:pPr>
              <w:pStyle w:val="Tabletexte"/>
            </w:pPr>
            <w:r>
              <w:t>240</w:t>
            </w:r>
          </w:p>
        </w:tc>
      </w:tr>
      <w:tr w:rsidR="001957B8" w:rsidRPr="00FC7F4B" w:rsidTr="001957B8">
        <w:trPr>
          <w:jc w:val="center"/>
        </w:trPr>
        <w:tc>
          <w:tcPr>
            <w:tcW w:w="4961" w:type="dxa"/>
            <w:noWrap/>
            <w:hideMark/>
          </w:tcPr>
          <w:p w:rsidR="001957B8" w:rsidRPr="00FC7F4B" w:rsidRDefault="001957B8" w:rsidP="00F322EF">
            <w:pPr>
              <w:pStyle w:val="Tabletexte"/>
              <w:rPr>
                <w:rFonts w:eastAsia="Arial Unicode MS"/>
                <w:lang w:bidi="ar-SA"/>
              </w:rPr>
            </w:pPr>
            <w:r w:rsidRPr="00FC7F4B">
              <w:rPr>
                <w:rtl/>
              </w:rPr>
              <w:t>تكاليف السفر</w:t>
            </w:r>
            <w:r w:rsidRPr="00FC7F4B">
              <w:rPr>
                <w:rFonts w:eastAsia="Arial Unicode MS"/>
                <w:rtl/>
                <w:lang w:bidi="ar-SA"/>
              </w:rPr>
              <w:t xml:space="preserve"> (للحدث)</w:t>
            </w:r>
          </w:p>
        </w:tc>
        <w:tc>
          <w:tcPr>
            <w:tcW w:w="1559" w:type="dxa"/>
            <w:noWrap/>
            <w:vAlign w:val="bottom"/>
            <w:hideMark/>
          </w:tcPr>
          <w:p w:rsidR="001957B8" w:rsidRPr="00FC7F4B" w:rsidRDefault="008009A0" w:rsidP="00F322EF">
            <w:pPr>
              <w:pStyle w:val="Tabletexte"/>
              <w:rPr>
                <w:rtl/>
              </w:rPr>
            </w:pPr>
            <w:r>
              <w:t>400</w:t>
            </w:r>
          </w:p>
        </w:tc>
        <w:tc>
          <w:tcPr>
            <w:tcW w:w="1701" w:type="dxa"/>
            <w:noWrap/>
            <w:vAlign w:val="bottom"/>
            <w:hideMark/>
          </w:tcPr>
          <w:p w:rsidR="001957B8" w:rsidRPr="00FC7F4B" w:rsidRDefault="008009A0" w:rsidP="00F322EF">
            <w:pPr>
              <w:pStyle w:val="Tabletexte"/>
            </w:pPr>
            <w:r>
              <w:t>400</w:t>
            </w:r>
          </w:p>
        </w:tc>
        <w:tc>
          <w:tcPr>
            <w:tcW w:w="1418" w:type="dxa"/>
            <w:noWrap/>
            <w:vAlign w:val="bottom"/>
            <w:hideMark/>
          </w:tcPr>
          <w:p w:rsidR="001957B8" w:rsidRPr="00FC7F4B" w:rsidRDefault="008009A0" w:rsidP="00F322EF">
            <w:pPr>
              <w:pStyle w:val="Tabletexte"/>
            </w:pPr>
            <w:r>
              <w:t>800</w:t>
            </w:r>
          </w:p>
        </w:tc>
      </w:tr>
      <w:tr w:rsidR="001957B8" w:rsidRPr="00FC7F4B" w:rsidTr="001957B8">
        <w:trPr>
          <w:jc w:val="center"/>
        </w:trPr>
        <w:tc>
          <w:tcPr>
            <w:tcW w:w="4961" w:type="dxa"/>
            <w:noWrap/>
            <w:hideMark/>
          </w:tcPr>
          <w:p w:rsidR="001957B8" w:rsidRPr="00FC7F4B" w:rsidRDefault="001957B8" w:rsidP="00F322EF">
            <w:pPr>
              <w:pStyle w:val="Tabletexte"/>
              <w:rPr>
                <w:rFonts w:eastAsia="Arial Unicode MS"/>
              </w:rPr>
            </w:pPr>
            <w:r w:rsidRPr="00FC7F4B">
              <w:rPr>
                <w:rtl/>
              </w:rPr>
              <w:t>الخدمات التعاقدية</w:t>
            </w:r>
            <w:r w:rsidRPr="00FC7F4B">
              <w:rPr>
                <w:rFonts w:eastAsia="Arial Unicode MS"/>
                <w:rtl/>
              </w:rPr>
              <w:t xml:space="preserve"> </w:t>
            </w:r>
            <w:r w:rsidRPr="00FC7F4B">
              <w:rPr>
                <w:rFonts w:eastAsia="Arial Unicode MS"/>
                <w:rtl/>
                <w:lang w:bidi="ar-SA"/>
              </w:rPr>
              <w:t>(للحدث)</w:t>
            </w:r>
          </w:p>
        </w:tc>
        <w:tc>
          <w:tcPr>
            <w:tcW w:w="1559" w:type="dxa"/>
            <w:noWrap/>
            <w:vAlign w:val="bottom"/>
            <w:hideMark/>
          </w:tcPr>
          <w:p w:rsidR="001957B8" w:rsidRPr="00FC7F4B" w:rsidRDefault="008009A0" w:rsidP="00F322EF">
            <w:pPr>
              <w:pStyle w:val="Tabletexte"/>
            </w:pPr>
            <w:r>
              <w:t>1 400</w:t>
            </w:r>
          </w:p>
        </w:tc>
        <w:tc>
          <w:tcPr>
            <w:tcW w:w="1701" w:type="dxa"/>
            <w:noWrap/>
            <w:vAlign w:val="bottom"/>
            <w:hideMark/>
          </w:tcPr>
          <w:p w:rsidR="001957B8" w:rsidRPr="00FC7F4B" w:rsidRDefault="008009A0" w:rsidP="00F322EF">
            <w:pPr>
              <w:pStyle w:val="Tabletexte"/>
            </w:pPr>
            <w:r>
              <w:t>1 400</w:t>
            </w:r>
          </w:p>
        </w:tc>
        <w:tc>
          <w:tcPr>
            <w:tcW w:w="1418" w:type="dxa"/>
            <w:noWrap/>
            <w:vAlign w:val="bottom"/>
            <w:hideMark/>
          </w:tcPr>
          <w:p w:rsidR="001957B8" w:rsidRPr="00FC7F4B" w:rsidRDefault="008009A0" w:rsidP="00F322EF">
            <w:pPr>
              <w:pStyle w:val="Tabletexte"/>
            </w:pPr>
            <w:r>
              <w:t>2 800</w:t>
            </w:r>
          </w:p>
        </w:tc>
      </w:tr>
      <w:tr w:rsidR="001957B8" w:rsidRPr="00FC7F4B" w:rsidTr="001957B8">
        <w:trPr>
          <w:jc w:val="center"/>
        </w:trPr>
        <w:tc>
          <w:tcPr>
            <w:tcW w:w="4961" w:type="dxa"/>
            <w:noWrap/>
            <w:hideMark/>
          </w:tcPr>
          <w:p w:rsidR="001957B8" w:rsidRPr="00FC7F4B" w:rsidRDefault="001957B8" w:rsidP="00F322EF">
            <w:pPr>
              <w:pStyle w:val="Tabletexte"/>
              <w:rPr>
                <w:rFonts w:eastAsia="Arial Unicode MS"/>
              </w:rPr>
            </w:pPr>
            <w:r w:rsidRPr="00FC7F4B">
              <w:rPr>
                <w:rtl/>
              </w:rPr>
              <w:t>الاستئجار والصيانة</w:t>
            </w:r>
            <w:r w:rsidRPr="00FC7F4B">
              <w:rPr>
                <w:rFonts w:eastAsia="Arial Unicode MS"/>
                <w:rtl/>
              </w:rPr>
              <w:t xml:space="preserve"> </w:t>
            </w:r>
            <w:r w:rsidRPr="00FC7F4B">
              <w:rPr>
                <w:rFonts w:eastAsia="Arial Unicode MS"/>
                <w:rtl/>
                <w:lang w:bidi="ar-SA"/>
              </w:rPr>
              <w:t>(للحدث)</w:t>
            </w:r>
          </w:p>
        </w:tc>
        <w:tc>
          <w:tcPr>
            <w:tcW w:w="1559" w:type="dxa"/>
            <w:noWrap/>
            <w:vAlign w:val="bottom"/>
            <w:hideMark/>
          </w:tcPr>
          <w:p w:rsidR="001957B8" w:rsidRPr="00FC7F4B" w:rsidRDefault="008009A0" w:rsidP="00F322EF">
            <w:pPr>
              <w:pStyle w:val="Tabletexte"/>
            </w:pPr>
            <w:r>
              <w:t>550</w:t>
            </w:r>
          </w:p>
        </w:tc>
        <w:tc>
          <w:tcPr>
            <w:tcW w:w="1701" w:type="dxa"/>
            <w:noWrap/>
            <w:vAlign w:val="bottom"/>
            <w:hideMark/>
          </w:tcPr>
          <w:p w:rsidR="001957B8" w:rsidRPr="00FC7F4B" w:rsidRDefault="008009A0" w:rsidP="00F322EF">
            <w:pPr>
              <w:pStyle w:val="Tabletexte"/>
            </w:pPr>
            <w:r>
              <w:t>550</w:t>
            </w:r>
          </w:p>
        </w:tc>
        <w:tc>
          <w:tcPr>
            <w:tcW w:w="1418" w:type="dxa"/>
            <w:noWrap/>
            <w:vAlign w:val="bottom"/>
            <w:hideMark/>
          </w:tcPr>
          <w:p w:rsidR="001957B8" w:rsidRPr="00FC7F4B" w:rsidRDefault="008009A0" w:rsidP="00F322EF">
            <w:pPr>
              <w:pStyle w:val="Tabletexte"/>
            </w:pPr>
            <w:r>
              <w:t>1 100</w:t>
            </w:r>
          </w:p>
        </w:tc>
      </w:tr>
      <w:tr w:rsidR="001957B8" w:rsidRPr="00FC7F4B" w:rsidTr="001957B8">
        <w:trPr>
          <w:jc w:val="center"/>
        </w:trPr>
        <w:tc>
          <w:tcPr>
            <w:tcW w:w="4961" w:type="dxa"/>
            <w:noWrap/>
            <w:hideMark/>
          </w:tcPr>
          <w:p w:rsidR="001957B8" w:rsidRPr="00FC7F4B" w:rsidRDefault="001957B8" w:rsidP="00F322EF">
            <w:pPr>
              <w:pStyle w:val="Tabletexte"/>
              <w:rPr>
                <w:rFonts w:eastAsia="Arial Unicode MS"/>
              </w:rPr>
            </w:pPr>
            <w:r w:rsidRPr="00FC7F4B">
              <w:rPr>
                <w:rtl/>
              </w:rPr>
              <w:t>المواد واللوازم</w:t>
            </w:r>
            <w:r w:rsidRPr="00FC7F4B">
              <w:rPr>
                <w:rFonts w:eastAsia="Arial Unicode MS"/>
                <w:rtl/>
              </w:rPr>
              <w:t xml:space="preserve"> </w:t>
            </w:r>
            <w:r w:rsidRPr="00FC7F4B">
              <w:rPr>
                <w:rFonts w:eastAsia="Arial Unicode MS"/>
                <w:rtl/>
                <w:lang w:bidi="ar-SA"/>
              </w:rPr>
              <w:t>(للحدث)</w:t>
            </w:r>
          </w:p>
        </w:tc>
        <w:tc>
          <w:tcPr>
            <w:tcW w:w="1559" w:type="dxa"/>
            <w:noWrap/>
            <w:vAlign w:val="bottom"/>
            <w:hideMark/>
          </w:tcPr>
          <w:p w:rsidR="001957B8" w:rsidRPr="00FC7F4B" w:rsidRDefault="008009A0" w:rsidP="00F322EF">
            <w:pPr>
              <w:pStyle w:val="Tabletexte"/>
            </w:pPr>
            <w:r>
              <w:t>100</w:t>
            </w:r>
          </w:p>
        </w:tc>
        <w:tc>
          <w:tcPr>
            <w:tcW w:w="1701" w:type="dxa"/>
            <w:noWrap/>
            <w:vAlign w:val="bottom"/>
            <w:hideMark/>
          </w:tcPr>
          <w:p w:rsidR="001957B8" w:rsidRPr="00FC7F4B" w:rsidRDefault="008009A0" w:rsidP="00F322EF">
            <w:pPr>
              <w:pStyle w:val="Tabletexte"/>
            </w:pPr>
            <w:r>
              <w:t>100</w:t>
            </w:r>
          </w:p>
        </w:tc>
        <w:tc>
          <w:tcPr>
            <w:tcW w:w="1418" w:type="dxa"/>
            <w:noWrap/>
            <w:vAlign w:val="bottom"/>
            <w:hideMark/>
          </w:tcPr>
          <w:p w:rsidR="001957B8" w:rsidRPr="00FC7F4B" w:rsidRDefault="008009A0" w:rsidP="00F322EF">
            <w:pPr>
              <w:pStyle w:val="Tabletexte"/>
            </w:pPr>
            <w:r>
              <w:t>22</w:t>
            </w:r>
          </w:p>
        </w:tc>
      </w:tr>
      <w:tr w:rsidR="001957B8" w:rsidRPr="00FC7F4B" w:rsidTr="001957B8">
        <w:trPr>
          <w:jc w:val="center"/>
        </w:trPr>
        <w:tc>
          <w:tcPr>
            <w:tcW w:w="4961" w:type="dxa"/>
            <w:noWrap/>
            <w:hideMark/>
          </w:tcPr>
          <w:p w:rsidR="001957B8" w:rsidRPr="00FC7F4B" w:rsidRDefault="001957B8" w:rsidP="00F322EF">
            <w:pPr>
              <w:pStyle w:val="Tabletexte"/>
              <w:rPr>
                <w:rFonts w:eastAsia="Arial Unicode MS"/>
              </w:rPr>
            </w:pPr>
            <w:r w:rsidRPr="00FC7F4B">
              <w:rPr>
                <w:rtl/>
              </w:rPr>
              <w:t>الخدمات العامة</w:t>
            </w:r>
            <w:r w:rsidRPr="00FC7F4B">
              <w:rPr>
                <w:rFonts w:eastAsia="Arial Unicode MS"/>
                <w:rtl/>
              </w:rPr>
              <w:t xml:space="preserve"> </w:t>
            </w:r>
            <w:r w:rsidRPr="00FC7F4B">
              <w:rPr>
                <w:rFonts w:eastAsia="Arial Unicode MS"/>
                <w:rtl/>
                <w:lang w:bidi="ar-SA"/>
              </w:rPr>
              <w:t>(للحدث)</w:t>
            </w:r>
          </w:p>
        </w:tc>
        <w:tc>
          <w:tcPr>
            <w:tcW w:w="1559" w:type="dxa"/>
            <w:noWrap/>
            <w:vAlign w:val="bottom"/>
            <w:hideMark/>
          </w:tcPr>
          <w:p w:rsidR="001957B8" w:rsidRPr="00FC7F4B" w:rsidRDefault="001957B8" w:rsidP="00F322EF">
            <w:pPr>
              <w:pStyle w:val="Tabletexte"/>
            </w:pPr>
            <w:r w:rsidRPr="00FC7F4B">
              <w:t>2</w:t>
            </w:r>
          </w:p>
        </w:tc>
        <w:tc>
          <w:tcPr>
            <w:tcW w:w="1701" w:type="dxa"/>
            <w:noWrap/>
            <w:vAlign w:val="bottom"/>
            <w:hideMark/>
          </w:tcPr>
          <w:p w:rsidR="001957B8" w:rsidRPr="00FC7F4B" w:rsidRDefault="008009A0" w:rsidP="00F322EF">
            <w:pPr>
              <w:pStyle w:val="Tabletexte"/>
            </w:pPr>
            <w:r>
              <w:t>2</w:t>
            </w:r>
          </w:p>
        </w:tc>
        <w:tc>
          <w:tcPr>
            <w:tcW w:w="1418" w:type="dxa"/>
            <w:noWrap/>
            <w:vAlign w:val="bottom"/>
            <w:hideMark/>
          </w:tcPr>
          <w:p w:rsidR="001957B8" w:rsidRPr="00FC7F4B" w:rsidRDefault="008009A0" w:rsidP="00F322EF">
            <w:pPr>
              <w:pStyle w:val="Tabletexte"/>
            </w:pPr>
            <w:r>
              <w:t>4</w:t>
            </w:r>
          </w:p>
        </w:tc>
      </w:tr>
      <w:tr w:rsidR="001957B8" w:rsidRPr="00FC7F4B" w:rsidTr="001957B8">
        <w:trPr>
          <w:jc w:val="center"/>
        </w:trPr>
        <w:tc>
          <w:tcPr>
            <w:tcW w:w="4961" w:type="dxa"/>
            <w:noWrap/>
            <w:hideMark/>
          </w:tcPr>
          <w:p w:rsidR="001957B8" w:rsidRPr="00FC7F4B" w:rsidRDefault="001957B8" w:rsidP="00F322EF">
            <w:pPr>
              <w:pStyle w:val="Tabletexte"/>
              <w:rPr>
                <w:rFonts w:eastAsia="Arial Unicode MS"/>
              </w:rPr>
            </w:pPr>
            <w:r w:rsidRPr="00FC7F4B">
              <w:rPr>
                <w:rtl/>
              </w:rPr>
              <w:t>نفقات متفرقة</w:t>
            </w:r>
            <w:r w:rsidRPr="00FC7F4B">
              <w:rPr>
                <w:rFonts w:eastAsia="Arial Unicode MS"/>
                <w:rtl/>
              </w:rPr>
              <w:t xml:space="preserve"> </w:t>
            </w:r>
            <w:r w:rsidRPr="00FC7F4B">
              <w:rPr>
                <w:rFonts w:eastAsia="Arial Unicode MS"/>
                <w:rtl/>
                <w:lang w:bidi="ar-SA"/>
              </w:rPr>
              <w:t>(للحدث)</w:t>
            </w:r>
          </w:p>
        </w:tc>
        <w:tc>
          <w:tcPr>
            <w:tcW w:w="1559" w:type="dxa"/>
            <w:noWrap/>
            <w:vAlign w:val="bottom"/>
            <w:hideMark/>
          </w:tcPr>
          <w:p w:rsidR="001957B8" w:rsidRPr="00FC7F4B" w:rsidRDefault="001957B8" w:rsidP="00F322EF">
            <w:pPr>
              <w:pStyle w:val="Tabletexte"/>
            </w:pPr>
            <w:r w:rsidRPr="00FC7F4B">
              <w:t>20</w:t>
            </w:r>
          </w:p>
        </w:tc>
        <w:tc>
          <w:tcPr>
            <w:tcW w:w="1701" w:type="dxa"/>
            <w:noWrap/>
            <w:vAlign w:val="bottom"/>
            <w:hideMark/>
          </w:tcPr>
          <w:p w:rsidR="001957B8" w:rsidRPr="00FC7F4B" w:rsidRDefault="001957B8" w:rsidP="00F322EF">
            <w:pPr>
              <w:pStyle w:val="Tabletexte"/>
            </w:pPr>
            <w:r w:rsidRPr="00FC7F4B">
              <w:t>20</w:t>
            </w:r>
          </w:p>
        </w:tc>
        <w:tc>
          <w:tcPr>
            <w:tcW w:w="1418" w:type="dxa"/>
            <w:noWrap/>
            <w:vAlign w:val="bottom"/>
            <w:hideMark/>
          </w:tcPr>
          <w:p w:rsidR="001957B8" w:rsidRPr="00FC7F4B" w:rsidRDefault="001957B8" w:rsidP="00F322EF">
            <w:pPr>
              <w:pStyle w:val="Tabletexte"/>
            </w:pPr>
            <w:r w:rsidRPr="00FC7F4B">
              <w:t>40</w:t>
            </w:r>
          </w:p>
        </w:tc>
      </w:tr>
      <w:tr w:rsidR="001957B8" w:rsidRPr="00FC7F4B" w:rsidTr="001957B8">
        <w:trPr>
          <w:jc w:val="center"/>
        </w:trPr>
        <w:tc>
          <w:tcPr>
            <w:tcW w:w="4961" w:type="dxa"/>
            <w:tcBorders>
              <w:top w:val="single" w:sz="4" w:space="0" w:color="auto"/>
              <w:left w:val="nil"/>
              <w:bottom w:val="single" w:sz="4" w:space="0" w:color="auto"/>
              <w:right w:val="nil"/>
            </w:tcBorders>
            <w:noWrap/>
            <w:vAlign w:val="bottom"/>
            <w:hideMark/>
          </w:tcPr>
          <w:p w:rsidR="001957B8" w:rsidRPr="00A95C50" w:rsidRDefault="001957B8" w:rsidP="00A95C50">
            <w:pPr>
              <w:pStyle w:val="Tabletexte"/>
              <w:rPr>
                <w:b/>
                <w:bCs/>
                <w:i/>
                <w:iCs/>
              </w:rPr>
            </w:pPr>
            <w:r w:rsidRPr="00A95C50">
              <w:rPr>
                <w:b/>
                <w:bCs/>
                <w:i/>
                <w:iCs/>
                <w:rtl/>
                <w:lang w:bidi="ar-EG"/>
              </w:rPr>
              <w:t xml:space="preserve">مجموع النفقات </w:t>
            </w:r>
            <w:r w:rsidR="00A95C50" w:rsidRPr="00A95C50">
              <w:rPr>
                <w:b/>
                <w:bCs/>
                <w:i/>
                <w:iCs/>
                <w:lang w:val="en-GB"/>
              </w:rPr>
              <w:t>(B)</w:t>
            </w:r>
          </w:p>
        </w:tc>
        <w:tc>
          <w:tcPr>
            <w:tcW w:w="1559" w:type="dxa"/>
            <w:tcBorders>
              <w:top w:val="single" w:sz="4" w:space="0" w:color="auto"/>
              <w:left w:val="nil"/>
              <w:bottom w:val="single" w:sz="4" w:space="0" w:color="auto"/>
              <w:right w:val="nil"/>
            </w:tcBorders>
            <w:noWrap/>
            <w:vAlign w:val="bottom"/>
            <w:hideMark/>
          </w:tcPr>
          <w:p w:rsidR="001957B8" w:rsidRPr="00A95C50" w:rsidRDefault="008009A0" w:rsidP="00F322EF">
            <w:pPr>
              <w:pStyle w:val="Tabletexte"/>
              <w:rPr>
                <w:b/>
                <w:bCs/>
                <w:i/>
                <w:iCs/>
              </w:rPr>
            </w:pPr>
            <w:r w:rsidRPr="00A95C50">
              <w:rPr>
                <w:b/>
                <w:bCs/>
                <w:i/>
                <w:iCs/>
              </w:rPr>
              <w:t>7 727</w:t>
            </w:r>
          </w:p>
        </w:tc>
        <w:tc>
          <w:tcPr>
            <w:tcW w:w="1701" w:type="dxa"/>
            <w:tcBorders>
              <w:top w:val="single" w:sz="4" w:space="0" w:color="auto"/>
              <w:left w:val="nil"/>
              <w:bottom w:val="single" w:sz="4" w:space="0" w:color="auto"/>
              <w:right w:val="nil"/>
            </w:tcBorders>
            <w:noWrap/>
            <w:vAlign w:val="bottom"/>
            <w:hideMark/>
          </w:tcPr>
          <w:p w:rsidR="001957B8" w:rsidRPr="00A95C50" w:rsidRDefault="008009A0" w:rsidP="00F322EF">
            <w:pPr>
              <w:pStyle w:val="Tabletexte"/>
              <w:rPr>
                <w:b/>
                <w:bCs/>
                <w:i/>
                <w:iCs/>
              </w:rPr>
            </w:pPr>
            <w:r w:rsidRPr="00A95C50">
              <w:rPr>
                <w:b/>
                <w:bCs/>
                <w:i/>
                <w:iCs/>
              </w:rPr>
              <w:t>7 727</w:t>
            </w:r>
          </w:p>
        </w:tc>
        <w:tc>
          <w:tcPr>
            <w:tcW w:w="1418" w:type="dxa"/>
            <w:tcBorders>
              <w:top w:val="single" w:sz="4" w:space="0" w:color="auto"/>
              <w:left w:val="nil"/>
              <w:bottom w:val="single" w:sz="4" w:space="0" w:color="auto"/>
              <w:right w:val="nil"/>
            </w:tcBorders>
            <w:noWrap/>
            <w:vAlign w:val="bottom"/>
            <w:hideMark/>
          </w:tcPr>
          <w:p w:rsidR="001957B8" w:rsidRPr="00A95C50" w:rsidRDefault="008009A0" w:rsidP="00F322EF">
            <w:pPr>
              <w:pStyle w:val="Tabletexte"/>
              <w:rPr>
                <w:b/>
                <w:bCs/>
                <w:i/>
                <w:iCs/>
                <w:lang w:bidi="ar-EG"/>
              </w:rPr>
            </w:pPr>
            <w:r w:rsidRPr="00A95C50">
              <w:rPr>
                <w:b/>
                <w:bCs/>
                <w:i/>
                <w:iCs/>
              </w:rPr>
              <w:t>15 454</w:t>
            </w:r>
          </w:p>
        </w:tc>
      </w:tr>
      <w:tr w:rsidR="001957B8" w:rsidRPr="00FC7F4B" w:rsidTr="001957B8">
        <w:trPr>
          <w:jc w:val="center"/>
        </w:trPr>
        <w:tc>
          <w:tcPr>
            <w:tcW w:w="4961" w:type="dxa"/>
            <w:tcBorders>
              <w:top w:val="nil"/>
              <w:left w:val="nil"/>
              <w:bottom w:val="single" w:sz="4" w:space="0" w:color="auto"/>
              <w:right w:val="nil"/>
            </w:tcBorders>
            <w:noWrap/>
            <w:vAlign w:val="bottom"/>
            <w:hideMark/>
          </w:tcPr>
          <w:p w:rsidR="001957B8" w:rsidRPr="00FC7F4B" w:rsidRDefault="001957B8" w:rsidP="00F322EF">
            <w:pPr>
              <w:pStyle w:val="Tabletexte"/>
              <w:rPr>
                <w:i/>
                <w:iCs/>
                <w:rtl/>
                <w:lang w:bidi="ar-EG"/>
              </w:rPr>
            </w:pPr>
          </w:p>
        </w:tc>
        <w:tc>
          <w:tcPr>
            <w:tcW w:w="1559" w:type="dxa"/>
            <w:tcBorders>
              <w:top w:val="nil"/>
              <w:left w:val="nil"/>
              <w:bottom w:val="single" w:sz="4" w:space="0" w:color="auto"/>
              <w:right w:val="nil"/>
            </w:tcBorders>
            <w:noWrap/>
            <w:vAlign w:val="bottom"/>
            <w:hideMark/>
          </w:tcPr>
          <w:p w:rsidR="001957B8" w:rsidRPr="00FC7F4B" w:rsidRDefault="001957B8" w:rsidP="00F322EF">
            <w:pPr>
              <w:pStyle w:val="Tabletexte"/>
              <w:rPr>
                <w:rFonts w:cs="Arial"/>
              </w:rPr>
            </w:pPr>
          </w:p>
        </w:tc>
        <w:tc>
          <w:tcPr>
            <w:tcW w:w="1701" w:type="dxa"/>
            <w:tcBorders>
              <w:top w:val="nil"/>
              <w:left w:val="nil"/>
              <w:bottom w:val="single" w:sz="4" w:space="0" w:color="auto"/>
              <w:right w:val="nil"/>
            </w:tcBorders>
            <w:noWrap/>
            <w:vAlign w:val="bottom"/>
            <w:hideMark/>
          </w:tcPr>
          <w:p w:rsidR="001957B8" w:rsidRPr="00FC7F4B" w:rsidRDefault="001957B8" w:rsidP="00F322EF">
            <w:pPr>
              <w:pStyle w:val="Tabletexte"/>
              <w:rPr>
                <w:rFonts w:cs="Arial"/>
              </w:rPr>
            </w:pPr>
          </w:p>
        </w:tc>
        <w:tc>
          <w:tcPr>
            <w:tcW w:w="1418" w:type="dxa"/>
            <w:tcBorders>
              <w:top w:val="nil"/>
              <w:left w:val="nil"/>
              <w:bottom w:val="single" w:sz="4" w:space="0" w:color="auto"/>
              <w:right w:val="nil"/>
            </w:tcBorders>
            <w:noWrap/>
            <w:vAlign w:val="bottom"/>
            <w:hideMark/>
          </w:tcPr>
          <w:p w:rsidR="001957B8" w:rsidRPr="00FC7F4B" w:rsidRDefault="001957B8" w:rsidP="00F322EF">
            <w:pPr>
              <w:pStyle w:val="Tabletexte"/>
              <w:rPr>
                <w:rFonts w:cs="Arial"/>
              </w:rPr>
            </w:pPr>
          </w:p>
        </w:tc>
      </w:tr>
      <w:tr w:rsidR="001957B8" w:rsidRPr="00FC7F4B" w:rsidTr="001957B8">
        <w:trPr>
          <w:jc w:val="center"/>
        </w:trPr>
        <w:tc>
          <w:tcPr>
            <w:tcW w:w="4961" w:type="dxa"/>
            <w:tcBorders>
              <w:top w:val="nil"/>
              <w:left w:val="nil"/>
              <w:bottom w:val="single" w:sz="4" w:space="0" w:color="auto"/>
              <w:right w:val="nil"/>
            </w:tcBorders>
            <w:shd w:val="clear" w:color="auto" w:fill="DCE6F1"/>
            <w:noWrap/>
            <w:vAlign w:val="bottom"/>
            <w:hideMark/>
          </w:tcPr>
          <w:p w:rsidR="001957B8" w:rsidRPr="00A95C50" w:rsidRDefault="001957B8" w:rsidP="00A95C50">
            <w:pPr>
              <w:pStyle w:val="Tabletexte"/>
              <w:rPr>
                <w:b/>
                <w:bCs/>
                <w:color w:val="000000" w:themeColor="text1"/>
              </w:rPr>
            </w:pPr>
            <w:r w:rsidRPr="00A95C50">
              <w:rPr>
                <w:b/>
                <w:bCs/>
                <w:color w:val="000000" w:themeColor="text1"/>
                <w:rtl/>
                <w:lang w:bidi="ar-EG"/>
              </w:rPr>
              <w:t xml:space="preserve">النتيجة الإجمالية </w:t>
            </w:r>
            <w:r w:rsidR="00A95C50" w:rsidRPr="00A95C50">
              <w:rPr>
                <w:b/>
                <w:bCs/>
                <w:color w:val="000000" w:themeColor="text1"/>
                <w:lang w:val="en-GB"/>
              </w:rPr>
              <w:t>(C =A - B)</w:t>
            </w:r>
          </w:p>
        </w:tc>
        <w:tc>
          <w:tcPr>
            <w:tcW w:w="1559" w:type="dxa"/>
            <w:tcBorders>
              <w:top w:val="nil"/>
              <w:left w:val="nil"/>
              <w:bottom w:val="single" w:sz="4" w:space="0" w:color="auto"/>
              <w:right w:val="nil"/>
            </w:tcBorders>
            <w:shd w:val="clear" w:color="auto" w:fill="DCE6F1"/>
            <w:noWrap/>
            <w:vAlign w:val="bottom"/>
            <w:hideMark/>
          </w:tcPr>
          <w:p w:rsidR="001957B8" w:rsidRPr="00A95C50" w:rsidRDefault="00F322EF" w:rsidP="00F322EF">
            <w:pPr>
              <w:pStyle w:val="Tabletexte"/>
              <w:rPr>
                <w:b/>
                <w:bCs/>
                <w:color w:val="000000" w:themeColor="text1"/>
                <w:lang w:val="fr-CH"/>
              </w:rPr>
            </w:pPr>
            <w:r w:rsidRPr="00A95C50">
              <w:rPr>
                <w:b/>
                <w:bCs/>
                <w:color w:val="000000" w:themeColor="text1"/>
                <w:lang w:val="fr-CH"/>
              </w:rPr>
              <w:t>373</w:t>
            </w:r>
          </w:p>
        </w:tc>
        <w:tc>
          <w:tcPr>
            <w:tcW w:w="1701" w:type="dxa"/>
            <w:tcBorders>
              <w:top w:val="nil"/>
              <w:left w:val="nil"/>
              <w:bottom w:val="single" w:sz="4" w:space="0" w:color="auto"/>
              <w:right w:val="nil"/>
            </w:tcBorders>
            <w:shd w:val="clear" w:color="auto" w:fill="DCE6F1"/>
            <w:noWrap/>
            <w:vAlign w:val="bottom"/>
            <w:hideMark/>
          </w:tcPr>
          <w:p w:rsidR="001957B8" w:rsidRPr="00A95C50" w:rsidRDefault="00F322EF" w:rsidP="00F322EF">
            <w:pPr>
              <w:pStyle w:val="Tabletexte"/>
              <w:rPr>
                <w:b/>
                <w:bCs/>
                <w:color w:val="000000" w:themeColor="text1"/>
              </w:rPr>
            </w:pPr>
            <w:r w:rsidRPr="00A95C50">
              <w:rPr>
                <w:b/>
                <w:bCs/>
                <w:color w:val="000000" w:themeColor="text1"/>
              </w:rPr>
              <w:t>373</w:t>
            </w:r>
          </w:p>
        </w:tc>
        <w:tc>
          <w:tcPr>
            <w:tcW w:w="1418" w:type="dxa"/>
            <w:tcBorders>
              <w:top w:val="nil"/>
              <w:left w:val="nil"/>
              <w:bottom w:val="single" w:sz="4" w:space="0" w:color="auto"/>
              <w:right w:val="nil"/>
            </w:tcBorders>
            <w:shd w:val="clear" w:color="auto" w:fill="DCE6F1"/>
            <w:noWrap/>
            <w:vAlign w:val="bottom"/>
            <w:hideMark/>
          </w:tcPr>
          <w:p w:rsidR="001957B8" w:rsidRPr="00A95C50" w:rsidRDefault="008009A0" w:rsidP="00F322EF">
            <w:pPr>
              <w:pStyle w:val="Tabletexte"/>
              <w:rPr>
                <w:b/>
                <w:bCs/>
                <w:color w:val="000000" w:themeColor="text1"/>
              </w:rPr>
            </w:pPr>
            <w:r w:rsidRPr="00A95C50">
              <w:rPr>
                <w:b/>
                <w:bCs/>
                <w:color w:val="000000" w:themeColor="text1"/>
              </w:rPr>
              <w:t>746</w:t>
            </w:r>
          </w:p>
        </w:tc>
      </w:tr>
    </w:tbl>
    <w:p w:rsidR="001957B8" w:rsidRDefault="001957B8" w:rsidP="006517CB">
      <w:pPr>
        <w:pStyle w:val="Headingb"/>
        <w:keepLines/>
        <w:widowControl w:val="0"/>
        <w:spacing w:before="360"/>
        <w:rPr>
          <w:lang w:bidi="ar-EG"/>
        </w:rPr>
      </w:pPr>
      <w:bookmarkStart w:id="6" w:name="_Toc482367230"/>
      <w:r>
        <w:rPr>
          <w:rtl/>
          <w:lang w:bidi="ar-EG"/>
        </w:rPr>
        <w:t xml:space="preserve">صندوق رأس المال العامل للمعارض </w:t>
      </w:r>
      <w:r>
        <w:rPr>
          <w:lang w:val="en-GB" w:bidi="ar-SY"/>
        </w:rPr>
        <w:t>(EWCF)</w:t>
      </w:r>
      <w:bookmarkEnd w:id="6"/>
    </w:p>
    <w:p w:rsidR="001957B8" w:rsidRDefault="001957B8" w:rsidP="001957B8">
      <w:pPr>
        <w:keepNext/>
        <w:keepLines/>
        <w:rPr>
          <w:rtl/>
          <w:lang w:bidi="ar-EG"/>
        </w:rPr>
      </w:pPr>
      <w:r>
        <w:t>11</w:t>
      </w:r>
      <w:r>
        <w:rPr>
          <w:rtl/>
        </w:rPr>
        <w:tab/>
        <w:t xml:space="preserve">بعد إقفال الحسابات لكل حدث من أحداث تليكوم الاتحاد، تُحوّل الحصيلة النهائية إلى صندوق رأس المال العامل للمعارض، وفقاً للقاعدة </w:t>
      </w:r>
      <w:r>
        <w:t>4</w:t>
      </w:r>
      <w:r>
        <w:rPr>
          <w:rtl/>
        </w:rPr>
        <w:t xml:space="preserve"> </w:t>
      </w:r>
      <w:r>
        <w:rPr>
          <w:rFonts w:hint="cs"/>
          <w:rtl/>
        </w:rPr>
        <w:t xml:space="preserve">من المادة </w:t>
      </w:r>
      <w:r>
        <w:t>19</w:t>
      </w:r>
      <w:r>
        <w:rPr>
          <w:rtl/>
        </w:rPr>
        <w:t xml:space="preserve"> من اللوائح والقواعد المالية للاتحاد. وتؤدي نتيجة إيجابية للحدث إلى زيادة في صندوق رأس المال العامل للمعارض في حين تؤدي نتيجة سلبية للحدث إلى خفض في رصيد الصندوق الذي يستخدم للتعويض عن العجز المالي.</w:t>
      </w:r>
    </w:p>
    <w:p w:rsidR="001957B8" w:rsidRDefault="001957B8" w:rsidP="004235DB">
      <w:pPr>
        <w:rPr>
          <w:rtl/>
        </w:rPr>
      </w:pPr>
      <w:r>
        <w:rPr>
          <w:lang w:val="en-GB" w:bidi="ar-SY"/>
        </w:rPr>
        <w:t>12</w:t>
      </w:r>
      <w:r>
        <w:rPr>
          <w:rtl/>
          <w:lang w:bidi="ar-EG"/>
        </w:rPr>
        <w:tab/>
      </w:r>
      <w:r>
        <w:rPr>
          <w:rtl/>
        </w:rPr>
        <w:t xml:space="preserve">وقد قرر مجلس الاتحاد أن يبلغ الحد الأدنى لصندوق رأس المال العامل للمعارض </w:t>
      </w:r>
      <w:r>
        <w:t>5</w:t>
      </w:r>
      <w:r>
        <w:rPr>
          <w:rtl/>
        </w:rPr>
        <w:t xml:space="preserve"> ملايين فرنك سويسري لكي يتمكن تليكوم الاتحاد من العمل والوفاء بالتزاماته المالية. ويبين الجدول أدناه المبلغ المتاح في صندوق رأس المال العامل للمعارض في نهاية كل سنة اعتباراً من عام </w:t>
      </w:r>
      <w:r w:rsidR="008009A0">
        <w:t>2013</w:t>
      </w:r>
      <w:r>
        <w:rPr>
          <w:rtl/>
        </w:rPr>
        <w:t xml:space="preserve"> إلى عام </w:t>
      </w:r>
      <w:r w:rsidR="008009A0">
        <w:t>2018</w:t>
      </w:r>
      <w:r>
        <w:rPr>
          <w:rtl/>
        </w:rPr>
        <w:t>.</w:t>
      </w:r>
    </w:p>
    <w:p w:rsidR="001957B8" w:rsidRDefault="001957B8" w:rsidP="00AD4C1F">
      <w:pPr>
        <w:pStyle w:val="TableNo"/>
        <w:keepLines/>
        <w:rPr>
          <w:rtl/>
        </w:rPr>
      </w:pPr>
      <w:r>
        <w:rPr>
          <w:rtl/>
        </w:rPr>
        <w:lastRenderedPageBreak/>
        <w:t xml:space="preserve">الجدول </w:t>
      </w:r>
      <w:r>
        <w:rPr>
          <w:lang w:val="en-GB"/>
        </w:rPr>
        <w:t>5</w:t>
      </w:r>
    </w:p>
    <w:p w:rsidR="001957B8" w:rsidRDefault="001957B8" w:rsidP="001957B8">
      <w:pPr>
        <w:pStyle w:val="Tabletitle"/>
        <w:spacing w:after="120"/>
        <w:rPr>
          <w:rtl/>
        </w:rPr>
      </w:pPr>
      <w:r>
        <w:rPr>
          <w:rtl/>
        </w:rPr>
        <w:t>صندوق رأس المال العامل للمعارض</w:t>
      </w:r>
    </w:p>
    <w:tbl>
      <w:tblPr>
        <w:bidiVisual/>
        <w:tblW w:w="5000" w:type="pct"/>
        <w:tblLook w:val="04A0" w:firstRow="1" w:lastRow="0" w:firstColumn="1" w:lastColumn="0" w:noHBand="0" w:noVBand="1"/>
      </w:tblPr>
      <w:tblGrid>
        <w:gridCol w:w="3438"/>
        <w:gridCol w:w="1091"/>
        <w:gridCol w:w="1091"/>
        <w:gridCol w:w="1089"/>
        <w:gridCol w:w="1089"/>
        <w:gridCol w:w="920"/>
        <w:gridCol w:w="921"/>
      </w:tblGrid>
      <w:tr w:rsidR="001957B8" w:rsidTr="001957B8">
        <w:trPr>
          <w:trHeight w:val="288"/>
        </w:trPr>
        <w:tc>
          <w:tcPr>
            <w:tcW w:w="1783" w:type="pct"/>
            <w:tcBorders>
              <w:top w:val="single" w:sz="4" w:space="0" w:color="auto"/>
              <w:left w:val="nil"/>
              <w:bottom w:val="nil"/>
              <w:right w:val="nil"/>
            </w:tcBorders>
            <w:shd w:val="clear" w:color="auto" w:fill="C5D9F1"/>
            <w:noWrap/>
            <w:vAlign w:val="center"/>
            <w:hideMark/>
          </w:tcPr>
          <w:p w:rsidR="001957B8" w:rsidRPr="00F322EF" w:rsidRDefault="001957B8" w:rsidP="00F322EF">
            <w:pPr>
              <w:pStyle w:val="TableHead"/>
              <w:rPr>
                <w:color w:val="0000FF"/>
                <w:rtl/>
                <w:lang w:val="en-GB" w:bidi="ar-SY"/>
              </w:rPr>
            </w:pPr>
            <w:r w:rsidRPr="00F322EF">
              <w:rPr>
                <w:color w:val="0000FF"/>
                <w:lang w:val="en-GB" w:bidi="ar-SY"/>
              </w:rPr>
              <w:t> </w:t>
            </w:r>
          </w:p>
        </w:tc>
        <w:tc>
          <w:tcPr>
            <w:tcW w:w="3217" w:type="pct"/>
            <w:gridSpan w:val="6"/>
            <w:tcBorders>
              <w:top w:val="single" w:sz="4" w:space="0" w:color="auto"/>
              <w:left w:val="nil"/>
              <w:bottom w:val="nil"/>
              <w:right w:val="nil"/>
            </w:tcBorders>
            <w:shd w:val="clear" w:color="auto" w:fill="C5D9F1"/>
            <w:noWrap/>
            <w:vAlign w:val="center"/>
            <w:hideMark/>
          </w:tcPr>
          <w:p w:rsidR="001957B8" w:rsidRPr="00F322EF" w:rsidRDefault="001957B8" w:rsidP="00F322EF">
            <w:pPr>
              <w:pStyle w:val="TableHead"/>
              <w:rPr>
                <w:i/>
                <w:iCs/>
                <w:color w:val="0000FF"/>
                <w:lang w:bidi="ar-EG"/>
              </w:rPr>
            </w:pPr>
            <w:r w:rsidRPr="00F322EF">
              <w:rPr>
                <w:i/>
                <w:iCs/>
                <w:color w:val="0000FF"/>
                <w:rtl/>
                <w:lang w:bidi="ar-EG"/>
              </w:rPr>
              <w:t>بآلاف الفرنكات السويسرية (نهاية العام)</w:t>
            </w:r>
          </w:p>
        </w:tc>
      </w:tr>
      <w:tr w:rsidR="001957B8" w:rsidTr="001957B8">
        <w:trPr>
          <w:trHeight w:val="288"/>
        </w:trPr>
        <w:tc>
          <w:tcPr>
            <w:tcW w:w="1783" w:type="pct"/>
            <w:tcBorders>
              <w:top w:val="nil"/>
              <w:left w:val="nil"/>
              <w:bottom w:val="single" w:sz="4" w:space="0" w:color="auto"/>
              <w:right w:val="nil"/>
            </w:tcBorders>
            <w:shd w:val="clear" w:color="auto" w:fill="C5D9F1"/>
            <w:noWrap/>
            <w:vAlign w:val="center"/>
            <w:hideMark/>
          </w:tcPr>
          <w:p w:rsidR="001957B8" w:rsidRPr="00F322EF" w:rsidRDefault="001957B8" w:rsidP="00F322EF">
            <w:pPr>
              <w:pStyle w:val="TableHead"/>
              <w:rPr>
                <w:color w:val="0000FF"/>
                <w:rtl/>
                <w:lang w:val="en-GB" w:bidi="ar-SY"/>
              </w:rPr>
            </w:pPr>
            <w:r w:rsidRPr="00F322EF">
              <w:rPr>
                <w:color w:val="0000FF"/>
                <w:rtl/>
                <w:lang w:bidi="ar-EG"/>
              </w:rPr>
              <w:t>صندوق رأس المال العامل للمعارض</w:t>
            </w:r>
          </w:p>
        </w:tc>
        <w:tc>
          <w:tcPr>
            <w:tcW w:w="566" w:type="pct"/>
            <w:tcBorders>
              <w:top w:val="nil"/>
              <w:left w:val="nil"/>
              <w:bottom w:val="single" w:sz="4" w:space="0" w:color="auto"/>
              <w:right w:val="nil"/>
            </w:tcBorders>
            <w:shd w:val="clear" w:color="auto" w:fill="C5D9F1"/>
            <w:noWrap/>
            <w:vAlign w:val="center"/>
            <w:hideMark/>
          </w:tcPr>
          <w:p w:rsidR="001957B8" w:rsidRPr="00F322EF" w:rsidRDefault="001957B8" w:rsidP="00F322EF">
            <w:pPr>
              <w:pStyle w:val="TableHead"/>
              <w:rPr>
                <w:color w:val="0000FF"/>
                <w:lang w:bidi="ar-SY"/>
              </w:rPr>
            </w:pPr>
            <w:r w:rsidRPr="00F322EF">
              <w:rPr>
                <w:color w:val="0000FF"/>
                <w:lang w:bidi="ar-SY"/>
              </w:rPr>
              <w:t>20</w:t>
            </w:r>
            <w:r w:rsidR="008009A0" w:rsidRPr="00F322EF">
              <w:rPr>
                <w:color w:val="0000FF"/>
                <w:lang w:bidi="ar-SY"/>
              </w:rPr>
              <w:t>13</w:t>
            </w:r>
          </w:p>
        </w:tc>
        <w:tc>
          <w:tcPr>
            <w:tcW w:w="566" w:type="pct"/>
            <w:tcBorders>
              <w:top w:val="nil"/>
              <w:left w:val="nil"/>
              <w:bottom w:val="single" w:sz="4" w:space="0" w:color="auto"/>
              <w:right w:val="nil"/>
            </w:tcBorders>
            <w:shd w:val="clear" w:color="auto" w:fill="C5D9F1"/>
            <w:noWrap/>
            <w:vAlign w:val="center"/>
            <w:hideMark/>
          </w:tcPr>
          <w:p w:rsidR="001957B8" w:rsidRPr="00F322EF" w:rsidRDefault="001957B8" w:rsidP="00F322EF">
            <w:pPr>
              <w:pStyle w:val="TableHead"/>
              <w:rPr>
                <w:color w:val="0000FF"/>
                <w:lang w:val="en-GB" w:bidi="ar-SY"/>
              </w:rPr>
            </w:pPr>
            <w:r w:rsidRPr="00F322EF">
              <w:rPr>
                <w:color w:val="0000FF"/>
                <w:lang w:val="en-GB" w:bidi="ar-SY"/>
              </w:rPr>
              <w:t>20</w:t>
            </w:r>
            <w:r w:rsidR="008009A0" w:rsidRPr="00F322EF">
              <w:rPr>
                <w:color w:val="0000FF"/>
                <w:lang w:val="en-GB" w:bidi="ar-SY"/>
              </w:rPr>
              <w:t>14</w:t>
            </w:r>
          </w:p>
        </w:tc>
        <w:tc>
          <w:tcPr>
            <w:tcW w:w="565" w:type="pct"/>
            <w:tcBorders>
              <w:top w:val="nil"/>
              <w:left w:val="nil"/>
              <w:bottom w:val="single" w:sz="4" w:space="0" w:color="auto"/>
              <w:right w:val="nil"/>
            </w:tcBorders>
            <w:shd w:val="clear" w:color="auto" w:fill="C5D9F1"/>
            <w:noWrap/>
            <w:vAlign w:val="center"/>
            <w:hideMark/>
          </w:tcPr>
          <w:p w:rsidR="001957B8" w:rsidRPr="00F322EF" w:rsidRDefault="001957B8" w:rsidP="00F322EF">
            <w:pPr>
              <w:pStyle w:val="TableHead"/>
              <w:rPr>
                <w:color w:val="0000FF"/>
                <w:lang w:val="en-GB" w:bidi="ar-SY"/>
              </w:rPr>
            </w:pPr>
            <w:r w:rsidRPr="00F322EF">
              <w:rPr>
                <w:color w:val="0000FF"/>
                <w:lang w:val="en-GB" w:bidi="ar-SY"/>
              </w:rPr>
              <w:t>20</w:t>
            </w:r>
            <w:r w:rsidR="008009A0" w:rsidRPr="00F322EF">
              <w:rPr>
                <w:color w:val="0000FF"/>
                <w:lang w:val="en-GB" w:bidi="ar-SY"/>
              </w:rPr>
              <w:t>15</w:t>
            </w:r>
          </w:p>
        </w:tc>
        <w:tc>
          <w:tcPr>
            <w:tcW w:w="565" w:type="pct"/>
            <w:tcBorders>
              <w:top w:val="nil"/>
              <w:left w:val="nil"/>
              <w:bottom w:val="single" w:sz="4" w:space="0" w:color="auto"/>
              <w:right w:val="nil"/>
            </w:tcBorders>
            <w:shd w:val="clear" w:color="auto" w:fill="C5D9F1"/>
            <w:noWrap/>
            <w:vAlign w:val="center"/>
            <w:hideMark/>
          </w:tcPr>
          <w:p w:rsidR="001957B8" w:rsidRPr="00F322EF" w:rsidRDefault="001957B8" w:rsidP="00F322EF">
            <w:pPr>
              <w:pStyle w:val="TableHead"/>
              <w:rPr>
                <w:color w:val="0000FF"/>
                <w:lang w:val="en-GB" w:bidi="ar-SY"/>
              </w:rPr>
            </w:pPr>
            <w:r w:rsidRPr="00F322EF">
              <w:rPr>
                <w:color w:val="0000FF"/>
                <w:lang w:val="en-GB" w:bidi="ar-SY"/>
              </w:rPr>
              <w:t>20</w:t>
            </w:r>
            <w:r w:rsidR="008009A0" w:rsidRPr="00F322EF">
              <w:rPr>
                <w:color w:val="0000FF"/>
                <w:lang w:val="en-GB" w:bidi="ar-SY"/>
              </w:rPr>
              <w:t>16</w:t>
            </w:r>
          </w:p>
        </w:tc>
        <w:tc>
          <w:tcPr>
            <w:tcW w:w="477" w:type="pct"/>
            <w:tcBorders>
              <w:top w:val="nil"/>
              <w:left w:val="nil"/>
              <w:bottom w:val="single" w:sz="4" w:space="0" w:color="auto"/>
              <w:right w:val="nil"/>
            </w:tcBorders>
            <w:shd w:val="clear" w:color="auto" w:fill="C5D9F1"/>
            <w:noWrap/>
            <w:vAlign w:val="center"/>
            <w:hideMark/>
          </w:tcPr>
          <w:p w:rsidR="001957B8" w:rsidRPr="00F322EF" w:rsidRDefault="001957B8" w:rsidP="00F322EF">
            <w:pPr>
              <w:pStyle w:val="TableHead"/>
              <w:rPr>
                <w:color w:val="0000FF"/>
                <w:lang w:val="en-GB" w:bidi="ar-SY"/>
              </w:rPr>
            </w:pPr>
            <w:r w:rsidRPr="00F322EF">
              <w:rPr>
                <w:color w:val="0000FF"/>
                <w:lang w:val="en-GB" w:bidi="ar-SY"/>
              </w:rPr>
              <w:t>20</w:t>
            </w:r>
            <w:r w:rsidR="008009A0" w:rsidRPr="00F322EF">
              <w:rPr>
                <w:color w:val="0000FF"/>
                <w:lang w:val="en-GB" w:bidi="ar-SY"/>
              </w:rPr>
              <w:t>17</w:t>
            </w:r>
          </w:p>
        </w:tc>
        <w:tc>
          <w:tcPr>
            <w:tcW w:w="477" w:type="pct"/>
            <w:tcBorders>
              <w:top w:val="nil"/>
              <w:left w:val="nil"/>
              <w:bottom w:val="single" w:sz="4" w:space="0" w:color="auto"/>
              <w:right w:val="nil"/>
            </w:tcBorders>
            <w:shd w:val="clear" w:color="auto" w:fill="C5D9F1"/>
            <w:noWrap/>
            <w:vAlign w:val="center"/>
            <w:hideMark/>
          </w:tcPr>
          <w:p w:rsidR="001957B8" w:rsidRPr="00F322EF" w:rsidRDefault="001957B8" w:rsidP="00F322EF">
            <w:pPr>
              <w:pStyle w:val="TableHead"/>
              <w:rPr>
                <w:color w:val="0000FF"/>
                <w:lang w:val="en-GB" w:bidi="ar-SY"/>
              </w:rPr>
            </w:pPr>
            <w:r w:rsidRPr="00F322EF">
              <w:rPr>
                <w:color w:val="0000FF"/>
                <w:lang w:val="en-GB" w:bidi="ar-SY"/>
              </w:rPr>
              <w:t>20</w:t>
            </w:r>
            <w:r w:rsidR="008009A0" w:rsidRPr="00F322EF">
              <w:rPr>
                <w:color w:val="0000FF"/>
                <w:lang w:val="en-GB" w:bidi="ar-SY"/>
              </w:rPr>
              <w:t>18</w:t>
            </w:r>
          </w:p>
        </w:tc>
      </w:tr>
      <w:tr w:rsidR="001957B8" w:rsidTr="001957B8">
        <w:trPr>
          <w:trHeight w:val="288"/>
        </w:trPr>
        <w:tc>
          <w:tcPr>
            <w:tcW w:w="1783" w:type="pct"/>
            <w:tcBorders>
              <w:top w:val="nil"/>
              <w:left w:val="nil"/>
              <w:bottom w:val="single" w:sz="4" w:space="0" w:color="auto"/>
              <w:right w:val="nil"/>
            </w:tcBorders>
            <w:noWrap/>
            <w:vAlign w:val="center"/>
            <w:hideMark/>
          </w:tcPr>
          <w:p w:rsidR="001957B8" w:rsidRDefault="001957B8" w:rsidP="00F322EF">
            <w:pPr>
              <w:pStyle w:val="Tabletexte"/>
              <w:rPr>
                <w:rtl/>
                <w:lang w:val="en-GB"/>
              </w:rPr>
            </w:pPr>
            <w:r>
              <w:rPr>
                <w:rtl/>
              </w:rPr>
              <w:t>الرصيد في نهاية العام</w:t>
            </w:r>
          </w:p>
        </w:tc>
        <w:tc>
          <w:tcPr>
            <w:tcW w:w="566" w:type="pct"/>
            <w:tcBorders>
              <w:top w:val="nil"/>
              <w:left w:val="nil"/>
              <w:bottom w:val="single" w:sz="4" w:space="0" w:color="auto"/>
              <w:right w:val="nil"/>
            </w:tcBorders>
            <w:noWrap/>
            <w:vAlign w:val="center"/>
            <w:hideMark/>
          </w:tcPr>
          <w:p w:rsidR="001957B8" w:rsidRDefault="008009A0" w:rsidP="00F322EF">
            <w:pPr>
              <w:pStyle w:val="Tabletexte"/>
              <w:rPr>
                <w:lang w:val="en-GB"/>
              </w:rPr>
            </w:pPr>
            <w:r>
              <w:t>10 022</w:t>
            </w:r>
          </w:p>
        </w:tc>
        <w:tc>
          <w:tcPr>
            <w:tcW w:w="566" w:type="pct"/>
            <w:tcBorders>
              <w:top w:val="nil"/>
              <w:left w:val="nil"/>
              <w:bottom w:val="single" w:sz="4" w:space="0" w:color="auto"/>
              <w:right w:val="nil"/>
            </w:tcBorders>
            <w:noWrap/>
            <w:vAlign w:val="center"/>
            <w:hideMark/>
          </w:tcPr>
          <w:p w:rsidR="001957B8" w:rsidRDefault="008009A0" w:rsidP="00F322EF">
            <w:pPr>
              <w:pStyle w:val="Tabletexte"/>
              <w:rPr>
                <w:lang w:val="en-GB"/>
              </w:rPr>
            </w:pPr>
            <w:r>
              <w:t>8 903</w:t>
            </w:r>
          </w:p>
        </w:tc>
        <w:tc>
          <w:tcPr>
            <w:tcW w:w="565" w:type="pct"/>
            <w:tcBorders>
              <w:top w:val="nil"/>
              <w:left w:val="nil"/>
              <w:bottom w:val="single" w:sz="4" w:space="0" w:color="auto"/>
              <w:right w:val="nil"/>
            </w:tcBorders>
            <w:noWrap/>
            <w:vAlign w:val="center"/>
            <w:hideMark/>
          </w:tcPr>
          <w:p w:rsidR="001957B8" w:rsidRDefault="008009A0" w:rsidP="00F322EF">
            <w:pPr>
              <w:pStyle w:val="Tabletexte"/>
              <w:rPr>
                <w:lang w:val="en-GB"/>
              </w:rPr>
            </w:pPr>
            <w:r>
              <w:t>9 210</w:t>
            </w:r>
          </w:p>
        </w:tc>
        <w:tc>
          <w:tcPr>
            <w:tcW w:w="565" w:type="pct"/>
            <w:tcBorders>
              <w:top w:val="nil"/>
              <w:left w:val="nil"/>
              <w:bottom w:val="single" w:sz="4" w:space="0" w:color="auto"/>
              <w:right w:val="nil"/>
            </w:tcBorders>
            <w:noWrap/>
            <w:vAlign w:val="center"/>
            <w:hideMark/>
          </w:tcPr>
          <w:p w:rsidR="001957B8" w:rsidRDefault="008009A0" w:rsidP="00F322EF">
            <w:pPr>
              <w:pStyle w:val="Tabletexte"/>
              <w:rPr>
                <w:lang w:val="en-GB"/>
              </w:rPr>
            </w:pPr>
            <w:r>
              <w:t>10 076</w:t>
            </w:r>
          </w:p>
        </w:tc>
        <w:tc>
          <w:tcPr>
            <w:tcW w:w="477" w:type="pct"/>
            <w:tcBorders>
              <w:top w:val="nil"/>
              <w:left w:val="nil"/>
              <w:bottom w:val="single" w:sz="4" w:space="0" w:color="auto"/>
              <w:right w:val="nil"/>
            </w:tcBorders>
            <w:noWrap/>
            <w:vAlign w:val="center"/>
            <w:hideMark/>
          </w:tcPr>
          <w:p w:rsidR="001957B8" w:rsidRDefault="008009A0" w:rsidP="00F322EF">
            <w:pPr>
              <w:pStyle w:val="Tabletexte"/>
              <w:rPr>
                <w:lang w:val="en-GB"/>
              </w:rPr>
            </w:pPr>
            <w:r>
              <w:t>8 132</w:t>
            </w:r>
          </w:p>
        </w:tc>
        <w:tc>
          <w:tcPr>
            <w:tcW w:w="477" w:type="pct"/>
            <w:tcBorders>
              <w:top w:val="nil"/>
              <w:left w:val="nil"/>
              <w:bottom w:val="single" w:sz="4" w:space="0" w:color="auto"/>
              <w:right w:val="nil"/>
            </w:tcBorders>
            <w:noWrap/>
            <w:vAlign w:val="center"/>
            <w:hideMark/>
          </w:tcPr>
          <w:p w:rsidR="001957B8" w:rsidRDefault="008009A0" w:rsidP="00F322EF">
            <w:pPr>
              <w:pStyle w:val="Tabletexte"/>
              <w:rPr>
                <w:lang w:val="en-GB"/>
              </w:rPr>
            </w:pPr>
            <w:r>
              <w:t>7 950</w:t>
            </w:r>
          </w:p>
        </w:tc>
      </w:tr>
    </w:tbl>
    <w:p w:rsidR="00B21248" w:rsidRPr="0016610C" w:rsidRDefault="001957B8" w:rsidP="00CC3A83">
      <w:pPr>
        <w:spacing w:before="360"/>
        <w:rPr>
          <w:lang w:bidi="ar-EG"/>
        </w:rPr>
      </w:pPr>
      <w:r>
        <w:t>13</w:t>
      </w:r>
      <w:r>
        <w:rPr>
          <w:rtl/>
        </w:rPr>
        <w:tab/>
      </w:r>
      <w:r w:rsidR="00AD4C1F">
        <w:rPr>
          <w:rFonts w:hint="cs"/>
          <w:rtl/>
        </w:rPr>
        <w:t>ويعبر</w:t>
      </w:r>
      <w:r w:rsidR="00AC2668" w:rsidRPr="007E2E30">
        <w:rPr>
          <w:rFonts w:hint="cs"/>
          <w:rtl/>
        </w:rPr>
        <w:t xml:space="preserve"> رصيد </w:t>
      </w:r>
      <w:r w:rsidR="00AC2668" w:rsidRPr="007E2E30">
        <w:rPr>
          <w:rFonts w:hint="cs"/>
          <w:rtl/>
          <w:lang w:val="es-ES" w:bidi="ar-EG"/>
        </w:rPr>
        <w:t xml:space="preserve">عام </w:t>
      </w:r>
      <w:r w:rsidR="00AC2668" w:rsidRPr="007E2E30">
        <w:rPr>
          <w:lang w:val="es-ES" w:bidi="ar-EG"/>
        </w:rPr>
        <w:t>2013</w:t>
      </w:r>
      <w:r w:rsidR="00AC2668" w:rsidRPr="007E2E30">
        <w:rPr>
          <w:rFonts w:hint="cs"/>
          <w:rtl/>
          <w:lang w:bidi="ar-EG"/>
        </w:rPr>
        <w:t xml:space="preserve"> </w:t>
      </w:r>
      <w:r w:rsidR="00A95C50">
        <w:rPr>
          <w:rFonts w:hint="cs"/>
          <w:rtl/>
        </w:rPr>
        <w:t>عن الناتج</w:t>
      </w:r>
      <w:r w:rsidRPr="007E2E30">
        <w:rPr>
          <w:rtl/>
        </w:rPr>
        <w:t xml:space="preserve"> الموجب لحدث تليكوم العالمي للاتحاد </w:t>
      </w:r>
      <w:r w:rsidR="00AC2668" w:rsidRPr="007E2E30">
        <w:rPr>
          <w:rFonts w:hint="cs"/>
          <w:rtl/>
        </w:rPr>
        <w:t xml:space="preserve">في عام </w:t>
      </w:r>
      <w:r w:rsidRPr="007E2E30">
        <w:t>2013</w:t>
      </w:r>
      <w:r w:rsidRPr="007E2E30">
        <w:rPr>
          <w:rtl/>
        </w:rPr>
        <w:t xml:space="preserve">. </w:t>
      </w:r>
      <w:r w:rsidR="00893C73" w:rsidRPr="007E2E30">
        <w:rPr>
          <w:rFonts w:hint="cs"/>
          <w:rtl/>
        </w:rPr>
        <w:t>أما رصيد</w:t>
      </w:r>
      <w:r w:rsidRPr="007E2E30">
        <w:rPr>
          <w:rtl/>
        </w:rPr>
        <w:t xml:space="preserve"> عام</w:t>
      </w:r>
      <w:r w:rsidRPr="007E2E30">
        <w:rPr>
          <w:rFonts w:hint="cs"/>
          <w:rtl/>
        </w:rPr>
        <w:t> </w:t>
      </w:r>
      <w:r w:rsidRPr="007E2E30">
        <w:t>2014</w:t>
      </w:r>
      <w:r w:rsidRPr="007E2E30">
        <w:rPr>
          <w:rtl/>
          <w:lang w:bidi="ar-EG"/>
        </w:rPr>
        <w:t xml:space="preserve"> </w:t>
      </w:r>
      <w:r w:rsidR="00A95C50">
        <w:rPr>
          <w:rFonts w:hint="cs"/>
          <w:rtl/>
          <w:lang w:bidi="ar-EG"/>
        </w:rPr>
        <w:t>فيبين</w:t>
      </w:r>
      <w:r w:rsidR="0016610C" w:rsidRPr="007E2E30">
        <w:rPr>
          <w:rFonts w:hint="cs"/>
          <w:rtl/>
          <w:lang w:bidi="ar-EG"/>
        </w:rPr>
        <w:t xml:space="preserve"> </w:t>
      </w:r>
      <w:r w:rsidRPr="007E2E30">
        <w:rPr>
          <w:rtl/>
          <w:lang w:bidi="ar-EG"/>
        </w:rPr>
        <w:t>انخفاضاً بنسبة</w:t>
      </w:r>
      <w:r w:rsidR="00AC2668" w:rsidRPr="007E2E30">
        <w:rPr>
          <w:rFonts w:hint="cs"/>
          <w:rtl/>
          <w:lang w:bidi="ar-EG"/>
        </w:rPr>
        <w:t xml:space="preserve"> </w:t>
      </w:r>
      <w:r w:rsidR="00AC2668" w:rsidRPr="007E2E30">
        <w:rPr>
          <w:lang w:val="es-ES" w:bidi="ar-EG"/>
        </w:rPr>
        <w:t>11</w:t>
      </w:r>
      <w:r w:rsidR="00AC2668" w:rsidRPr="007E2E30">
        <w:rPr>
          <w:rFonts w:hint="cs"/>
          <w:rtl/>
          <w:lang w:bidi="ar-EG"/>
        </w:rPr>
        <w:t xml:space="preserve"> في المائة</w:t>
      </w:r>
      <w:r w:rsidRPr="007E2E30">
        <w:rPr>
          <w:rtl/>
          <w:lang w:bidi="ar-EG"/>
        </w:rPr>
        <w:t xml:space="preserve"> </w:t>
      </w:r>
      <w:r w:rsidR="00C0550C" w:rsidRPr="007E2E30">
        <w:rPr>
          <w:rFonts w:hint="cs"/>
          <w:rtl/>
          <w:lang w:bidi="ar-EG"/>
        </w:rPr>
        <w:t>عن رصيد</w:t>
      </w:r>
      <w:r w:rsidRPr="007E2E30">
        <w:rPr>
          <w:rtl/>
          <w:lang w:bidi="ar-EG"/>
        </w:rPr>
        <w:t xml:space="preserve"> عام </w:t>
      </w:r>
      <w:r w:rsidRPr="007E2E30">
        <w:rPr>
          <w:lang w:bidi="ar-EG"/>
        </w:rPr>
        <w:t>2013</w:t>
      </w:r>
      <w:r w:rsidR="00893C73" w:rsidRPr="007E2E30">
        <w:rPr>
          <w:rFonts w:hint="cs"/>
          <w:rtl/>
          <w:lang w:bidi="ar-EG"/>
        </w:rPr>
        <w:t xml:space="preserve"> </w:t>
      </w:r>
      <w:r w:rsidR="00AC2668" w:rsidRPr="007E2E30">
        <w:rPr>
          <w:rFonts w:hint="cs"/>
          <w:rtl/>
          <w:lang w:bidi="ar-EG"/>
        </w:rPr>
        <w:t>ي</w:t>
      </w:r>
      <w:bookmarkStart w:id="7" w:name="_GoBack"/>
      <w:bookmarkEnd w:id="7"/>
      <w:r w:rsidR="00AC2668" w:rsidRPr="007E2E30">
        <w:rPr>
          <w:rFonts w:hint="cs"/>
          <w:rtl/>
          <w:lang w:bidi="ar-EG"/>
        </w:rPr>
        <w:t xml:space="preserve">شمل </w:t>
      </w:r>
      <w:r w:rsidRPr="007E2E30">
        <w:rPr>
          <w:rtl/>
        </w:rPr>
        <w:t>الناتج الموجب لحدث تليكوم العالمي للاتحاد في</w:t>
      </w:r>
      <w:r w:rsidR="00AC2668" w:rsidRPr="007E2E30">
        <w:rPr>
          <w:rFonts w:hint="cs"/>
          <w:rtl/>
        </w:rPr>
        <w:t xml:space="preserve"> عام</w:t>
      </w:r>
      <w:r w:rsidRPr="007E2E30">
        <w:rPr>
          <w:rtl/>
        </w:rPr>
        <w:t xml:space="preserve"> </w:t>
      </w:r>
      <w:r w:rsidRPr="007E2E30">
        <w:t>2014</w:t>
      </w:r>
      <w:r w:rsidRPr="007E2E30">
        <w:rPr>
          <w:rtl/>
        </w:rPr>
        <w:t xml:space="preserve"> وتحويل مبلغ مليوني فرنك سويسري إلى صندوق تنمية تك</w:t>
      </w:r>
      <w:r w:rsidR="00AC2668" w:rsidRPr="007E2E30">
        <w:rPr>
          <w:rtl/>
        </w:rPr>
        <w:t>نولوجيا المعلومات والاتصالات. و</w:t>
      </w:r>
      <w:r w:rsidR="00AC2668" w:rsidRPr="007E2E30">
        <w:rPr>
          <w:rFonts w:hint="cs"/>
          <w:rtl/>
          <w:lang w:bidi="ar-EG"/>
        </w:rPr>
        <w:t>ت</w:t>
      </w:r>
      <w:r w:rsidR="0016610C" w:rsidRPr="007E2E30">
        <w:rPr>
          <w:rFonts w:hint="cs"/>
          <w:rtl/>
        </w:rPr>
        <w:t>تبيّن</w:t>
      </w:r>
      <w:r w:rsidR="00AC2668" w:rsidRPr="007E2E30">
        <w:rPr>
          <w:rFonts w:hint="cs"/>
          <w:rtl/>
        </w:rPr>
        <w:t xml:space="preserve"> في رصيد عام </w:t>
      </w:r>
      <w:r w:rsidR="00AC2668" w:rsidRPr="007E2E30">
        <w:rPr>
          <w:lang w:val="es-ES"/>
        </w:rPr>
        <w:t>2015</w:t>
      </w:r>
      <w:r w:rsidRPr="007E2E30">
        <w:rPr>
          <w:rtl/>
        </w:rPr>
        <w:t xml:space="preserve"> زيادة بنسبة </w:t>
      </w:r>
      <w:r w:rsidRPr="007E2E30">
        <w:t>3</w:t>
      </w:r>
      <w:r w:rsidRPr="007E2E30">
        <w:rPr>
          <w:rtl/>
          <w:lang w:bidi="ar-EG"/>
        </w:rPr>
        <w:t xml:space="preserve"> </w:t>
      </w:r>
      <w:r w:rsidR="00AC2668" w:rsidRPr="007E2E30">
        <w:rPr>
          <w:rFonts w:hint="cs"/>
          <w:rtl/>
          <w:lang w:bidi="ar-EG"/>
        </w:rPr>
        <w:t xml:space="preserve">في المائة </w:t>
      </w:r>
      <w:r w:rsidRPr="007E2E30">
        <w:rPr>
          <w:rtl/>
          <w:lang w:bidi="ar-EG"/>
        </w:rPr>
        <w:t>ت</w:t>
      </w:r>
      <w:r w:rsidR="00AC2668" w:rsidRPr="007E2E30">
        <w:rPr>
          <w:rFonts w:hint="cs"/>
          <w:rtl/>
          <w:lang w:bidi="ar-EG"/>
        </w:rPr>
        <w:t>ُ</w:t>
      </w:r>
      <w:r w:rsidRPr="007E2E30">
        <w:rPr>
          <w:rtl/>
          <w:lang w:bidi="ar-EG"/>
        </w:rPr>
        <w:t>عزى إلى الناتج الموجب لحدث تليكوم العالمي للاتحاد في</w:t>
      </w:r>
      <w:r w:rsidR="00893C73" w:rsidRPr="007E2E30">
        <w:rPr>
          <w:rFonts w:hint="cs"/>
          <w:rtl/>
          <w:lang w:bidi="ar-EG"/>
        </w:rPr>
        <w:t xml:space="preserve"> عام</w:t>
      </w:r>
      <w:r w:rsidRPr="007E2E30">
        <w:rPr>
          <w:rtl/>
          <w:lang w:bidi="ar-EG"/>
        </w:rPr>
        <w:t xml:space="preserve"> </w:t>
      </w:r>
      <w:r w:rsidRPr="007E2E30">
        <w:rPr>
          <w:lang w:bidi="ar-EG"/>
        </w:rPr>
        <w:t>2015</w:t>
      </w:r>
      <w:r w:rsidRPr="007E2E30">
        <w:rPr>
          <w:rtl/>
          <w:lang w:bidi="ar-EG"/>
        </w:rPr>
        <w:t xml:space="preserve">. </w:t>
      </w:r>
      <w:r w:rsidR="00893C73" w:rsidRPr="007E2E30">
        <w:rPr>
          <w:rFonts w:hint="cs"/>
          <w:rtl/>
          <w:lang w:bidi="ar-EG"/>
        </w:rPr>
        <w:t>ويتماشى ناتج الحدث</w:t>
      </w:r>
      <w:r w:rsidRPr="007E2E30">
        <w:rPr>
          <w:rtl/>
          <w:lang w:bidi="ar-EG"/>
        </w:rPr>
        <w:t xml:space="preserve"> في</w:t>
      </w:r>
      <w:r w:rsidR="00AC2668" w:rsidRPr="007E2E30">
        <w:rPr>
          <w:rFonts w:hint="cs"/>
          <w:rtl/>
          <w:lang w:bidi="ar-EG"/>
        </w:rPr>
        <w:t xml:space="preserve"> عام</w:t>
      </w:r>
      <w:r w:rsidRPr="007E2E30">
        <w:rPr>
          <w:rtl/>
          <w:lang w:bidi="ar-EG"/>
        </w:rPr>
        <w:t xml:space="preserve"> </w:t>
      </w:r>
      <w:r w:rsidRPr="007E2E30">
        <w:rPr>
          <w:lang w:bidi="ar-EG"/>
        </w:rPr>
        <w:t>2016</w:t>
      </w:r>
      <w:r w:rsidR="00893C73" w:rsidRPr="007E2E30">
        <w:rPr>
          <w:rFonts w:hint="cs"/>
          <w:rtl/>
          <w:lang w:bidi="ar-EG"/>
        </w:rPr>
        <w:t xml:space="preserve">، </w:t>
      </w:r>
      <w:r w:rsidR="00AC2668" w:rsidRPr="007E2E30">
        <w:rPr>
          <w:rFonts w:hint="cs"/>
          <w:rtl/>
          <w:lang w:bidi="ar-EG"/>
        </w:rPr>
        <w:t xml:space="preserve">الأكثر ارتفاعاً بكثير </w:t>
      </w:r>
      <w:r w:rsidR="00893C73" w:rsidRPr="007E2E30">
        <w:rPr>
          <w:rFonts w:hint="cs"/>
          <w:rtl/>
          <w:lang w:bidi="ar-EG"/>
        </w:rPr>
        <w:t xml:space="preserve">مقارنةً بالميزانية، </w:t>
      </w:r>
      <w:r w:rsidRPr="007E2E30">
        <w:rPr>
          <w:rFonts w:hint="cs"/>
          <w:rtl/>
          <w:lang w:bidi="ar-EG"/>
        </w:rPr>
        <w:t xml:space="preserve">مع </w:t>
      </w:r>
      <w:r w:rsidR="00C0550C" w:rsidRPr="007E2E30">
        <w:rPr>
          <w:rFonts w:hint="cs"/>
          <w:rtl/>
          <w:lang w:bidi="ar-EG"/>
        </w:rPr>
        <w:t xml:space="preserve">نسبة </w:t>
      </w:r>
      <w:r w:rsidRPr="007E2E30">
        <w:rPr>
          <w:rFonts w:hint="cs"/>
          <w:rtl/>
          <w:lang w:bidi="ar-EG"/>
        </w:rPr>
        <w:t xml:space="preserve">الزيادة </w:t>
      </w:r>
      <w:r w:rsidRPr="007E2E30">
        <w:rPr>
          <w:rtl/>
          <w:lang w:bidi="ar-EG"/>
        </w:rPr>
        <w:t xml:space="preserve">في رصيد عام </w:t>
      </w:r>
      <w:r w:rsidRPr="007E2E30">
        <w:rPr>
          <w:lang w:bidi="ar-EG"/>
        </w:rPr>
        <w:t>2016</w:t>
      </w:r>
      <w:r w:rsidRPr="007E2E30">
        <w:rPr>
          <w:rtl/>
          <w:lang w:bidi="ar-EG"/>
        </w:rPr>
        <w:t xml:space="preserve"> </w:t>
      </w:r>
      <w:r w:rsidR="00C0550C" w:rsidRPr="007E2E30">
        <w:rPr>
          <w:rFonts w:hint="cs"/>
          <w:rtl/>
          <w:lang w:bidi="ar-EG"/>
        </w:rPr>
        <w:t xml:space="preserve">التي تتجاوز </w:t>
      </w:r>
      <w:r w:rsidR="00C0550C" w:rsidRPr="007E2E30">
        <w:rPr>
          <w:lang w:val="es-ES" w:bidi="ar-EG"/>
        </w:rPr>
        <w:t>9</w:t>
      </w:r>
      <w:r w:rsidR="00C0550C" w:rsidRPr="007E2E30">
        <w:rPr>
          <w:rFonts w:hint="cs"/>
          <w:rtl/>
          <w:lang w:bidi="ar-EG"/>
        </w:rPr>
        <w:t xml:space="preserve"> في المائة، </w:t>
      </w:r>
      <w:r w:rsidR="00893C73" w:rsidRPr="007E2E30">
        <w:rPr>
          <w:rFonts w:hint="cs"/>
          <w:rtl/>
          <w:lang w:bidi="ar-EG"/>
        </w:rPr>
        <w:t>مقارنةً</w:t>
      </w:r>
      <w:r w:rsidRPr="007E2E30">
        <w:rPr>
          <w:rtl/>
          <w:lang w:bidi="ar-EG"/>
        </w:rPr>
        <w:t xml:space="preserve"> </w:t>
      </w:r>
      <w:r w:rsidR="00893C73" w:rsidRPr="007E2E30">
        <w:rPr>
          <w:rFonts w:hint="cs"/>
          <w:rtl/>
          <w:lang w:bidi="ar-EG"/>
        </w:rPr>
        <w:t>ب</w:t>
      </w:r>
      <w:r w:rsidRPr="007E2E30">
        <w:rPr>
          <w:rtl/>
          <w:lang w:bidi="ar-EG"/>
        </w:rPr>
        <w:t xml:space="preserve">رصيد عام </w:t>
      </w:r>
      <w:r w:rsidRPr="007E2E30">
        <w:rPr>
          <w:lang w:bidi="ar-EG"/>
        </w:rPr>
        <w:t>2015</w:t>
      </w:r>
      <w:r w:rsidRPr="007E2E30">
        <w:rPr>
          <w:rtl/>
          <w:lang w:bidi="ar-EG"/>
        </w:rPr>
        <w:t>.</w:t>
      </w:r>
      <w:r w:rsidR="00893C73" w:rsidRPr="007E2E30">
        <w:rPr>
          <w:rFonts w:hint="cs"/>
          <w:rtl/>
          <w:lang w:bidi="ar-EG"/>
        </w:rPr>
        <w:t xml:space="preserve"> </w:t>
      </w:r>
      <w:r w:rsidR="00C0550C" w:rsidRPr="007E2E30">
        <w:rPr>
          <w:rFonts w:hint="cs"/>
          <w:rtl/>
          <w:lang w:bidi="ar-EG"/>
        </w:rPr>
        <w:t xml:space="preserve">ومع </w:t>
      </w:r>
      <w:r w:rsidR="00893C73" w:rsidRPr="007E2E30">
        <w:rPr>
          <w:rFonts w:hint="cs"/>
          <w:rtl/>
          <w:lang w:bidi="ar-EG"/>
        </w:rPr>
        <w:t xml:space="preserve">أن </w:t>
      </w:r>
      <w:r w:rsidR="00893C73" w:rsidRPr="007E2E30">
        <w:rPr>
          <w:rtl/>
          <w:lang w:bidi="ar-EG"/>
        </w:rPr>
        <w:t xml:space="preserve">ناتج </w:t>
      </w:r>
      <w:r w:rsidR="0016610C" w:rsidRPr="007E2E30">
        <w:rPr>
          <w:rFonts w:hint="cs"/>
          <w:rtl/>
          <w:lang w:bidi="ar-EG"/>
        </w:rPr>
        <w:t>ح</w:t>
      </w:r>
      <w:r w:rsidR="00893C73" w:rsidRPr="007E2E30">
        <w:rPr>
          <w:rtl/>
          <w:lang w:bidi="ar-EG"/>
        </w:rPr>
        <w:t>دث تليكوم العالمي للاتحاد في</w:t>
      </w:r>
      <w:r w:rsidR="00893C73" w:rsidRPr="007E2E30">
        <w:rPr>
          <w:rFonts w:hint="cs"/>
          <w:rtl/>
          <w:lang w:bidi="ar-EG"/>
        </w:rPr>
        <w:t xml:space="preserve"> عام</w:t>
      </w:r>
      <w:r w:rsidR="00893C73" w:rsidRPr="007E2E30">
        <w:rPr>
          <w:rtl/>
          <w:lang w:bidi="ar-EG"/>
        </w:rPr>
        <w:t xml:space="preserve"> </w:t>
      </w:r>
      <w:r w:rsidR="00893C73" w:rsidRPr="007E2E30">
        <w:rPr>
          <w:lang w:bidi="ar-EG"/>
        </w:rPr>
        <w:t>201</w:t>
      </w:r>
      <w:r w:rsidR="0016610C" w:rsidRPr="007E2E30">
        <w:rPr>
          <w:lang w:bidi="ar-EG"/>
        </w:rPr>
        <w:t>7</w:t>
      </w:r>
      <w:r w:rsidR="0016610C" w:rsidRPr="007E2E30">
        <w:rPr>
          <w:rFonts w:hint="cs"/>
          <w:rtl/>
          <w:lang w:bidi="ar-EG"/>
        </w:rPr>
        <w:t xml:space="preserve"> كان موجباً، </w:t>
      </w:r>
      <w:r w:rsidR="00C0550C" w:rsidRPr="007E2E30">
        <w:rPr>
          <w:rFonts w:hint="cs"/>
          <w:rtl/>
          <w:lang w:bidi="ar-EG"/>
        </w:rPr>
        <w:t xml:space="preserve">إلا أن </w:t>
      </w:r>
      <w:r w:rsidR="0016610C" w:rsidRPr="007E2E30">
        <w:rPr>
          <w:rFonts w:hint="cs"/>
          <w:rtl/>
          <w:lang w:bidi="ar-EG"/>
        </w:rPr>
        <w:t xml:space="preserve">رصيد عام </w:t>
      </w:r>
      <w:r w:rsidR="0016610C" w:rsidRPr="007E2E30">
        <w:rPr>
          <w:lang w:val="es-ES" w:bidi="ar-EG"/>
        </w:rPr>
        <w:t>2017</w:t>
      </w:r>
      <w:r w:rsidR="0016610C" w:rsidRPr="007E2E30">
        <w:rPr>
          <w:rFonts w:hint="cs"/>
          <w:rtl/>
          <w:lang w:bidi="ar-EG"/>
        </w:rPr>
        <w:t xml:space="preserve"> </w:t>
      </w:r>
      <w:r w:rsidR="00C0550C" w:rsidRPr="007E2E30">
        <w:rPr>
          <w:rFonts w:hint="cs"/>
          <w:rtl/>
          <w:lang w:bidi="ar-EG"/>
        </w:rPr>
        <w:t xml:space="preserve">يبدو </w:t>
      </w:r>
      <w:r w:rsidR="0016610C" w:rsidRPr="007E2E30">
        <w:rPr>
          <w:rFonts w:hint="cs"/>
          <w:rtl/>
          <w:lang w:bidi="ar-EG"/>
        </w:rPr>
        <w:t xml:space="preserve">أقل بنسبة </w:t>
      </w:r>
      <w:r w:rsidR="0016610C" w:rsidRPr="007E2E30">
        <w:rPr>
          <w:lang w:val="es-ES" w:bidi="ar-EG"/>
        </w:rPr>
        <w:t>20</w:t>
      </w:r>
      <w:r w:rsidR="0016610C" w:rsidRPr="007E2E30">
        <w:rPr>
          <w:rFonts w:hint="cs"/>
          <w:rtl/>
          <w:lang w:bidi="ar-EG"/>
        </w:rPr>
        <w:t xml:space="preserve"> من رصيد عام </w:t>
      </w:r>
      <w:r w:rsidR="0016610C" w:rsidRPr="007E2E30">
        <w:rPr>
          <w:lang w:val="es-ES" w:bidi="ar-EG"/>
        </w:rPr>
        <w:t>2016</w:t>
      </w:r>
      <w:r w:rsidR="0016610C" w:rsidRPr="007E2E30">
        <w:rPr>
          <w:rFonts w:hint="cs"/>
          <w:rtl/>
          <w:lang w:bidi="ar-EG"/>
        </w:rPr>
        <w:t xml:space="preserve"> إثر تحويل </w:t>
      </w:r>
      <w:r w:rsidR="0016610C" w:rsidRPr="007E2E30">
        <w:rPr>
          <w:rtl/>
        </w:rPr>
        <w:t>مبلغ مليوني فرنك سويسري إلى صندوق تنمية تكنولوجيا المعلومات والاتصالات</w:t>
      </w:r>
      <w:r w:rsidR="0016610C" w:rsidRPr="007E2E30">
        <w:rPr>
          <w:rFonts w:hint="cs"/>
          <w:rtl/>
        </w:rPr>
        <w:t xml:space="preserve">. </w:t>
      </w:r>
      <w:r w:rsidR="00A95C50">
        <w:rPr>
          <w:rFonts w:hint="cs"/>
          <w:rtl/>
        </w:rPr>
        <w:t>ويعبر</w:t>
      </w:r>
      <w:r w:rsidR="0016610C" w:rsidRPr="007E2E30">
        <w:rPr>
          <w:rFonts w:hint="cs"/>
          <w:rtl/>
        </w:rPr>
        <w:t xml:space="preserve"> رصيد عام </w:t>
      </w:r>
      <w:r w:rsidR="0016610C" w:rsidRPr="007E2E30">
        <w:rPr>
          <w:lang w:val="es-ES"/>
        </w:rPr>
        <w:t>2018</w:t>
      </w:r>
      <w:r w:rsidR="00A95C50">
        <w:rPr>
          <w:rFonts w:hint="cs"/>
          <w:rtl/>
          <w:lang w:bidi="ar-EG"/>
        </w:rPr>
        <w:t xml:space="preserve"> عن </w:t>
      </w:r>
      <w:r w:rsidR="0016610C" w:rsidRPr="007E2E30">
        <w:rPr>
          <w:rFonts w:hint="cs"/>
          <w:rtl/>
          <w:lang w:bidi="ar-EG"/>
        </w:rPr>
        <w:t>الناتج السالب لح</w:t>
      </w:r>
      <w:r w:rsidR="0016610C" w:rsidRPr="007E2E30">
        <w:rPr>
          <w:rtl/>
          <w:lang w:bidi="ar-EG"/>
        </w:rPr>
        <w:t>دث تليكوم العالمي للاتحاد في</w:t>
      </w:r>
      <w:r w:rsidR="0016610C" w:rsidRPr="007E2E30">
        <w:rPr>
          <w:rFonts w:hint="cs"/>
          <w:rtl/>
          <w:lang w:bidi="ar-EG"/>
        </w:rPr>
        <w:t xml:space="preserve"> عام</w:t>
      </w:r>
      <w:r w:rsidR="0016610C" w:rsidRPr="007E2E30">
        <w:rPr>
          <w:rtl/>
          <w:lang w:bidi="ar-EG"/>
        </w:rPr>
        <w:t xml:space="preserve"> </w:t>
      </w:r>
      <w:r w:rsidR="0016610C" w:rsidRPr="007E2E30">
        <w:rPr>
          <w:lang w:bidi="ar-EG"/>
        </w:rPr>
        <w:t>2018</w:t>
      </w:r>
      <w:r w:rsidR="00517D10">
        <w:rPr>
          <w:rFonts w:hint="cs"/>
          <w:rtl/>
          <w:lang w:bidi="ar-EG"/>
        </w:rPr>
        <w:t xml:space="preserve"> </w:t>
      </w:r>
      <w:r w:rsidR="00763735">
        <w:rPr>
          <w:rFonts w:hint="cs"/>
          <w:rtl/>
          <w:lang w:bidi="ar-EG"/>
        </w:rPr>
        <w:t xml:space="preserve">الذي </w:t>
      </w:r>
      <w:r w:rsidR="0016610C" w:rsidRPr="007E2E30">
        <w:rPr>
          <w:rFonts w:hint="cs"/>
          <w:rtl/>
          <w:lang w:bidi="ar-EG"/>
        </w:rPr>
        <w:t>يشمل الديون غير المسددة عند إقفال الحسابات.</w:t>
      </w:r>
    </w:p>
    <w:p w:rsidR="0074420E" w:rsidRDefault="00F2676C" w:rsidP="00F2676C">
      <w:pPr>
        <w:spacing w:before="600"/>
        <w:jc w:val="center"/>
        <w:rPr>
          <w:rtl/>
          <w:lang w:bidi="ar-EG"/>
        </w:rPr>
      </w:pPr>
      <w:r>
        <w:rPr>
          <w:rFonts w:hint="cs"/>
          <w:rtl/>
          <w:lang w:bidi="ar-SY"/>
        </w:rPr>
        <w:t>___________</w:t>
      </w:r>
    </w:p>
    <w:sectPr w:rsidR="0074420E" w:rsidSect="006C3242">
      <w:headerReference w:type="default" r:id="rId10"/>
      <w:footerReference w:type="default" r:id="rId11"/>
      <w:footerReference w:type="first" r:id="rId12"/>
      <w:type w:val="oddPage"/>
      <w:pgSz w:w="11907" w:h="16840" w:code="9"/>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0D8C" w:rsidRDefault="00420D8C" w:rsidP="006C3242">
      <w:pPr>
        <w:spacing w:before="0" w:line="240" w:lineRule="auto"/>
      </w:pPr>
      <w:r>
        <w:separator/>
      </w:r>
    </w:p>
  </w:endnote>
  <w:endnote w:type="continuationSeparator" w:id="0">
    <w:p w:rsidR="00420D8C" w:rsidRDefault="00420D8C" w:rsidP="006C324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A6" w:rsidRPr="007E2E30" w:rsidRDefault="003A5BA6" w:rsidP="00EC2AFC">
    <w:pPr>
      <w:pStyle w:val="Footer"/>
      <w:tabs>
        <w:tab w:val="clear" w:pos="4153"/>
        <w:tab w:val="clear" w:pos="8306"/>
        <w:tab w:val="center" w:pos="5103"/>
        <w:tab w:val="right" w:pos="9639"/>
      </w:tabs>
      <w:spacing w:before="120"/>
      <w:rPr>
        <w:rFonts w:ascii="Calibri" w:hAnsi="Calibri" w:cs="Calibri"/>
        <w:sz w:val="16"/>
        <w:szCs w:val="16"/>
      </w:rPr>
    </w:pP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FILENAME \p \* MERGEFORMAT </w:instrText>
    </w:r>
    <w:r w:rsidRPr="006C3242">
      <w:rPr>
        <w:rFonts w:ascii="Calibri" w:hAnsi="Calibri" w:cs="Calibri"/>
        <w:sz w:val="16"/>
        <w:szCs w:val="16"/>
        <w:lang w:val="fr-FR"/>
      </w:rPr>
      <w:fldChar w:fldCharType="separate"/>
    </w:r>
    <w:r w:rsidR="002E44E9">
      <w:rPr>
        <w:rFonts w:ascii="Calibri" w:hAnsi="Calibri" w:cs="Calibri"/>
        <w:noProof/>
        <w:sz w:val="16"/>
        <w:szCs w:val="16"/>
        <w:lang w:val="fr-FR"/>
      </w:rPr>
      <w:t>P:\ARA\SG\CONSEIL\C19\000\015ADD01A.docx</w:t>
    </w:r>
    <w:r w:rsidRPr="006C3242">
      <w:rPr>
        <w:rFonts w:ascii="Calibri" w:hAnsi="Calibri" w:cs="Calibri"/>
        <w:sz w:val="16"/>
        <w:szCs w:val="16"/>
      </w:rPr>
      <w:fldChar w:fldCharType="end"/>
    </w:r>
    <w:r w:rsidRPr="006C3242">
      <w:rPr>
        <w:rFonts w:ascii="Calibri" w:hAnsi="Calibri" w:cs="Calibri"/>
        <w:sz w:val="16"/>
        <w:szCs w:val="16"/>
      </w:rPr>
      <w:t xml:space="preserve">  </w:t>
    </w:r>
    <w:r w:rsidRPr="006C3242">
      <w:rPr>
        <w:rFonts w:ascii="Calibri" w:hAnsi="Calibri" w:cs="Calibri"/>
        <w:sz w:val="16"/>
        <w:szCs w:val="16"/>
        <w:lang w:val="fr-FR"/>
      </w:rPr>
      <w:t xml:space="preserve"> (</w:t>
    </w:r>
    <w:r>
      <w:rPr>
        <w:rFonts w:ascii="Calibri" w:hAnsi="Calibri" w:cs="Calibri"/>
        <w:sz w:val="16"/>
        <w:szCs w:val="16"/>
        <w:lang w:val="fr-FR"/>
      </w:rPr>
      <w:t>455919</w:t>
    </w:r>
    <w:r w:rsidRPr="006C3242">
      <w:rPr>
        <w:rFonts w:ascii="Calibri" w:hAnsi="Calibri" w:cs="Calibri"/>
        <w:sz w:val="16"/>
        <w:szCs w:val="16"/>
        <w:lang w:val="fr-FR"/>
      </w:rPr>
      <w:t>)</w:t>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savedate \@ dd.MM.yy </w:instrText>
    </w:r>
    <w:r w:rsidRPr="006C3242">
      <w:rPr>
        <w:rFonts w:ascii="Calibri" w:hAnsi="Calibri" w:cs="Calibri"/>
        <w:sz w:val="16"/>
        <w:szCs w:val="16"/>
        <w:lang w:val="fr-FR"/>
      </w:rPr>
      <w:fldChar w:fldCharType="separate"/>
    </w:r>
    <w:r w:rsidR="009D77F5">
      <w:rPr>
        <w:rFonts w:ascii="Calibri" w:hAnsi="Calibri" w:cs="Calibri"/>
        <w:noProof/>
        <w:sz w:val="16"/>
        <w:szCs w:val="16"/>
        <w:lang w:val="fr-FR"/>
      </w:rPr>
      <w:t>04.06.19</w:t>
    </w:r>
    <w:r w:rsidRPr="006C3242">
      <w:rPr>
        <w:rFonts w:ascii="Calibri" w:hAnsi="Calibri" w:cs="Calibri"/>
        <w:sz w:val="16"/>
        <w:szCs w:val="16"/>
      </w:rPr>
      <w:fldChar w:fldCharType="end"/>
    </w:r>
    <w:r w:rsidRPr="006C3242">
      <w:rPr>
        <w:rFonts w:ascii="Calibri" w:hAnsi="Calibri" w:cs="Calibri"/>
        <w:sz w:val="16"/>
        <w:szCs w:val="16"/>
        <w:lang w:val="fr-FR"/>
      </w:rPr>
      <w:tab/>
    </w:r>
    <w:r w:rsidRPr="006C3242">
      <w:rPr>
        <w:rFonts w:ascii="Calibri" w:hAnsi="Calibri" w:cs="Calibri"/>
        <w:sz w:val="16"/>
        <w:szCs w:val="16"/>
        <w:lang w:val="fr-FR"/>
      </w:rPr>
      <w:fldChar w:fldCharType="begin"/>
    </w:r>
    <w:r w:rsidRPr="006C3242">
      <w:rPr>
        <w:rFonts w:ascii="Calibri" w:hAnsi="Calibri" w:cs="Calibri"/>
        <w:sz w:val="16"/>
        <w:szCs w:val="16"/>
        <w:lang w:val="fr-FR"/>
      </w:rPr>
      <w:instrText xml:space="preserve"> printdate \@ dd.MM.yy </w:instrText>
    </w:r>
    <w:r w:rsidRPr="006C3242">
      <w:rPr>
        <w:rFonts w:ascii="Calibri" w:hAnsi="Calibri" w:cs="Calibri"/>
        <w:sz w:val="16"/>
        <w:szCs w:val="16"/>
        <w:lang w:val="fr-FR"/>
      </w:rPr>
      <w:fldChar w:fldCharType="separate"/>
    </w:r>
    <w:r w:rsidR="002E44E9">
      <w:rPr>
        <w:rFonts w:ascii="Calibri" w:hAnsi="Calibri" w:cs="Calibri"/>
        <w:noProof/>
        <w:sz w:val="16"/>
        <w:szCs w:val="16"/>
        <w:lang w:val="fr-FR"/>
      </w:rPr>
      <w:t>04.06.19</w:t>
    </w:r>
    <w:r w:rsidRPr="006C3242">
      <w:rPr>
        <w:rFonts w:ascii="Calibri" w:hAnsi="Calibri" w:cs="Calibri"/>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A6" w:rsidRPr="006C3242" w:rsidRDefault="003A5BA6" w:rsidP="006C3242">
    <w:pPr>
      <w:pStyle w:val="Footer"/>
      <w:spacing w:before="120" w:after="120"/>
      <w:jc w:val="center"/>
      <w:rPr>
        <w:rFonts w:ascii="Calibri" w:hAnsi="Calibri" w:cs="Calibri"/>
        <w:sz w:val="20"/>
        <w:lang w:val="fr-FR"/>
      </w:rPr>
    </w:pPr>
    <w:r w:rsidRPr="006C3242">
      <w:rPr>
        <w:rFonts w:ascii="Calibri" w:hAnsi="Calibri" w:cs="Calibri"/>
        <w:sz w:val="20"/>
        <w:lang w:val="fr-FR"/>
      </w:rPr>
      <w:t xml:space="preserve">• </w:t>
    </w:r>
    <w:hyperlink r:id="rId1" w:history="1">
      <w:r w:rsidRPr="006C3242">
        <w:rPr>
          <w:rStyle w:val="Hyperlink"/>
          <w:rFonts w:ascii="Calibri" w:hAnsi="Calibri" w:cs="Calibri"/>
          <w:sz w:val="20"/>
          <w:lang w:val="fr-FR"/>
        </w:rPr>
        <w:t>http://www.itu.int/council</w:t>
      </w:r>
    </w:hyperlink>
    <w:r w:rsidRPr="006C3242">
      <w:rPr>
        <w:rFonts w:ascii="Calibri" w:hAnsi="Calibri" w:cs="Calibri"/>
        <w:sz w:val="20"/>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0D8C" w:rsidRDefault="00420D8C" w:rsidP="006C3242">
      <w:pPr>
        <w:spacing w:before="0" w:line="240" w:lineRule="auto"/>
      </w:pPr>
      <w:r>
        <w:separator/>
      </w:r>
    </w:p>
  </w:footnote>
  <w:footnote w:type="continuationSeparator" w:id="0">
    <w:p w:rsidR="00420D8C" w:rsidRDefault="00420D8C" w:rsidP="006C3242">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5BA6" w:rsidRPr="00447F32" w:rsidRDefault="00CC3A83" w:rsidP="00B43F60">
    <w:pPr>
      <w:pStyle w:val="Header"/>
      <w:bidi w:val="0"/>
      <w:spacing w:before="120" w:after="240"/>
      <w:jc w:val="center"/>
      <w:rPr>
        <w:rFonts w:cs="Calibri"/>
        <w:sz w:val="20"/>
        <w:szCs w:val="20"/>
      </w:rPr>
    </w:pPr>
    <w:sdt>
      <w:sdtPr>
        <w:id w:val="-1375531529"/>
        <w:docPartObj>
          <w:docPartGallery w:val="Page Numbers (Top of Page)"/>
          <w:docPartUnique/>
        </w:docPartObj>
      </w:sdtPr>
      <w:sdtEndPr>
        <w:rPr>
          <w:rFonts w:cs="Calibri"/>
          <w:noProof/>
          <w:sz w:val="20"/>
          <w:szCs w:val="20"/>
        </w:rPr>
      </w:sdtEndPr>
      <w:sdtContent>
        <w:r w:rsidR="003A5BA6" w:rsidRPr="00447F32">
          <w:rPr>
            <w:rFonts w:cs="Calibri"/>
            <w:sz w:val="20"/>
            <w:szCs w:val="20"/>
          </w:rPr>
          <w:fldChar w:fldCharType="begin"/>
        </w:r>
        <w:r w:rsidR="003A5BA6" w:rsidRPr="00447F32">
          <w:rPr>
            <w:rFonts w:cs="Calibri"/>
            <w:sz w:val="20"/>
            <w:szCs w:val="20"/>
          </w:rPr>
          <w:instrText xml:space="preserve"> PAGE   \* MERGEFORMAT </w:instrText>
        </w:r>
        <w:r w:rsidR="003A5BA6" w:rsidRPr="00447F32">
          <w:rPr>
            <w:rFonts w:cs="Calibri"/>
            <w:sz w:val="20"/>
            <w:szCs w:val="20"/>
          </w:rPr>
          <w:fldChar w:fldCharType="separate"/>
        </w:r>
        <w:r>
          <w:rPr>
            <w:rFonts w:cs="Calibri"/>
            <w:noProof/>
            <w:sz w:val="20"/>
            <w:szCs w:val="20"/>
          </w:rPr>
          <w:t>6</w:t>
        </w:r>
        <w:r w:rsidR="003A5BA6" w:rsidRPr="00447F32">
          <w:rPr>
            <w:rFonts w:cs="Calibri"/>
            <w:noProof/>
            <w:sz w:val="20"/>
            <w:szCs w:val="20"/>
          </w:rPr>
          <w:fldChar w:fldCharType="end"/>
        </w:r>
        <w:r w:rsidR="003A5BA6" w:rsidRPr="00447F32">
          <w:rPr>
            <w:rFonts w:cs="Calibri"/>
            <w:noProof/>
            <w:sz w:val="20"/>
            <w:szCs w:val="20"/>
          </w:rPr>
          <w:br/>
          <w:t>C1</w:t>
        </w:r>
        <w:r w:rsidR="003A5BA6">
          <w:rPr>
            <w:rFonts w:cs="Calibri"/>
            <w:noProof/>
            <w:sz w:val="20"/>
            <w:szCs w:val="20"/>
          </w:rPr>
          <w:t>9</w:t>
        </w:r>
        <w:r w:rsidR="003A5BA6" w:rsidRPr="00447F32">
          <w:rPr>
            <w:rFonts w:cs="Calibri"/>
            <w:noProof/>
            <w:sz w:val="20"/>
            <w:szCs w:val="20"/>
          </w:rPr>
          <w:t>/</w:t>
        </w:r>
        <w:r w:rsidR="003A5BA6">
          <w:rPr>
            <w:rFonts w:cs="Calibri"/>
            <w:noProof/>
            <w:sz w:val="20"/>
            <w:szCs w:val="20"/>
          </w:rPr>
          <w:t>15(A</w:t>
        </w:r>
        <w:r w:rsidR="00B43F60">
          <w:rPr>
            <w:rFonts w:cs="Calibri"/>
            <w:noProof/>
            <w:sz w:val="20"/>
            <w:szCs w:val="20"/>
          </w:rPr>
          <w:t>dd</w:t>
        </w:r>
        <w:r w:rsidR="003A5BA6">
          <w:rPr>
            <w:rFonts w:cs="Calibri"/>
            <w:noProof/>
            <w:sz w:val="20"/>
            <w:szCs w:val="20"/>
          </w:rPr>
          <w:t>.1)</w:t>
        </w:r>
        <w:r w:rsidR="003A5BA6" w:rsidRPr="00447F32">
          <w:rPr>
            <w:rFonts w:cs="Calibri"/>
            <w:noProof/>
            <w:sz w:val="20"/>
            <w:szCs w:val="20"/>
          </w:rPr>
          <w:t>-A</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BCC4D5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78CC19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E8648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8866A6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F52F66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5EA1B6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4E4692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548C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3C27F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FCA243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92B3DD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activeWritingStyle w:appName="MSWord" w:lang="ar-EG" w:vendorID="64" w:dllVersion="131078" w:nlCheck="1" w:checkStyle="0"/>
  <w:activeWritingStyle w:appName="MSWord" w:lang="en-US" w:vendorID="64" w:dllVersion="131078" w:nlCheck="1" w:checkStyle="1"/>
  <w:activeWritingStyle w:appName="MSWord" w:lang="ar-SY" w:vendorID="64" w:dllVersion="131078" w:nlCheck="1" w:checkStyle="0"/>
  <w:activeWritingStyle w:appName="MSWord" w:lang="ar-SA" w:vendorID="64" w:dllVersion="131078" w:nlCheck="1" w:checkStyle="0"/>
  <w:activeWritingStyle w:appName="MSWord" w:lang="en-GB" w:vendorID="64" w:dllVersion="131078" w:nlCheck="1" w:checkStyle="1"/>
  <w:activeWritingStyle w:appName="MSWord" w:lang="fr-CH" w:vendorID="64" w:dllVersion="131078" w:nlCheck="1" w:checkStyle="1"/>
  <w:activeWritingStyle w:appName="MSWord" w:lang="fr-FR" w:vendorID="64" w:dllVersion="131078" w:nlCheck="1" w:checkStyle="1"/>
  <w:proofState w:spelling="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737C"/>
    <w:rsid w:val="0004015A"/>
    <w:rsid w:val="00090574"/>
    <w:rsid w:val="000952FD"/>
    <w:rsid w:val="00097F3B"/>
    <w:rsid w:val="000C1C0E"/>
    <w:rsid w:val="000C548A"/>
    <w:rsid w:val="0016610C"/>
    <w:rsid w:val="001957B8"/>
    <w:rsid w:val="00196D3C"/>
    <w:rsid w:val="001C0169"/>
    <w:rsid w:val="001D1D50"/>
    <w:rsid w:val="001E446E"/>
    <w:rsid w:val="001F6BB1"/>
    <w:rsid w:val="002154EE"/>
    <w:rsid w:val="002276D2"/>
    <w:rsid w:val="0023283D"/>
    <w:rsid w:val="0026761E"/>
    <w:rsid w:val="00271C43"/>
    <w:rsid w:val="00273B66"/>
    <w:rsid w:val="00287C02"/>
    <w:rsid w:val="00290728"/>
    <w:rsid w:val="002978F4"/>
    <w:rsid w:val="002A31D9"/>
    <w:rsid w:val="002B028D"/>
    <w:rsid w:val="002E44E9"/>
    <w:rsid w:val="002E6541"/>
    <w:rsid w:val="00303151"/>
    <w:rsid w:val="00334924"/>
    <w:rsid w:val="003409BC"/>
    <w:rsid w:val="00357185"/>
    <w:rsid w:val="003736B4"/>
    <w:rsid w:val="00383829"/>
    <w:rsid w:val="003A5BA6"/>
    <w:rsid w:val="003D7312"/>
    <w:rsid w:val="003F4B29"/>
    <w:rsid w:val="00420D8C"/>
    <w:rsid w:val="004235DB"/>
    <w:rsid w:val="0042686F"/>
    <w:rsid w:val="004317D8"/>
    <w:rsid w:val="00434183"/>
    <w:rsid w:val="00443869"/>
    <w:rsid w:val="00447F32"/>
    <w:rsid w:val="00456661"/>
    <w:rsid w:val="004A12D3"/>
    <w:rsid w:val="004C0B43"/>
    <w:rsid w:val="004E11DC"/>
    <w:rsid w:val="004E5768"/>
    <w:rsid w:val="00517D10"/>
    <w:rsid w:val="005409AC"/>
    <w:rsid w:val="005534C4"/>
    <w:rsid w:val="0055516A"/>
    <w:rsid w:val="0055737C"/>
    <w:rsid w:val="005674C8"/>
    <w:rsid w:val="0058491B"/>
    <w:rsid w:val="00592EA5"/>
    <w:rsid w:val="00597544"/>
    <w:rsid w:val="005A3170"/>
    <w:rsid w:val="005A333C"/>
    <w:rsid w:val="005D73D8"/>
    <w:rsid w:val="00620DF3"/>
    <w:rsid w:val="006369D7"/>
    <w:rsid w:val="00644A00"/>
    <w:rsid w:val="006517CB"/>
    <w:rsid w:val="00677396"/>
    <w:rsid w:val="0069200F"/>
    <w:rsid w:val="006A65CB"/>
    <w:rsid w:val="006C3242"/>
    <w:rsid w:val="006C7CC0"/>
    <w:rsid w:val="006F63F7"/>
    <w:rsid w:val="007025C7"/>
    <w:rsid w:val="00706D7A"/>
    <w:rsid w:val="00722F0D"/>
    <w:rsid w:val="0074420E"/>
    <w:rsid w:val="00763735"/>
    <w:rsid w:val="00783E26"/>
    <w:rsid w:val="007C3BC7"/>
    <w:rsid w:val="007D4ACF"/>
    <w:rsid w:val="007E2E30"/>
    <w:rsid w:val="007E73CB"/>
    <w:rsid w:val="007F0787"/>
    <w:rsid w:val="008009A0"/>
    <w:rsid w:val="00810B7B"/>
    <w:rsid w:val="00811BBF"/>
    <w:rsid w:val="0082358A"/>
    <w:rsid w:val="008235CD"/>
    <w:rsid w:val="008247DE"/>
    <w:rsid w:val="00824FF0"/>
    <w:rsid w:val="00840B10"/>
    <w:rsid w:val="008513CB"/>
    <w:rsid w:val="00852596"/>
    <w:rsid w:val="008735FB"/>
    <w:rsid w:val="00893C73"/>
    <w:rsid w:val="008D4FBA"/>
    <w:rsid w:val="00914BF6"/>
    <w:rsid w:val="00923B0C"/>
    <w:rsid w:val="0094021C"/>
    <w:rsid w:val="00952F86"/>
    <w:rsid w:val="00982B28"/>
    <w:rsid w:val="009850F8"/>
    <w:rsid w:val="009D313F"/>
    <w:rsid w:val="009D77F5"/>
    <w:rsid w:val="00A06917"/>
    <w:rsid w:val="00A47A5A"/>
    <w:rsid w:val="00A6683B"/>
    <w:rsid w:val="00A95C50"/>
    <w:rsid w:val="00A97F94"/>
    <w:rsid w:val="00AC2668"/>
    <w:rsid w:val="00AD4C1F"/>
    <w:rsid w:val="00B05BC8"/>
    <w:rsid w:val="00B21248"/>
    <w:rsid w:val="00B43F60"/>
    <w:rsid w:val="00B64B47"/>
    <w:rsid w:val="00BB1008"/>
    <w:rsid w:val="00C002DE"/>
    <w:rsid w:val="00C0550C"/>
    <w:rsid w:val="00C1178A"/>
    <w:rsid w:val="00C14652"/>
    <w:rsid w:val="00C53BF8"/>
    <w:rsid w:val="00C66157"/>
    <w:rsid w:val="00C674FE"/>
    <w:rsid w:val="00C67501"/>
    <w:rsid w:val="00C75633"/>
    <w:rsid w:val="00CA700A"/>
    <w:rsid w:val="00CC3A83"/>
    <w:rsid w:val="00CE2EE1"/>
    <w:rsid w:val="00CE3349"/>
    <w:rsid w:val="00CF3FFD"/>
    <w:rsid w:val="00D10CCF"/>
    <w:rsid w:val="00D13979"/>
    <w:rsid w:val="00D423A5"/>
    <w:rsid w:val="00D77D0F"/>
    <w:rsid w:val="00DA1CF0"/>
    <w:rsid w:val="00DC1E02"/>
    <w:rsid w:val="00DC24B4"/>
    <w:rsid w:val="00DF16DC"/>
    <w:rsid w:val="00E14F8A"/>
    <w:rsid w:val="00E45211"/>
    <w:rsid w:val="00E6496A"/>
    <w:rsid w:val="00E84F30"/>
    <w:rsid w:val="00E92863"/>
    <w:rsid w:val="00EB796D"/>
    <w:rsid w:val="00EC2AFC"/>
    <w:rsid w:val="00F058DC"/>
    <w:rsid w:val="00F15D86"/>
    <w:rsid w:val="00F24FC4"/>
    <w:rsid w:val="00F2676C"/>
    <w:rsid w:val="00F322EF"/>
    <w:rsid w:val="00F36D92"/>
    <w:rsid w:val="00F84366"/>
    <w:rsid w:val="00F85089"/>
    <w:rsid w:val="00FA6F46"/>
    <w:rsid w:val="00FE0A0D"/>
    <w:rsid w:val="00FE5872"/>
    <w:rsid w:val="00FE7FC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E3F760C1-E4EF-4582-8FFD-012796C8A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7396"/>
    <w:pPr>
      <w:tabs>
        <w:tab w:val="left" w:pos="794"/>
      </w:tabs>
      <w:bidi/>
      <w:spacing w:before="120" w:after="0" w:line="192" w:lineRule="auto"/>
      <w:jc w:val="both"/>
    </w:pPr>
    <w:rPr>
      <w:rFonts w:ascii="Calibri" w:hAnsi="Calibri" w:cs="Traditional Arabic"/>
      <w:szCs w:val="30"/>
    </w:rPr>
  </w:style>
  <w:style w:type="paragraph" w:styleId="Heading1">
    <w:name w:val="heading 1"/>
    <w:basedOn w:val="Normal"/>
    <w:next w:val="Normal"/>
    <w:link w:val="Heading1Char"/>
    <w:uiPriority w:val="9"/>
    <w:qFormat/>
    <w:rsid w:val="00677396"/>
    <w:pPr>
      <w:keepNext/>
      <w:keepLines/>
      <w:spacing w:before="360"/>
      <w:ind w:left="794" w:hanging="794"/>
      <w:outlineLvl w:val="0"/>
    </w:pPr>
    <w:rPr>
      <w:rFonts w:eastAsiaTheme="majorEastAsia"/>
      <w:b/>
      <w:bCs/>
      <w:sz w:val="26"/>
      <w:szCs w:val="36"/>
    </w:rPr>
  </w:style>
  <w:style w:type="paragraph" w:styleId="Heading2">
    <w:name w:val="heading 2"/>
    <w:basedOn w:val="Normal"/>
    <w:next w:val="Normal"/>
    <w:link w:val="Heading2Char"/>
    <w:uiPriority w:val="9"/>
    <w:unhideWhenUsed/>
    <w:qFormat/>
    <w:rsid w:val="00677396"/>
    <w:pPr>
      <w:keepNext/>
      <w:keepLines/>
      <w:spacing w:before="300"/>
      <w:ind w:left="794" w:hanging="794"/>
      <w:outlineLvl w:val="1"/>
    </w:pPr>
    <w:rPr>
      <w:rFonts w:eastAsiaTheme="majorEastAsia"/>
      <w:b/>
      <w:bCs/>
      <w:sz w:val="24"/>
      <w:szCs w:val="32"/>
    </w:rPr>
  </w:style>
  <w:style w:type="paragraph" w:styleId="Heading3">
    <w:name w:val="heading 3"/>
    <w:basedOn w:val="Normal"/>
    <w:next w:val="Normal"/>
    <w:link w:val="Heading3Char"/>
    <w:uiPriority w:val="9"/>
    <w:unhideWhenUsed/>
    <w:qFormat/>
    <w:rsid w:val="00677396"/>
    <w:pPr>
      <w:keepNext/>
      <w:keepLines/>
      <w:spacing w:before="240"/>
      <w:ind w:left="794" w:hanging="794"/>
      <w:outlineLvl w:val="2"/>
    </w:pPr>
    <w:rPr>
      <w:rFonts w:eastAsiaTheme="majorEastAsia"/>
      <w:b/>
      <w:bCs/>
    </w:rPr>
  </w:style>
  <w:style w:type="paragraph" w:styleId="Heading4">
    <w:name w:val="heading 4"/>
    <w:basedOn w:val="Normal"/>
    <w:next w:val="Normal"/>
    <w:link w:val="Heading4Char"/>
    <w:uiPriority w:val="9"/>
    <w:unhideWhenUsed/>
    <w:qFormat/>
    <w:rsid w:val="00677396"/>
    <w:pPr>
      <w:keepNext/>
      <w:keepLines/>
      <w:spacing w:before="160"/>
      <w:ind w:left="794" w:hanging="794"/>
      <w:outlineLvl w:val="3"/>
    </w:pPr>
    <w:rPr>
      <w:rFonts w:eastAsiaTheme="majorEastAsia"/>
      <w:b/>
      <w:bCs/>
    </w:rPr>
  </w:style>
  <w:style w:type="paragraph" w:styleId="Heading5">
    <w:name w:val="heading 5"/>
    <w:basedOn w:val="Normal"/>
    <w:next w:val="Normal"/>
    <w:link w:val="Heading5Char"/>
    <w:uiPriority w:val="9"/>
    <w:unhideWhenUsed/>
    <w:qFormat/>
    <w:rsid w:val="00FE5872"/>
    <w:pPr>
      <w:keepNext/>
      <w:keepLines/>
      <w:ind w:left="1134" w:hanging="1134"/>
      <w:outlineLvl w:val="4"/>
    </w:pPr>
    <w:rPr>
      <w:rFonts w:eastAsiaTheme="majorEastAsia"/>
      <w:b/>
      <w:bCs/>
    </w:rPr>
  </w:style>
  <w:style w:type="paragraph" w:styleId="Heading6">
    <w:name w:val="heading 6"/>
    <w:basedOn w:val="Normal"/>
    <w:next w:val="Normal"/>
    <w:link w:val="Heading6Char"/>
    <w:uiPriority w:val="9"/>
    <w:unhideWhenUsed/>
    <w:qFormat/>
    <w:rsid w:val="00FE5872"/>
    <w:pPr>
      <w:keepNext/>
      <w:keepLines/>
      <w:spacing w:before="160"/>
      <w:ind w:left="1134" w:hanging="1134"/>
      <w:outlineLvl w:val="5"/>
    </w:pPr>
    <w:rPr>
      <w:rFonts w:eastAsiaTheme="majorEastAsia"/>
      <w:b/>
      <w:bCs/>
    </w:rPr>
  </w:style>
  <w:style w:type="paragraph" w:styleId="Heading7">
    <w:name w:val="heading 7"/>
    <w:basedOn w:val="Normal"/>
    <w:next w:val="Normal"/>
    <w:link w:val="Heading7Char"/>
    <w:uiPriority w:val="9"/>
    <w:unhideWhenUsed/>
    <w:qFormat/>
    <w:rsid w:val="00FE5872"/>
    <w:pPr>
      <w:keepNext/>
      <w:keepLines/>
      <w:spacing w:before="160"/>
      <w:ind w:left="1134" w:hanging="1134"/>
      <w:outlineLvl w:val="6"/>
    </w:pPr>
    <w:rPr>
      <w:rFonts w:eastAsiaTheme="majorEastAsia"/>
      <w:b/>
      <w:bCs/>
    </w:rPr>
  </w:style>
  <w:style w:type="paragraph" w:styleId="Heading8">
    <w:name w:val="heading 8"/>
    <w:basedOn w:val="Normal"/>
    <w:next w:val="Normal"/>
    <w:link w:val="Heading8Char"/>
    <w:uiPriority w:val="9"/>
    <w:unhideWhenUsed/>
    <w:qFormat/>
    <w:rsid w:val="00FE5872"/>
    <w:pPr>
      <w:keepNext/>
      <w:keepLines/>
      <w:spacing w:before="160"/>
      <w:ind w:left="1134" w:hanging="1134"/>
      <w:outlineLvl w:val="7"/>
    </w:pPr>
    <w:rPr>
      <w:rFonts w:eastAsiaTheme="majorEastAsia"/>
      <w:b/>
      <w:bCs/>
    </w:rPr>
  </w:style>
  <w:style w:type="paragraph" w:styleId="Heading9">
    <w:name w:val="heading 9"/>
    <w:basedOn w:val="Normal"/>
    <w:next w:val="Normal"/>
    <w:link w:val="Heading9Char"/>
    <w:uiPriority w:val="9"/>
    <w:unhideWhenUsed/>
    <w:qFormat/>
    <w:rsid w:val="00FE5872"/>
    <w:pPr>
      <w:keepNext/>
      <w:keepLines/>
      <w:spacing w:before="160"/>
      <w:ind w:left="1134" w:hanging="1134"/>
      <w:outlineLvl w:val="8"/>
    </w:pPr>
    <w:rPr>
      <w:rFonts w:eastAsiaTheme="majorEastAsi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rsid w:val="007C3BC7"/>
    <w:pPr>
      <w:spacing w:after="0" w:line="240" w:lineRule="auto"/>
    </w:pPr>
    <w:rPr>
      <w:color w:val="FF0000"/>
    </w:rPr>
  </w:style>
  <w:style w:type="character" w:customStyle="1" w:styleId="Heading1Char">
    <w:name w:val="Heading 1 Char"/>
    <w:basedOn w:val="DefaultParagraphFont"/>
    <w:link w:val="Heading1"/>
    <w:uiPriority w:val="9"/>
    <w:rsid w:val="00677396"/>
    <w:rPr>
      <w:rFonts w:ascii="Calibri" w:eastAsiaTheme="majorEastAsia" w:hAnsi="Calibri" w:cs="Traditional Arabic"/>
      <w:b/>
      <w:bCs/>
      <w:sz w:val="26"/>
      <w:szCs w:val="36"/>
    </w:rPr>
  </w:style>
  <w:style w:type="character" w:customStyle="1" w:styleId="Heading2Char">
    <w:name w:val="Heading 2 Char"/>
    <w:basedOn w:val="DefaultParagraphFont"/>
    <w:link w:val="Heading2"/>
    <w:uiPriority w:val="9"/>
    <w:rsid w:val="00677396"/>
    <w:rPr>
      <w:rFonts w:ascii="Calibri" w:eastAsiaTheme="majorEastAsia" w:hAnsi="Calibri" w:cs="Traditional Arabic"/>
      <w:b/>
      <w:bCs/>
      <w:sz w:val="24"/>
      <w:szCs w:val="32"/>
    </w:rPr>
  </w:style>
  <w:style w:type="character" w:customStyle="1" w:styleId="Heading3Char">
    <w:name w:val="Heading 3 Char"/>
    <w:basedOn w:val="DefaultParagraphFont"/>
    <w:link w:val="Heading3"/>
    <w:uiPriority w:val="9"/>
    <w:rsid w:val="00677396"/>
    <w:rPr>
      <w:rFonts w:ascii="Calibri" w:eastAsiaTheme="majorEastAsia" w:hAnsi="Calibri" w:cs="Traditional Arabic"/>
      <w:b/>
      <w:bCs/>
      <w:szCs w:val="30"/>
    </w:rPr>
  </w:style>
  <w:style w:type="character" w:customStyle="1" w:styleId="Heading4Char">
    <w:name w:val="Heading 4 Char"/>
    <w:basedOn w:val="DefaultParagraphFont"/>
    <w:link w:val="Heading4"/>
    <w:uiPriority w:val="9"/>
    <w:rsid w:val="00677396"/>
    <w:rPr>
      <w:rFonts w:ascii="Calibri" w:eastAsiaTheme="majorEastAsia" w:hAnsi="Calibri" w:cs="Traditional Arabic"/>
      <w:b/>
      <w:bCs/>
      <w:szCs w:val="30"/>
    </w:rPr>
  </w:style>
  <w:style w:type="character" w:customStyle="1" w:styleId="Heading5Char">
    <w:name w:val="Heading 5 Char"/>
    <w:basedOn w:val="DefaultParagraphFont"/>
    <w:link w:val="Heading5"/>
    <w:uiPriority w:val="9"/>
    <w:rsid w:val="00FE5872"/>
    <w:rPr>
      <w:rFonts w:ascii="Calibri" w:eastAsiaTheme="majorEastAsia" w:hAnsi="Calibri" w:cs="Traditional Arabic"/>
      <w:b/>
      <w:bCs/>
      <w:szCs w:val="30"/>
    </w:rPr>
  </w:style>
  <w:style w:type="character" w:customStyle="1" w:styleId="Heading6Char">
    <w:name w:val="Heading 6 Char"/>
    <w:basedOn w:val="DefaultParagraphFont"/>
    <w:link w:val="Heading6"/>
    <w:uiPriority w:val="9"/>
    <w:rsid w:val="00FE5872"/>
    <w:rPr>
      <w:rFonts w:ascii="Calibri" w:eastAsiaTheme="majorEastAsia" w:hAnsi="Calibri" w:cs="Traditional Arabic"/>
      <w:b/>
      <w:bCs/>
      <w:szCs w:val="30"/>
    </w:rPr>
  </w:style>
  <w:style w:type="character" w:customStyle="1" w:styleId="Heading7Char">
    <w:name w:val="Heading 7 Char"/>
    <w:basedOn w:val="DefaultParagraphFont"/>
    <w:link w:val="Heading7"/>
    <w:uiPriority w:val="9"/>
    <w:rsid w:val="00FE5872"/>
    <w:rPr>
      <w:rFonts w:ascii="Calibri" w:eastAsiaTheme="majorEastAsia" w:hAnsi="Calibri" w:cs="Traditional Arabic"/>
      <w:b/>
      <w:bCs/>
      <w:szCs w:val="30"/>
    </w:rPr>
  </w:style>
  <w:style w:type="character" w:customStyle="1" w:styleId="Heading8Char">
    <w:name w:val="Heading 8 Char"/>
    <w:basedOn w:val="DefaultParagraphFont"/>
    <w:link w:val="Heading8"/>
    <w:uiPriority w:val="9"/>
    <w:rsid w:val="00FE5872"/>
    <w:rPr>
      <w:rFonts w:ascii="Calibri" w:eastAsiaTheme="majorEastAsia" w:hAnsi="Calibri" w:cs="Traditional Arabic"/>
      <w:b/>
      <w:bCs/>
      <w:szCs w:val="30"/>
    </w:rPr>
  </w:style>
  <w:style w:type="character" w:customStyle="1" w:styleId="Heading9Char">
    <w:name w:val="Heading 9 Char"/>
    <w:basedOn w:val="DefaultParagraphFont"/>
    <w:link w:val="Heading9"/>
    <w:uiPriority w:val="9"/>
    <w:rsid w:val="00FE5872"/>
    <w:rPr>
      <w:rFonts w:ascii="Calibri" w:eastAsiaTheme="majorEastAsia" w:hAnsi="Calibri" w:cs="Traditional Arabic"/>
      <w:b/>
      <w:bCs/>
      <w:szCs w:val="30"/>
    </w:rPr>
  </w:style>
  <w:style w:type="paragraph" w:customStyle="1" w:styleId="HeadingI">
    <w:name w:val="Heading I"/>
    <w:basedOn w:val="Normal"/>
    <w:qFormat/>
    <w:rsid w:val="00DC24B4"/>
    <w:pPr>
      <w:keepNext/>
      <w:keepLines/>
      <w:spacing w:before="160"/>
    </w:pPr>
    <w:rPr>
      <w:i/>
      <w:iCs/>
    </w:rPr>
  </w:style>
  <w:style w:type="paragraph" w:customStyle="1" w:styleId="AgendaItem">
    <w:name w:val="Agenda Item"/>
    <w:basedOn w:val="Normal"/>
    <w:qFormat/>
    <w:rsid w:val="00DC24B4"/>
    <w:pPr>
      <w:spacing w:before="360" w:after="120"/>
      <w:jc w:val="center"/>
    </w:pPr>
    <w:rPr>
      <w:sz w:val="26"/>
      <w:szCs w:val="36"/>
      <w:lang w:bidi="ar-SY"/>
    </w:rPr>
  </w:style>
  <w:style w:type="paragraph" w:customStyle="1" w:styleId="AnnexNo">
    <w:name w:val="Annex No"/>
    <w:basedOn w:val="AgendaItem"/>
    <w:qFormat/>
    <w:rsid w:val="00DC24B4"/>
  </w:style>
  <w:style w:type="paragraph" w:customStyle="1" w:styleId="Annextitle">
    <w:name w:val="Annex title"/>
    <w:basedOn w:val="AnnexNo"/>
    <w:qFormat/>
    <w:rsid w:val="00DC24B4"/>
    <w:pPr>
      <w:keepNext/>
      <w:keepLines/>
      <w:spacing w:before="120" w:after="360"/>
    </w:pPr>
    <w:rPr>
      <w:b/>
      <w:bCs/>
      <w:sz w:val="28"/>
      <w:szCs w:val="40"/>
    </w:rPr>
  </w:style>
  <w:style w:type="character" w:styleId="PlaceholderText">
    <w:name w:val="Placeholder Text"/>
    <w:basedOn w:val="DefaultParagraphFont"/>
    <w:uiPriority w:val="99"/>
    <w:semiHidden/>
    <w:rsid w:val="00DC24B4"/>
    <w:rPr>
      <w:color w:val="808080"/>
    </w:rPr>
  </w:style>
  <w:style w:type="paragraph" w:styleId="Footer">
    <w:name w:val="footer"/>
    <w:basedOn w:val="Normal"/>
    <w:link w:val="FooterChar"/>
    <w:rsid w:val="00DC24B4"/>
    <w:pPr>
      <w:tabs>
        <w:tab w:val="center" w:pos="4153"/>
        <w:tab w:val="right" w:pos="8306"/>
      </w:tabs>
      <w:bidi w:val="0"/>
      <w:spacing w:before="0" w:line="240" w:lineRule="auto"/>
      <w:jc w:val="left"/>
    </w:pPr>
    <w:rPr>
      <w:rFonts w:ascii="Times New Roman" w:eastAsia="Times New Roman" w:hAnsi="Times New Roman" w:cs="Times New Roman"/>
      <w:sz w:val="24"/>
      <w:szCs w:val="20"/>
      <w:lang w:eastAsia="en-US"/>
    </w:rPr>
  </w:style>
  <w:style w:type="character" w:customStyle="1" w:styleId="FooterChar">
    <w:name w:val="Footer Char"/>
    <w:basedOn w:val="DefaultParagraphFont"/>
    <w:link w:val="Footer"/>
    <w:rsid w:val="00DC24B4"/>
    <w:rPr>
      <w:rFonts w:ascii="Times New Roman" w:eastAsia="Times New Roman" w:hAnsi="Times New Roman" w:cs="Times New Roman"/>
      <w:sz w:val="24"/>
      <w:szCs w:val="20"/>
      <w:lang w:eastAsia="en-US"/>
    </w:rPr>
  </w:style>
  <w:style w:type="paragraph" w:customStyle="1" w:styleId="Referencetitle">
    <w:name w:val="Reference title"/>
    <w:basedOn w:val="Normal"/>
    <w:qFormat/>
    <w:rsid w:val="007C3BC7"/>
    <w:pPr>
      <w:keepNext/>
      <w:spacing w:after="360"/>
      <w:jc w:val="center"/>
    </w:pPr>
    <w:rPr>
      <w:lang w:bidi="ar-SY"/>
    </w:rPr>
  </w:style>
  <w:style w:type="paragraph" w:customStyle="1" w:styleId="AppendixNo">
    <w:name w:val="Appendix No"/>
    <w:basedOn w:val="Normal"/>
    <w:qFormat/>
    <w:rsid w:val="00F85089"/>
    <w:pPr>
      <w:keepNext/>
      <w:keepLines/>
      <w:spacing w:before="360" w:after="120"/>
      <w:jc w:val="center"/>
    </w:pPr>
    <w:rPr>
      <w:sz w:val="26"/>
      <w:szCs w:val="36"/>
      <w:lang w:bidi="ar-SY"/>
    </w:rPr>
  </w:style>
  <w:style w:type="paragraph" w:customStyle="1" w:styleId="Appendixtitle">
    <w:name w:val="Appendix title"/>
    <w:basedOn w:val="Normal"/>
    <w:qFormat/>
    <w:rsid w:val="00F85089"/>
    <w:pPr>
      <w:keepNext/>
      <w:keepLines/>
      <w:spacing w:after="360"/>
      <w:jc w:val="center"/>
    </w:pPr>
    <w:rPr>
      <w:b/>
      <w:bCs/>
      <w:sz w:val="28"/>
      <w:szCs w:val="40"/>
    </w:rPr>
  </w:style>
  <w:style w:type="paragraph" w:customStyle="1" w:styleId="ArticleNo">
    <w:name w:val="Article No"/>
    <w:basedOn w:val="Normal"/>
    <w:qFormat/>
    <w:rsid w:val="00DA1CF0"/>
    <w:pPr>
      <w:keepNext/>
      <w:keepLines/>
      <w:spacing w:after="360"/>
      <w:jc w:val="center"/>
    </w:pPr>
    <w:rPr>
      <w:sz w:val="26"/>
      <w:szCs w:val="36"/>
      <w:lang w:bidi="ar-SY"/>
    </w:rPr>
  </w:style>
  <w:style w:type="paragraph" w:customStyle="1" w:styleId="Articletitle">
    <w:name w:val="Article title"/>
    <w:basedOn w:val="ArticleNo"/>
    <w:qFormat/>
    <w:rsid w:val="00DA1CF0"/>
    <w:rPr>
      <w:b/>
      <w:bCs/>
      <w:sz w:val="28"/>
      <w:szCs w:val="40"/>
    </w:rPr>
  </w:style>
  <w:style w:type="paragraph" w:customStyle="1" w:styleId="Call">
    <w:name w:val="Call"/>
    <w:basedOn w:val="Normal"/>
    <w:qFormat/>
    <w:rsid w:val="00DA1CF0"/>
    <w:pPr>
      <w:keepNext/>
      <w:spacing w:before="160"/>
      <w:ind w:left="1588" w:hanging="794"/>
    </w:pPr>
    <w:rPr>
      <w:i/>
      <w:iCs/>
    </w:rPr>
  </w:style>
  <w:style w:type="paragraph" w:customStyle="1" w:styleId="ChapterNo">
    <w:name w:val="Chapter No"/>
    <w:basedOn w:val="Normal"/>
    <w:qFormat/>
    <w:rsid w:val="00DA1CF0"/>
    <w:pPr>
      <w:keepNext/>
      <w:keepLines/>
      <w:spacing w:before="600" w:after="120"/>
      <w:jc w:val="center"/>
    </w:pPr>
    <w:rPr>
      <w:sz w:val="28"/>
      <w:szCs w:val="40"/>
      <w:lang w:bidi="ar-SY"/>
    </w:rPr>
  </w:style>
  <w:style w:type="paragraph" w:customStyle="1" w:styleId="Chaptertitle">
    <w:name w:val="Chapter title"/>
    <w:basedOn w:val="ChapterNo"/>
    <w:qFormat/>
    <w:rsid w:val="00DA1CF0"/>
    <w:pPr>
      <w:spacing w:before="120" w:after="600"/>
    </w:pPr>
    <w:rPr>
      <w:b/>
      <w:bCs/>
      <w:sz w:val="32"/>
      <w:szCs w:val="44"/>
    </w:rPr>
  </w:style>
  <w:style w:type="paragraph" w:styleId="Date">
    <w:name w:val="Date"/>
    <w:basedOn w:val="Normal"/>
    <w:next w:val="Normal"/>
    <w:link w:val="DateChar"/>
    <w:uiPriority w:val="99"/>
    <w:unhideWhenUsed/>
    <w:rsid w:val="00DA1CF0"/>
    <w:pPr>
      <w:keepNext/>
      <w:spacing w:after="120"/>
      <w:jc w:val="right"/>
    </w:pPr>
  </w:style>
  <w:style w:type="character" w:customStyle="1" w:styleId="DateChar">
    <w:name w:val="Date Char"/>
    <w:basedOn w:val="DefaultParagraphFont"/>
    <w:link w:val="Date"/>
    <w:uiPriority w:val="99"/>
    <w:rsid w:val="00DA1CF0"/>
    <w:rPr>
      <w:rFonts w:ascii="Calibri" w:hAnsi="Calibri" w:cs="Traditional Arabic"/>
      <w:szCs w:val="30"/>
    </w:rPr>
  </w:style>
  <w:style w:type="paragraph" w:customStyle="1" w:styleId="DecNo">
    <w:name w:val="Dec_No"/>
    <w:basedOn w:val="Normal"/>
    <w:qFormat/>
    <w:rsid w:val="00CE3349"/>
    <w:pPr>
      <w:keepNext/>
      <w:keepLines/>
      <w:spacing w:before="360"/>
      <w:jc w:val="center"/>
    </w:pPr>
    <w:rPr>
      <w:sz w:val="26"/>
      <w:szCs w:val="36"/>
    </w:rPr>
  </w:style>
  <w:style w:type="paragraph" w:customStyle="1" w:styleId="Dectitle">
    <w:name w:val="Dec_title"/>
    <w:basedOn w:val="DecNo"/>
    <w:qFormat/>
    <w:rsid w:val="00DA1CF0"/>
    <w:pPr>
      <w:spacing w:before="120" w:after="360"/>
    </w:pPr>
    <w:rPr>
      <w:b/>
      <w:bCs/>
      <w:sz w:val="28"/>
      <w:szCs w:val="40"/>
    </w:rPr>
  </w:style>
  <w:style w:type="paragraph" w:customStyle="1" w:styleId="enumlev1">
    <w:name w:val="enumlev 1"/>
    <w:basedOn w:val="Normal"/>
    <w:qFormat/>
    <w:rsid w:val="00FE5872"/>
    <w:pPr>
      <w:spacing w:before="80"/>
      <w:ind w:left="1134" w:hanging="1134"/>
      <w:outlineLvl w:val="0"/>
    </w:pPr>
    <w:rPr>
      <w:lang w:bidi="ar-SY"/>
    </w:rPr>
  </w:style>
  <w:style w:type="paragraph" w:customStyle="1" w:styleId="enumlev2">
    <w:name w:val="enumlev 2"/>
    <w:basedOn w:val="Normal"/>
    <w:next w:val="enumlev1"/>
    <w:qFormat/>
    <w:rsid w:val="00FE5872"/>
    <w:pPr>
      <w:spacing w:before="80"/>
      <w:ind w:left="2268" w:hanging="1134"/>
      <w:outlineLvl w:val="1"/>
    </w:pPr>
  </w:style>
  <w:style w:type="paragraph" w:customStyle="1" w:styleId="enumlev3">
    <w:name w:val="enumlev 3"/>
    <w:basedOn w:val="Normal"/>
    <w:qFormat/>
    <w:rsid w:val="00FE5872"/>
    <w:pPr>
      <w:spacing w:before="80"/>
      <w:ind w:left="3119" w:hanging="1134"/>
      <w:outlineLvl w:val="2"/>
    </w:pPr>
    <w:rPr>
      <w:lang w:bidi="ar-SY"/>
    </w:rPr>
  </w:style>
  <w:style w:type="paragraph" w:customStyle="1" w:styleId="Figurelegend">
    <w:name w:val="Figure legend"/>
    <w:basedOn w:val="Normal"/>
    <w:qFormat/>
    <w:rsid w:val="002E6541"/>
    <w:pPr>
      <w:spacing w:before="60"/>
    </w:pPr>
    <w:rPr>
      <w:lang w:bidi="ar-SY"/>
    </w:rPr>
  </w:style>
  <w:style w:type="paragraph" w:styleId="FootnoteText">
    <w:name w:val="footnote text"/>
    <w:basedOn w:val="Normal"/>
    <w:link w:val="FootnoteTextChar"/>
    <w:uiPriority w:val="99"/>
    <w:semiHidden/>
    <w:unhideWhenUsed/>
    <w:qFormat/>
    <w:rsid w:val="002E6541"/>
    <w:pPr>
      <w:spacing w:before="60" w:line="168" w:lineRule="auto"/>
    </w:pPr>
    <w:rPr>
      <w:sz w:val="20"/>
      <w:szCs w:val="26"/>
    </w:rPr>
  </w:style>
  <w:style w:type="character" w:styleId="FootnoteReference">
    <w:name w:val="footnote reference"/>
    <w:basedOn w:val="DefaultParagraphFont"/>
    <w:uiPriority w:val="99"/>
    <w:unhideWhenUsed/>
    <w:qFormat/>
    <w:rsid w:val="00B64B47"/>
    <w:rPr>
      <w:rFonts w:ascii="Calibri" w:hAnsi="Calibri" w:cs="Calibri"/>
      <w:b w:val="0"/>
      <w:bCs w:val="0"/>
      <w:i w:val="0"/>
      <w:iCs w:val="0"/>
      <w:caps w:val="0"/>
      <w:smallCaps w:val="0"/>
      <w:strike w:val="0"/>
      <w:dstrike w:val="0"/>
      <w:vanish w:val="0"/>
      <w:spacing w:val="0"/>
      <w:w w:val="100"/>
      <w:position w:val="6"/>
      <w:sz w:val="18"/>
      <w:szCs w:val="18"/>
      <w:vertAlign w:val="baseline"/>
    </w:rPr>
  </w:style>
  <w:style w:type="character" w:customStyle="1" w:styleId="FootnoteTextChar">
    <w:name w:val="Footnote Text Char"/>
    <w:basedOn w:val="DefaultParagraphFont"/>
    <w:link w:val="FootnoteText"/>
    <w:uiPriority w:val="99"/>
    <w:semiHidden/>
    <w:rsid w:val="002E6541"/>
    <w:rPr>
      <w:rFonts w:ascii="Calibri" w:hAnsi="Calibri" w:cs="Traditional Arabic"/>
      <w:sz w:val="20"/>
      <w:szCs w:val="26"/>
    </w:rPr>
  </w:style>
  <w:style w:type="paragraph" w:customStyle="1" w:styleId="Normalaftertitle">
    <w:name w:val="Normal after title"/>
    <w:basedOn w:val="Normal"/>
    <w:link w:val="NormalaftertitleChar"/>
    <w:qFormat/>
    <w:rsid w:val="00FE5872"/>
    <w:pPr>
      <w:keepNext/>
      <w:spacing w:before="360"/>
    </w:pPr>
    <w:rPr>
      <w:lang w:bidi="ar-SY"/>
    </w:rPr>
  </w:style>
  <w:style w:type="paragraph" w:customStyle="1" w:styleId="Note">
    <w:name w:val="Note"/>
    <w:basedOn w:val="Normal"/>
    <w:qFormat/>
    <w:rsid w:val="008513CB"/>
    <w:pPr>
      <w:spacing w:before="80"/>
    </w:pPr>
  </w:style>
  <w:style w:type="paragraph" w:customStyle="1" w:styleId="Proposal">
    <w:name w:val="Proposal"/>
    <w:basedOn w:val="Note"/>
    <w:qFormat/>
    <w:rsid w:val="008513CB"/>
    <w:pPr>
      <w:keepNext/>
      <w:spacing w:before="240"/>
    </w:pPr>
    <w:rPr>
      <w:b/>
      <w:bCs/>
    </w:rPr>
  </w:style>
  <w:style w:type="paragraph" w:customStyle="1" w:styleId="Reasons">
    <w:name w:val="Reasons"/>
    <w:basedOn w:val="Normal"/>
    <w:qFormat/>
    <w:rsid w:val="004317D8"/>
  </w:style>
  <w:style w:type="paragraph" w:customStyle="1" w:styleId="RecNo">
    <w:name w:val="Rec_No"/>
    <w:basedOn w:val="Normal"/>
    <w:qFormat/>
    <w:rsid w:val="002B028D"/>
    <w:pPr>
      <w:keepNext/>
      <w:keepLines/>
      <w:spacing w:before="360" w:after="120"/>
      <w:jc w:val="center"/>
    </w:pPr>
    <w:rPr>
      <w:sz w:val="26"/>
      <w:szCs w:val="36"/>
    </w:rPr>
  </w:style>
  <w:style w:type="paragraph" w:customStyle="1" w:styleId="Rectitle">
    <w:name w:val="Rec_title"/>
    <w:basedOn w:val="Normal"/>
    <w:qFormat/>
    <w:rsid w:val="002B028D"/>
    <w:pPr>
      <w:keepNext/>
      <w:keepLines/>
      <w:spacing w:after="360"/>
      <w:jc w:val="center"/>
    </w:pPr>
    <w:rPr>
      <w:b/>
      <w:bCs/>
      <w:sz w:val="28"/>
      <w:szCs w:val="40"/>
    </w:rPr>
  </w:style>
  <w:style w:type="paragraph" w:customStyle="1" w:styleId="Referencetexte">
    <w:name w:val="Reference texte"/>
    <w:basedOn w:val="Normal"/>
    <w:qFormat/>
    <w:rsid w:val="002B028D"/>
  </w:style>
  <w:style w:type="paragraph" w:customStyle="1" w:styleId="PartNo">
    <w:name w:val="Part No"/>
    <w:basedOn w:val="Normal"/>
    <w:qFormat/>
    <w:rsid w:val="00CF3FFD"/>
    <w:pPr>
      <w:keepNext/>
      <w:keepLines/>
      <w:spacing w:before="360" w:after="120"/>
      <w:jc w:val="center"/>
    </w:pPr>
    <w:rPr>
      <w:sz w:val="26"/>
      <w:szCs w:val="36"/>
    </w:rPr>
  </w:style>
  <w:style w:type="paragraph" w:customStyle="1" w:styleId="Parttitle">
    <w:name w:val="Part title"/>
    <w:basedOn w:val="PartNo"/>
    <w:qFormat/>
    <w:rsid w:val="00CF3FFD"/>
    <w:pPr>
      <w:spacing w:before="120" w:after="360"/>
    </w:pPr>
    <w:rPr>
      <w:b/>
      <w:bCs/>
      <w:sz w:val="28"/>
      <w:szCs w:val="40"/>
    </w:rPr>
  </w:style>
  <w:style w:type="paragraph" w:customStyle="1" w:styleId="Reftitle">
    <w:name w:val="Ref_title"/>
    <w:basedOn w:val="Normal"/>
    <w:qFormat/>
    <w:rsid w:val="00CF3FFD"/>
    <w:pPr>
      <w:keepNext/>
      <w:keepLines/>
      <w:spacing w:before="480" w:after="240"/>
      <w:jc w:val="center"/>
    </w:pPr>
    <w:rPr>
      <w:b/>
      <w:bCs/>
      <w:sz w:val="28"/>
      <w:szCs w:val="40"/>
    </w:rPr>
  </w:style>
  <w:style w:type="paragraph" w:customStyle="1" w:styleId="Section1">
    <w:name w:val="Section 1"/>
    <w:basedOn w:val="Normal"/>
    <w:qFormat/>
    <w:rsid w:val="00CF3FFD"/>
    <w:pPr>
      <w:keepNext/>
      <w:spacing w:before="360" w:after="240"/>
      <w:jc w:val="center"/>
    </w:pPr>
    <w:rPr>
      <w:b/>
      <w:bCs/>
      <w:sz w:val="26"/>
      <w:szCs w:val="36"/>
      <w:lang w:bidi="ar-SY"/>
    </w:rPr>
  </w:style>
  <w:style w:type="paragraph" w:customStyle="1" w:styleId="Section2">
    <w:name w:val="Section 2"/>
    <w:basedOn w:val="Section1"/>
    <w:qFormat/>
    <w:rsid w:val="00CF3FFD"/>
    <w:pPr>
      <w:spacing w:before="240"/>
    </w:pPr>
    <w:rPr>
      <w:b w:val="0"/>
      <w:bCs w:val="0"/>
    </w:rPr>
  </w:style>
  <w:style w:type="paragraph" w:customStyle="1" w:styleId="SectionNo">
    <w:name w:val="Section No"/>
    <w:basedOn w:val="Normal"/>
    <w:qFormat/>
    <w:rsid w:val="00CF3FFD"/>
    <w:pPr>
      <w:keepNext/>
      <w:keepLines/>
      <w:spacing w:before="360" w:after="120"/>
      <w:jc w:val="center"/>
    </w:pPr>
    <w:rPr>
      <w:sz w:val="26"/>
      <w:szCs w:val="36"/>
    </w:rPr>
  </w:style>
  <w:style w:type="paragraph" w:customStyle="1" w:styleId="Sectiontitle">
    <w:name w:val="Section title"/>
    <w:basedOn w:val="Normal"/>
    <w:qFormat/>
    <w:rsid w:val="00CF3FFD"/>
    <w:pPr>
      <w:keepNext/>
      <w:keepLines/>
      <w:spacing w:after="360"/>
      <w:jc w:val="center"/>
    </w:pPr>
    <w:rPr>
      <w:b/>
      <w:bCs/>
      <w:sz w:val="28"/>
      <w:szCs w:val="40"/>
      <w:lang w:bidi="ar-SY"/>
    </w:rPr>
  </w:style>
  <w:style w:type="paragraph" w:customStyle="1" w:styleId="Source">
    <w:name w:val="Source"/>
    <w:basedOn w:val="Normal"/>
    <w:qFormat/>
    <w:rsid w:val="00722F0D"/>
    <w:pPr>
      <w:keepNext/>
      <w:keepLines/>
      <w:spacing w:before="720"/>
      <w:jc w:val="center"/>
    </w:pPr>
    <w:rPr>
      <w:b/>
      <w:bCs/>
      <w:sz w:val="32"/>
      <w:szCs w:val="44"/>
    </w:rPr>
  </w:style>
  <w:style w:type="paragraph" w:customStyle="1" w:styleId="FigureNo">
    <w:name w:val="Figure No"/>
    <w:basedOn w:val="Normal"/>
    <w:qFormat/>
    <w:rsid w:val="002978F4"/>
    <w:pPr>
      <w:keepNext/>
      <w:spacing w:before="240" w:after="120"/>
      <w:jc w:val="center"/>
    </w:pPr>
    <w:rPr>
      <w:lang w:bidi="ar-SY"/>
    </w:rPr>
  </w:style>
  <w:style w:type="paragraph" w:customStyle="1" w:styleId="Figuretitle">
    <w:name w:val="Figure title"/>
    <w:basedOn w:val="Normal"/>
    <w:qFormat/>
    <w:rsid w:val="002978F4"/>
    <w:pPr>
      <w:keepNext/>
      <w:spacing w:after="240"/>
      <w:jc w:val="center"/>
    </w:pPr>
    <w:rPr>
      <w:b/>
      <w:bCs/>
    </w:rPr>
  </w:style>
  <w:style w:type="paragraph" w:customStyle="1" w:styleId="TableNo">
    <w:name w:val="Table No"/>
    <w:basedOn w:val="Normal"/>
    <w:qFormat/>
    <w:rsid w:val="002978F4"/>
    <w:pPr>
      <w:keepNext/>
      <w:spacing w:before="240" w:after="120"/>
      <w:jc w:val="center"/>
    </w:pPr>
    <w:rPr>
      <w:lang w:bidi="ar-SY"/>
    </w:rPr>
  </w:style>
  <w:style w:type="paragraph" w:customStyle="1" w:styleId="Tabletitle">
    <w:name w:val="Table title"/>
    <w:basedOn w:val="TableNo"/>
    <w:qFormat/>
    <w:rsid w:val="002978F4"/>
    <w:pPr>
      <w:spacing w:before="120" w:after="240"/>
    </w:pPr>
    <w:rPr>
      <w:b/>
      <w:bCs/>
    </w:rPr>
  </w:style>
  <w:style w:type="paragraph" w:customStyle="1" w:styleId="TableHead">
    <w:name w:val="Table Head"/>
    <w:basedOn w:val="Normal"/>
    <w:qFormat/>
    <w:rsid w:val="00A6683B"/>
    <w:pPr>
      <w:keepNext/>
      <w:spacing w:before="60" w:after="60" w:line="260" w:lineRule="exact"/>
      <w:jc w:val="center"/>
    </w:pPr>
    <w:rPr>
      <w:b/>
      <w:bCs/>
      <w:sz w:val="20"/>
      <w:szCs w:val="26"/>
    </w:rPr>
  </w:style>
  <w:style w:type="paragraph" w:customStyle="1" w:styleId="Tabletexte">
    <w:name w:val="Table texte"/>
    <w:basedOn w:val="Normal"/>
    <w:qFormat/>
    <w:rsid w:val="00A6683B"/>
    <w:pPr>
      <w:spacing w:before="60" w:after="60" w:line="260" w:lineRule="exact"/>
    </w:pPr>
    <w:rPr>
      <w:sz w:val="20"/>
      <w:szCs w:val="26"/>
      <w:lang w:bidi="ar-SY"/>
    </w:rPr>
  </w:style>
  <w:style w:type="paragraph" w:customStyle="1" w:styleId="Title1">
    <w:name w:val="Title 1"/>
    <w:basedOn w:val="Normal"/>
    <w:qFormat/>
    <w:rsid w:val="00810B7B"/>
    <w:pPr>
      <w:keepNext/>
      <w:spacing w:before="240"/>
      <w:jc w:val="center"/>
    </w:pPr>
    <w:rPr>
      <w:w w:val="120"/>
      <w:sz w:val="28"/>
      <w:szCs w:val="40"/>
    </w:rPr>
  </w:style>
  <w:style w:type="paragraph" w:customStyle="1" w:styleId="Title2">
    <w:name w:val="Title 2"/>
    <w:basedOn w:val="Normal"/>
    <w:qFormat/>
    <w:rsid w:val="00383829"/>
    <w:pPr>
      <w:keepNext/>
      <w:framePr w:hSpace="180" w:wrap="around" w:hAnchor="text" w:y="-612"/>
      <w:spacing w:before="240"/>
      <w:jc w:val="center"/>
    </w:pPr>
    <w:rPr>
      <w:w w:val="120"/>
      <w:sz w:val="26"/>
      <w:szCs w:val="36"/>
    </w:rPr>
  </w:style>
  <w:style w:type="paragraph" w:customStyle="1" w:styleId="Title3">
    <w:name w:val="Title 3"/>
    <w:basedOn w:val="Normal"/>
    <w:qFormat/>
    <w:rsid w:val="002978F4"/>
    <w:pPr>
      <w:keepNext/>
      <w:spacing w:before="360" w:after="240"/>
      <w:jc w:val="center"/>
    </w:pPr>
    <w:rPr>
      <w:sz w:val="26"/>
      <w:szCs w:val="36"/>
    </w:rPr>
  </w:style>
  <w:style w:type="paragraph" w:styleId="TOC1">
    <w:name w:val="toc 1"/>
    <w:basedOn w:val="Normal"/>
    <w:next w:val="Normal"/>
    <w:autoRedefine/>
    <w:uiPriority w:val="39"/>
    <w:unhideWhenUsed/>
    <w:rsid w:val="0023283D"/>
    <w:pPr>
      <w:ind w:left="720" w:hanging="720"/>
    </w:pPr>
  </w:style>
  <w:style w:type="paragraph" w:styleId="TOC2">
    <w:name w:val="toc 2"/>
    <w:basedOn w:val="Normal"/>
    <w:next w:val="Normal"/>
    <w:autoRedefine/>
    <w:uiPriority w:val="39"/>
    <w:unhideWhenUsed/>
    <w:rsid w:val="002978F4"/>
    <w:pPr>
      <w:ind w:left="1514" w:hanging="720"/>
    </w:pPr>
  </w:style>
  <w:style w:type="paragraph" w:styleId="TOC3">
    <w:name w:val="toc 3"/>
    <w:basedOn w:val="Normal"/>
    <w:next w:val="Normal"/>
    <w:autoRedefine/>
    <w:uiPriority w:val="39"/>
    <w:unhideWhenUsed/>
    <w:rsid w:val="002978F4"/>
    <w:pPr>
      <w:ind w:left="2308" w:hanging="720"/>
    </w:pPr>
  </w:style>
  <w:style w:type="paragraph" w:styleId="TOC4">
    <w:name w:val="toc 4"/>
    <w:basedOn w:val="Normal"/>
    <w:next w:val="Normal"/>
    <w:autoRedefine/>
    <w:uiPriority w:val="39"/>
    <w:unhideWhenUsed/>
    <w:rsid w:val="0023283D"/>
    <w:pPr>
      <w:ind w:left="3045" w:hanging="720"/>
    </w:pPr>
  </w:style>
  <w:style w:type="paragraph" w:styleId="TOC5">
    <w:name w:val="toc 5"/>
    <w:basedOn w:val="Normal"/>
    <w:next w:val="Normal"/>
    <w:autoRedefine/>
    <w:uiPriority w:val="39"/>
    <w:unhideWhenUsed/>
    <w:rsid w:val="0023283D"/>
    <w:pPr>
      <w:ind w:left="3782" w:hanging="720"/>
    </w:pPr>
  </w:style>
  <w:style w:type="paragraph" w:styleId="TOC6">
    <w:name w:val="toc 6"/>
    <w:basedOn w:val="Normal"/>
    <w:next w:val="Normal"/>
    <w:autoRedefine/>
    <w:uiPriority w:val="39"/>
    <w:unhideWhenUsed/>
    <w:rsid w:val="0023283D"/>
    <w:pPr>
      <w:ind w:left="4519" w:hanging="720"/>
    </w:pPr>
  </w:style>
  <w:style w:type="paragraph" w:styleId="TOC7">
    <w:name w:val="toc 7"/>
    <w:basedOn w:val="Normal"/>
    <w:next w:val="Normal"/>
    <w:autoRedefine/>
    <w:uiPriority w:val="39"/>
    <w:unhideWhenUsed/>
    <w:rsid w:val="0023283D"/>
    <w:pPr>
      <w:ind w:left="5256" w:hanging="720"/>
    </w:pPr>
  </w:style>
  <w:style w:type="paragraph" w:styleId="TOC8">
    <w:name w:val="toc 8"/>
    <w:basedOn w:val="Normal"/>
    <w:next w:val="Normal"/>
    <w:autoRedefine/>
    <w:uiPriority w:val="39"/>
    <w:unhideWhenUsed/>
    <w:rsid w:val="0023283D"/>
    <w:pPr>
      <w:ind w:left="6050" w:hanging="720"/>
    </w:pPr>
    <w:rPr>
      <w:lang w:bidi="ar-SY"/>
    </w:rPr>
  </w:style>
  <w:style w:type="paragraph" w:styleId="TOC9">
    <w:name w:val="toc 9"/>
    <w:basedOn w:val="Normal"/>
    <w:next w:val="Normal"/>
    <w:autoRedefine/>
    <w:uiPriority w:val="39"/>
    <w:unhideWhenUsed/>
    <w:rsid w:val="0023283D"/>
    <w:pPr>
      <w:ind w:left="6787" w:hanging="720"/>
    </w:pPr>
  </w:style>
  <w:style w:type="paragraph" w:customStyle="1" w:styleId="VolumeNo">
    <w:name w:val="Volume No"/>
    <w:basedOn w:val="Normal"/>
    <w:qFormat/>
    <w:rsid w:val="0023283D"/>
    <w:pPr>
      <w:keepNext/>
      <w:spacing w:before="360" w:after="120"/>
      <w:jc w:val="center"/>
    </w:pPr>
    <w:rPr>
      <w:sz w:val="26"/>
      <w:szCs w:val="36"/>
      <w:lang w:bidi="ar-SY"/>
    </w:rPr>
  </w:style>
  <w:style w:type="paragraph" w:customStyle="1" w:styleId="Volumetitle">
    <w:name w:val="Volume title"/>
    <w:basedOn w:val="VolumeNo"/>
    <w:qFormat/>
    <w:rsid w:val="0023283D"/>
    <w:pPr>
      <w:spacing w:before="120" w:after="360"/>
    </w:pPr>
    <w:rPr>
      <w:sz w:val="28"/>
      <w:szCs w:val="40"/>
    </w:rPr>
  </w:style>
  <w:style w:type="paragraph" w:styleId="Title">
    <w:name w:val="Title"/>
    <w:aliases w:val="Title right"/>
    <w:basedOn w:val="Normal"/>
    <w:next w:val="Normal"/>
    <w:link w:val="TitleChar"/>
    <w:uiPriority w:val="10"/>
    <w:rsid w:val="007C3BC7"/>
    <w:pPr>
      <w:keepNext/>
      <w:spacing w:before="360" w:after="120"/>
    </w:pPr>
    <w:rPr>
      <w:rFonts w:eastAsiaTheme="majorEastAsia"/>
      <w:b/>
      <w:bCs/>
      <w:color w:val="FF0000"/>
      <w:kern w:val="28"/>
      <w:sz w:val="28"/>
      <w:szCs w:val="40"/>
    </w:rPr>
  </w:style>
  <w:style w:type="character" w:customStyle="1" w:styleId="TitleChar">
    <w:name w:val="Title Char"/>
    <w:aliases w:val="Title right Char"/>
    <w:basedOn w:val="DefaultParagraphFont"/>
    <w:link w:val="Title"/>
    <w:uiPriority w:val="10"/>
    <w:rsid w:val="007C3BC7"/>
    <w:rPr>
      <w:rFonts w:ascii="Calibri" w:eastAsiaTheme="majorEastAsia" w:hAnsi="Calibri" w:cs="Traditional Arabic"/>
      <w:b/>
      <w:bCs/>
      <w:color w:val="FF0000"/>
      <w:kern w:val="28"/>
      <w:sz w:val="28"/>
      <w:szCs w:val="40"/>
    </w:rPr>
  </w:style>
  <w:style w:type="paragraph" w:customStyle="1" w:styleId="ResNo">
    <w:name w:val="Res_No"/>
    <w:basedOn w:val="Normal"/>
    <w:qFormat/>
    <w:rsid w:val="00CE3349"/>
    <w:pPr>
      <w:keepNext/>
      <w:keepLines/>
      <w:spacing w:before="360"/>
      <w:jc w:val="center"/>
    </w:pPr>
    <w:rPr>
      <w:sz w:val="26"/>
      <w:szCs w:val="36"/>
    </w:rPr>
  </w:style>
  <w:style w:type="paragraph" w:customStyle="1" w:styleId="Restitle">
    <w:name w:val="Res_title"/>
    <w:basedOn w:val="Normal"/>
    <w:qFormat/>
    <w:rsid w:val="00CE3349"/>
    <w:pPr>
      <w:keepNext/>
      <w:keepLines/>
      <w:spacing w:before="240"/>
      <w:jc w:val="center"/>
    </w:pPr>
    <w:rPr>
      <w:b/>
      <w:bCs/>
      <w:sz w:val="28"/>
      <w:szCs w:val="40"/>
      <w:lang w:bidi="ar-SY"/>
    </w:rPr>
  </w:style>
  <w:style w:type="paragraph" w:customStyle="1" w:styleId="OpinionNo">
    <w:name w:val="Opinion No"/>
    <w:basedOn w:val="Normal"/>
    <w:qFormat/>
    <w:rsid w:val="0042686F"/>
    <w:pPr>
      <w:keepNext/>
      <w:keepLines/>
      <w:spacing w:before="360" w:after="120"/>
      <w:jc w:val="center"/>
    </w:pPr>
    <w:rPr>
      <w:sz w:val="26"/>
      <w:szCs w:val="36"/>
    </w:rPr>
  </w:style>
  <w:style w:type="paragraph" w:customStyle="1" w:styleId="Opiniontitle">
    <w:name w:val="Opinion title"/>
    <w:basedOn w:val="Normal"/>
    <w:qFormat/>
    <w:rsid w:val="0042686F"/>
    <w:pPr>
      <w:keepNext/>
      <w:keepLines/>
      <w:spacing w:after="360"/>
      <w:jc w:val="center"/>
    </w:pPr>
    <w:rPr>
      <w:b/>
      <w:bCs/>
      <w:sz w:val="28"/>
      <w:szCs w:val="40"/>
    </w:rPr>
  </w:style>
  <w:style w:type="paragraph" w:styleId="Signature">
    <w:name w:val="Signature"/>
    <w:basedOn w:val="Normal"/>
    <w:link w:val="SignatureChar"/>
    <w:uiPriority w:val="99"/>
    <w:semiHidden/>
    <w:unhideWhenUsed/>
    <w:qFormat/>
    <w:rsid w:val="008235CD"/>
    <w:pPr>
      <w:spacing w:before="1440"/>
      <w:jc w:val="left"/>
    </w:pPr>
  </w:style>
  <w:style w:type="character" w:customStyle="1" w:styleId="SignatureChar">
    <w:name w:val="Signature Char"/>
    <w:basedOn w:val="DefaultParagraphFont"/>
    <w:link w:val="Signature"/>
    <w:uiPriority w:val="99"/>
    <w:semiHidden/>
    <w:rsid w:val="008235CD"/>
    <w:rPr>
      <w:rFonts w:ascii="Calibri" w:hAnsi="Calibri" w:cs="Traditional Arabic"/>
      <w:szCs w:val="30"/>
    </w:rPr>
  </w:style>
  <w:style w:type="table" w:styleId="TableGrid">
    <w:name w:val="Table Grid"/>
    <w:basedOn w:val="TableNormal"/>
    <w:uiPriority w:val="39"/>
    <w:rsid w:val="00290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C3242"/>
    <w:pPr>
      <w:tabs>
        <w:tab w:val="center" w:pos="4680"/>
        <w:tab w:val="right" w:pos="9360"/>
      </w:tabs>
      <w:spacing w:before="0" w:line="240" w:lineRule="auto"/>
    </w:pPr>
  </w:style>
  <w:style w:type="character" w:customStyle="1" w:styleId="HeaderChar">
    <w:name w:val="Header Char"/>
    <w:basedOn w:val="DefaultParagraphFont"/>
    <w:link w:val="Header"/>
    <w:uiPriority w:val="99"/>
    <w:rsid w:val="006C3242"/>
    <w:rPr>
      <w:rFonts w:ascii="Calibri" w:hAnsi="Calibri" w:cs="Traditional Arabic"/>
      <w:szCs w:val="30"/>
    </w:rPr>
  </w:style>
  <w:style w:type="character" w:styleId="Hyperlink">
    <w:name w:val="Hyperlink"/>
    <w:basedOn w:val="DefaultParagraphFont"/>
    <w:uiPriority w:val="99"/>
    <w:unhideWhenUsed/>
    <w:rsid w:val="00271C43"/>
    <w:rPr>
      <w:color w:val="0000FF"/>
      <w:u w:val="single"/>
    </w:rPr>
  </w:style>
  <w:style w:type="character" w:styleId="BookTitle">
    <w:name w:val="Book Title"/>
    <w:basedOn w:val="DefaultParagraphFont"/>
    <w:uiPriority w:val="33"/>
    <w:rsid w:val="007C3BC7"/>
    <w:rPr>
      <w:b/>
      <w:bCs/>
      <w:i/>
      <w:iCs/>
      <w:color w:val="FF0000"/>
      <w:spacing w:val="5"/>
    </w:rPr>
  </w:style>
  <w:style w:type="character" w:styleId="Emphasis">
    <w:name w:val="Emphasis"/>
    <w:basedOn w:val="DefaultParagraphFont"/>
    <w:uiPriority w:val="20"/>
    <w:rsid w:val="007C3BC7"/>
    <w:rPr>
      <w:i/>
      <w:iCs/>
      <w:color w:val="FF0000"/>
    </w:rPr>
  </w:style>
  <w:style w:type="paragraph" w:customStyle="1" w:styleId="Footnotetexte">
    <w:name w:val="Footnote texte"/>
    <w:basedOn w:val="Normal"/>
    <w:qFormat/>
    <w:rsid w:val="007C3BC7"/>
    <w:pPr>
      <w:tabs>
        <w:tab w:val="left" w:pos="397"/>
        <w:tab w:val="left" w:pos="567"/>
      </w:tabs>
      <w:spacing w:before="60" w:line="168" w:lineRule="auto"/>
    </w:pPr>
    <w:rPr>
      <w:sz w:val="20"/>
      <w:szCs w:val="26"/>
    </w:rPr>
  </w:style>
  <w:style w:type="character" w:styleId="IntenseEmphasis">
    <w:name w:val="Intense Emphasis"/>
    <w:basedOn w:val="DefaultParagraphFont"/>
    <w:uiPriority w:val="21"/>
    <w:rsid w:val="007C3BC7"/>
    <w:rPr>
      <w:i/>
      <w:iCs/>
      <w:color w:val="FF0000"/>
    </w:rPr>
  </w:style>
  <w:style w:type="paragraph" w:styleId="IntenseQuote">
    <w:name w:val="Intense Quote"/>
    <w:basedOn w:val="Normal"/>
    <w:next w:val="Normal"/>
    <w:link w:val="IntenseQuoteChar"/>
    <w:uiPriority w:val="30"/>
    <w:rsid w:val="007C3BC7"/>
    <w:pPr>
      <w:pBdr>
        <w:top w:val="single" w:sz="4" w:space="10" w:color="5B9BD5" w:themeColor="accent1"/>
        <w:bottom w:val="single" w:sz="4" w:space="10" w:color="5B9BD5" w:themeColor="accent1"/>
      </w:pBdr>
      <w:spacing w:before="360" w:after="360"/>
      <w:ind w:left="864" w:right="864"/>
      <w:jc w:val="center"/>
    </w:pPr>
    <w:rPr>
      <w:i/>
      <w:iCs/>
      <w:color w:val="FF0000"/>
    </w:rPr>
  </w:style>
  <w:style w:type="character" w:customStyle="1" w:styleId="IntenseQuoteChar">
    <w:name w:val="Intense Quote Char"/>
    <w:basedOn w:val="DefaultParagraphFont"/>
    <w:link w:val="IntenseQuote"/>
    <w:uiPriority w:val="30"/>
    <w:rsid w:val="007C3BC7"/>
    <w:rPr>
      <w:rFonts w:ascii="Calibri" w:hAnsi="Calibri" w:cs="Traditional Arabic"/>
      <w:i/>
      <w:iCs/>
      <w:color w:val="FF0000"/>
      <w:szCs w:val="30"/>
    </w:rPr>
  </w:style>
  <w:style w:type="character" w:styleId="IntenseReference">
    <w:name w:val="Intense Reference"/>
    <w:basedOn w:val="DefaultParagraphFont"/>
    <w:uiPriority w:val="32"/>
    <w:rsid w:val="007C3BC7"/>
    <w:rPr>
      <w:b/>
      <w:bCs/>
      <w:smallCaps/>
      <w:color w:val="FF0000"/>
      <w:spacing w:val="5"/>
    </w:rPr>
  </w:style>
  <w:style w:type="paragraph" w:styleId="ListParagraph">
    <w:name w:val="List Paragraph"/>
    <w:basedOn w:val="Normal"/>
    <w:uiPriority w:val="34"/>
    <w:rsid w:val="007C3BC7"/>
    <w:pPr>
      <w:spacing w:before="80"/>
      <w:ind w:left="720"/>
      <w:contextualSpacing/>
    </w:pPr>
  </w:style>
  <w:style w:type="paragraph" w:styleId="Quote">
    <w:name w:val="Quote"/>
    <w:basedOn w:val="Normal"/>
    <w:next w:val="Normal"/>
    <w:link w:val="QuoteChar"/>
    <w:uiPriority w:val="29"/>
    <w:rsid w:val="007C3BC7"/>
    <w:pPr>
      <w:spacing w:before="200" w:after="160"/>
      <w:ind w:left="864" w:right="864"/>
      <w:jc w:val="center"/>
    </w:pPr>
    <w:rPr>
      <w:i/>
      <w:iCs/>
      <w:color w:val="FF0000"/>
    </w:rPr>
  </w:style>
  <w:style w:type="character" w:customStyle="1" w:styleId="QuoteChar">
    <w:name w:val="Quote Char"/>
    <w:basedOn w:val="DefaultParagraphFont"/>
    <w:link w:val="Quote"/>
    <w:uiPriority w:val="29"/>
    <w:rsid w:val="007C3BC7"/>
    <w:rPr>
      <w:rFonts w:ascii="Calibri" w:hAnsi="Calibri" w:cs="Traditional Arabic"/>
      <w:i/>
      <w:iCs/>
      <w:color w:val="FF0000"/>
      <w:szCs w:val="30"/>
    </w:rPr>
  </w:style>
  <w:style w:type="character" w:styleId="Strong">
    <w:name w:val="Strong"/>
    <w:basedOn w:val="DefaultParagraphFont"/>
    <w:uiPriority w:val="22"/>
    <w:rsid w:val="007C3BC7"/>
    <w:rPr>
      <w:b/>
      <w:bCs/>
      <w:color w:val="FF0000"/>
    </w:rPr>
  </w:style>
  <w:style w:type="paragraph" w:styleId="Subtitle">
    <w:name w:val="Subtitle"/>
    <w:basedOn w:val="Normal"/>
    <w:next w:val="Normal"/>
    <w:link w:val="SubtitleChar"/>
    <w:uiPriority w:val="11"/>
    <w:rsid w:val="007C3BC7"/>
    <w:pPr>
      <w:numPr>
        <w:ilvl w:val="1"/>
      </w:numPr>
      <w:spacing w:after="160"/>
    </w:pPr>
    <w:rPr>
      <w:rFonts w:asciiTheme="minorHAnsi" w:hAnsiTheme="minorHAnsi" w:cstheme="minorBidi"/>
      <w:color w:val="FF0000"/>
      <w:spacing w:val="15"/>
      <w:szCs w:val="22"/>
    </w:rPr>
  </w:style>
  <w:style w:type="character" w:customStyle="1" w:styleId="SubtitleChar">
    <w:name w:val="Subtitle Char"/>
    <w:basedOn w:val="DefaultParagraphFont"/>
    <w:link w:val="Subtitle"/>
    <w:uiPriority w:val="11"/>
    <w:rsid w:val="007C3BC7"/>
    <w:rPr>
      <w:color w:val="FF0000"/>
      <w:spacing w:val="15"/>
    </w:rPr>
  </w:style>
  <w:style w:type="character" w:styleId="SubtleEmphasis">
    <w:name w:val="Subtle Emphasis"/>
    <w:basedOn w:val="DefaultParagraphFont"/>
    <w:uiPriority w:val="19"/>
    <w:rsid w:val="007C3BC7"/>
    <w:rPr>
      <w:i/>
      <w:iCs/>
      <w:color w:val="FF0000"/>
    </w:rPr>
  </w:style>
  <w:style w:type="character" w:styleId="SubtleReference">
    <w:name w:val="Subtle Reference"/>
    <w:basedOn w:val="DefaultParagraphFont"/>
    <w:uiPriority w:val="31"/>
    <w:rsid w:val="007C3BC7"/>
    <w:rPr>
      <w:smallCaps/>
      <w:color w:val="FF0000"/>
    </w:rPr>
  </w:style>
  <w:style w:type="paragraph" w:customStyle="1" w:styleId="Tablelegend">
    <w:name w:val="Table legend"/>
    <w:basedOn w:val="Normal"/>
    <w:qFormat/>
    <w:rsid w:val="007C3BC7"/>
    <w:pPr>
      <w:spacing w:before="80"/>
    </w:pPr>
    <w:rPr>
      <w:lang w:bidi="ar-SY"/>
    </w:rPr>
  </w:style>
  <w:style w:type="paragraph" w:customStyle="1" w:styleId="Headingb">
    <w:name w:val="Heading b"/>
    <w:basedOn w:val="Normal"/>
    <w:qFormat/>
    <w:rsid w:val="00FE5872"/>
    <w:pPr>
      <w:keepNext/>
      <w:spacing w:before="240"/>
      <w:ind w:left="1134" w:hanging="1134"/>
    </w:pPr>
    <w:rPr>
      <w:b/>
      <w:bCs/>
    </w:rPr>
  </w:style>
  <w:style w:type="character" w:customStyle="1" w:styleId="NormalaftertitleChar">
    <w:name w:val="Normal after title Char"/>
    <w:basedOn w:val="DefaultParagraphFont"/>
    <w:link w:val="Normalaftertitle"/>
    <w:rsid w:val="0055737C"/>
    <w:rPr>
      <w:rFonts w:ascii="Calibri" w:hAnsi="Calibri" w:cs="Traditional Arabic"/>
      <w:szCs w:val="30"/>
      <w:lang w:bidi="ar-SY"/>
    </w:rPr>
  </w:style>
  <w:style w:type="paragraph" w:customStyle="1" w:styleId="Tabletext">
    <w:name w:val="Table_text"/>
    <w:basedOn w:val="Normal"/>
    <w:link w:val="TabletextChar"/>
    <w:qFormat/>
    <w:rsid w:val="001957B8"/>
    <w:pPr>
      <w:tabs>
        <w:tab w:val="clear" w:pos="794"/>
        <w:tab w:val="left" w:pos="1134"/>
      </w:tabs>
      <w:spacing w:before="60" w:after="60" w:line="260" w:lineRule="exact"/>
      <w:jc w:val="center"/>
    </w:pPr>
    <w:rPr>
      <w:rFonts w:eastAsia="Times New Roman"/>
      <w:sz w:val="20"/>
      <w:szCs w:val="26"/>
      <w:lang w:val="fr-FR" w:eastAsia="en-US" w:bidi="ar-EG"/>
    </w:rPr>
  </w:style>
  <w:style w:type="character" w:customStyle="1" w:styleId="TabletextChar">
    <w:name w:val="Table_text Char"/>
    <w:basedOn w:val="DefaultParagraphFont"/>
    <w:link w:val="Tabletext"/>
    <w:locked/>
    <w:rsid w:val="001957B8"/>
    <w:rPr>
      <w:rFonts w:ascii="Calibri" w:eastAsia="Times New Roman" w:hAnsi="Calibri" w:cs="Traditional Arabic"/>
      <w:sz w:val="20"/>
      <w:szCs w:val="26"/>
      <w:lang w:val="fr-FR" w:eastAsia="en-US"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www" TargetMode="Externa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itu.int/counc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4104A-C864-48A7-B242-593EE93157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557</TotalTime>
  <Pages>6</Pages>
  <Words>1773</Words>
  <Characters>10109</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ITU</Company>
  <LinksUpToDate>false</LinksUpToDate>
  <CharactersWithSpaces>11859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Abdelmessih, George</dc:creator>
  <cp:keywords/>
  <dc:description/>
  <cp:lastModifiedBy>Riz, Imad </cp:lastModifiedBy>
  <cp:revision>41</cp:revision>
  <cp:lastPrinted>2019-06-04T07:37:00Z</cp:lastPrinted>
  <dcterms:created xsi:type="dcterms:W3CDTF">2019-05-24T08:22:00Z</dcterms:created>
  <dcterms:modified xsi:type="dcterms:W3CDTF">2019-06-07T09:10:00Z</dcterms:modified>
</cp:coreProperties>
</file>