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525434">
        <w:trPr>
          <w:cantSplit/>
        </w:trPr>
        <w:tc>
          <w:tcPr>
            <w:tcW w:w="6912" w:type="dxa"/>
          </w:tcPr>
          <w:p w:rsidR="00093EEB" w:rsidRPr="00525434" w:rsidRDefault="00093EEB" w:rsidP="00C2727F">
            <w:pPr>
              <w:spacing w:before="360"/>
              <w:rPr>
                <w:szCs w:val="24"/>
              </w:rPr>
            </w:pPr>
            <w:bookmarkStart w:id="0" w:name="dc06"/>
            <w:bookmarkStart w:id="1" w:name="dbluepink" w:colFirst="0" w:colLast="0"/>
            <w:bookmarkStart w:id="2" w:name="_GoBack"/>
            <w:bookmarkEnd w:id="0"/>
            <w:bookmarkEnd w:id="2"/>
            <w:r w:rsidRPr="00525434">
              <w:rPr>
                <w:b/>
                <w:bCs/>
                <w:sz w:val="30"/>
                <w:szCs w:val="30"/>
              </w:rPr>
              <w:t>Consejo 201</w:t>
            </w:r>
            <w:r w:rsidR="00C2727F" w:rsidRPr="00525434">
              <w:rPr>
                <w:b/>
                <w:bCs/>
                <w:sz w:val="30"/>
                <w:szCs w:val="30"/>
              </w:rPr>
              <w:t>9</w:t>
            </w:r>
            <w:r w:rsidRPr="00525434">
              <w:rPr>
                <w:b/>
                <w:bCs/>
                <w:sz w:val="26"/>
                <w:szCs w:val="26"/>
              </w:rPr>
              <w:br/>
            </w:r>
            <w:r w:rsidRPr="00525434">
              <w:rPr>
                <w:b/>
                <w:bCs/>
                <w:szCs w:val="24"/>
              </w:rPr>
              <w:t>Ginebra, 1</w:t>
            </w:r>
            <w:r w:rsidR="00C2727F" w:rsidRPr="00525434">
              <w:rPr>
                <w:b/>
                <w:bCs/>
                <w:szCs w:val="24"/>
              </w:rPr>
              <w:t>0</w:t>
            </w:r>
            <w:r w:rsidRPr="00525434">
              <w:rPr>
                <w:b/>
                <w:bCs/>
                <w:szCs w:val="24"/>
              </w:rPr>
              <w:t>-2</w:t>
            </w:r>
            <w:r w:rsidR="00C2727F" w:rsidRPr="00525434">
              <w:rPr>
                <w:b/>
                <w:bCs/>
                <w:szCs w:val="24"/>
              </w:rPr>
              <w:t>0</w:t>
            </w:r>
            <w:r w:rsidRPr="00525434">
              <w:rPr>
                <w:b/>
                <w:bCs/>
                <w:szCs w:val="24"/>
              </w:rPr>
              <w:t xml:space="preserve"> de </w:t>
            </w:r>
            <w:r w:rsidR="00C2727F" w:rsidRPr="00525434">
              <w:rPr>
                <w:b/>
                <w:bCs/>
                <w:szCs w:val="24"/>
              </w:rPr>
              <w:t>junio</w:t>
            </w:r>
            <w:r w:rsidRPr="00525434">
              <w:rPr>
                <w:b/>
                <w:bCs/>
                <w:szCs w:val="24"/>
              </w:rPr>
              <w:t xml:space="preserve"> de 201</w:t>
            </w:r>
            <w:r w:rsidR="00C2727F" w:rsidRPr="00525434">
              <w:rPr>
                <w:b/>
                <w:bCs/>
                <w:szCs w:val="24"/>
              </w:rPr>
              <w:t>9</w:t>
            </w:r>
          </w:p>
        </w:tc>
        <w:tc>
          <w:tcPr>
            <w:tcW w:w="3261" w:type="dxa"/>
          </w:tcPr>
          <w:p w:rsidR="00093EEB" w:rsidRPr="00525434" w:rsidRDefault="00093EEB" w:rsidP="00093EEB">
            <w:pPr>
              <w:spacing w:before="0"/>
              <w:jc w:val="right"/>
              <w:rPr>
                <w:szCs w:val="24"/>
              </w:rPr>
            </w:pPr>
            <w:bookmarkStart w:id="3" w:name="ditulogo"/>
            <w:bookmarkEnd w:id="3"/>
            <w:r w:rsidRPr="00525434">
              <w:rPr>
                <w:rFonts w:cstheme="minorHAnsi"/>
                <w:b/>
                <w:bCs/>
                <w:noProof/>
                <w:szCs w:val="24"/>
                <w:lang w:val="en-GB" w:eastAsia="zh-CN"/>
              </w:rPr>
              <w:drawing>
                <wp:inline distT="0" distB="0" distL="0" distR="0" wp14:anchorId="20716D67" wp14:editId="3A7EBAD8">
                  <wp:extent cx="1771650" cy="695325"/>
                  <wp:effectExtent l="0" t="0" r="0" b="9525"/>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093EEB" w:rsidRPr="00525434">
        <w:trPr>
          <w:cantSplit/>
          <w:trHeight w:val="20"/>
        </w:trPr>
        <w:tc>
          <w:tcPr>
            <w:tcW w:w="10173" w:type="dxa"/>
            <w:gridSpan w:val="2"/>
            <w:tcBorders>
              <w:bottom w:val="single" w:sz="12" w:space="0" w:color="auto"/>
            </w:tcBorders>
          </w:tcPr>
          <w:p w:rsidR="00093EEB" w:rsidRPr="00525434" w:rsidRDefault="00093EEB">
            <w:pPr>
              <w:spacing w:before="0"/>
              <w:rPr>
                <w:b/>
                <w:bCs/>
                <w:szCs w:val="24"/>
              </w:rPr>
            </w:pPr>
          </w:p>
        </w:tc>
      </w:tr>
      <w:tr w:rsidR="00093EEB" w:rsidRPr="00525434">
        <w:trPr>
          <w:cantSplit/>
          <w:trHeight w:val="20"/>
        </w:trPr>
        <w:tc>
          <w:tcPr>
            <w:tcW w:w="6912" w:type="dxa"/>
            <w:tcBorders>
              <w:top w:val="single" w:sz="12" w:space="0" w:color="auto"/>
            </w:tcBorders>
          </w:tcPr>
          <w:p w:rsidR="00093EEB" w:rsidRPr="00525434" w:rsidRDefault="00093EEB">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rsidR="00093EEB" w:rsidRPr="00525434" w:rsidRDefault="00093EEB">
            <w:pPr>
              <w:spacing w:before="0"/>
              <w:rPr>
                <w:b/>
                <w:bCs/>
                <w:szCs w:val="24"/>
              </w:rPr>
            </w:pPr>
          </w:p>
        </w:tc>
      </w:tr>
      <w:tr w:rsidR="00093EEB" w:rsidRPr="00525434">
        <w:trPr>
          <w:cantSplit/>
          <w:trHeight w:val="20"/>
        </w:trPr>
        <w:tc>
          <w:tcPr>
            <w:tcW w:w="6912" w:type="dxa"/>
            <w:shd w:val="clear" w:color="auto" w:fill="auto"/>
          </w:tcPr>
          <w:p w:rsidR="00093EEB" w:rsidRPr="00525434" w:rsidRDefault="007E1F82">
            <w:pPr>
              <w:tabs>
                <w:tab w:val="clear" w:pos="2268"/>
                <w:tab w:val="left" w:pos="1560"/>
                <w:tab w:val="left" w:pos="2269"/>
                <w:tab w:val="left" w:pos="3544"/>
                <w:tab w:val="left" w:pos="3969"/>
              </w:tabs>
              <w:spacing w:before="0" w:line="240" w:lineRule="atLeast"/>
              <w:rPr>
                <w:rFonts w:cs="Times"/>
                <w:b/>
                <w:szCs w:val="24"/>
              </w:rPr>
            </w:pPr>
            <w:bookmarkStart w:id="4" w:name="dnum" w:colFirst="1" w:colLast="1"/>
            <w:bookmarkStart w:id="5" w:name="dmeeting" w:colFirst="0" w:colLast="0"/>
            <w:r w:rsidRPr="00525434">
              <w:rPr>
                <w:rFonts w:cs="Times"/>
                <w:b/>
                <w:szCs w:val="24"/>
              </w:rPr>
              <w:t>Punto del orden del día: ADM 1</w:t>
            </w:r>
          </w:p>
        </w:tc>
        <w:tc>
          <w:tcPr>
            <w:tcW w:w="3261" w:type="dxa"/>
          </w:tcPr>
          <w:p w:rsidR="00093EEB" w:rsidRPr="00525434" w:rsidRDefault="00093EEB" w:rsidP="007E1F82">
            <w:pPr>
              <w:spacing w:before="0"/>
              <w:rPr>
                <w:b/>
                <w:bCs/>
                <w:szCs w:val="24"/>
              </w:rPr>
            </w:pPr>
            <w:r w:rsidRPr="00525434">
              <w:rPr>
                <w:b/>
                <w:bCs/>
                <w:szCs w:val="24"/>
              </w:rPr>
              <w:t>Documento C1</w:t>
            </w:r>
            <w:r w:rsidR="00C2727F" w:rsidRPr="00525434">
              <w:rPr>
                <w:b/>
                <w:bCs/>
                <w:szCs w:val="24"/>
              </w:rPr>
              <w:t>9</w:t>
            </w:r>
            <w:r w:rsidRPr="00525434">
              <w:rPr>
                <w:b/>
                <w:bCs/>
                <w:szCs w:val="24"/>
              </w:rPr>
              <w:t>/</w:t>
            </w:r>
            <w:r w:rsidR="007E1F82" w:rsidRPr="00525434">
              <w:rPr>
                <w:b/>
                <w:bCs/>
                <w:szCs w:val="24"/>
              </w:rPr>
              <w:t>15</w:t>
            </w:r>
            <w:r w:rsidRPr="00525434">
              <w:rPr>
                <w:b/>
                <w:bCs/>
                <w:szCs w:val="24"/>
              </w:rPr>
              <w:t>-S</w:t>
            </w:r>
          </w:p>
        </w:tc>
      </w:tr>
      <w:tr w:rsidR="00093EEB" w:rsidRPr="00525434">
        <w:trPr>
          <w:cantSplit/>
          <w:trHeight w:val="20"/>
        </w:trPr>
        <w:tc>
          <w:tcPr>
            <w:tcW w:w="6912" w:type="dxa"/>
            <w:shd w:val="clear" w:color="auto" w:fill="auto"/>
          </w:tcPr>
          <w:p w:rsidR="00093EEB" w:rsidRPr="00525434" w:rsidRDefault="00093EEB">
            <w:pPr>
              <w:shd w:val="solid" w:color="FFFFFF" w:fill="FFFFFF"/>
              <w:spacing w:before="0"/>
              <w:rPr>
                <w:smallCaps/>
                <w:szCs w:val="24"/>
              </w:rPr>
            </w:pPr>
            <w:bookmarkStart w:id="6" w:name="ddate" w:colFirst="1" w:colLast="1"/>
            <w:bookmarkEnd w:id="4"/>
            <w:bookmarkEnd w:id="5"/>
          </w:p>
        </w:tc>
        <w:tc>
          <w:tcPr>
            <w:tcW w:w="3261" w:type="dxa"/>
          </w:tcPr>
          <w:p w:rsidR="00093EEB" w:rsidRPr="00525434" w:rsidRDefault="007E1F82" w:rsidP="00C2727F">
            <w:pPr>
              <w:spacing w:before="0"/>
              <w:rPr>
                <w:b/>
                <w:bCs/>
                <w:szCs w:val="24"/>
              </w:rPr>
            </w:pPr>
            <w:r w:rsidRPr="00525434">
              <w:rPr>
                <w:b/>
                <w:bCs/>
                <w:szCs w:val="24"/>
              </w:rPr>
              <w:t>8 de abril</w:t>
            </w:r>
            <w:r w:rsidR="00093EEB" w:rsidRPr="00525434">
              <w:rPr>
                <w:b/>
                <w:bCs/>
                <w:szCs w:val="24"/>
              </w:rPr>
              <w:t xml:space="preserve"> de 201</w:t>
            </w:r>
            <w:r w:rsidR="00C2727F" w:rsidRPr="00525434">
              <w:rPr>
                <w:b/>
                <w:bCs/>
                <w:szCs w:val="24"/>
              </w:rPr>
              <w:t>9</w:t>
            </w:r>
          </w:p>
        </w:tc>
      </w:tr>
      <w:tr w:rsidR="00093EEB" w:rsidRPr="00525434">
        <w:trPr>
          <w:cantSplit/>
          <w:trHeight w:val="20"/>
        </w:trPr>
        <w:tc>
          <w:tcPr>
            <w:tcW w:w="6912" w:type="dxa"/>
            <w:shd w:val="clear" w:color="auto" w:fill="auto"/>
          </w:tcPr>
          <w:p w:rsidR="00093EEB" w:rsidRPr="00525434" w:rsidRDefault="00093EEB">
            <w:pPr>
              <w:shd w:val="solid" w:color="FFFFFF" w:fill="FFFFFF"/>
              <w:spacing w:before="0"/>
              <w:rPr>
                <w:smallCaps/>
                <w:szCs w:val="24"/>
              </w:rPr>
            </w:pPr>
            <w:bookmarkStart w:id="7" w:name="dorlang" w:colFirst="1" w:colLast="1"/>
            <w:bookmarkEnd w:id="6"/>
          </w:p>
        </w:tc>
        <w:tc>
          <w:tcPr>
            <w:tcW w:w="3261" w:type="dxa"/>
          </w:tcPr>
          <w:p w:rsidR="00093EEB" w:rsidRPr="00525434" w:rsidRDefault="00093EEB" w:rsidP="00093EEB">
            <w:pPr>
              <w:spacing w:before="0"/>
              <w:rPr>
                <w:b/>
                <w:bCs/>
                <w:szCs w:val="24"/>
              </w:rPr>
            </w:pPr>
            <w:r w:rsidRPr="00525434">
              <w:rPr>
                <w:b/>
                <w:bCs/>
                <w:szCs w:val="24"/>
              </w:rPr>
              <w:t>Original: inglés</w:t>
            </w:r>
          </w:p>
        </w:tc>
      </w:tr>
      <w:tr w:rsidR="00093EEB" w:rsidRPr="00525434">
        <w:trPr>
          <w:cantSplit/>
        </w:trPr>
        <w:tc>
          <w:tcPr>
            <w:tcW w:w="10173" w:type="dxa"/>
            <w:gridSpan w:val="2"/>
          </w:tcPr>
          <w:p w:rsidR="00093EEB" w:rsidRPr="00525434" w:rsidRDefault="007E1F82">
            <w:pPr>
              <w:pStyle w:val="Source"/>
            </w:pPr>
            <w:bookmarkStart w:id="8" w:name="dsource" w:colFirst="0" w:colLast="0"/>
            <w:bookmarkEnd w:id="1"/>
            <w:bookmarkEnd w:id="7"/>
            <w:r w:rsidRPr="00525434">
              <w:t>Informe del Secretario General</w:t>
            </w:r>
          </w:p>
        </w:tc>
      </w:tr>
      <w:tr w:rsidR="00093EEB" w:rsidRPr="00525434">
        <w:trPr>
          <w:cantSplit/>
        </w:trPr>
        <w:tc>
          <w:tcPr>
            <w:tcW w:w="10173" w:type="dxa"/>
            <w:gridSpan w:val="2"/>
          </w:tcPr>
          <w:p w:rsidR="00093EEB" w:rsidRPr="00525434" w:rsidRDefault="007E1F82">
            <w:pPr>
              <w:pStyle w:val="Title1"/>
            </w:pPr>
            <w:bookmarkStart w:id="9" w:name="dtitle1" w:colFirst="0" w:colLast="0"/>
            <w:bookmarkEnd w:id="8"/>
            <w:r w:rsidRPr="00525434">
              <w:t xml:space="preserve">PROYECTO DE PRESUPUESTO DE LA UNIÓN PARA </w:t>
            </w:r>
            <w:r w:rsidRPr="00525434">
              <w:rPr>
                <w:rFonts w:asciiTheme="minorHAnsi" w:hAnsiTheme="minorHAnsi"/>
              </w:rPr>
              <w:t>2020-2021</w:t>
            </w:r>
          </w:p>
        </w:tc>
      </w:tr>
      <w:bookmarkEnd w:id="9"/>
    </w:tbl>
    <w:p w:rsidR="00093EEB" w:rsidRPr="00525434" w:rsidRDefault="00093EEB">
      <w:pPr>
        <w:rPr>
          <w:lang w:val="es-ES"/>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525434">
        <w:trPr>
          <w:trHeight w:val="3372"/>
        </w:trPr>
        <w:tc>
          <w:tcPr>
            <w:tcW w:w="8080" w:type="dxa"/>
            <w:tcBorders>
              <w:top w:val="single" w:sz="12" w:space="0" w:color="auto"/>
              <w:left w:val="single" w:sz="12" w:space="0" w:color="auto"/>
              <w:bottom w:val="single" w:sz="12" w:space="0" w:color="auto"/>
              <w:right w:val="single" w:sz="12" w:space="0" w:color="auto"/>
            </w:tcBorders>
          </w:tcPr>
          <w:p w:rsidR="00093EEB" w:rsidRPr="00525434" w:rsidRDefault="00093EEB">
            <w:pPr>
              <w:pStyle w:val="Headingb"/>
              <w:rPr>
                <w:lang w:val="es-ES"/>
              </w:rPr>
            </w:pPr>
            <w:r w:rsidRPr="00525434">
              <w:rPr>
                <w:lang w:val="es-ES"/>
              </w:rPr>
              <w:t>Resumen</w:t>
            </w:r>
          </w:p>
          <w:p w:rsidR="00093EEB" w:rsidRPr="00525434" w:rsidRDefault="007E1F82" w:rsidP="00EF1726">
            <w:pPr>
              <w:rPr>
                <w:lang w:val="es-ES"/>
              </w:rPr>
            </w:pPr>
            <w:r w:rsidRPr="00525434">
              <w:rPr>
                <w:lang w:val="es-ES"/>
              </w:rPr>
              <w:t xml:space="preserve">El proyecto de </w:t>
            </w:r>
            <w:r w:rsidR="00EF1726">
              <w:rPr>
                <w:lang w:val="es-ES"/>
              </w:rPr>
              <w:t>p</w:t>
            </w:r>
            <w:r w:rsidRPr="00525434">
              <w:rPr>
                <w:lang w:val="es-ES"/>
              </w:rPr>
              <w:t xml:space="preserve">resupuesto para </w:t>
            </w:r>
            <w:r w:rsidR="00525434" w:rsidRPr="00525434">
              <w:rPr>
                <w:lang w:val="es-ES"/>
              </w:rPr>
              <w:t>2020-2021</w:t>
            </w:r>
            <w:r w:rsidRPr="00525434">
              <w:rPr>
                <w:lang w:val="es-ES"/>
              </w:rPr>
              <w:t xml:space="preserve"> se basa en el </w:t>
            </w:r>
            <w:r w:rsidR="00525434" w:rsidRPr="00525434">
              <w:rPr>
                <w:lang w:val="es-ES"/>
              </w:rPr>
              <w:t>Plan Estratégico</w:t>
            </w:r>
            <w:r w:rsidRPr="00525434">
              <w:rPr>
                <w:lang w:val="es-ES"/>
              </w:rPr>
              <w:t xml:space="preserve"> de la Unión para dicho periodo y refleja las repercusiones financieras de</w:t>
            </w:r>
            <w:r w:rsidR="00525434" w:rsidRPr="00525434">
              <w:rPr>
                <w:lang w:val="es-ES"/>
              </w:rPr>
              <w:t xml:space="preserve"> la aplicación de</w:t>
            </w:r>
            <w:r w:rsidRPr="00525434">
              <w:rPr>
                <w:lang w:val="es-ES"/>
              </w:rPr>
              <w:t xml:space="preserve"> las Decisiones y Resoluciones adoptadas por la Conferencia de Plenipotenciarios (</w:t>
            </w:r>
            <w:r w:rsidR="00525434" w:rsidRPr="00525434">
              <w:rPr>
                <w:lang w:val="es-ES"/>
              </w:rPr>
              <w:t>Dubái</w:t>
            </w:r>
            <w:r w:rsidRPr="00525434">
              <w:rPr>
                <w:lang w:val="es-ES"/>
              </w:rPr>
              <w:t>, 201</w:t>
            </w:r>
            <w:r w:rsidR="00525434" w:rsidRPr="00525434">
              <w:rPr>
                <w:lang w:val="es-ES"/>
              </w:rPr>
              <w:t>8</w:t>
            </w:r>
            <w:r w:rsidRPr="00525434">
              <w:rPr>
                <w:lang w:val="es-ES"/>
              </w:rPr>
              <w:t>) y por el Consejo en sus reuniones anteriores.</w:t>
            </w:r>
          </w:p>
          <w:p w:rsidR="00093EEB" w:rsidRPr="00525434" w:rsidRDefault="00093EEB" w:rsidP="00162387">
            <w:pPr>
              <w:pStyle w:val="Headingb"/>
              <w:tabs>
                <w:tab w:val="clear" w:pos="2268"/>
                <w:tab w:val="clear" w:pos="2835"/>
                <w:tab w:val="left" w:pos="6937"/>
              </w:tabs>
              <w:rPr>
                <w:lang w:val="es-ES"/>
              </w:rPr>
            </w:pPr>
            <w:r w:rsidRPr="00525434">
              <w:rPr>
                <w:lang w:val="es-ES"/>
              </w:rPr>
              <w:t>Acción solicitada</w:t>
            </w:r>
          </w:p>
          <w:p w:rsidR="00093EEB" w:rsidRPr="00525434" w:rsidRDefault="007E1F82" w:rsidP="00EF1726">
            <w:pPr>
              <w:rPr>
                <w:lang w:val="es-ES"/>
              </w:rPr>
            </w:pPr>
            <w:r w:rsidRPr="00525434">
              <w:rPr>
                <w:lang w:val="es-ES"/>
              </w:rPr>
              <w:t xml:space="preserve">Se pide al Consejo que </w:t>
            </w:r>
            <w:r w:rsidRPr="00525434">
              <w:rPr>
                <w:b/>
                <w:bCs/>
                <w:lang w:val="es-ES"/>
              </w:rPr>
              <w:t>examine</w:t>
            </w:r>
            <w:r w:rsidRPr="00525434">
              <w:rPr>
                <w:lang w:val="es-ES"/>
              </w:rPr>
              <w:t xml:space="preserve"> el proyecto de </w:t>
            </w:r>
            <w:r w:rsidR="00EF1726">
              <w:rPr>
                <w:lang w:val="es-ES"/>
              </w:rPr>
              <w:t>p</w:t>
            </w:r>
            <w:r w:rsidRPr="00525434">
              <w:rPr>
                <w:lang w:val="es-ES"/>
              </w:rPr>
              <w:t xml:space="preserve">resupuesto de la Unión para </w:t>
            </w:r>
            <w:r w:rsidR="00525434" w:rsidRPr="00525434">
              <w:rPr>
                <w:lang w:val="es-ES"/>
              </w:rPr>
              <w:t xml:space="preserve">2020-2021 </w:t>
            </w:r>
            <w:r w:rsidRPr="00525434">
              <w:rPr>
                <w:lang w:val="es-ES"/>
              </w:rPr>
              <w:t xml:space="preserve">y </w:t>
            </w:r>
            <w:r w:rsidRPr="00525434">
              <w:rPr>
                <w:b/>
                <w:bCs/>
                <w:lang w:val="es-ES"/>
              </w:rPr>
              <w:t xml:space="preserve">apruebe </w:t>
            </w:r>
            <w:r w:rsidRPr="00525434">
              <w:rPr>
                <w:lang w:val="es-ES"/>
              </w:rPr>
              <w:t xml:space="preserve">el proyecto de Resolución recogido en </w:t>
            </w:r>
            <w:r w:rsidR="00525434" w:rsidRPr="00525434">
              <w:rPr>
                <w:lang w:val="es-ES"/>
              </w:rPr>
              <w:t xml:space="preserve">la </w:t>
            </w:r>
            <w:hyperlink w:anchor="Parte_III" w:history="1">
              <w:r w:rsidR="007E36E8">
                <w:rPr>
                  <w:rStyle w:val="Hyperlink"/>
                  <w:lang w:val="es-ES"/>
                </w:rPr>
                <w:t>Parte 3</w:t>
              </w:r>
            </w:hyperlink>
            <w:r w:rsidRPr="00525434">
              <w:rPr>
                <w:lang w:val="es-ES"/>
              </w:rPr>
              <w:t>.</w:t>
            </w:r>
          </w:p>
          <w:p w:rsidR="00093EEB" w:rsidRPr="001B2741" w:rsidRDefault="00093EEB">
            <w:pPr>
              <w:pStyle w:val="Table"/>
              <w:keepNext w:val="0"/>
              <w:spacing w:before="0" w:after="0"/>
              <w:rPr>
                <w:caps w:val="0"/>
                <w:sz w:val="22"/>
                <w:lang w:val="en-US"/>
              </w:rPr>
            </w:pPr>
            <w:r w:rsidRPr="001B2741">
              <w:rPr>
                <w:caps w:val="0"/>
                <w:sz w:val="22"/>
                <w:lang w:val="en-US"/>
              </w:rPr>
              <w:t>____________</w:t>
            </w:r>
          </w:p>
          <w:p w:rsidR="00093EEB" w:rsidRPr="001B2741" w:rsidRDefault="00093EEB">
            <w:pPr>
              <w:pStyle w:val="Headingb"/>
              <w:rPr>
                <w:lang w:val="en-US"/>
              </w:rPr>
            </w:pPr>
            <w:r w:rsidRPr="001B2741">
              <w:rPr>
                <w:lang w:val="en-US"/>
              </w:rPr>
              <w:t>Referencia</w:t>
            </w:r>
            <w:r w:rsidR="00525434" w:rsidRPr="001B2741">
              <w:rPr>
                <w:lang w:val="en-US"/>
              </w:rPr>
              <w:t>s</w:t>
            </w:r>
          </w:p>
          <w:p w:rsidR="00525434" w:rsidRPr="001B2741" w:rsidRDefault="004E0508" w:rsidP="00525434">
            <w:pPr>
              <w:tabs>
                <w:tab w:val="clear" w:pos="1134"/>
                <w:tab w:val="clear" w:pos="1701"/>
                <w:tab w:val="clear" w:pos="2268"/>
                <w:tab w:val="clear" w:pos="2835"/>
                <w:tab w:val="left" w:pos="794"/>
                <w:tab w:val="left" w:pos="1191"/>
                <w:tab w:val="left" w:pos="1588"/>
                <w:tab w:val="left" w:pos="1985"/>
              </w:tabs>
              <w:spacing w:after="120"/>
              <w:ind w:right="48"/>
              <w:jc w:val="both"/>
              <w:rPr>
                <w:i/>
                <w:iCs/>
                <w:szCs w:val="24"/>
                <w:lang w:val="en-US"/>
              </w:rPr>
            </w:pPr>
            <w:hyperlink r:id="rId9" w:history="1">
              <w:bookmarkStart w:id="10" w:name="lt_pId017"/>
              <w:r w:rsidR="00525434" w:rsidRPr="001B2741">
                <w:rPr>
                  <w:rStyle w:val="Hyperlink"/>
                  <w:i/>
                  <w:iCs/>
                  <w:szCs w:val="24"/>
                  <w:lang w:val="en-US"/>
                </w:rPr>
                <w:t>CS Art. 28</w:t>
              </w:r>
              <w:bookmarkEnd w:id="10"/>
            </w:hyperlink>
          </w:p>
          <w:p w:rsidR="00525434" w:rsidRPr="001B2741" w:rsidRDefault="004E0508" w:rsidP="00525434">
            <w:pPr>
              <w:tabs>
                <w:tab w:val="clear" w:pos="1134"/>
                <w:tab w:val="clear" w:pos="1701"/>
                <w:tab w:val="clear" w:pos="2268"/>
                <w:tab w:val="clear" w:pos="2835"/>
                <w:tab w:val="left" w:pos="794"/>
                <w:tab w:val="left" w:pos="1191"/>
                <w:tab w:val="left" w:pos="1588"/>
                <w:tab w:val="left" w:pos="1985"/>
              </w:tabs>
              <w:spacing w:before="0" w:after="120"/>
              <w:ind w:right="48"/>
              <w:jc w:val="both"/>
              <w:rPr>
                <w:i/>
                <w:iCs/>
                <w:szCs w:val="24"/>
                <w:lang w:val="en-US"/>
              </w:rPr>
            </w:pPr>
            <w:hyperlink r:id="rId10" w:history="1">
              <w:bookmarkStart w:id="11" w:name="lt_pId018"/>
              <w:r w:rsidR="00525434" w:rsidRPr="001B2741">
                <w:rPr>
                  <w:rStyle w:val="Hyperlink"/>
                  <w:i/>
                  <w:iCs/>
                  <w:szCs w:val="24"/>
                  <w:lang w:val="en-US"/>
                </w:rPr>
                <w:t>CV Art. 4, número 73</w:t>
              </w:r>
              <w:bookmarkEnd w:id="11"/>
            </w:hyperlink>
          </w:p>
          <w:p w:rsidR="00525434" w:rsidRPr="001B2741" w:rsidRDefault="004E0508" w:rsidP="00525434">
            <w:pPr>
              <w:tabs>
                <w:tab w:val="clear" w:pos="1134"/>
                <w:tab w:val="clear" w:pos="1701"/>
                <w:tab w:val="clear" w:pos="2268"/>
                <w:tab w:val="clear" w:pos="2835"/>
                <w:tab w:val="left" w:pos="794"/>
                <w:tab w:val="left" w:pos="1191"/>
                <w:tab w:val="left" w:pos="1588"/>
                <w:tab w:val="left" w:pos="1985"/>
              </w:tabs>
              <w:spacing w:before="0" w:after="120"/>
              <w:ind w:right="48"/>
              <w:jc w:val="both"/>
              <w:rPr>
                <w:i/>
                <w:iCs/>
                <w:szCs w:val="24"/>
                <w:lang w:val="en-US"/>
              </w:rPr>
            </w:pPr>
            <w:hyperlink r:id="rId11" w:history="1">
              <w:bookmarkStart w:id="12" w:name="lt_pId019"/>
              <w:r w:rsidR="00525434" w:rsidRPr="001B2741">
                <w:rPr>
                  <w:rStyle w:val="Hyperlink"/>
                  <w:i/>
                  <w:iCs/>
                  <w:szCs w:val="24"/>
                  <w:lang w:val="en-US"/>
                </w:rPr>
                <w:t>CV Art. 33</w:t>
              </w:r>
              <w:bookmarkEnd w:id="12"/>
            </w:hyperlink>
          </w:p>
          <w:p w:rsidR="00525434" w:rsidRPr="00525434" w:rsidRDefault="004E0508" w:rsidP="00525434">
            <w:pPr>
              <w:spacing w:before="0" w:after="120"/>
              <w:ind w:right="48"/>
              <w:jc w:val="both"/>
              <w:rPr>
                <w:i/>
                <w:iCs/>
                <w:lang w:val="es-ES"/>
              </w:rPr>
            </w:pPr>
            <w:hyperlink r:id="rId12" w:history="1">
              <w:bookmarkStart w:id="13" w:name="lt_pId020"/>
              <w:r w:rsidR="00525434" w:rsidRPr="00525434">
                <w:rPr>
                  <w:rStyle w:val="Hyperlink"/>
                  <w:i/>
                  <w:iCs/>
                  <w:lang w:val="es-ES"/>
                </w:rPr>
                <w:t>Decisión 5 (Rev. Dubái, 2018)</w:t>
              </w:r>
              <w:bookmarkEnd w:id="13"/>
            </w:hyperlink>
          </w:p>
          <w:p w:rsidR="00525434" w:rsidRPr="001B2741" w:rsidRDefault="004E0508" w:rsidP="00525434">
            <w:pPr>
              <w:spacing w:before="0" w:after="120"/>
              <w:ind w:right="48"/>
              <w:jc w:val="both"/>
            </w:pPr>
            <w:hyperlink r:id="rId13" w:history="1">
              <w:bookmarkStart w:id="14" w:name="lt_pId021"/>
              <w:r w:rsidR="00525434" w:rsidRPr="00525434">
                <w:rPr>
                  <w:rStyle w:val="Hyperlink"/>
                  <w:i/>
                  <w:iCs/>
                  <w:lang w:val="es-ES"/>
                </w:rPr>
                <w:t>Resolución 71 (Rev. Dubái, 2018)</w:t>
              </w:r>
              <w:bookmarkEnd w:id="14"/>
            </w:hyperlink>
          </w:p>
          <w:p w:rsidR="00093EEB" w:rsidRPr="00525434" w:rsidRDefault="004E0508" w:rsidP="00525434">
            <w:pPr>
              <w:spacing w:after="120"/>
              <w:rPr>
                <w:i/>
                <w:iCs/>
                <w:lang w:val="es-ES"/>
              </w:rPr>
            </w:pPr>
            <w:hyperlink r:id="rId14" w:history="1">
              <w:bookmarkStart w:id="15" w:name="lt_pId022"/>
              <w:r w:rsidR="00525434" w:rsidRPr="00525434">
                <w:rPr>
                  <w:rStyle w:val="Hyperlink"/>
                  <w:i/>
                  <w:iCs/>
                  <w:lang w:val="es-ES"/>
                </w:rPr>
                <w:t>Resolución 151 (Rev. Dubái, 2018)</w:t>
              </w:r>
              <w:bookmarkEnd w:id="15"/>
            </w:hyperlink>
          </w:p>
        </w:tc>
      </w:tr>
    </w:tbl>
    <w:p w:rsidR="00A44ECC" w:rsidRDefault="00A44ECC">
      <w:pPr>
        <w:spacing w:after="160" w:line="259" w:lineRule="auto"/>
        <w:rPr>
          <w:lang w:val="es-ES"/>
        </w:rPr>
      </w:pPr>
    </w:p>
    <w:p w:rsidR="00A44ECC" w:rsidRDefault="00A44ECC">
      <w:pPr>
        <w:spacing w:after="160" w:line="259" w:lineRule="auto"/>
        <w:rPr>
          <w:lang w:val="es-ES"/>
        </w:rPr>
        <w:sectPr w:rsidR="00A44ECC" w:rsidSect="00740D17">
          <w:headerReference w:type="default" r:id="rId15"/>
          <w:footerReference w:type="first" r:id="rId16"/>
          <w:pgSz w:w="11907" w:h="16834"/>
          <w:pgMar w:top="1418" w:right="1134" w:bottom="1418" w:left="1134" w:header="720" w:footer="720" w:gutter="0"/>
          <w:paperSrc w:first="15" w:other="15"/>
          <w:cols w:space="720"/>
          <w:titlePg/>
        </w:sectPr>
      </w:pPr>
    </w:p>
    <w:p w:rsidR="000E0F4D" w:rsidRPr="006E5902" w:rsidRDefault="000E0F4D" w:rsidP="000E0F4D">
      <w:pPr>
        <w:pStyle w:val="Title4"/>
        <w:rPr>
          <w:sz w:val="56"/>
          <w:szCs w:val="56"/>
          <w:lang w:val="fr-CH"/>
        </w:rPr>
      </w:pPr>
      <w:r w:rsidRPr="006E5902">
        <w:rPr>
          <w:sz w:val="56"/>
          <w:szCs w:val="56"/>
          <w:lang w:val="fr-CH"/>
        </w:rPr>
        <w:lastRenderedPageBreak/>
        <w:t>PRO</w:t>
      </w:r>
      <w:r>
        <w:rPr>
          <w:sz w:val="56"/>
          <w:szCs w:val="56"/>
          <w:lang w:val="fr-CH"/>
        </w:rPr>
        <w:t>YECTO DE</w:t>
      </w:r>
      <w:r w:rsidRPr="006E5902">
        <w:rPr>
          <w:sz w:val="56"/>
          <w:szCs w:val="56"/>
          <w:lang w:val="fr-CH"/>
        </w:rPr>
        <w:t xml:space="preserve"> </w:t>
      </w:r>
      <w:r>
        <w:rPr>
          <w:sz w:val="56"/>
          <w:szCs w:val="56"/>
          <w:lang w:val="fr-CH"/>
        </w:rPr>
        <w:br/>
        <w:t>PRESUPUESTO</w:t>
      </w:r>
    </w:p>
    <w:p w:rsidR="000E0F4D" w:rsidRPr="006E5902" w:rsidRDefault="000E0F4D" w:rsidP="000E0F4D">
      <w:pPr>
        <w:pStyle w:val="Title4"/>
        <w:rPr>
          <w:sz w:val="40"/>
          <w:szCs w:val="40"/>
          <w:lang w:val="fr-CH"/>
        </w:rPr>
      </w:pPr>
      <w:r w:rsidRPr="006E5902">
        <w:rPr>
          <w:sz w:val="40"/>
          <w:szCs w:val="40"/>
          <w:lang w:val="fr-CH"/>
        </w:rPr>
        <w:t>2020-2021</w:t>
      </w:r>
    </w:p>
    <w:p w:rsidR="000E0F4D" w:rsidRPr="000E0F4D" w:rsidRDefault="000E0F4D" w:rsidP="000E0F4D">
      <w:pPr>
        <w:tabs>
          <w:tab w:val="clear" w:pos="1134"/>
          <w:tab w:val="left" w:pos="1560"/>
        </w:tabs>
        <w:spacing w:before="5040"/>
        <w:rPr>
          <w:sz w:val="28"/>
          <w:szCs w:val="28"/>
          <w:lang w:val="es-ES"/>
        </w:rPr>
      </w:pPr>
      <w:r w:rsidRPr="000E0F4D">
        <w:rPr>
          <w:sz w:val="28"/>
          <w:szCs w:val="28"/>
          <w:lang w:val="es-ES"/>
        </w:rPr>
        <w:t>Parte I</w:t>
      </w:r>
      <w:r w:rsidRPr="000E0F4D">
        <w:rPr>
          <w:sz w:val="28"/>
          <w:szCs w:val="28"/>
          <w:lang w:val="es-ES"/>
        </w:rPr>
        <w:tab/>
        <w:t>Síntesis</w:t>
      </w:r>
    </w:p>
    <w:p w:rsidR="000E0F4D" w:rsidRPr="000E0F4D" w:rsidRDefault="000E0F4D" w:rsidP="000E0F4D">
      <w:pPr>
        <w:tabs>
          <w:tab w:val="clear" w:pos="1134"/>
          <w:tab w:val="left" w:pos="1560"/>
        </w:tabs>
        <w:spacing w:before="360"/>
        <w:rPr>
          <w:sz w:val="28"/>
          <w:szCs w:val="28"/>
          <w:lang w:val="es-ES"/>
        </w:rPr>
      </w:pPr>
      <w:r w:rsidRPr="000E0F4D">
        <w:rPr>
          <w:sz w:val="28"/>
          <w:szCs w:val="28"/>
          <w:lang w:val="es-ES"/>
        </w:rPr>
        <w:t>Parte II</w:t>
      </w:r>
      <w:r w:rsidRPr="000E0F4D">
        <w:rPr>
          <w:sz w:val="28"/>
          <w:szCs w:val="28"/>
          <w:lang w:val="es-ES"/>
        </w:rPr>
        <w:tab/>
        <w:t>Presupuesto basado en resultados para 2020-2021</w:t>
      </w:r>
    </w:p>
    <w:p w:rsidR="000E0F4D" w:rsidRPr="000E0F4D" w:rsidRDefault="000E0F4D" w:rsidP="000E0F4D">
      <w:pPr>
        <w:tabs>
          <w:tab w:val="clear" w:pos="1134"/>
          <w:tab w:val="left" w:pos="1560"/>
        </w:tabs>
        <w:spacing w:before="360"/>
        <w:rPr>
          <w:sz w:val="28"/>
          <w:szCs w:val="28"/>
          <w:lang w:val="es-ES"/>
        </w:rPr>
      </w:pPr>
      <w:r>
        <w:rPr>
          <w:sz w:val="28"/>
          <w:szCs w:val="28"/>
          <w:lang w:val="es-ES"/>
        </w:rPr>
        <w:t>Part</w:t>
      </w:r>
      <w:r w:rsidRPr="000E0F4D">
        <w:rPr>
          <w:sz w:val="28"/>
          <w:szCs w:val="28"/>
          <w:lang w:val="es-ES"/>
        </w:rPr>
        <w:t>e III</w:t>
      </w:r>
      <w:r w:rsidRPr="000E0F4D">
        <w:rPr>
          <w:sz w:val="28"/>
          <w:szCs w:val="28"/>
          <w:lang w:val="es-ES"/>
        </w:rPr>
        <w:tab/>
        <w:t>Presupuesto financiero consolidado para 2020-2021</w:t>
      </w:r>
    </w:p>
    <w:p w:rsidR="000E0F4D" w:rsidRPr="00026E09" w:rsidRDefault="000E0F4D" w:rsidP="000E0F4D">
      <w:pPr>
        <w:tabs>
          <w:tab w:val="clear" w:pos="1134"/>
          <w:tab w:val="left" w:pos="1560"/>
        </w:tabs>
        <w:spacing w:before="360"/>
        <w:rPr>
          <w:sz w:val="28"/>
          <w:szCs w:val="28"/>
          <w:lang w:val="es-ES"/>
        </w:rPr>
      </w:pPr>
      <w:r w:rsidRPr="00026E09">
        <w:rPr>
          <w:sz w:val="28"/>
          <w:szCs w:val="28"/>
          <w:lang w:val="es-ES"/>
        </w:rPr>
        <w:t>Parte IV</w:t>
      </w:r>
      <w:r w:rsidRPr="00026E09">
        <w:rPr>
          <w:sz w:val="28"/>
          <w:szCs w:val="28"/>
          <w:lang w:val="es-ES"/>
        </w:rPr>
        <w:tab/>
        <w:t>Anexos</w:t>
      </w:r>
    </w:p>
    <w:p w:rsidR="00716543" w:rsidRPr="00A55B4E" w:rsidRDefault="00716543">
      <w:pPr>
        <w:spacing w:after="160" w:line="259" w:lineRule="auto"/>
        <w:rPr>
          <w:rFonts w:asciiTheme="minorHAnsi" w:hAnsiTheme="minorHAnsi"/>
          <w:b/>
          <w:bCs/>
          <w:iCs/>
          <w:color w:val="002060"/>
          <w:sz w:val="28"/>
          <w:lang w:val="es-ES"/>
        </w:rPr>
      </w:pPr>
      <w:r w:rsidRPr="00A55B4E">
        <w:rPr>
          <w:rFonts w:asciiTheme="minorHAnsi" w:hAnsiTheme="minorHAnsi"/>
          <w:b/>
          <w:bCs/>
          <w:color w:val="002060"/>
          <w:lang w:val="es-ES"/>
        </w:rPr>
        <w:br w:type="page"/>
      </w:r>
    </w:p>
    <w:p w:rsidR="00716543" w:rsidRPr="00201F51" w:rsidRDefault="00716543" w:rsidP="0084630F">
      <w:pPr>
        <w:spacing w:after="720"/>
        <w:rPr>
          <w:b/>
          <w:bCs/>
          <w:color w:val="00205C"/>
          <w:sz w:val="28"/>
          <w:szCs w:val="28"/>
          <w:lang w:val="es-ES"/>
        </w:rPr>
      </w:pPr>
      <w:bookmarkStart w:id="16" w:name="_Toc7095443"/>
      <w:bookmarkStart w:id="17" w:name="_Toc7181981"/>
      <w:bookmarkStart w:id="18" w:name="_Toc7518358"/>
      <w:r w:rsidRPr="00201F51">
        <w:rPr>
          <w:b/>
          <w:bCs/>
          <w:color w:val="00205C"/>
          <w:sz w:val="28"/>
          <w:szCs w:val="28"/>
          <w:lang w:val="es-ES"/>
        </w:rPr>
        <w:lastRenderedPageBreak/>
        <w:t>PROYECTO DE PRESUPUESTO DE LA UNIÓN PARA 2020-2021</w:t>
      </w:r>
      <w:bookmarkEnd w:id="16"/>
      <w:bookmarkEnd w:id="17"/>
      <w:bookmarkEnd w:id="18"/>
    </w:p>
    <w:bookmarkStart w:id="19" w:name="lt_pId004"/>
    <w:p w:rsidR="009E14EA" w:rsidRPr="00F44EFE" w:rsidRDefault="009E407A" w:rsidP="00F44EFE">
      <w:pPr>
        <w:pStyle w:val="TOC1"/>
        <w:tabs>
          <w:tab w:val="clear" w:pos="709"/>
          <w:tab w:val="clear" w:pos="8789"/>
          <w:tab w:val="left" w:pos="993"/>
          <w:tab w:val="left" w:leader="dot" w:pos="8931"/>
        </w:tabs>
        <w:rPr>
          <w:rFonts w:asciiTheme="minorHAnsi" w:eastAsiaTheme="minorEastAsia" w:hAnsiTheme="minorHAnsi" w:cstheme="minorBidi"/>
          <w:noProof/>
          <w:sz w:val="22"/>
          <w:szCs w:val="22"/>
          <w:lang w:val="es-ES" w:eastAsia="zh-CN"/>
        </w:rPr>
      </w:pPr>
      <w:r>
        <w:fldChar w:fldCharType="begin"/>
      </w:r>
      <w:r>
        <w:instrText xml:space="preserve"> HYPERLINK  \l "_Parte_I_–" </w:instrText>
      </w:r>
      <w:r>
        <w:fldChar w:fldCharType="separate"/>
      </w:r>
      <w:r w:rsidR="009E14EA" w:rsidRPr="009E407A">
        <w:t xml:space="preserve">Parte </w:t>
      </w:r>
      <w:r w:rsidR="009E14EA" w:rsidRPr="009E407A">
        <w:rPr>
          <w:lang w:val="es-ES"/>
        </w:rPr>
        <w:t>I</w:t>
      </w:r>
      <w:r w:rsidR="009E14EA" w:rsidRPr="009E407A">
        <w:rPr>
          <w:rFonts w:eastAsiaTheme="minorEastAsia"/>
          <w:lang w:val="es-ES"/>
        </w:rPr>
        <w:tab/>
      </w:r>
      <w:r w:rsidR="009E14EA" w:rsidRPr="009E407A">
        <w:rPr>
          <w:lang w:val="es-ES"/>
        </w:rPr>
        <w:t>Síntesis</w:t>
      </w:r>
      <w:r w:rsidR="009E14EA" w:rsidRPr="009E407A">
        <w:rPr>
          <w:webHidden/>
        </w:rPr>
        <w:tab/>
        <w:t>5</w:t>
      </w:r>
      <w:r w:rsidR="009E14EA" w:rsidRPr="009E407A">
        <w:t>-21</w:t>
      </w:r>
      <w:r>
        <w:fldChar w:fldCharType="end"/>
      </w:r>
    </w:p>
    <w:p w:rsidR="009E14EA" w:rsidRPr="00F44EFE" w:rsidRDefault="004E0508" w:rsidP="00F44EFE">
      <w:pPr>
        <w:pStyle w:val="TOC1"/>
        <w:tabs>
          <w:tab w:val="clear" w:pos="709"/>
          <w:tab w:val="clear" w:pos="8789"/>
          <w:tab w:val="left" w:pos="993"/>
          <w:tab w:val="left" w:leader="dot" w:pos="8833"/>
        </w:tabs>
        <w:rPr>
          <w:rFonts w:asciiTheme="minorHAnsi" w:eastAsiaTheme="minorEastAsia" w:hAnsiTheme="minorHAnsi" w:cstheme="minorBidi"/>
          <w:noProof/>
          <w:sz w:val="22"/>
          <w:szCs w:val="22"/>
          <w:lang w:val="es-ES" w:eastAsia="zh-CN"/>
        </w:rPr>
      </w:pPr>
      <w:hyperlink w:anchor="_Parte_II_–" w:history="1">
        <w:r w:rsidR="009E14EA" w:rsidRPr="00C73E27">
          <w:t xml:space="preserve">Parte </w:t>
        </w:r>
        <w:r w:rsidR="009E14EA" w:rsidRPr="00C73E27">
          <w:rPr>
            <w:lang w:val="es-ES"/>
          </w:rPr>
          <w:t>II</w:t>
        </w:r>
        <w:r w:rsidR="009E14EA" w:rsidRPr="00C73E27">
          <w:rPr>
            <w:rFonts w:eastAsiaTheme="minorEastAsia"/>
            <w:lang w:val="es-ES"/>
          </w:rPr>
          <w:tab/>
        </w:r>
        <w:r w:rsidR="009E14EA" w:rsidRPr="00C73E27">
          <w:rPr>
            <w:lang w:val="es-ES"/>
          </w:rPr>
          <w:t>Presupuesto basado en resultados</w:t>
        </w:r>
        <w:r w:rsidR="00E15C8A" w:rsidRPr="00C73E27">
          <w:rPr>
            <w:lang w:val="es-ES"/>
          </w:rPr>
          <w:t xml:space="preserve"> para 2020-2021</w:t>
        </w:r>
        <w:r w:rsidR="009E14EA" w:rsidRPr="00C73E27">
          <w:rPr>
            <w:webHidden/>
          </w:rPr>
          <w:tab/>
          <w:t>23</w:t>
        </w:r>
        <w:r w:rsidR="009E14EA" w:rsidRPr="00C73E27">
          <w:t>-63</w:t>
        </w:r>
      </w:hyperlink>
    </w:p>
    <w:p w:rsidR="009E14EA" w:rsidRPr="00F44EFE" w:rsidRDefault="004E0508" w:rsidP="00F44EFE">
      <w:pPr>
        <w:pStyle w:val="TOC1"/>
        <w:tabs>
          <w:tab w:val="clear" w:pos="709"/>
          <w:tab w:val="clear" w:pos="8789"/>
          <w:tab w:val="left" w:pos="993"/>
          <w:tab w:val="left" w:leader="dot" w:pos="8833"/>
        </w:tabs>
        <w:rPr>
          <w:rFonts w:asciiTheme="minorHAnsi" w:eastAsiaTheme="minorEastAsia" w:hAnsiTheme="minorHAnsi" w:cstheme="minorBidi"/>
          <w:noProof/>
          <w:sz w:val="22"/>
          <w:szCs w:val="22"/>
          <w:lang w:val="es-ES" w:eastAsia="zh-CN"/>
        </w:rPr>
      </w:pPr>
      <w:hyperlink w:anchor="_Parte_III_–" w:history="1">
        <w:r w:rsidR="009E14EA" w:rsidRPr="00C73E27">
          <w:t>Parte III</w:t>
        </w:r>
        <w:r w:rsidR="009E14EA" w:rsidRPr="00C73E27">
          <w:rPr>
            <w:rFonts w:eastAsiaTheme="minorEastAsia"/>
            <w:lang w:val="es-ES"/>
          </w:rPr>
          <w:tab/>
        </w:r>
        <w:r w:rsidR="009E14EA" w:rsidRPr="00C73E27">
          <w:t>Presupuesto financiero consolidado para 2020-2021</w:t>
        </w:r>
        <w:r w:rsidR="009E14EA" w:rsidRPr="00C73E27">
          <w:rPr>
            <w:webHidden/>
          </w:rPr>
          <w:tab/>
          <w:t>65</w:t>
        </w:r>
        <w:r w:rsidR="009E14EA" w:rsidRPr="00C73E27">
          <w:t>-80</w:t>
        </w:r>
      </w:hyperlink>
    </w:p>
    <w:p w:rsidR="009E14EA" w:rsidRPr="00F44EFE" w:rsidRDefault="004E0508" w:rsidP="00F44EFE">
      <w:pPr>
        <w:pStyle w:val="TOC1"/>
        <w:tabs>
          <w:tab w:val="clear" w:pos="709"/>
          <w:tab w:val="clear" w:pos="8789"/>
          <w:tab w:val="left" w:pos="993"/>
          <w:tab w:val="left" w:leader="dot" w:pos="8833"/>
        </w:tabs>
        <w:rPr>
          <w:rFonts w:asciiTheme="minorHAnsi" w:eastAsiaTheme="minorEastAsia" w:hAnsiTheme="minorHAnsi" w:cstheme="minorBidi"/>
          <w:noProof/>
          <w:sz w:val="22"/>
          <w:szCs w:val="22"/>
          <w:lang w:val="es-ES" w:eastAsia="zh-CN"/>
        </w:rPr>
      </w:pPr>
      <w:hyperlink w:anchor="_Parte_IV_–" w:history="1">
        <w:r w:rsidR="009E14EA" w:rsidRPr="00C73E27">
          <w:t>Parte IV</w:t>
        </w:r>
        <w:r w:rsidR="009E14EA" w:rsidRPr="00C73E27">
          <w:tab/>
          <w:t>Anexos</w:t>
        </w:r>
        <w:r w:rsidR="009E14EA" w:rsidRPr="00C73E27">
          <w:rPr>
            <w:webHidden/>
          </w:rPr>
          <w:tab/>
          <w:t>81</w:t>
        </w:r>
        <w:r w:rsidR="009E14EA" w:rsidRPr="00C73E27">
          <w:t>-89</w:t>
        </w:r>
      </w:hyperlink>
    </w:p>
    <w:bookmarkEnd w:id="19"/>
    <w:p w:rsidR="00716543" w:rsidRPr="00F44EFE" w:rsidRDefault="00716543" w:rsidP="00FB1DA9">
      <w:r w:rsidRPr="00A55B4E">
        <w:rPr>
          <w:lang w:val="es-ES"/>
        </w:rPr>
        <w:br w:type="page"/>
      </w:r>
    </w:p>
    <w:p w:rsidR="009E407A" w:rsidRDefault="009E407A" w:rsidP="00A44ECC">
      <w:pPr>
        <w:rPr>
          <w:lang w:val="es-ES"/>
        </w:rPr>
      </w:pPr>
      <w:bookmarkStart w:id="20" w:name="I_Sintesis"/>
    </w:p>
    <w:bookmarkEnd w:id="20"/>
    <w:p w:rsidR="000E0F4D" w:rsidRPr="000E0F4D" w:rsidRDefault="000E0F4D" w:rsidP="000E0F4D">
      <w:pPr>
        <w:pStyle w:val="Title4"/>
        <w:rPr>
          <w:sz w:val="56"/>
          <w:szCs w:val="56"/>
          <w:lang w:val="es-ES"/>
        </w:rPr>
      </w:pPr>
      <w:r w:rsidRPr="000E0F4D">
        <w:rPr>
          <w:sz w:val="56"/>
          <w:szCs w:val="56"/>
          <w:lang w:val="es-ES"/>
        </w:rPr>
        <w:t xml:space="preserve">PROYECTO DE </w:t>
      </w:r>
      <w:r w:rsidRPr="000E0F4D">
        <w:rPr>
          <w:sz w:val="56"/>
          <w:szCs w:val="56"/>
          <w:lang w:val="es-ES"/>
        </w:rPr>
        <w:br/>
        <w:t>PRESUPUESTO</w:t>
      </w:r>
    </w:p>
    <w:p w:rsidR="000E0F4D" w:rsidRPr="000E0F4D" w:rsidRDefault="000E0F4D" w:rsidP="000E0F4D">
      <w:pPr>
        <w:pStyle w:val="Title4"/>
        <w:rPr>
          <w:sz w:val="40"/>
          <w:szCs w:val="40"/>
          <w:lang w:val="es-ES"/>
        </w:rPr>
      </w:pPr>
      <w:r w:rsidRPr="000E0F4D">
        <w:rPr>
          <w:sz w:val="40"/>
          <w:szCs w:val="40"/>
          <w:lang w:val="es-ES"/>
        </w:rPr>
        <w:t>2020-2021</w:t>
      </w:r>
    </w:p>
    <w:p w:rsidR="000E0F4D" w:rsidRPr="000E0F4D" w:rsidRDefault="000E0F4D" w:rsidP="000E0F4D">
      <w:pPr>
        <w:tabs>
          <w:tab w:val="clear" w:pos="1134"/>
          <w:tab w:val="left" w:pos="1560"/>
        </w:tabs>
        <w:spacing w:before="5040"/>
        <w:rPr>
          <w:b/>
          <w:bCs/>
          <w:sz w:val="36"/>
          <w:szCs w:val="36"/>
          <w:lang w:val="es-ES"/>
        </w:rPr>
      </w:pPr>
      <w:r w:rsidRPr="000E0F4D">
        <w:rPr>
          <w:b/>
          <w:bCs/>
          <w:sz w:val="36"/>
          <w:szCs w:val="36"/>
          <w:lang w:val="es-ES"/>
        </w:rPr>
        <w:t>Parte I</w:t>
      </w:r>
      <w:r w:rsidRPr="000E0F4D">
        <w:rPr>
          <w:b/>
          <w:bCs/>
          <w:sz w:val="36"/>
          <w:szCs w:val="36"/>
          <w:lang w:val="es-ES"/>
        </w:rPr>
        <w:tab/>
        <w:t>Síntesis</w:t>
      </w:r>
    </w:p>
    <w:p w:rsidR="000E0F4D" w:rsidRPr="000E0F4D" w:rsidRDefault="000E0F4D" w:rsidP="000E0F4D">
      <w:pPr>
        <w:tabs>
          <w:tab w:val="clear" w:pos="1134"/>
          <w:tab w:val="left" w:pos="1560"/>
        </w:tabs>
        <w:spacing w:before="360"/>
        <w:rPr>
          <w:color w:val="A6A6A6" w:themeColor="background1" w:themeShade="A6"/>
          <w:sz w:val="28"/>
          <w:szCs w:val="28"/>
          <w:lang w:val="es-ES"/>
        </w:rPr>
      </w:pPr>
      <w:r w:rsidRPr="000E0F4D">
        <w:rPr>
          <w:color w:val="A6A6A6" w:themeColor="background1" w:themeShade="A6"/>
          <w:sz w:val="28"/>
          <w:szCs w:val="28"/>
          <w:lang w:val="es-ES"/>
        </w:rPr>
        <w:t>Parte II</w:t>
      </w:r>
      <w:r w:rsidRPr="000E0F4D">
        <w:rPr>
          <w:color w:val="A6A6A6" w:themeColor="background1" w:themeShade="A6"/>
          <w:sz w:val="28"/>
          <w:szCs w:val="28"/>
          <w:lang w:val="es-ES"/>
        </w:rPr>
        <w:tab/>
        <w:t>Presupuesto basado en resultados para 2020-2021</w:t>
      </w:r>
    </w:p>
    <w:p w:rsidR="000E0F4D" w:rsidRPr="000E0F4D" w:rsidRDefault="000E0F4D" w:rsidP="000E0F4D">
      <w:pPr>
        <w:tabs>
          <w:tab w:val="clear" w:pos="1134"/>
          <w:tab w:val="left" w:pos="1560"/>
        </w:tabs>
        <w:spacing w:before="360"/>
        <w:rPr>
          <w:color w:val="A6A6A6" w:themeColor="background1" w:themeShade="A6"/>
          <w:sz w:val="28"/>
          <w:szCs w:val="28"/>
          <w:lang w:val="es-ES"/>
        </w:rPr>
      </w:pPr>
      <w:r w:rsidRPr="000E0F4D">
        <w:rPr>
          <w:color w:val="A6A6A6" w:themeColor="background1" w:themeShade="A6"/>
          <w:sz w:val="28"/>
          <w:szCs w:val="28"/>
          <w:lang w:val="es-ES"/>
        </w:rPr>
        <w:t>Parte III</w:t>
      </w:r>
      <w:r w:rsidRPr="000E0F4D">
        <w:rPr>
          <w:color w:val="A6A6A6" w:themeColor="background1" w:themeShade="A6"/>
          <w:sz w:val="28"/>
          <w:szCs w:val="28"/>
          <w:lang w:val="es-ES"/>
        </w:rPr>
        <w:tab/>
        <w:t>Presupuesto financiero consolidado para 2020-2021</w:t>
      </w:r>
    </w:p>
    <w:p w:rsidR="000E0F4D" w:rsidRPr="00026E09" w:rsidRDefault="000E0F4D" w:rsidP="000E0F4D">
      <w:pPr>
        <w:tabs>
          <w:tab w:val="clear" w:pos="1134"/>
          <w:tab w:val="left" w:pos="1560"/>
        </w:tabs>
        <w:spacing w:before="360"/>
        <w:rPr>
          <w:color w:val="A6A6A6" w:themeColor="background1" w:themeShade="A6"/>
          <w:sz w:val="28"/>
          <w:szCs w:val="28"/>
          <w:lang w:val="es-ES"/>
        </w:rPr>
      </w:pPr>
      <w:r w:rsidRPr="00026E09">
        <w:rPr>
          <w:color w:val="A6A6A6" w:themeColor="background1" w:themeShade="A6"/>
          <w:sz w:val="28"/>
          <w:szCs w:val="28"/>
          <w:lang w:val="es-ES"/>
        </w:rPr>
        <w:t>Parte IV</w:t>
      </w:r>
      <w:r w:rsidRPr="00026E09">
        <w:rPr>
          <w:color w:val="A6A6A6" w:themeColor="background1" w:themeShade="A6"/>
          <w:sz w:val="28"/>
          <w:szCs w:val="28"/>
          <w:lang w:val="es-ES"/>
        </w:rPr>
        <w:tab/>
        <w:t>Anexos</w:t>
      </w:r>
    </w:p>
    <w:p w:rsidR="00716543" w:rsidRPr="00A44ECC" w:rsidRDefault="00716543" w:rsidP="00A44ECC">
      <w:pPr>
        <w:rPr>
          <w:lang w:val="es-ES"/>
        </w:rPr>
      </w:pPr>
      <w:r w:rsidRPr="00A55B4E">
        <w:rPr>
          <w:lang w:val="es-ES"/>
        </w:rPr>
        <w:br w:type="page"/>
      </w:r>
    </w:p>
    <w:p w:rsidR="00716543" w:rsidRPr="00201F51" w:rsidRDefault="00716543" w:rsidP="009E407A">
      <w:pPr>
        <w:pStyle w:val="Heading1"/>
        <w:spacing w:after="720"/>
        <w:rPr>
          <w:color w:val="00205C"/>
          <w:lang w:val="es-ES"/>
        </w:rPr>
      </w:pPr>
      <w:bookmarkStart w:id="21" w:name="_Parte_I_–"/>
      <w:bookmarkStart w:id="22" w:name="lt_pId016"/>
      <w:bookmarkStart w:id="23" w:name="_Toc7181982"/>
      <w:bookmarkStart w:id="24" w:name="_Toc7518360"/>
      <w:bookmarkEnd w:id="21"/>
      <w:r w:rsidRPr="00201F51">
        <w:rPr>
          <w:color w:val="00205C"/>
          <w:lang w:val="es-ES"/>
        </w:rPr>
        <w:lastRenderedPageBreak/>
        <w:t xml:space="preserve">Parte I – </w:t>
      </w:r>
      <w:bookmarkEnd w:id="22"/>
      <w:r w:rsidRPr="00201F51">
        <w:rPr>
          <w:color w:val="00205C"/>
          <w:lang w:val="es-ES"/>
        </w:rPr>
        <w:t>Síntesis</w:t>
      </w:r>
      <w:bookmarkEnd w:id="23"/>
      <w:bookmarkEnd w:id="24"/>
    </w:p>
    <w:p w:rsidR="009E407A" w:rsidRPr="009E407A" w:rsidRDefault="004E0508" w:rsidP="009E407A">
      <w:pPr>
        <w:pStyle w:val="TOC1"/>
        <w:rPr>
          <w:rFonts w:asciiTheme="minorHAnsi" w:eastAsiaTheme="minorEastAsia" w:hAnsiTheme="minorHAnsi" w:cstheme="minorBidi"/>
          <w:noProof/>
          <w:sz w:val="22"/>
          <w:szCs w:val="22"/>
          <w:lang w:val="es-ES" w:eastAsia="zh-CN"/>
        </w:rPr>
      </w:pPr>
      <w:hyperlink w:anchor="I_Sintesis" w:history="1">
        <w:r w:rsidR="00BC6A1D" w:rsidRPr="009E407A">
          <w:rPr>
            <w:b/>
            <w:bCs/>
            <w:lang w:val="es-ES"/>
          </w:rPr>
          <w:t>I</w:t>
        </w:r>
        <w:r w:rsidR="00BC6A1D" w:rsidRPr="009E407A">
          <w:rPr>
            <w:rFonts w:eastAsiaTheme="minorEastAsia"/>
            <w:b/>
            <w:bCs/>
            <w:lang w:val="es-ES"/>
          </w:rPr>
          <w:tab/>
        </w:r>
        <w:r w:rsidR="00BC6A1D" w:rsidRPr="009E407A">
          <w:rPr>
            <w:b/>
            <w:bCs/>
            <w:lang w:val="es-ES"/>
          </w:rPr>
          <w:t>Síntesis</w:t>
        </w:r>
        <w:r w:rsidR="00BC6A1D" w:rsidRPr="009E407A">
          <w:rPr>
            <w:webHidden/>
          </w:rPr>
          <w:tab/>
        </w:r>
        <w:r w:rsidR="00E15C8A" w:rsidRPr="009E407A">
          <w:rPr>
            <w:webHidden/>
          </w:rPr>
          <w:t>5</w:t>
        </w:r>
      </w:hyperlink>
    </w:p>
    <w:p w:rsidR="009E407A" w:rsidRDefault="009E407A" w:rsidP="009E407A">
      <w:pPr>
        <w:pStyle w:val="TOC1"/>
        <w:rPr>
          <w:rFonts w:asciiTheme="minorHAnsi" w:eastAsiaTheme="minorEastAsia" w:hAnsiTheme="minorHAnsi" w:cstheme="minorBidi"/>
          <w:noProof/>
          <w:sz w:val="22"/>
          <w:szCs w:val="22"/>
          <w:lang w:val="en-US" w:eastAsia="zh-CN"/>
        </w:rPr>
      </w:pPr>
      <w:r>
        <w:rPr>
          <w:lang w:val="es-ES"/>
        </w:rPr>
        <w:fldChar w:fldCharType="begin"/>
      </w:r>
      <w:r>
        <w:rPr>
          <w:lang w:val="es-ES"/>
        </w:rPr>
        <w:instrText xml:space="preserve"> TOC \o "2-2" \h \z </w:instrText>
      </w:r>
      <w:r>
        <w:rPr>
          <w:lang w:val="es-ES"/>
        </w:rPr>
        <w:fldChar w:fldCharType="separate"/>
      </w:r>
      <w:hyperlink w:anchor="_Toc7533950" w:history="1">
        <w:r w:rsidRPr="002C0B79">
          <w:rPr>
            <w:rStyle w:val="Hyperlink"/>
            <w:noProof/>
          </w:rPr>
          <w:t>I.1</w:t>
        </w:r>
        <w:r>
          <w:rPr>
            <w:rFonts w:asciiTheme="minorHAnsi" w:eastAsiaTheme="minorEastAsia" w:hAnsiTheme="minorHAnsi" w:cstheme="minorBidi"/>
            <w:noProof/>
            <w:sz w:val="22"/>
            <w:szCs w:val="22"/>
            <w:lang w:val="en-US" w:eastAsia="zh-CN"/>
          </w:rPr>
          <w:tab/>
        </w:r>
        <w:r w:rsidRPr="002C0B79">
          <w:rPr>
            <w:rStyle w:val="Hyperlink"/>
            <w:noProof/>
          </w:rPr>
          <w:t>Prefacio del Secretario General</w:t>
        </w:r>
        <w:r>
          <w:rPr>
            <w:noProof/>
            <w:webHidden/>
          </w:rPr>
          <w:tab/>
        </w:r>
        <w:r>
          <w:rPr>
            <w:noProof/>
            <w:webHidden/>
          </w:rPr>
          <w:fldChar w:fldCharType="begin"/>
        </w:r>
        <w:r>
          <w:rPr>
            <w:noProof/>
            <w:webHidden/>
          </w:rPr>
          <w:instrText xml:space="preserve"> PAGEREF _Toc7533950 \h </w:instrText>
        </w:r>
        <w:r>
          <w:rPr>
            <w:noProof/>
            <w:webHidden/>
          </w:rPr>
        </w:r>
        <w:r>
          <w:rPr>
            <w:noProof/>
            <w:webHidden/>
          </w:rPr>
          <w:fldChar w:fldCharType="separate"/>
        </w:r>
        <w:r>
          <w:rPr>
            <w:noProof/>
            <w:webHidden/>
          </w:rPr>
          <w:t>7</w:t>
        </w:r>
        <w:r>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1" w:history="1">
        <w:r w:rsidR="009E407A" w:rsidRPr="002C0B79">
          <w:rPr>
            <w:rStyle w:val="Hyperlink"/>
            <w:noProof/>
          </w:rPr>
          <w:t>I.2</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Esquema del presupuesto basado en resultados</w:t>
        </w:r>
        <w:r w:rsidR="009E407A">
          <w:rPr>
            <w:noProof/>
            <w:webHidden/>
          </w:rPr>
          <w:tab/>
        </w:r>
        <w:r w:rsidR="009E407A">
          <w:rPr>
            <w:noProof/>
            <w:webHidden/>
          </w:rPr>
          <w:fldChar w:fldCharType="begin"/>
        </w:r>
        <w:r w:rsidR="009E407A">
          <w:rPr>
            <w:noProof/>
            <w:webHidden/>
          </w:rPr>
          <w:instrText xml:space="preserve"> PAGEREF _Toc7533951 \h </w:instrText>
        </w:r>
        <w:r w:rsidR="009E407A">
          <w:rPr>
            <w:noProof/>
            <w:webHidden/>
          </w:rPr>
        </w:r>
        <w:r w:rsidR="009E407A">
          <w:rPr>
            <w:noProof/>
            <w:webHidden/>
          </w:rPr>
          <w:fldChar w:fldCharType="separate"/>
        </w:r>
        <w:r w:rsidR="009E407A">
          <w:rPr>
            <w:noProof/>
            <w:webHidden/>
          </w:rPr>
          <w:t>8</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2" w:history="1">
        <w:r w:rsidR="009E407A" w:rsidRPr="002C0B79">
          <w:rPr>
            <w:rStyle w:val="Hyperlink"/>
            <w:noProof/>
          </w:rPr>
          <w:t>I.3</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Esquema del presupuesto financiero</w:t>
        </w:r>
        <w:r w:rsidR="009E407A">
          <w:rPr>
            <w:noProof/>
            <w:webHidden/>
          </w:rPr>
          <w:tab/>
        </w:r>
        <w:r w:rsidR="009E407A">
          <w:rPr>
            <w:noProof/>
            <w:webHidden/>
          </w:rPr>
          <w:fldChar w:fldCharType="begin"/>
        </w:r>
        <w:r w:rsidR="009E407A">
          <w:rPr>
            <w:noProof/>
            <w:webHidden/>
          </w:rPr>
          <w:instrText xml:space="preserve"> PAGEREF _Toc7533952 \h </w:instrText>
        </w:r>
        <w:r w:rsidR="009E407A">
          <w:rPr>
            <w:noProof/>
            <w:webHidden/>
          </w:rPr>
        </w:r>
        <w:r w:rsidR="009E407A">
          <w:rPr>
            <w:noProof/>
            <w:webHidden/>
          </w:rPr>
          <w:fldChar w:fldCharType="separate"/>
        </w:r>
        <w:r w:rsidR="009E407A">
          <w:rPr>
            <w:noProof/>
            <w:webHidden/>
          </w:rPr>
          <w:t>10</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3" w:history="1">
        <w:r w:rsidR="009E407A" w:rsidRPr="002C0B79">
          <w:rPr>
            <w:rStyle w:val="Hyperlink"/>
            <w:noProof/>
            <w:lang w:val="es-ES"/>
          </w:rPr>
          <w:t>I.4</w:t>
        </w:r>
        <w:r w:rsidR="009E407A">
          <w:rPr>
            <w:rFonts w:asciiTheme="minorHAnsi" w:eastAsiaTheme="minorEastAsia" w:hAnsiTheme="minorHAnsi" w:cstheme="minorBidi"/>
            <w:noProof/>
            <w:sz w:val="22"/>
            <w:szCs w:val="22"/>
            <w:lang w:val="en-US" w:eastAsia="zh-CN"/>
          </w:rPr>
          <w:tab/>
        </w:r>
        <w:r w:rsidR="009E407A" w:rsidRPr="002C0B79">
          <w:rPr>
            <w:rStyle w:val="Hyperlink"/>
            <w:noProof/>
            <w:lang w:val="es-ES"/>
          </w:rPr>
          <w:t>Variación del programa</w:t>
        </w:r>
        <w:r w:rsidR="009E407A">
          <w:rPr>
            <w:noProof/>
            <w:webHidden/>
          </w:rPr>
          <w:tab/>
        </w:r>
        <w:r w:rsidR="009E407A">
          <w:rPr>
            <w:noProof/>
            <w:webHidden/>
          </w:rPr>
          <w:fldChar w:fldCharType="begin"/>
        </w:r>
        <w:r w:rsidR="009E407A">
          <w:rPr>
            <w:noProof/>
            <w:webHidden/>
          </w:rPr>
          <w:instrText xml:space="preserve"> PAGEREF _Toc7533953 \h </w:instrText>
        </w:r>
        <w:r w:rsidR="009E407A">
          <w:rPr>
            <w:noProof/>
            <w:webHidden/>
          </w:rPr>
        </w:r>
        <w:r w:rsidR="009E407A">
          <w:rPr>
            <w:noProof/>
            <w:webHidden/>
          </w:rPr>
          <w:fldChar w:fldCharType="separate"/>
        </w:r>
        <w:r w:rsidR="009E407A">
          <w:rPr>
            <w:noProof/>
            <w:webHidden/>
          </w:rPr>
          <w:t>10</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4" w:history="1">
        <w:r w:rsidR="009E407A" w:rsidRPr="002C0B79">
          <w:rPr>
            <w:rStyle w:val="Hyperlink"/>
            <w:noProof/>
          </w:rPr>
          <w:t>I.5</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Crecimiento</w:t>
        </w:r>
        <w:r w:rsidR="009E407A">
          <w:rPr>
            <w:noProof/>
            <w:webHidden/>
          </w:rPr>
          <w:tab/>
        </w:r>
        <w:r w:rsidR="009E407A">
          <w:rPr>
            <w:noProof/>
            <w:webHidden/>
          </w:rPr>
          <w:fldChar w:fldCharType="begin"/>
        </w:r>
        <w:r w:rsidR="009E407A">
          <w:rPr>
            <w:noProof/>
            <w:webHidden/>
          </w:rPr>
          <w:instrText xml:space="preserve"> PAGEREF _Toc7533954 \h </w:instrText>
        </w:r>
        <w:r w:rsidR="009E407A">
          <w:rPr>
            <w:noProof/>
            <w:webHidden/>
          </w:rPr>
        </w:r>
        <w:r w:rsidR="009E407A">
          <w:rPr>
            <w:noProof/>
            <w:webHidden/>
          </w:rPr>
          <w:fldChar w:fldCharType="separate"/>
        </w:r>
        <w:r w:rsidR="009E407A">
          <w:rPr>
            <w:noProof/>
            <w:webHidden/>
          </w:rPr>
          <w:t>11</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5" w:history="1">
        <w:r w:rsidR="009E407A" w:rsidRPr="002C0B79">
          <w:rPr>
            <w:rStyle w:val="Hyperlink"/>
            <w:noProof/>
          </w:rPr>
          <w:t>I.6</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Bases e indicadores</w:t>
        </w:r>
        <w:r w:rsidR="009E407A">
          <w:rPr>
            <w:noProof/>
            <w:webHidden/>
          </w:rPr>
          <w:tab/>
        </w:r>
        <w:r w:rsidR="009E407A">
          <w:rPr>
            <w:noProof/>
            <w:webHidden/>
          </w:rPr>
          <w:fldChar w:fldCharType="begin"/>
        </w:r>
        <w:r w:rsidR="009E407A">
          <w:rPr>
            <w:noProof/>
            <w:webHidden/>
          </w:rPr>
          <w:instrText xml:space="preserve"> PAGEREF _Toc7533955 \h </w:instrText>
        </w:r>
        <w:r w:rsidR="009E407A">
          <w:rPr>
            <w:noProof/>
            <w:webHidden/>
          </w:rPr>
        </w:r>
        <w:r w:rsidR="009E407A">
          <w:rPr>
            <w:noProof/>
            <w:webHidden/>
          </w:rPr>
          <w:fldChar w:fldCharType="separate"/>
        </w:r>
        <w:r w:rsidR="009E407A">
          <w:rPr>
            <w:noProof/>
            <w:webHidden/>
          </w:rPr>
          <w:t>11</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6" w:history="1">
        <w:r w:rsidR="009E407A" w:rsidRPr="002C0B79">
          <w:rPr>
            <w:rStyle w:val="Hyperlink"/>
            <w:noProof/>
          </w:rPr>
          <w:t>I.7</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Comparación con el Plan Financiero</w:t>
        </w:r>
        <w:r w:rsidR="009E407A">
          <w:rPr>
            <w:noProof/>
            <w:webHidden/>
          </w:rPr>
          <w:tab/>
        </w:r>
        <w:r w:rsidR="009E407A">
          <w:rPr>
            <w:noProof/>
            <w:webHidden/>
          </w:rPr>
          <w:fldChar w:fldCharType="begin"/>
        </w:r>
        <w:r w:rsidR="009E407A">
          <w:rPr>
            <w:noProof/>
            <w:webHidden/>
          </w:rPr>
          <w:instrText xml:space="preserve"> PAGEREF _Toc7533956 \h </w:instrText>
        </w:r>
        <w:r w:rsidR="009E407A">
          <w:rPr>
            <w:noProof/>
            <w:webHidden/>
          </w:rPr>
        </w:r>
        <w:r w:rsidR="009E407A">
          <w:rPr>
            <w:noProof/>
            <w:webHidden/>
          </w:rPr>
          <w:fldChar w:fldCharType="separate"/>
        </w:r>
        <w:r w:rsidR="009E407A">
          <w:rPr>
            <w:noProof/>
            <w:webHidden/>
          </w:rPr>
          <w:t>12</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7" w:history="1">
        <w:r w:rsidR="009E407A" w:rsidRPr="002C0B79">
          <w:rPr>
            <w:rStyle w:val="Hyperlink"/>
            <w:noProof/>
          </w:rPr>
          <w:t>I.8</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Previsión de ingresos</w:t>
        </w:r>
        <w:r w:rsidR="009E407A">
          <w:rPr>
            <w:noProof/>
            <w:webHidden/>
          </w:rPr>
          <w:tab/>
        </w:r>
        <w:r w:rsidR="009E407A">
          <w:rPr>
            <w:noProof/>
            <w:webHidden/>
          </w:rPr>
          <w:fldChar w:fldCharType="begin"/>
        </w:r>
        <w:r w:rsidR="009E407A">
          <w:rPr>
            <w:noProof/>
            <w:webHidden/>
          </w:rPr>
          <w:instrText xml:space="preserve"> PAGEREF _Toc7533957 \h </w:instrText>
        </w:r>
        <w:r w:rsidR="009E407A">
          <w:rPr>
            <w:noProof/>
            <w:webHidden/>
          </w:rPr>
        </w:r>
        <w:r w:rsidR="009E407A">
          <w:rPr>
            <w:noProof/>
            <w:webHidden/>
          </w:rPr>
          <w:fldChar w:fldCharType="separate"/>
        </w:r>
        <w:r w:rsidR="009E407A">
          <w:rPr>
            <w:noProof/>
            <w:webHidden/>
          </w:rPr>
          <w:t>13</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8" w:history="1">
        <w:r w:rsidR="009E407A" w:rsidRPr="002C0B79">
          <w:rPr>
            <w:rStyle w:val="Hyperlink"/>
            <w:noProof/>
          </w:rPr>
          <w:t>I.9</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Previsión de gastos</w:t>
        </w:r>
        <w:r w:rsidR="009E407A">
          <w:rPr>
            <w:noProof/>
            <w:webHidden/>
          </w:rPr>
          <w:tab/>
        </w:r>
        <w:r w:rsidR="009E407A">
          <w:rPr>
            <w:noProof/>
            <w:webHidden/>
          </w:rPr>
          <w:fldChar w:fldCharType="begin"/>
        </w:r>
        <w:r w:rsidR="009E407A">
          <w:rPr>
            <w:noProof/>
            <w:webHidden/>
          </w:rPr>
          <w:instrText xml:space="preserve"> PAGEREF _Toc7533958 \h </w:instrText>
        </w:r>
        <w:r w:rsidR="009E407A">
          <w:rPr>
            <w:noProof/>
            <w:webHidden/>
          </w:rPr>
        </w:r>
        <w:r w:rsidR="009E407A">
          <w:rPr>
            <w:noProof/>
            <w:webHidden/>
          </w:rPr>
          <w:fldChar w:fldCharType="separate"/>
        </w:r>
        <w:r w:rsidR="009E407A">
          <w:rPr>
            <w:noProof/>
            <w:webHidden/>
          </w:rPr>
          <w:t>16</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59" w:history="1">
        <w:r w:rsidR="009E407A" w:rsidRPr="002C0B79">
          <w:rPr>
            <w:rStyle w:val="Hyperlink"/>
            <w:noProof/>
          </w:rPr>
          <w:t>I.10</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Gastos comunes de la UIT</w:t>
        </w:r>
        <w:r w:rsidR="009E407A">
          <w:rPr>
            <w:noProof/>
            <w:webHidden/>
          </w:rPr>
          <w:tab/>
        </w:r>
        <w:r w:rsidR="009E407A">
          <w:rPr>
            <w:noProof/>
            <w:webHidden/>
          </w:rPr>
          <w:fldChar w:fldCharType="begin"/>
        </w:r>
        <w:r w:rsidR="009E407A">
          <w:rPr>
            <w:noProof/>
            <w:webHidden/>
          </w:rPr>
          <w:instrText xml:space="preserve"> PAGEREF _Toc7533959 \h </w:instrText>
        </w:r>
        <w:r w:rsidR="009E407A">
          <w:rPr>
            <w:noProof/>
            <w:webHidden/>
          </w:rPr>
        </w:r>
        <w:r w:rsidR="009E407A">
          <w:rPr>
            <w:noProof/>
            <w:webHidden/>
          </w:rPr>
          <w:fldChar w:fldCharType="separate"/>
        </w:r>
        <w:r w:rsidR="009E407A">
          <w:rPr>
            <w:noProof/>
            <w:webHidden/>
          </w:rPr>
          <w:t>17</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60" w:history="1">
        <w:r w:rsidR="009E407A" w:rsidRPr="002C0B79">
          <w:rPr>
            <w:rStyle w:val="Hyperlink"/>
            <w:noProof/>
          </w:rPr>
          <w:t>I.11</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Medidas de eficiencia</w:t>
        </w:r>
        <w:r w:rsidR="009E407A">
          <w:rPr>
            <w:noProof/>
            <w:webHidden/>
          </w:rPr>
          <w:tab/>
        </w:r>
        <w:r w:rsidR="009E407A">
          <w:rPr>
            <w:noProof/>
            <w:webHidden/>
          </w:rPr>
          <w:fldChar w:fldCharType="begin"/>
        </w:r>
        <w:r w:rsidR="009E407A">
          <w:rPr>
            <w:noProof/>
            <w:webHidden/>
          </w:rPr>
          <w:instrText xml:space="preserve"> PAGEREF _Toc7533960 \h </w:instrText>
        </w:r>
        <w:r w:rsidR="009E407A">
          <w:rPr>
            <w:noProof/>
            <w:webHidden/>
          </w:rPr>
        </w:r>
        <w:r w:rsidR="009E407A">
          <w:rPr>
            <w:noProof/>
            <w:webHidden/>
          </w:rPr>
          <w:fldChar w:fldCharType="separate"/>
        </w:r>
        <w:r w:rsidR="009E407A">
          <w:rPr>
            <w:noProof/>
            <w:webHidden/>
          </w:rPr>
          <w:t>18</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61" w:history="1">
        <w:r w:rsidR="009E407A" w:rsidRPr="002C0B79">
          <w:rPr>
            <w:rStyle w:val="Hyperlink"/>
            <w:noProof/>
          </w:rPr>
          <w:t>I.12</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Becas</w:t>
        </w:r>
        <w:r w:rsidR="009E407A">
          <w:rPr>
            <w:noProof/>
            <w:webHidden/>
          </w:rPr>
          <w:tab/>
        </w:r>
        <w:r w:rsidR="009E407A">
          <w:rPr>
            <w:noProof/>
            <w:webHidden/>
          </w:rPr>
          <w:fldChar w:fldCharType="begin"/>
        </w:r>
        <w:r w:rsidR="009E407A">
          <w:rPr>
            <w:noProof/>
            <w:webHidden/>
          </w:rPr>
          <w:instrText xml:space="preserve"> PAGEREF _Toc7533961 \h </w:instrText>
        </w:r>
        <w:r w:rsidR="009E407A">
          <w:rPr>
            <w:noProof/>
            <w:webHidden/>
          </w:rPr>
        </w:r>
        <w:r w:rsidR="009E407A">
          <w:rPr>
            <w:noProof/>
            <w:webHidden/>
          </w:rPr>
          <w:fldChar w:fldCharType="separate"/>
        </w:r>
        <w:r w:rsidR="009E407A">
          <w:rPr>
            <w:noProof/>
            <w:webHidden/>
          </w:rPr>
          <w:t>18</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62" w:history="1">
        <w:r w:rsidR="009E407A" w:rsidRPr="002C0B79">
          <w:rPr>
            <w:rStyle w:val="Hyperlink"/>
            <w:noProof/>
          </w:rPr>
          <w:t>I.13</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Idiomas</w:t>
        </w:r>
        <w:r w:rsidR="009E407A">
          <w:rPr>
            <w:noProof/>
            <w:webHidden/>
          </w:rPr>
          <w:tab/>
        </w:r>
        <w:r w:rsidR="009E407A">
          <w:rPr>
            <w:noProof/>
            <w:webHidden/>
          </w:rPr>
          <w:fldChar w:fldCharType="begin"/>
        </w:r>
        <w:r w:rsidR="009E407A">
          <w:rPr>
            <w:noProof/>
            <w:webHidden/>
          </w:rPr>
          <w:instrText xml:space="preserve"> PAGEREF _Toc7533962 \h </w:instrText>
        </w:r>
        <w:r w:rsidR="009E407A">
          <w:rPr>
            <w:noProof/>
            <w:webHidden/>
          </w:rPr>
        </w:r>
        <w:r w:rsidR="009E407A">
          <w:rPr>
            <w:noProof/>
            <w:webHidden/>
          </w:rPr>
          <w:fldChar w:fldCharType="separate"/>
        </w:r>
        <w:r w:rsidR="009E407A">
          <w:rPr>
            <w:noProof/>
            <w:webHidden/>
          </w:rPr>
          <w:t>19</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63" w:history="1">
        <w:r w:rsidR="009E407A" w:rsidRPr="002C0B79">
          <w:rPr>
            <w:rStyle w:val="Hyperlink"/>
            <w:noProof/>
          </w:rPr>
          <w:t>I.14</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Puestos presupuestados</w:t>
        </w:r>
        <w:r w:rsidR="009E407A">
          <w:rPr>
            <w:noProof/>
            <w:webHidden/>
          </w:rPr>
          <w:tab/>
        </w:r>
        <w:r w:rsidR="009E407A">
          <w:rPr>
            <w:noProof/>
            <w:webHidden/>
          </w:rPr>
          <w:fldChar w:fldCharType="begin"/>
        </w:r>
        <w:r w:rsidR="009E407A">
          <w:rPr>
            <w:noProof/>
            <w:webHidden/>
          </w:rPr>
          <w:instrText xml:space="preserve"> PAGEREF _Toc7533963 \h </w:instrText>
        </w:r>
        <w:r w:rsidR="009E407A">
          <w:rPr>
            <w:noProof/>
            <w:webHidden/>
          </w:rPr>
        </w:r>
        <w:r w:rsidR="009E407A">
          <w:rPr>
            <w:noProof/>
            <w:webHidden/>
          </w:rPr>
          <w:fldChar w:fldCharType="separate"/>
        </w:r>
        <w:r w:rsidR="009E407A">
          <w:rPr>
            <w:noProof/>
            <w:webHidden/>
          </w:rPr>
          <w:t>19</w:t>
        </w:r>
        <w:r w:rsidR="009E407A">
          <w:rPr>
            <w:noProof/>
            <w:webHidden/>
          </w:rPr>
          <w:fldChar w:fldCharType="end"/>
        </w:r>
      </w:hyperlink>
    </w:p>
    <w:p w:rsidR="009E407A" w:rsidRDefault="004E0508" w:rsidP="009E407A">
      <w:pPr>
        <w:pStyle w:val="TOC1"/>
        <w:rPr>
          <w:rFonts w:asciiTheme="minorHAnsi" w:eastAsiaTheme="minorEastAsia" w:hAnsiTheme="minorHAnsi" w:cstheme="minorBidi"/>
          <w:noProof/>
          <w:sz w:val="22"/>
          <w:szCs w:val="22"/>
          <w:lang w:val="en-US" w:eastAsia="zh-CN"/>
        </w:rPr>
      </w:pPr>
      <w:hyperlink w:anchor="_Toc7533964" w:history="1">
        <w:r w:rsidR="009E407A" w:rsidRPr="002C0B79">
          <w:rPr>
            <w:rStyle w:val="Hyperlink"/>
            <w:noProof/>
          </w:rPr>
          <w:t>I.15</w:t>
        </w:r>
        <w:r w:rsidR="009E407A">
          <w:rPr>
            <w:rFonts w:asciiTheme="minorHAnsi" w:eastAsiaTheme="minorEastAsia" w:hAnsiTheme="minorHAnsi" w:cstheme="minorBidi"/>
            <w:noProof/>
            <w:sz w:val="22"/>
            <w:szCs w:val="22"/>
            <w:lang w:val="en-US" w:eastAsia="zh-CN"/>
          </w:rPr>
          <w:tab/>
        </w:r>
        <w:r w:rsidR="009E407A" w:rsidRPr="002C0B79">
          <w:rPr>
            <w:rStyle w:val="Hyperlink"/>
            <w:noProof/>
          </w:rPr>
          <w:t>Estructura del documento de presupuesto</w:t>
        </w:r>
        <w:r w:rsidR="009E407A">
          <w:rPr>
            <w:noProof/>
            <w:webHidden/>
          </w:rPr>
          <w:tab/>
        </w:r>
        <w:r w:rsidR="009E407A">
          <w:rPr>
            <w:noProof/>
            <w:webHidden/>
          </w:rPr>
          <w:fldChar w:fldCharType="begin"/>
        </w:r>
        <w:r w:rsidR="009E407A">
          <w:rPr>
            <w:noProof/>
            <w:webHidden/>
          </w:rPr>
          <w:instrText xml:space="preserve"> PAGEREF _Toc7533964 \h </w:instrText>
        </w:r>
        <w:r w:rsidR="009E407A">
          <w:rPr>
            <w:noProof/>
            <w:webHidden/>
          </w:rPr>
        </w:r>
        <w:r w:rsidR="009E407A">
          <w:rPr>
            <w:noProof/>
            <w:webHidden/>
          </w:rPr>
          <w:fldChar w:fldCharType="separate"/>
        </w:r>
        <w:r w:rsidR="009E407A">
          <w:rPr>
            <w:noProof/>
            <w:webHidden/>
          </w:rPr>
          <w:t>21</w:t>
        </w:r>
        <w:r w:rsidR="009E407A">
          <w:rPr>
            <w:noProof/>
            <w:webHidden/>
          </w:rPr>
          <w:fldChar w:fldCharType="end"/>
        </w:r>
      </w:hyperlink>
    </w:p>
    <w:p w:rsidR="00716543" w:rsidRPr="009E407A" w:rsidRDefault="009E407A" w:rsidP="009E407A">
      <w:pPr>
        <w:pStyle w:val="TOC1"/>
        <w:rPr>
          <w:lang w:val="es-ES"/>
        </w:rPr>
      </w:pPr>
      <w:r>
        <w:rPr>
          <w:lang w:val="es-ES"/>
        </w:rPr>
        <w:fldChar w:fldCharType="end"/>
      </w:r>
      <w:r w:rsidR="00716543" w:rsidRPr="00A55B4E">
        <w:rPr>
          <w:lang w:val="es-ES"/>
        </w:rPr>
        <w:br w:type="page"/>
      </w:r>
    </w:p>
    <w:p w:rsidR="00716543" w:rsidRPr="00E11EF8" w:rsidRDefault="00716543" w:rsidP="00740D17">
      <w:pPr>
        <w:pStyle w:val="Heading2"/>
      </w:pPr>
      <w:bookmarkStart w:id="25" w:name="_I.1_Prefacio_del"/>
      <w:bookmarkStart w:id="26" w:name="lt_pId064"/>
      <w:bookmarkStart w:id="27" w:name="_Toc7181983"/>
      <w:bookmarkStart w:id="28" w:name="_Toc7518361"/>
      <w:bookmarkStart w:id="29" w:name="_Toc7533950"/>
      <w:bookmarkStart w:id="30" w:name="_Toc7534659"/>
      <w:bookmarkEnd w:id="25"/>
      <w:r w:rsidRPr="00E11EF8">
        <w:lastRenderedPageBreak/>
        <w:t>I.1</w:t>
      </w:r>
      <w:bookmarkStart w:id="31" w:name="Forward"/>
      <w:bookmarkStart w:id="32" w:name="_Toc481153727"/>
      <w:bookmarkStart w:id="33" w:name="_Toc481153796"/>
      <w:r w:rsidRPr="00E11EF8">
        <w:tab/>
        <w:t>Prefacio del Secretario</w:t>
      </w:r>
      <w:bookmarkEnd w:id="31"/>
      <w:r w:rsidRPr="00E11EF8">
        <w:t xml:space="preserve"> General</w:t>
      </w:r>
      <w:bookmarkEnd w:id="26"/>
      <w:bookmarkEnd w:id="27"/>
      <w:bookmarkEnd w:id="28"/>
      <w:bookmarkEnd w:id="29"/>
      <w:bookmarkEnd w:id="30"/>
      <w:bookmarkEnd w:id="32"/>
      <w:bookmarkEnd w:id="33"/>
    </w:p>
    <w:p w:rsidR="00716543" w:rsidRPr="005B43AB" w:rsidRDefault="00716543" w:rsidP="00740D17">
      <w:pPr>
        <w:rPr>
          <w:lang w:val="es-ES"/>
        </w:rPr>
      </w:pPr>
      <w:bookmarkStart w:id="34" w:name="lt_pId065"/>
      <w:r w:rsidRPr="005B43AB">
        <w:rPr>
          <w:lang w:val="es-ES"/>
        </w:rPr>
        <w:t>I.1.1</w:t>
      </w:r>
      <w:bookmarkEnd w:id="34"/>
      <w:r w:rsidRPr="005B43AB">
        <w:rPr>
          <w:lang w:val="es-ES"/>
        </w:rPr>
        <w:tab/>
      </w:r>
      <w:bookmarkStart w:id="35" w:name="lt_pId066"/>
      <w:r w:rsidRPr="005B43AB">
        <w:rPr>
          <w:lang w:val="es-ES"/>
        </w:rPr>
        <w:t>Han pasado más de 20 años desde que asumí por primera vez las funciones oficiales como funcionario de elección de la UIT. He utilizado esta oportunidad para estudiar en profundidad la Unión, sus fuerzas y sus debilidades, las fuerzas que están empujando a la industria hacia adelante y las cambiantes expectativas de nuestros Miembros.</w:t>
      </w:r>
    </w:p>
    <w:p w:rsidR="00716543" w:rsidRPr="005B43AB" w:rsidRDefault="00716543" w:rsidP="00EF1726">
      <w:pPr>
        <w:rPr>
          <w:lang w:val="es-ES"/>
        </w:rPr>
      </w:pPr>
      <w:bookmarkStart w:id="36" w:name="lt_pId068"/>
      <w:bookmarkEnd w:id="35"/>
      <w:r w:rsidRPr="005B43AB">
        <w:rPr>
          <w:lang w:val="es-ES"/>
        </w:rPr>
        <w:t>I.1.2</w:t>
      </w:r>
      <w:bookmarkEnd w:id="36"/>
      <w:r w:rsidRPr="005B43AB">
        <w:rPr>
          <w:lang w:val="es-ES"/>
        </w:rPr>
        <w:tab/>
      </w:r>
      <w:bookmarkStart w:id="37" w:name="lt_pId069"/>
      <w:r w:rsidRPr="005B43AB">
        <w:rPr>
          <w:lang w:val="es-ES"/>
        </w:rPr>
        <w:t xml:space="preserve">En base a mis observaciones, y de conformidad con los resultados de la PP-2018, he decidido poner énfasis en las siguientes cuestiones esenciales en la preparación del proyecto de </w:t>
      </w:r>
      <w:r w:rsidR="00EF1726">
        <w:rPr>
          <w:lang w:val="es-ES"/>
        </w:rPr>
        <w:t>p</w:t>
      </w:r>
      <w:r w:rsidR="00C847B9" w:rsidRPr="005B43AB">
        <w:rPr>
          <w:lang w:val="es-ES"/>
        </w:rPr>
        <w:t xml:space="preserve">resupuesto </w:t>
      </w:r>
      <w:r w:rsidRPr="005B43AB">
        <w:rPr>
          <w:lang w:val="es-ES"/>
        </w:rPr>
        <w:t>para 2020</w:t>
      </w:r>
      <w:r>
        <w:rPr>
          <w:lang w:val="es-ES"/>
        </w:rPr>
        <w:noBreakHyphen/>
      </w:r>
      <w:r w:rsidRPr="005B43AB">
        <w:rPr>
          <w:lang w:val="es-ES"/>
        </w:rPr>
        <w:t>2021:</w:t>
      </w:r>
      <w:bookmarkEnd w:id="37"/>
    </w:p>
    <w:p w:rsidR="00716543" w:rsidRPr="005B43AB" w:rsidRDefault="00716543" w:rsidP="00740D17">
      <w:pPr>
        <w:pStyle w:val="enumlev1"/>
        <w:rPr>
          <w:lang w:val="es-ES"/>
        </w:rPr>
      </w:pPr>
      <w:bookmarkStart w:id="38" w:name="lt_pId071"/>
      <w:r w:rsidRPr="005B43AB">
        <w:rPr>
          <w:lang w:val="es-ES"/>
        </w:rPr>
        <w:t>•</w:t>
      </w:r>
      <w:r w:rsidRPr="005B43AB">
        <w:rPr>
          <w:lang w:val="es-ES"/>
        </w:rPr>
        <w:tab/>
        <w:t>Introducción de medidas transectoriales para optimizar la utilización de los recursos y simplificar y racionalizar los flujos de trabajo y los procesos mediante la recentralización de servicios financieros y administrativos, entre otros</w:t>
      </w:r>
      <w:r>
        <w:rPr>
          <w:lang w:val="es-ES"/>
        </w:rPr>
        <w:t>.</w:t>
      </w:r>
    </w:p>
    <w:p w:rsidR="00716543" w:rsidRPr="005B43AB" w:rsidRDefault="00716543" w:rsidP="00740D17">
      <w:pPr>
        <w:pStyle w:val="enumlev1"/>
      </w:pPr>
      <w:bookmarkStart w:id="39" w:name="lt_pId072"/>
      <w:bookmarkEnd w:id="38"/>
      <w:r w:rsidRPr="005B43AB">
        <w:t>•</w:t>
      </w:r>
      <w:r w:rsidRPr="005B43AB">
        <w:tab/>
        <w:t>Continuación, supervisión y mejora de las medidas de eficiencia descritas en el Anexo 2 de la Decisión 5 y, cuando sea posible, identificación de otras nuevas</w:t>
      </w:r>
      <w:bookmarkEnd w:id="39"/>
      <w:r>
        <w:t>.</w:t>
      </w:r>
    </w:p>
    <w:p w:rsidR="00716543" w:rsidRPr="005B43AB" w:rsidRDefault="00716543" w:rsidP="00740D17">
      <w:pPr>
        <w:pStyle w:val="enumlev1"/>
      </w:pPr>
      <w:bookmarkStart w:id="40" w:name="lt_pId073"/>
      <w:r w:rsidRPr="005B43AB">
        <w:t>•</w:t>
      </w:r>
      <w:r w:rsidRPr="005B43AB">
        <w:tab/>
        <w:t>Búsqueda de vías innovadoras para racionalizar los costes internos, optimizar la utilización de recursos y mejorar la eficiencia.</w:t>
      </w:r>
    </w:p>
    <w:p w:rsidR="00716543" w:rsidRPr="00E11EF8" w:rsidRDefault="00716543" w:rsidP="00E47C1A">
      <w:pPr>
        <w:rPr>
          <w:lang w:val="es-ES"/>
        </w:rPr>
      </w:pPr>
      <w:bookmarkStart w:id="41" w:name="lt_pId074"/>
      <w:bookmarkEnd w:id="40"/>
      <w:r w:rsidRPr="00E11EF8">
        <w:rPr>
          <w:lang w:val="es-ES"/>
        </w:rPr>
        <w:t>I.1.3</w:t>
      </w:r>
      <w:bookmarkEnd w:id="41"/>
      <w:r w:rsidRPr="00E11EF8">
        <w:rPr>
          <w:lang w:val="es-ES"/>
        </w:rPr>
        <w:tab/>
      </w:r>
      <w:bookmarkStart w:id="42" w:name="lt_pId075"/>
      <w:r w:rsidRPr="005B43AB">
        <w:rPr>
          <w:lang w:val="es-ES"/>
        </w:rPr>
        <w:t>Durante el periodo 2020-2021, se celebrarán tres eventos importantes, la Asamblea Mundial de Normalización de las Telecomunicaciones en 2020, el Foro Mundial de Política de las Telecomunicaciones en 2021 y la Conferencia Mundial de Desarrollo de las Telecomunicaciones en</w:t>
      </w:r>
      <w:r w:rsidR="00E47C1A">
        <w:rPr>
          <w:lang w:val="es-ES"/>
        </w:rPr>
        <w:t> </w:t>
      </w:r>
      <w:r w:rsidRPr="005B43AB">
        <w:rPr>
          <w:lang w:val="es-ES"/>
        </w:rPr>
        <w:t>2021.</w:t>
      </w:r>
    </w:p>
    <w:p w:rsidR="00716543" w:rsidRPr="00E11EF8" w:rsidRDefault="00716543" w:rsidP="00EF1726">
      <w:pPr>
        <w:rPr>
          <w:lang w:val="es-ES"/>
        </w:rPr>
      </w:pPr>
      <w:bookmarkStart w:id="43" w:name="lt_pId076"/>
      <w:bookmarkEnd w:id="42"/>
      <w:r w:rsidRPr="00E11EF8">
        <w:rPr>
          <w:lang w:val="es-ES"/>
        </w:rPr>
        <w:t>I.1.4</w:t>
      </w:r>
      <w:bookmarkEnd w:id="43"/>
      <w:r w:rsidRPr="00E11EF8">
        <w:rPr>
          <w:lang w:val="es-ES"/>
        </w:rPr>
        <w:tab/>
      </w:r>
      <w:bookmarkStart w:id="44" w:name="lt_pId077"/>
      <w:r w:rsidRPr="005B43AB">
        <w:rPr>
          <w:lang w:val="es-ES"/>
        </w:rPr>
        <w:t xml:space="preserve">El proyecto de </w:t>
      </w:r>
      <w:r w:rsidR="00EF1726">
        <w:rPr>
          <w:lang w:val="es-ES"/>
        </w:rPr>
        <w:t>p</w:t>
      </w:r>
      <w:r w:rsidR="00C847B9" w:rsidRPr="005B43AB">
        <w:rPr>
          <w:lang w:val="es-ES"/>
        </w:rPr>
        <w:t xml:space="preserve">resupuesto </w:t>
      </w:r>
      <w:r w:rsidRPr="005B43AB">
        <w:rPr>
          <w:lang w:val="es-ES"/>
        </w:rPr>
        <w:t xml:space="preserve">para </w:t>
      </w:r>
      <w:r w:rsidRPr="00E11EF8">
        <w:rPr>
          <w:lang w:val="es-ES"/>
        </w:rPr>
        <w:t xml:space="preserve">2020-2021 </w:t>
      </w:r>
      <w:r w:rsidRPr="005B43AB">
        <w:rPr>
          <w:lang w:val="es-ES"/>
        </w:rPr>
        <w:t>está equilibrado, los ingresos son iguales a los gastos, no exige detracciones de la Cuenta de Provisión y se basa en un crecimiento nominal cero del importe de la unidad contributiva de los Estados Miembros.</w:t>
      </w:r>
      <w:bookmarkEnd w:id="44"/>
    </w:p>
    <w:p w:rsidR="00716543" w:rsidRPr="00E11EF8" w:rsidRDefault="00716543" w:rsidP="00EF1726">
      <w:pPr>
        <w:rPr>
          <w:lang w:val="es-ES"/>
        </w:rPr>
      </w:pPr>
      <w:bookmarkStart w:id="45" w:name="lt_pId078"/>
      <w:r w:rsidRPr="00E11EF8">
        <w:rPr>
          <w:lang w:val="es-ES"/>
        </w:rPr>
        <w:t>I.1.5</w:t>
      </w:r>
      <w:bookmarkEnd w:id="45"/>
      <w:r w:rsidRPr="00E11EF8">
        <w:rPr>
          <w:lang w:val="es-ES"/>
        </w:rPr>
        <w:tab/>
      </w:r>
      <w:bookmarkStart w:id="46" w:name="lt_pId079"/>
      <w:r w:rsidRPr="005B43AB">
        <w:rPr>
          <w:lang w:val="es-ES"/>
        </w:rPr>
        <w:t xml:space="preserve">El proyecto de </w:t>
      </w:r>
      <w:r w:rsidR="00EF1726">
        <w:rPr>
          <w:lang w:val="es-ES"/>
        </w:rPr>
        <w:t>p</w:t>
      </w:r>
      <w:r w:rsidR="00C847B9" w:rsidRPr="005B43AB">
        <w:rPr>
          <w:lang w:val="es-ES"/>
        </w:rPr>
        <w:t xml:space="preserve">resupuesto </w:t>
      </w:r>
      <w:r w:rsidRPr="005B43AB">
        <w:rPr>
          <w:lang w:val="es-ES"/>
        </w:rPr>
        <w:t>para 2020-2021 se presentó a la novena reunión del Grupo de Trabajo del Consejo sobre Recursos Humanos y Financieros, que se celebró del</w:t>
      </w:r>
      <w:r>
        <w:rPr>
          <w:lang w:val="es-ES"/>
        </w:rPr>
        <w:t> </w:t>
      </w:r>
      <w:r w:rsidRPr="005B43AB">
        <w:rPr>
          <w:lang w:val="es-ES"/>
        </w:rPr>
        <w:t>29 al 30 de enero de 2019. Un resumen de los debates figura en el Informe del Presidente del GTC</w:t>
      </w:r>
      <w:r w:rsidRPr="005B43AB">
        <w:rPr>
          <w:lang w:val="es-ES"/>
        </w:rPr>
        <w:noBreakHyphen/>
        <w:t xml:space="preserve">RHF al Consejo (véase el Documento </w:t>
      </w:r>
      <w:r w:rsidRPr="00E11EF8">
        <w:rPr>
          <w:lang w:val="es-ES"/>
        </w:rPr>
        <w:t>C19/50).</w:t>
      </w:r>
      <w:bookmarkEnd w:id="46"/>
    </w:p>
    <w:p w:rsidR="00716543" w:rsidRPr="005B43AB" w:rsidRDefault="00716543" w:rsidP="00E47C1A">
      <w:pPr>
        <w:rPr>
          <w:lang w:val="es-ES"/>
        </w:rPr>
      </w:pPr>
      <w:bookmarkStart w:id="47" w:name="lt_pId081"/>
      <w:r w:rsidRPr="005B43AB">
        <w:rPr>
          <w:lang w:val="es-ES"/>
        </w:rPr>
        <w:t>I.1.6</w:t>
      </w:r>
      <w:bookmarkEnd w:id="47"/>
      <w:r w:rsidRPr="005B43AB">
        <w:rPr>
          <w:lang w:val="es-ES"/>
        </w:rPr>
        <w:tab/>
      </w:r>
      <w:bookmarkStart w:id="48" w:name="lt_pId082"/>
      <w:r w:rsidRPr="005B43AB">
        <w:rPr>
          <w:lang w:val="es-ES"/>
        </w:rPr>
        <w:t xml:space="preserve">Tengo, por lo tanto, el honor de presentar al Consejo el proyecto de </w:t>
      </w:r>
      <w:r w:rsidR="00EF1726">
        <w:rPr>
          <w:lang w:val="es-ES"/>
        </w:rPr>
        <w:t>p</w:t>
      </w:r>
      <w:r w:rsidR="00C847B9" w:rsidRPr="005B43AB">
        <w:rPr>
          <w:lang w:val="es-ES"/>
        </w:rPr>
        <w:t xml:space="preserve">resupuesto </w:t>
      </w:r>
      <w:r w:rsidRPr="005B43AB">
        <w:rPr>
          <w:lang w:val="es-ES"/>
        </w:rPr>
        <w:t xml:space="preserve">para </w:t>
      </w:r>
      <w:bookmarkStart w:id="49" w:name="lt_pId083"/>
      <w:bookmarkEnd w:id="48"/>
      <w:r w:rsidRPr="005B43AB">
        <w:rPr>
          <w:lang w:val="es-ES"/>
        </w:rPr>
        <w:t>2020-2021 para su examen y posterior aprobación del proyecto de Resolución incluida en la Parte</w:t>
      </w:r>
      <w:r w:rsidR="00E47C1A">
        <w:rPr>
          <w:lang w:val="es-ES"/>
        </w:rPr>
        <w:t> </w:t>
      </w:r>
      <w:r w:rsidRPr="005B43AB">
        <w:rPr>
          <w:lang w:val="es-ES"/>
        </w:rPr>
        <w:t>3</w:t>
      </w:r>
      <w:r>
        <w:rPr>
          <w:lang w:val="es-ES"/>
        </w:rPr>
        <w:t xml:space="preserve"> del presente documento.</w:t>
      </w:r>
    </w:p>
    <w:p w:rsidR="00716543" w:rsidRPr="00E11EF8" w:rsidRDefault="00716543" w:rsidP="00740D17">
      <w:pPr>
        <w:spacing w:before="720"/>
        <w:rPr>
          <w:lang w:val="es-ES"/>
        </w:rPr>
      </w:pPr>
      <w:bookmarkStart w:id="50" w:name="lt_pId084"/>
      <w:bookmarkEnd w:id="49"/>
      <w:r w:rsidRPr="00E11EF8">
        <w:rPr>
          <w:lang w:val="es-ES"/>
        </w:rPr>
        <w:t>Houlin Zhao</w:t>
      </w:r>
      <w:bookmarkEnd w:id="50"/>
      <w:r>
        <w:rPr>
          <w:lang w:val="es-ES"/>
        </w:rPr>
        <w:br/>
      </w:r>
      <w:r w:rsidRPr="00E11EF8">
        <w:rPr>
          <w:lang w:val="es-ES"/>
        </w:rPr>
        <w:t>Secretario General</w:t>
      </w:r>
    </w:p>
    <w:p w:rsidR="00716543" w:rsidRPr="00A55B4E" w:rsidRDefault="00716543" w:rsidP="00740D17">
      <w:pPr>
        <w:rPr>
          <w:lang w:val="es-ES"/>
        </w:rPr>
      </w:pPr>
    </w:p>
    <w:p w:rsidR="00716543" w:rsidRPr="00A55B4E" w:rsidRDefault="00716543" w:rsidP="00740D17">
      <w:pPr>
        <w:pStyle w:val="enumlev1"/>
        <w:tabs>
          <w:tab w:val="left" w:pos="1080"/>
        </w:tabs>
        <w:ind w:left="0" w:firstLine="0"/>
        <w:jc w:val="both"/>
        <w:rPr>
          <w:rFonts w:asciiTheme="minorHAnsi" w:hAnsiTheme="minorHAnsi"/>
          <w:sz w:val="20"/>
          <w:lang w:val="es-ES"/>
        </w:rPr>
        <w:sectPr w:rsidR="00716543" w:rsidRPr="00A55B4E" w:rsidSect="00A44ECC">
          <w:footerReference w:type="default" r:id="rId17"/>
          <w:footerReference w:type="first" r:id="rId18"/>
          <w:type w:val="oddPage"/>
          <w:pgSz w:w="11907" w:h="16834"/>
          <w:pgMar w:top="1418" w:right="1134" w:bottom="1418" w:left="1134" w:header="720" w:footer="720" w:gutter="0"/>
          <w:paperSrc w:first="15" w:other="15"/>
          <w:cols w:space="720"/>
          <w:titlePg/>
        </w:sectPr>
      </w:pPr>
    </w:p>
    <w:p w:rsidR="00716543" w:rsidRPr="00E11EF8" w:rsidRDefault="00716543" w:rsidP="00740D17">
      <w:pPr>
        <w:pStyle w:val="Heading2"/>
      </w:pPr>
      <w:bookmarkStart w:id="51" w:name="_I.2_Esquema_del"/>
      <w:bookmarkStart w:id="52" w:name="lt_pId086"/>
      <w:bookmarkStart w:id="53" w:name="_Toc7181984"/>
      <w:bookmarkStart w:id="54" w:name="_Toc7518362"/>
      <w:bookmarkStart w:id="55" w:name="_Toc7533951"/>
      <w:bookmarkStart w:id="56" w:name="_Toc7534660"/>
      <w:bookmarkEnd w:id="51"/>
      <w:r w:rsidRPr="00E11EF8">
        <w:lastRenderedPageBreak/>
        <w:t>I.2</w:t>
      </w:r>
      <w:bookmarkEnd w:id="52"/>
      <w:r w:rsidRPr="00E11EF8">
        <w:tab/>
      </w:r>
      <w:bookmarkStart w:id="57" w:name="lt_pId087"/>
      <w:r w:rsidRPr="00E11EF8">
        <w:t xml:space="preserve">Esquema </w:t>
      </w:r>
      <w:bookmarkEnd w:id="57"/>
      <w:r w:rsidRPr="00E11EF8">
        <w:t>del presupuesto basado en resultados</w:t>
      </w:r>
      <w:bookmarkEnd w:id="53"/>
      <w:bookmarkEnd w:id="54"/>
      <w:bookmarkEnd w:id="55"/>
      <w:bookmarkEnd w:id="56"/>
    </w:p>
    <w:p w:rsidR="00716543" w:rsidRPr="006A0B14" w:rsidRDefault="00716543" w:rsidP="00EF1726">
      <w:pPr>
        <w:rPr>
          <w:lang w:val="es-ES"/>
        </w:rPr>
      </w:pPr>
      <w:bookmarkStart w:id="58" w:name="lt_pId088"/>
      <w:r w:rsidRPr="006A0B14">
        <w:rPr>
          <w:lang w:val="es-ES"/>
        </w:rPr>
        <w:t>I.2.1</w:t>
      </w:r>
      <w:bookmarkEnd w:id="58"/>
      <w:r w:rsidRPr="006A0B14">
        <w:rPr>
          <w:lang w:val="es-ES"/>
        </w:rPr>
        <w:tab/>
      </w:r>
      <w:bookmarkStart w:id="59" w:name="lt_pId089"/>
      <w:r w:rsidRPr="006A0B14">
        <w:rPr>
          <w:lang w:val="es-ES"/>
        </w:rPr>
        <w:t xml:space="preserve">El proyecto de </w:t>
      </w:r>
      <w:r w:rsidR="00EF1726">
        <w:rPr>
          <w:lang w:val="es-ES"/>
        </w:rPr>
        <w:t>p</w:t>
      </w:r>
      <w:r w:rsidR="00C847B9" w:rsidRPr="006A0B14">
        <w:rPr>
          <w:lang w:val="es-ES"/>
        </w:rPr>
        <w:t xml:space="preserve">resupuesto </w:t>
      </w:r>
      <w:r w:rsidRPr="006A0B14">
        <w:rPr>
          <w:lang w:val="es-ES"/>
        </w:rPr>
        <w:t>para 2020-2021 incluye asignaciones para la ejecución de 5</w:t>
      </w:r>
      <w:r>
        <w:rPr>
          <w:lang w:val="es-ES"/>
        </w:rPr>
        <w:t> </w:t>
      </w:r>
      <w:r w:rsidRPr="006A0B14">
        <w:rPr>
          <w:lang w:val="es-ES"/>
        </w:rPr>
        <w:t>metas estratégicas, 18 objetivos estratégicos y 70 productos. También prevé la atribución de un nivel adecuado de recursos para los servicios administrativos y de apoyo, tanto en las Oficinas como en la Secretaría General.</w:t>
      </w:r>
    </w:p>
    <w:p w:rsidR="00716543" w:rsidRDefault="00716543" w:rsidP="00EF1726">
      <w:pPr>
        <w:rPr>
          <w:lang w:val="es-ES"/>
        </w:rPr>
      </w:pPr>
      <w:bookmarkStart w:id="60" w:name="lt_pId091"/>
      <w:bookmarkEnd w:id="59"/>
      <w:r w:rsidRPr="006A0B14">
        <w:rPr>
          <w:lang w:val="es-ES"/>
        </w:rPr>
        <w:t>I.2.2</w:t>
      </w:r>
      <w:bookmarkEnd w:id="60"/>
      <w:r w:rsidRPr="006A0B14">
        <w:rPr>
          <w:lang w:val="es-ES"/>
        </w:rPr>
        <w:tab/>
      </w:r>
      <w:bookmarkStart w:id="61" w:name="lt_pId092"/>
      <w:r w:rsidRPr="006A0B14">
        <w:rPr>
          <w:lang w:val="es-ES"/>
        </w:rPr>
        <w:t xml:space="preserve">El proyecto de </w:t>
      </w:r>
      <w:r w:rsidR="00EF1726">
        <w:rPr>
          <w:lang w:val="es-ES"/>
        </w:rPr>
        <w:t>p</w:t>
      </w:r>
      <w:r w:rsidR="00C847B9" w:rsidRPr="006A0B14">
        <w:rPr>
          <w:lang w:val="es-ES"/>
        </w:rPr>
        <w:t xml:space="preserve">resupuesto </w:t>
      </w:r>
      <w:r w:rsidRPr="006A0B14">
        <w:rPr>
          <w:lang w:val="es-ES"/>
        </w:rPr>
        <w:t>para 2020-2021 alcanza 330</w:t>
      </w:r>
      <w:r>
        <w:rPr>
          <w:lang w:val="es-ES"/>
        </w:rPr>
        <w:t>,</w:t>
      </w:r>
      <w:r w:rsidRPr="006A0B14">
        <w:rPr>
          <w:lang w:val="es-ES"/>
        </w:rPr>
        <w:t>969 millones CHF y la distribución de este presupuesto basado en resultados, por metas, se muestra en la Figura A</w:t>
      </w:r>
      <w:bookmarkEnd w:id="61"/>
      <w:r w:rsidRPr="006A0B14">
        <w:rPr>
          <w:lang w:val="es-ES"/>
        </w:rPr>
        <w:t>:</w:t>
      </w:r>
    </w:p>
    <w:p w:rsidR="00716543" w:rsidRPr="006A0B14" w:rsidRDefault="00716543" w:rsidP="00740D17">
      <w:pPr>
        <w:pStyle w:val="Figure"/>
        <w:rPr>
          <w:lang w:val="es-ES"/>
        </w:rPr>
      </w:pPr>
      <w:r>
        <w:rPr>
          <w:noProof/>
          <w:lang w:val="en-GB" w:eastAsia="zh-CN"/>
        </w:rPr>
        <w:drawing>
          <wp:inline distT="0" distB="0" distL="0" distR="0">
            <wp:extent cx="5515200" cy="3607200"/>
            <wp:effectExtent l="0" t="0" r="0" b="0"/>
            <wp:docPr id="69" name="Picture 69" descr="C:\Users\hernandf\AppData\Local\Microsoft\Windows\INetCache\Content.Word\Grafic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ernandf\AppData\Local\Microsoft\Windows\INetCache\Content.Word\Grafico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5200" cy="3607200"/>
                    </a:xfrm>
                    <a:prstGeom prst="rect">
                      <a:avLst/>
                    </a:prstGeom>
                    <a:noFill/>
                    <a:ln>
                      <a:noFill/>
                    </a:ln>
                  </pic:spPr>
                </pic:pic>
              </a:graphicData>
            </a:graphic>
          </wp:inline>
        </w:drawing>
      </w:r>
    </w:p>
    <w:p w:rsidR="00716543" w:rsidRPr="006A0B14" w:rsidRDefault="00716543" w:rsidP="00740D17">
      <w:pPr>
        <w:pStyle w:val="Normalaftertitle"/>
        <w:rPr>
          <w:lang w:val="es-ES"/>
        </w:rPr>
      </w:pPr>
      <w:bookmarkStart w:id="62" w:name="lt_pId093"/>
      <w:r w:rsidRPr="006A0B14">
        <w:rPr>
          <w:lang w:val="es-ES"/>
        </w:rPr>
        <w:t>I.2.3</w:t>
      </w:r>
      <w:bookmarkEnd w:id="62"/>
      <w:r w:rsidRPr="006A0B14">
        <w:rPr>
          <w:lang w:val="es-ES"/>
        </w:rPr>
        <w:tab/>
      </w:r>
      <w:bookmarkStart w:id="63" w:name="lt_pId094"/>
      <w:r w:rsidRPr="006A0B14">
        <w:rPr>
          <w:lang w:val="es-ES"/>
        </w:rPr>
        <w:t>En el Cuadro A siguiente se indica la utilización real de los recursos por metas, después de la atribución de los servicios administrativos y centralizados así como de los servicios de apoyo de las Oficinas a los productos, objetivos y metas pertinentes.</w:t>
      </w:r>
      <w:bookmarkEnd w:id="63"/>
    </w:p>
    <w:p w:rsidR="00716543" w:rsidRDefault="00716543" w:rsidP="00740D17">
      <w:pPr>
        <w:pStyle w:val="Figure"/>
        <w:keepNext w:val="0"/>
        <w:keepLines w:val="0"/>
      </w:pPr>
      <w:bookmarkStart w:id="64" w:name="lt_pId095"/>
      <w:r w:rsidRPr="00B44260">
        <w:rPr>
          <w:noProof/>
          <w:lang w:val="en-GB" w:eastAsia="zh-CN"/>
        </w:rPr>
        <w:drawing>
          <wp:inline distT="0" distB="0" distL="0" distR="0">
            <wp:extent cx="5061600" cy="2498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1600" cy="2498400"/>
                    </a:xfrm>
                    <a:prstGeom prst="rect">
                      <a:avLst/>
                    </a:prstGeom>
                    <a:noFill/>
                    <a:ln>
                      <a:noFill/>
                    </a:ln>
                  </pic:spPr>
                </pic:pic>
              </a:graphicData>
            </a:graphic>
          </wp:inline>
        </w:drawing>
      </w:r>
    </w:p>
    <w:p w:rsidR="00716543" w:rsidRDefault="00716543" w:rsidP="00740D17">
      <w:r>
        <w:br w:type="page"/>
      </w:r>
    </w:p>
    <w:p w:rsidR="00716543" w:rsidRDefault="00716543" w:rsidP="00EF1726">
      <w:pPr>
        <w:pStyle w:val="Normalaftertitle"/>
        <w:rPr>
          <w:lang w:val="es-ES"/>
        </w:rPr>
      </w:pPr>
      <w:r w:rsidRPr="006A0B14">
        <w:rPr>
          <w:lang w:val="es-ES"/>
        </w:rPr>
        <w:lastRenderedPageBreak/>
        <w:t>I.2.4</w:t>
      </w:r>
      <w:bookmarkEnd w:id="64"/>
      <w:r w:rsidRPr="006A0B14">
        <w:rPr>
          <w:lang w:val="es-ES"/>
        </w:rPr>
        <w:tab/>
      </w:r>
      <w:bookmarkStart w:id="65" w:name="lt_pId096"/>
      <w:r w:rsidRPr="006A0B14">
        <w:rPr>
          <w:lang w:val="es-ES"/>
        </w:rPr>
        <w:t xml:space="preserve">En la Figura B se muestra la comparación, por metas, entre el presupuesto para 2018-2019 y el proyecto de </w:t>
      </w:r>
      <w:r w:rsidR="00EF1726">
        <w:rPr>
          <w:lang w:val="es-ES"/>
        </w:rPr>
        <w:t>p</w:t>
      </w:r>
      <w:r w:rsidR="00C847B9" w:rsidRPr="006A0B14">
        <w:rPr>
          <w:lang w:val="es-ES"/>
        </w:rPr>
        <w:t xml:space="preserve">resupuesto </w:t>
      </w:r>
      <w:r w:rsidRPr="006A0B14">
        <w:rPr>
          <w:lang w:val="es-ES"/>
        </w:rPr>
        <w:t>basado en resultados para 2020-2021. Es de señalar que para 2020</w:t>
      </w:r>
      <w:r>
        <w:rPr>
          <w:lang w:val="es-ES"/>
        </w:rPr>
        <w:noBreakHyphen/>
      </w:r>
      <w:r w:rsidRPr="006A0B14">
        <w:rPr>
          <w:lang w:val="es-ES"/>
        </w:rPr>
        <w:t>2021, en relación con 2018-2019, la Meta 4 se ha dividido en dos nuevas metas: la Meta 4, Innovación, y la Meta 5, Asociación.</w:t>
      </w:r>
    </w:p>
    <w:p w:rsidR="00716543" w:rsidRDefault="00716543" w:rsidP="00740D17">
      <w:pPr>
        <w:pStyle w:val="Figure"/>
        <w:rPr>
          <w:lang w:val="es-ES"/>
        </w:rPr>
      </w:pPr>
      <w:bookmarkStart w:id="66" w:name="lt_pId098"/>
      <w:bookmarkEnd w:id="65"/>
      <w:r>
        <w:rPr>
          <w:noProof/>
          <w:lang w:val="en-GB" w:eastAsia="zh-CN"/>
        </w:rPr>
        <w:drawing>
          <wp:inline distT="0" distB="0" distL="0" distR="0">
            <wp:extent cx="5760000" cy="3762000"/>
            <wp:effectExtent l="0" t="0" r="0" b="0"/>
            <wp:docPr id="3" name="Picture 3" descr="C:\Users\hernandf\AppData\Local\Microsoft\Windows\INetCache\Content.Word\Grafico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f\AppData\Local\Microsoft\Windows\INetCache\Content.Word\Grafico 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762000"/>
                    </a:xfrm>
                    <a:prstGeom prst="rect">
                      <a:avLst/>
                    </a:prstGeom>
                    <a:noFill/>
                    <a:ln>
                      <a:noFill/>
                    </a:ln>
                  </pic:spPr>
                </pic:pic>
              </a:graphicData>
            </a:graphic>
          </wp:inline>
        </w:drawing>
      </w:r>
    </w:p>
    <w:p w:rsidR="00716543" w:rsidRDefault="00716543" w:rsidP="00740D17">
      <w:pPr>
        <w:pStyle w:val="Normalaftertitle"/>
        <w:keepNext/>
        <w:keepLines/>
        <w:rPr>
          <w:lang w:val="es-ES"/>
        </w:rPr>
      </w:pPr>
      <w:r w:rsidRPr="006A0B14">
        <w:rPr>
          <w:lang w:val="es-ES"/>
        </w:rPr>
        <w:t>I.2.5</w:t>
      </w:r>
      <w:bookmarkEnd w:id="66"/>
      <w:r w:rsidRPr="006A0B14">
        <w:rPr>
          <w:lang w:val="es-ES"/>
        </w:rPr>
        <w:tab/>
      </w:r>
      <w:bookmarkStart w:id="67" w:name="lt_pId099"/>
      <w:r w:rsidRPr="006A0B14">
        <w:rPr>
          <w:lang w:val="es-ES"/>
        </w:rPr>
        <w:t>El Cuadro B a continuación muestra la comparación por Sectores entre los presupuestos basados en resultados para 2018-2019 y para 2020</w:t>
      </w:r>
      <w:bookmarkEnd w:id="67"/>
      <w:r w:rsidRPr="006A0B14">
        <w:rPr>
          <w:lang w:val="es-ES"/>
        </w:rPr>
        <w:noBreakHyphen/>
        <w:t>2021</w:t>
      </w:r>
      <w:bookmarkStart w:id="68" w:name="lt_pId101"/>
      <w:r w:rsidRPr="006A0B14">
        <w:rPr>
          <w:lang w:val="es-ES"/>
        </w:rPr>
        <w:t>.</w:t>
      </w:r>
      <w:bookmarkEnd w:id="68"/>
    </w:p>
    <w:p w:rsidR="00716543" w:rsidRPr="009A27C0" w:rsidRDefault="00716543" w:rsidP="00740D17">
      <w:pPr>
        <w:pStyle w:val="Figure"/>
        <w:rPr>
          <w:lang w:val="es-ES"/>
        </w:rPr>
      </w:pPr>
      <w:r w:rsidRPr="009A27C0">
        <w:rPr>
          <w:noProof/>
          <w:lang w:val="en-GB" w:eastAsia="zh-CN"/>
        </w:rPr>
        <w:drawing>
          <wp:inline distT="0" distB="0" distL="0" distR="0">
            <wp:extent cx="5061600" cy="2512800"/>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600" cy="2512800"/>
                    </a:xfrm>
                    <a:prstGeom prst="rect">
                      <a:avLst/>
                    </a:prstGeom>
                    <a:noFill/>
                    <a:ln>
                      <a:noFill/>
                    </a:ln>
                  </pic:spPr>
                </pic:pic>
              </a:graphicData>
            </a:graphic>
          </wp:inline>
        </w:drawing>
      </w:r>
    </w:p>
    <w:p w:rsidR="00716543" w:rsidRDefault="00716543" w:rsidP="00740D17">
      <w:pPr>
        <w:pStyle w:val="Normalaftertitle"/>
        <w:rPr>
          <w:lang w:val="es-ES"/>
        </w:rPr>
      </w:pPr>
      <w:bookmarkStart w:id="69" w:name="lt_pId102"/>
      <w:r w:rsidRPr="006A0B14">
        <w:rPr>
          <w:lang w:val="es-ES"/>
        </w:rPr>
        <w:t>I.2.6</w:t>
      </w:r>
      <w:bookmarkEnd w:id="69"/>
      <w:r w:rsidRPr="006A0B14">
        <w:rPr>
          <w:lang w:val="es-ES"/>
        </w:rPr>
        <w:tab/>
      </w:r>
      <w:bookmarkStart w:id="70" w:name="lt_pId103"/>
      <w:r w:rsidRPr="006A0B14">
        <w:rPr>
          <w:lang w:val="es-ES"/>
        </w:rPr>
        <w:t>La Parte 2 del presente documento ofrece los detalles del presupuesto basado en resultados según metas, objetivos, productos y Sectores.</w:t>
      </w:r>
      <w:bookmarkEnd w:id="70"/>
    </w:p>
    <w:p w:rsidR="00716543" w:rsidRDefault="00716543" w:rsidP="00740D17">
      <w:pPr>
        <w:rPr>
          <w:lang w:val="es-ES"/>
        </w:rPr>
      </w:pPr>
      <w:r>
        <w:rPr>
          <w:lang w:val="es-ES"/>
        </w:rPr>
        <w:br w:type="page"/>
      </w:r>
    </w:p>
    <w:p w:rsidR="00716543" w:rsidRPr="00E11EF8" w:rsidRDefault="00716543" w:rsidP="00740D17">
      <w:pPr>
        <w:pStyle w:val="Heading2"/>
      </w:pPr>
      <w:bookmarkStart w:id="71" w:name="_I.3_Esquema_del"/>
      <w:bookmarkStart w:id="72" w:name="lt_pId104"/>
      <w:bookmarkStart w:id="73" w:name="_Toc7181985"/>
      <w:bookmarkStart w:id="74" w:name="_Toc7518363"/>
      <w:bookmarkStart w:id="75" w:name="_Toc7533952"/>
      <w:bookmarkStart w:id="76" w:name="_Toc7534661"/>
      <w:bookmarkEnd w:id="71"/>
      <w:r w:rsidRPr="00E11EF8">
        <w:lastRenderedPageBreak/>
        <w:t>I.3</w:t>
      </w:r>
      <w:bookmarkEnd w:id="72"/>
      <w:r w:rsidRPr="00E11EF8">
        <w:tab/>
        <w:t>Esquema del presupuesto financiero</w:t>
      </w:r>
      <w:bookmarkEnd w:id="73"/>
      <w:bookmarkEnd w:id="74"/>
      <w:bookmarkEnd w:id="75"/>
      <w:bookmarkEnd w:id="76"/>
    </w:p>
    <w:p w:rsidR="00716543" w:rsidRPr="006A0B14" w:rsidRDefault="00716543" w:rsidP="00EF1726">
      <w:pPr>
        <w:rPr>
          <w:lang w:val="es-ES"/>
        </w:rPr>
      </w:pPr>
      <w:bookmarkStart w:id="77" w:name="lt_pId106"/>
      <w:r w:rsidRPr="006A0B14">
        <w:rPr>
          <w:lang w:val="es-ES"/>
        </w:rPr>
        <w:t>I.3.1</w:t>
      </w:r>
      <w:bookmarkEnd w:id="77"/>
      <w:r w:rsidRPr="006A0B14">
        <w:rPr>
          <w:lang w:val="es-ES"/>
        </w:rPr>
        <w:tab/>
      </w:r>
      <w:bookmarkStart w:id="78" w:name="lt_pId107"/>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para 20</w:t>
      </w:r>
      <w:r>
        <w:rPr>
          <w:lang w:val="es-ES"/>
        </w:rPr>
        <w:t>20</w:t>
      </w:r>
      <w:r w:rsidRPr="00A55B4E">
        <w:rPr>
          <w:lang w:val="es-ES"/>
        </w:rPr>
        <w:t>-20</w:t>
      </w:r>
      <w:r>
        <w:rPr>
          <w:lang w:val="es-ES"/>
        </w:rPr>
        <w:t>21</w:t>
      </w:r>
      <w:r w:rsidRPr="00A55B4E">
        <w:rPr>
          <w:lang w:val="es-ES"/>
        </w:rPr>
        <w:t xml:space="preserve"> se ha preparado sobre la base de la Decisión 5 (Rev. Dubái, 2018) y </w:t>
      </w:r>
      <w:r>
        <w:rPr>
          <w:lang w:val="es-ES"/>
        </w:rPr>
        <w:t xml:space="preserve">de </w:t>
      </w:r>
      <w:r w:rsidRPr="00A55B4E">
        <w:rPr>
          <w:lang w:val="es-ES"/>
        </w:rPr>
        <w:t>las directrices correspondientes.</w:t>
      </w:r>
      <w:bookmarkEnd w:id="78"/>
    </w:p>
    <w:p w:rsidR="00716543" w:rsidRPr="006A0B14" w:rsidRDefault="00716543" w:rsidP="00EF1726">
      <w:pPr>
        <w:rPr>
          <w:lang w:val="es-ES"/>
        </w:rPr>
      </w:pPr>
      <w:bookmarkStart w:id="79" w:name="lt_pId109"/>
      <w:r w:rsidRPr="006A0B14">
        <w:rPr>
          <w:lang w:val="es-ES"/>
        </w:rPr>
        <w:t>I.3.2</w:t>
      </w:r>
      <w:bookmarkEnd w:id="79"/>
      <w:r w:rsidRPr="006A0B14">
        <w:rPr>
          <w:lang w:val="es-ES"/>
        </w:rPr>
        <w:tab/>
      </w:r>
      <w:bookmarkStart w:id="80" w:name="lt_pId110"/>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para 2020-2021</w:t>
      </w:r>
      <w:r>
        <w:rPr>
          <w:lang w:val="es-ES"/>
        </w:rPr>
        <w:t xml:space="preserve"> está equilibrado, con una misma cantidad de</w:t>
      </w:r>
      <w:r w:rsidRPr="00A55B4E">
        <w:rPr>
          <w:lang w:val="es-ES"/>
        </w:rPr>
        <w:t xml:space="preserve"> ingresos y gastos </w:t>
      </w:r>
      <w:r>
        <w:rPr>
          <w:lang w:val="es-ES"/>
        </w:rPr>
        <w:t>que</w:t>
      </w:r>
      <w:r w:rsidRPr="00A55B4E">
        <w:rPr>
          <w:lang w:val="es-ES"/>
        </w:rPr>
        <w:t xml:space="preserve"> ascienden a 331 millones CHF, lo que representa un incremento de 6,4</w:t>
      </w:r>
      <w:r>
        <w:rPr>
          <w:lang w:val="es-ES"/>
        </w:rPr>
        <w:t> </w:t>
      </w:r>
      <w:r w:rsidRPr="00A55B4E">
        <w:rPr>
          <w:lang w:val="es-ES"/>
        </w:rPr>
        <w:t xml:space="preserve">millones CHF </w:t>
      </w:r>
      <w:r>
        <w:rPr>
          <w:lang w:val="es-ES"/>
        </w:rPr>
        <w:t>frente a los</w:t>
      </w:r>
      <w:r w:rsidRPr="00A55B4E">
        <w:rPr>
          <w:lang w:val="es-ES"/>
        </w:rPr>
        <w:t xml:space="preserve"> 324,6 millones CHF </w:t>
      </w:r>
      <w:r>
        <w:rPr>
          <w:lang w:val="es-ES"/>
        </w:rPr>
        <w:t>de</w:t>
      </w:r>
      <w:r w:rsidRPr="00A55B4E">
        <w:rPr>
          <w:lang w:val="es-ES"/>
        </w:rPr>
        <w:t xml:space="preserve"> 2018-2019. </w:t>
      </w:r>
      <w:r>
        <w:rPr>
          <w:lang w:val="es-ES"/>
        </w:rPr>
        <w:t>L</w:t>
      </w:r>
      <w:r w:rsidRPr="00A55B4E">
        <w:rPr>
          <w:lang w:val="es-ES"/>
        </w:rPr>
        <w:t xml:space="preserve">as páginas siguientes </w:t>
      </w:r>
      <w:r>
        <w:rPr>
          <w:lang w:val="es-ES"/>
        </w:rPr>
        <w:t>proporcionan</w:t>
      </w:r>
      <w:r w:rsidRPr="00A55B4E">
        <w:rPr>
          <w:lang w:val="es-ES"/>
        </w:rPr>
        <w:t xml:space="preserve"> explicaciones más detalladas de las variaciones de</w:t>
      </w:r>
      <w:r>
        <w:rPr>
          <w:lang w:val="es-ES"/>
        </w:rPr>
        <w:t xml:space="preserve"> </w:t>
      </w:r>
      <w:r w:rsidRPr="00A55B4E">
        <w:rPr>
          <w:lang w:val="es-ES"/>
        </w:rPr>
        <w:t xml:space="preserve">ingresos y gastos. </w:t>
      </w:r>
      <w:r>
        <w:rPr>
          <w:lang w:val="es-ES"/>
        </w:rPr>
        <w:t>L</w:t>
      </w:r>
      <w:r w:rsidRPr="00A55B4E">
        <w:rPr>
          <w:lang w:val="es-ES"/>
        </w:rPr>
        <w:t>a Parte 3</w:t>
      </w:r>
      <w:r>
        <w:rPr>
          <w:lang w:val="es-ES"/>
        </w:rPr>
        <w:t xml:space="preserve"> de este documento</w:t>
      </w:r>
      <w:r w:rsidRPr="00A55B4E">
        <w:rPr>
          <w:lang w:val="es-ES"/>
        </w:rPr>
        <w:t xml:space="preserve"> contiene el proyecto de Resolución sobre el </w:t>
      </w:r>
      <w:r>
        <w:rPr>
          <w:lang w:val="es-ES"/>
        </w:rPr>
        <w:t xml:space="preserve">proyecto de </w:t>
      </w:r>
      <w:r w:rsidR="00EF1726">
        <w:rPr>
          <w:lang w:val="es-ES"/>
        </w:rPr>
        <w:t>p</w:t>
      </w:r>
      <w:r w:rsidR="00C847B9" w:rsidRPr="00A55B4E">
        <w:rPr>
          <w:lang w:val="es-ES"/>
        </w:rPr>
        <w:t xml:space="preserve">resupuesto </w:t>
      </w:r>
      <w:r w:rsidRPr="00A55B4E">
        <w:rPr>
          <w:lang w:val="es-ES"/>
        </w:rPr>
        <w:t>para</w:t>
      </w:r>
      <w:r>
        <w:rPr>
          <w:lang w:val="es-ES"/>
        </w:rPr>
        <w:t> </w:t>
      </w:r>
      <w:r w:rsidRPr="00A55B4E">
        <w:rPr>
          <w:lang w:val="es-ES"/>
        </w:rPr>
        <w:t>2020</w:t>
      </w:r>
      <w:r>
        <w:rPr>
          <w:lang w:val="es-ES"/>
        </w:rPr>
        <w:noBreakHyphen/>
      </w:r>
      <w:r w:rsidRPr="00A55B4E">
        <w:rPr>
          <w:lang w:val="es-ES"/>
        </w:rPr>
        <w:t>2021 con los cuadros que describen las cifras detalladas de ingresos y gastos.</w:t>
      </w:r>
      <w:bookmarkEnd w:id="80"/>
    </w:p>
    <w:p w:rsidR="00716543" w:rsidRDefault="00716543" w:rsidP="00EF1726">
      <w:pPr>
        <w:rPr>
          <w:lang w:val="es-ES"/>
        </w:rPr>
      </w:pPr>
      <w:bookmarkStart w:id="81" w:name="lt_pId113"/>
      <w:r w:rsidRPr="006A0B14">
        <w:rPr>
          <w:lang w:val="es-ES"/>
        </w:rPr>
        <w:t>I</w:t>
      </w:r>
      <w:r w:rsidRPr="00A55B4E">
        <w:rPr>
          <w:lang w:val="es-ES"/>
        </w:rPr>
        <w:t>.3.3</w:t>
      </w:r>
      <w:bookmarkEnd w:id="81"/>
      <w:r w:rsidRPr="00A55B4E">
        <w:rPr>
          <w:lang w:val="es-ES"/>
        </w:rPr>
        <w:tab/>
      </w:r>
      <w:bookmarkStart w:id="82" w:name="lt_pId114"/>
      <w:r w:rsidRPr="00A55B4E">
        <w:rPr>
          <w:lang w:val="es-ES"/>
        </w:rPr>
        <w:t xml:space="preserve">El Cuadro C siguiente contiene una comparación financiera entre el presupuesto </w:t>
      </w:r>
      <w:r>
        <w:rPr>
          <w:lang w:val="es-ES"/>
        </w:rPr>
        <w:t xml:space="preserve">de </w:t>
      </w:r>
      <w:r w:rsidRPr="00A55B4E">
        <w:rPr>
          <w:lang w:val="es-ES"/>
        </w:rPr>
        <w:t>2018</w:t>
      </w:r>
      <w:r>
        <w:rPr>
          <w:lang w:val="es-ES"/>
        </w:rPr>
        <w:noBreakHyphen/>
      </w:r>
      <w:r w:rsidRPr="00A55B4E">
        <w:rPr>
          <w:lang w:val="es-ES"/>
        </w:rPr>
        <w:t xml:space="preserve">2019 y el proyecto de </w:t>
      </w:r>
      <w:r w:rsidR="00EF1726">
        <w:rPr>
          <w:lang w:val="es-ES"/>
        </w:rPr>
        <w:t>p</w:t>
      </w:r>
      <w:r w:rsidR="00C847B9" w:rsidRPr="00A55B4E">
        <w:rPr>
          <w:lang w:val="es-ES"/>
        </w:rPr>
        <w:t xml:space="preserve">resupuesto </w:t>
      </w:r>
      <w:r w:rsidRPr="00A55B4E">
        <w:rPr>
          <w:lang w:val="es-ES"/>
        </w:rPr>
        <w:t>para 2020-2021.</w:t>
      </w:r>
      <w:bookmarkEnd w:id="82"/>
    </w:p>
    <w:p w:rsidR="00716543" w:rsidRDefault="00716543" w:rsidP="00740D17">
      <w:pPr>
        <w:pStyle w:val="Figure"/>
        <w:rPr>
          <w:lang w:val="es-ES"/>
        </w:rPr>
      </w:pPr>
      <w:r w:rsidRPr="009A27C0">
        <w:rPr>
          <w:noProof/>
          <w:lang w:val="en-GB" w:eastAsia="zh-CN"/>
        </w:rPr>
        <w:drawing>
          <wp:inline distT="0" distB="0" distL="0" distR="0">
            <wp:extent cx="5061600" cy="1998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1600" cy="1998000"/>
                    </a:xfrm>
                    <a:prstGeom prst="rect">
                      <a:avLst/>
                    </a:prstGeom>
                    <a:noFill/>
                    <a:ln>
                      <a:noFill/>
                    </a:ln>
                  </pic:spPr>
                </pic:pic>
              </a:graphicData>
            </a:graphic>
          </wp:inline>
        </w:drawing>
      </w:r>
    </w:p>
    <w:p w:rsidR="00716543" w:rsidRPr="00E23DAA" w:rsidRDefault="00716543" w:rsidP="00740D17">
      <w:pPr>
        <w:pStyle w:val="Heading2"/>
        <w:rPr>
          <w:lang w:val="es-ES"/>
        </w:rPr>
      </w:pPr>
      <w:bookmarkStart w:id="83" w:name="_I.4_Variación_del"/>
      <w:bookmarkStart w:id="84" w:name="_Toc7181986"/>
      <w:bookmarkStart w:id="85" w:name="_Toc7518364"/>
      <w:bookmarkStart w:id="86" w:name="_Toc7533953"/>
      <w:bookmarkStart w:id="87" w:name="_Toc7534662"/>
      <w:bookmarkEnd w:id="83"/>
      <w:r>
        <w:rPr>
          <w:lang w:val="es-ES"/>
        </w:rPr>
        <w:t>I.4</w:t>
      </w:r>
      <w:r>
        <w:rPr>
          <w:lang w:val="es-ES"/>
        </w:rPr>
        <w:tab/>
      </w:r>
      <w:r w:rsidRPr="00E23DAA">
        <w:rPr>
          <w:lang w:val="es-ES"/>
        </w:rPr>
        <w:t>Variación del programa</w:t>
      </w:r>
      <w:bookmarkEnd w:id="84"/>
      <w:bookmarkEnd w:id="85"/>
      <w:bookmarkEnd w:id="86"/>
      <w:bookmarkEnd w:id="87"/>
    </w:p>
    <w:p w:rsidR="00716543" w:rsidRDefault="00716543" w:rsidP="00EF1726">
      <w:pPr>
        <w:rPr>
          <w:lang w:val="es-ES"/>
        </w:rPr>
      </w:pPr>
      <w:bookmarkStart w:id="88" w:name="lt_pId117"/>
      <w:r w:rsidRPr="006A0B14">
        <w:rPr>
          <w:lang w:val="es-ES"/>
        </w:rPr>
        <w:t>I</w:t>
      </w:r>
      <w:r w:rsidRPr="00A55B4E">
        <w:rPr>
          <w:lang w:val="es-ES"/>
        </w:rPr>
        <w:t>.4.1</w:t>
      </w:r>
      <w:bookmarkEnd w:id="88"/>
      <w:r w:rsidRPr="00A55B4E">
        <w:rPr>
          <w:lang w:val="es-ES"/>
        </w:rPr>
        <w:tab/>
      </w:r>
      <w:bookmarkStart w:id="89" w:name="lt_pId118"/>
      <w:r w:rsidRPr="00A55B4E">
        <w:rPr>
          <w:lang w:val="es-ES"/>
        </w:rPr>
        <w:t xml:space="preserve">La variación del programa </w:t>
      </w:r>
      <w:r>
        <w:rPr>
          <w:lang w:val="es-ES"/>
        </w:rPr>
        <w:t xml:space="preserve">entre </w:t>
      </w:r>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 xml:space="preserve">para 2020-2021 y el presupuesto </w:t>
      </w:r>
      <w:r>
        <w:rPr>
          <w:lang w:val="es-ES"/>
        </w:rPr>
        <w:t>de</w:t>
      </w:r>
      <w:r w:rsidRPr="00A55B4E">
        <w:rPr>
          <w:lang w:val="es-ES"/>
        </w:rPr>
        <w:t xml:space="preserve"> 2018-2019 se eleva a 7,6 millones CHF y se refleja</w:t>
      </w:r>
      <w:r>
        <w:rPr>
          <w:lang w:val="es-ES"/>
        </w:rPr>
        <w:t xml:space="preserve"> en el Cuadro D a continuación.</w:t>
      </w:r>
    </w:p>
    <w:p w:rsidR="00716543" w:rsidRDefault="00716543" w:rsidP="00740D17">
      <w:pPr>
        <w:pStyle w:val="Figure"/>
        <w:keepNext w:val="0"/>
        <w:keepLines w:val="0"/>
        <w:rPr>
          <w:lang w:val="es-ES"/>
        </w:rPr>
      </w:pPr>
      <w:r w:rsidRPr="007050AE">
        <w:rPr>
          <w:noProof/>
          <w:lang w:val="en-GB" w:eastAsia="zh-CN"/>
        </w:rPr>
        <w:drawing>
          <wp:inline distT="0" distB="0" distL="0" distR="0">
            <wp:extent cx="5616000" cy="3211200"/>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6000" cy="3211200"/>
                    </a:xfrm>
                    <a:prstGeom prst="rect">
                      <a:avLst/>
                    </a:prstGeom>
                    <a:noFill/>
                    <a:ln>
                      <a:noFill/>
                    </a:ln>
                  </pic:spPr>
                </pic:pic>
              </a:graphicData>
            </a:graphic>
          </wp:inline>
        </w:drawing>
      </w:r>
    </w:p>
    <w:p w:rsidR="00716543" w:rsidRPr="00B112F0" w:rsidRDefault="00716543" w:rsidP="00740D17">
      <w:pPr>
        <w:pStyle w:val="Figure"/>
        <w:keepNext w:val="0"/>
        <w:keepLines w:val="0"/>
        <w:rPr>
          <w:lang w:val="es-ES"/>
        </w:rPr>
      </w:pPr>
      <w:r w:rsidRPr="00B112F0">
        <w:rPr>
          <w:noProof/>
          <w:lang w:val="en-GB" w:eastAsia="zh-CN"/>
        </w:rPr>
        <w:lastRenderedPageBreak/>
        <w:drawing>
          <wp:inline distT="0" distB="0" distL="0" distR="0">
            <wp:extent cx="5695200" cy="44748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200" cy="4474800"/>
                    </a:xfrm>
                    <a:prstGeom prst="rect">
                      <a:avLst/>
                    </a:prstGeom>
                    <a:noFill/>
                    <a:ln>
                      <a:noFill/>
                    </a:ln>
                  </pic:spPr>
                </pic:pic>
              </a:graphicData>
            </a:graphic>
          </wp:inline>
        </w:drawing>
      </w:r>
    </w:p>
    <w:p w:rsidR="00716543" w:rsidRPr="00E11EF8" w:rsidRDefault="00716543" w:rsidP="00740D17">
      <w:pPr>
        <w:pStyle w:val="Heading2"/>
      </w:pPr>
      <w:bookmarkStart w:id="90" w:name="_I.5_Crecimiento"/>
      <w:bookmarkStart w:id="91" w:name="lt_pId119"/>
      <w:bookmarkStart w:id="92" w:name="_Toc7181987"/>
      <w:bookmarkStart w:id="93" w:name="_Toc7518365"/>
      <w:bookmarkStart w:id="94" w:name="_Toc7533954"/>
      <w:bookmarkStart w:id="95" w:name="_Toc7534663"/>
      <w:bookmarkEnd w:id="89"/>
      <w:bookmarkEnd w:id="90"/>
      <w:r w:rsidRPr="00E11EF8">
        <w:t>I.5</w:t>
      </w:r>
      <w:bookmarkEnd w:id="91"/>
      <w:r w:rsidRPr="00E11EF8">
        <w:tab/>
        <w:t>Crecimiento</w:t>
      </w:r>
      <w:bookmarkEnd w:id="92"/>
      <w:bookmarkEnd w:id="93"/>
      <w:bookmarkEnd w:id="94"/>
      <w:bookmarkEnd w:id="95"/>
    </w:p>
    <w:p w:rsidR="00716543" w:rsidRPr="00A55B4E" w:rsidRDefault="00716543" w:rsidP="00EF1726">
      <w:pPr>
        <w:rPr>
          <w:lang w:val="es-ES"/>
        </w:rPr>
      </w:pPr>
      <w:bookmarkStart w:id="96" w:name="lt_pId121"/>
      <w:r w:rsidRPr="006A0B14">
        <w:rPr>
          <w:lang w:val="es-ES"/>
        </w:rPr>
        <w:t>I</w:t>
      </w:r>
      <w:r w:rsidRPr="00A55B4E">
        <w:rPr>
          <w:lang w:val="es-ES"/>
        </w:rPr>
        <w:t>.5.1</w:t>
      </w:r>
      <w:bookmarkEnd w:id="96"/>
      <w:r w:rsidRPr="00A55B4E">
        <w:rPr>
          <w:lang w:val="es-ES"/>
        </w:rPr>
        <w:tab/>
      </w:r>
      <w:bookmarkStart w:id="97" w:name="lt_pId122"/>
      <w:r w:rsidRPr="00A55B4E">
        <w:rPr>
          <w:lang w:val="es-ES"/>
        </w:rPr>
        <w:t xml:space="preserve">En comparación con el presupuesto 2018-2019, el proyecto de </w:t>
      </w:r>
      <w:r w:rsidR="00EF1726">
        <w:rPr>
          <w:lang w:val="es-ES"/>
        </w:rPr>
        <w:t>p</w:t>
      </w:r>
      <w:r w:rsidR="00C847B9" w:rsidRPr="00A55B4E">
        <w:rPr>
          <w:lang w:val="es-ES"/>
        </w:rPr>
        <w:t xml:space="preserve">resupuesto </w:t>
      </w:r>
      <w:r w:rsidRPr="00A55B4E">
        <w:rPr>
          <w:lang w:val="es-ES"/>
        </w:rPr>
        <w:t>para 2020</w:t>
      </w:r>
      <w:r>
        <w:rPr>
          <w:lang w:val="es-ES"/>
        </w:rPr>
        <w:noBreakHyphen/>
      </w:r>
      <w:r w:rsidRPr="00A55B4E">
        <w:rPr>
          <w:lang w:val="es-ES"/>
        </w:rPr>
        <w:t xml:space="preserve">2021 </w:t>
      </w:r>
      <w:r>
        <w:rPr>
          <w:lang w:val="es-ES"/>
        </w:rPr>
        <w:t>muestra</w:t>
      </w:r>
      <w:r w:rsidRPr="00A55B4E">
        <w:rPr>
          <w:lang w:val="es-ES"/>
        </w:rPr>
        <w:t xml:space="preserve"> una limitada reducción real de</w:t>
      </w:r>
      <w:r>
        <w:rPr>
          <w:lang w:val="es-ES"/>
        </w:rPr>
        <w:t>l</w:t>
      </w:r>
      <w:r w:rsidRPr="00A55B4E">
        <w:rPr>
          <w:lang w:val="es-ES"/>
        </w:rPr>
        <w:t xml:space="preserve"> 0,39 por ciento, es decir</w:t>
      </w:r>
      <w:r w:rsidR="003018AC">
        <w:rPr>
          <w:lang w:val="es-ES"/>
        </w:rPr>
        <w:t>,</w:t>
      </w:r>
      <w:r w:rsidRPr="00A55B4E">
        <w:rPr>
          <w:lang w:val="es-ES"/>
        </w:rPr>
        <w:t xml:space="preserve"> </w:t>
      </w:r>
      <w:r w:rsidRPr="0023634C">
        <w:rPr>
          <w:lang w:val="es-ES"/>
        </w:rPr>
        <w:t>–</w:t>
      </w:r>
      <w:r w:rsidRPr="00A55B4E">
        <w:rPr>
          <w:lang w:val="es-ES"/>
        </w:rPr>
        <w:t>1,3 millones CHF.</w:t>
      </w:r>
      <w:bookmarkEnd w:id="97"/>
      <w:r w:rsidRPr="00A55B4E">
        <w:rPr>
          <w:lang w:val="es-ES"/>
        </w:rPr>
        <w:t xml:space="preserve"> </w:t>
      </w:r>
      <w:bookmarkStart w:id="98" w:name="lt_pId123"/>
      <w:r w:rsidRPr="00A55B4E">
        <w:rPr>
          <w:lang w:val="es-ES"/>
        </w:rPr>
        <w:t xml:space="preserve">Esta reducción se debe </w:t>
      </w:r>
      <w:r>
        <w:rPr>
          <w:lang w:val="es-ES"/>
        </w:rPr>
        <w:t>fundamentalmente</w:t>
      </w:r>
      <w:r w:rsidRPr="00A55B4E">
        <w:rPr>
          <w:lang w:val="es-ES"/>
        </w:rPr>
        <w:t xml:space="preserve"> a:</w:t>
      </w:r>
      <w:bookmarkEnd w:id="98"/>
    </w:p>
    <w:p w:rsidR="00716543" w:rsidRPr="00A55B4E" w:rsidRDefault="00716543" w:rsidP="00740D17">
      <w:pPr>
        <w:pStyle w:val="enumlev1"/>
        <w:rPr>
          <w:lang w:val="es-ES"/>
        </w:rPr>
      </w:pPr>
      <w:bookmarkStart w:id="99" w:name="lt_pId124"/>
      <w:r w:rsidRPr="0050359D">
        <w:rPr>
          <w:lang w:val="es-ES"/>
        </w:rPr>
        <w:t>•</w:t>
      </w:r>
      <w:r>
        <w:rPr>
          <w:lang w:val="es-ES"/>
        </w:rPr>
        <w:tab/>
        <w:t>la r</w:t>
      </w:r>
      <w:r w:rsidRPr="00A55B4E">
        <w:rPr>
          <w:lang w:val="es-ES"/>
        </w:rPr>
        <w:t xml:space="preserve">educción de </w:t>
      </w:r>
      <w:r>
        <w:rPr>
          <w:lang w:val="es-ES"/>
        </w:rPr>
        <w:t xml:space="preserve">los </w:t>
      </w:r>
      <w:r w:rsidRPr="00436072">
        <w:rPr>
          <w:lang w:val="es-ES"/>
        </w:rPr>
        <w:t xml:space="preserve">costes de personal y </w:t>
      </w:r>
      <w:r>
        <w:rPr>
          <w:lang w:val="es-ES"/>
        </w:rPr>
        <w:t xml:space="preserve">los </w:t>
      </w:r>
      <w:r w:rsidRPr="00436072">
        <w:rPr>
          <w:lang w:val="es-ES"/>
        </w:rPr>
        <w:t xml:space="preserve">otros </w:t>
      </w:r>
      <w:r>
        <w:rPr>
          <w:lang w:val="es-ES"/>
        </w:rPr>
        <w:t xml:space="preserve">costes </w:t>
      </w:r>
      <w:r w:rsidRPr="00436072">
        <w:rPr>
          <w:lang w:val="es-ES"/>
        </w:rPr>
        <w:t>de personal debido</w:t>
      </w:r>
      <w:r w:rsidRPr="00A55B4E">
        <w:rPr>
          <w:lang w:val="es-ES"/>
        </w:rPr>
        <w:t xml:space="preserve"> a la sustitución de personal, contratación a grado</w:t>
      </w:r>
      <w:r>
        <w:rPr>
          <w:lang w:val="es-ES"/>
        </w:rPr>
        <w:t>s</w:t>
      </w:r>
      <w:r w:rsidRPr="00A55B4E">
        <w:rPr>
          <w:lang w:val="es-ES"/>
        </w:rPr>
        <w:t xml:space="preserve"> y/o escal</w:t>
      </w:r>
      <w:r>
        <w:rPr>
          <w:lang w:val="es-ES"/>
        </w:rPr>
        <w:t xml:space="preserve">ones </w:t>
      </w:r>
      <w:r w:rsidRPr="00A55B4E">
        <w:rPr>
          <w:lang w:val="es-ES"/>
        </w:rPr>
        <w:t>inferiores;</w:t>
      </w:r>
      <w:bookmarkEnd w:id="99"/>
    </w:p>
    <w:p w:rsidR="00716543" w:rsidRPr="00A55B4E" w:rsidRDefault="00716543" w:rsidP="00740D17">
      <w:pPr>
        <w:pStyle w:val="enumlev1"/>
        <w:rPr>
          <w:lang w:val="es-ES"/>
        </w:rPr>
      </w:pPr>
      <w:bookmarkStart w:id="100" w:name="lt_pId125"/>
      <w:r w:rsidRPr="0050359D">
        <w:rPr>
          <w:lang w:val="es-ES"/>
        </w:rPr>
        <w:t>•</w:t>
      </w:r>
      <w:r>
        <w:rPr>
          <w:lang w:val="es-ES"/>
        </w:rPr>
        <w:tab/>
        <w:t>la r</w:t>
      </w:r>
      <w:r w:rsidRPr="00A55B4E">
        <w:rPr>
          <w:lang w:val="es-ES"/>
        </w:rPr>
        <w:t xml:space="preserve">educción/optimización de los gastos de explotación (recursos </w:t>
      </w:r>
      <w:r>
        <w:rPr>
          <w:lang w:val="es-ES"/>
        </w:rPr>
        <w:t>que no son de</w:t>
      </w:r>
      <w:r w:rsidRPr="00A55B4E">
        <w:rPr>
          <w:lang w:val="es-ES"/>
        </w:rPr>
        <w:t xml:space="preserve"> personal);</w:t>
      </w:r>
      <w:bookmarkEnd w:id="100"/>
    </w:p>
    <w:p w:rsidR="00716543" w:rsidRPr="00A55B4E" w:rsidRDefault="00716543" w:rsidP="00740D17">
      <w:pPr>
        <w:pStyle w:val="enumlev1"/>
        <w:rPr>
          <w:lang w:val="es-ES"/>
        </w:rPr>
      </w:pPr>
      <w:bookmarkStart w:id="101" w:name="lt_pId126"/>
      <w:r w:rsidRPr="0050359D">
        <w:rPr>
          <w:lang w:val="es-ES"/>
        </w:rPr>
        <w:t>•</w:t>
      </w:r>
      <w:r>
        <w:rPr>
          <w:lang w:val="es-ES"/>
        </w:rPr>
        <w:tab/>
        <w:t>la r</w:t>
      </w:r>
      <w:r w:rsidRPr="00A55B4E">
        <w:rPr>
          <w:lang w:val="es-ES"/>
        </w:rPr>
        <w:t>educción de las escalas locales de salari</w:t>
      </w:r>
      <w:r>
        <w:rPr>
          <w:lang w:val="es-ES"/>
        </w:rPr>
        <w:t>o</w:t>
      </w:r>
      <w:r w:rsidRPr="00A55B4E">
        <w:rPr>
          <w:lang w:val="es-ES"/>
        </w:rPr>
        <w:t xml:space="preserve">s en las Oficinas Regionales y de Zona debido a las variaciones de las tasas de cambio </w:t>
      </w:r>
      <w:r>
        <w:rPr>
          <w:lang w:val="es-ES"/>
        </w:rPr>
        <w:t>con</w:t>
      </w:r>
      <w:r w:rsidRPr="00A55B4E">
        <w:rPr>
          <w:lang w:val="es-ES"/>
        </w:rPr>
        <w:t xml:space="preserve"> </w:t>
      </w:r>
      <w:r>
        <w:rPr>
          <w:lang w:val="es-ES"/>
        </w:rPr>
        <w:t>e</w:t>
      </w:r>
      <w:r w:rsidRPr="00A55B4E">
        <w:rPr>
          <w:lang w:val="es-ES"/>
        </w:rPr>
        <w:t>l CHF.</w:t>
      </w:r>
      <w:bookmarkEnd w:id="101"/>
    </w:p>
    <w:p w:rsidR="00716543" w:rsidRPr="00E11EF8" w:rsidRDefault="00716543" w:rsidP="00740D17">
      <w:pPr>
        <w:pStyle w:val="Heading2"/>
      </w:pPr>
      <w:bookmarkStart w:id="102" w:name="_I.6_Bases_e"/>
      <w:bookmarkStart w:id="103" w:name="lt_pId127"/>
      <w:bookmarkStart w:id="104" w:name="_Toc7181988"/>
      <w:bookmarkStart w:id="105" w:name="_Toc7518366"/>
      <w:bookmarkStart w:id="106" w:name="_Toc7533955"/>
      <w:bookmarkStart w:id="107" w:name="_Toc7534664"/>
      <w:bookmarkEnd w:id="102"/>
      <w:r w:rsidRPr="00E11EF8">
        <w:t>I.6</w:t>
      </w:r>
      <w:bookmarkEnd w:id="103"/>
      <w:r w:rsidRPr="00E11EF8">
        <w:tab/>
      </w:r>
      <w:bookmarkStart w:id="108" w:name="lt_pId128"/>
      <w:r w:rsidRPr="00E11EF8">
        <w:t xml:space="preserve">Bases </w:t>
      </w:r>
      <w:bookmarkEnd w:id="108"/>
      <w:r w:rsidRPr="00E11EF8">
        <w:t>e indicadores</w:t>
      </w:r>
      <w:bookmarkEnd w:id="104"/>
      <w:bookmarkEnd w:id="105"/>
      <w:bookmarkEnd w:id="106"/>
      <w:bookmarkEnd w:id="107"/>
    </w:p>
    <w:p w:rsidR="00716543" w:rsidRPr="00A55B4E" w:rsidRDefault="00716543" w:rsidP="00EF1726">
      <w:pPr>
        <w:rPr>
          <w:lang w:val="es-ES"/>
        </w:rPr>
      </w:pPr>
      <w:bookmarkStart w:id="109" w:name="lt_pId129"/>
      <w:r w:rsidRPr="006A0B14">
        <w:rPr>
          <w:lang w:val="es-ES"/>
        </w:rPr>
        <w:t>I</w:t>
      </w:r>
      <w:r w:rsidRPr="00A55B4E">
        <w:rPr>
          <w:lang w:val="es-ES"/>
        </w:rPr>
        <w:t>.6.1</w:t>
      </w:r>
      <w:bookmarkEnd w:id="109"/>
      <w:r w:rsidRPr="00A55B4E">
        <w:rPr>
          <w:lang w:val="es-ES"/>
        </w:rPr>
        <w:tab/>
      </w:r>
      <w:bookmarkStart w:id="110" w:name="lt_pId130"/>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para 2020-2021 se basa en:</w:t>
      </w:r>
      <w:bookmarkEnd w:id="110"/>
    </w:p>
    <w:p w:rsidR="00716543" w:rsidRPr="00A55B4E" w:rsidRDefault="00716543" w:rsidP="00740D17">
      <w:pPr>
        <w:pStyle w:val="enumlev1"/>
        <w:rPr>
          <w:lang w:val="es-ES"/>
        </w:rPr>
      </w:pPr>
      <w:bookmarkStart w:id="111" w:name="lt_pId131"/>
      <w:r w:rsidRPr="00D25A24">
        <w:rPr>
          <w:lang w:val="es-ES"/>
        </w:rPr>
        <w:t>•</w:t>
      </w:r>
      <w:r>
        <w:rPr>
          <w:lang w:val="es-ES"/>
        </w:rPr>
        <w:tab/>
        <w:t>u</w:t>
      </w:r>
      <w:r w:rsidRPr="00A55B4E">
        <w:rPr>
          <w:lang w:val="es-ES"/>
        </w:rPr>
        <w:t>na tasa de cambio de 1,0 USD = 0,983 CHF, es decir</w:t>
      </w:r>
      <w:r>
        <w:rPr>
          <w:lang w:val="es-ES"/>
        </w:rPr>
        <w:t>,</w:t>
      </w:r>
      <w:r w:rsidRPr="00A55B4E">
        <w:rPr>
          <w:lang w:val="es-ES"/>
        </w:rPr>
        <w:t xml:space="preserve"> la tasa de cambio en vigor en enero de</w:t>
      </w:r>
      <w:r>
        <w:rPr>
          <w:lang w:val="es-ES"/>
        </w:rPr>
        <w:t> </w:t>
      </w:r>
      <w:r w:rsidRPr="00A55B4E">
        <w:rPr>
          <w:lang w:val="es-ES"/>
        </w:rPr>
        <w:t>2019;</w:t>
      </w:r>
      <w:bookmarkEnd w:id="111"/>
    </w:p>
    <w:p w:rsidR="00716543" w:rsidRPr="00A55B4E" w:rsidRDefault="00716543" w:rsidP="00740D17">
      <w:pPr>
        <w:pStyle w:val="enumlev1"/>
        <w:rPr>
          <w:lang w:val="es-ES"/>
        </w:rPr>
      </w:pPr>
      <w:bookmarkStart w:id="112" w:name="lt_pId132"/>
      <w:r w:rsidRPr="00D25A24">
        <w:rPr>
          <w:lang w:val="es-ES"/>
        </w:rPr>
        <w:t>•</w:t>
      </w:r>
      <w:r>
        <w:rPr>
          <w:lang w:val="es-ES"/>
        </w:rPr>
        <w:tab/>
        <w:t>l</w:t>
      </w:r>
      <w:r w:rsidRPr="00A55B4E">
        <w:rPr>
          <w:lang w:val="es-ES"/>
        </w:rPr>
        <w:t>as condiciones de servicio prevalecientes en el régimen común de las Naciones Unidas al 1</w:t>
      </w:r>
      <w:r>
        <w:rPr>
          <w:lang w:val="es-ES"/>
        </w:rPr>
        <w:t> </w:t>
      </w:r>
      <w:r w:rsidRPr="00A55B4E">
        <w:rPr>
          <w:lang w:val="es-ES"/>
        </w:rPr>
        <w:t>de enero de 2019.</w:t>
      </w:r>
      <w:bookmarkEnd w:id="112"/>
    </w:p>
    <w:p w:rsidR="00716543" w:rsidRDefault="00716543" w:rsidP="00EF1726">
      <w:pPr>
        <w:rPr>
          <w:lang w:val="es-ES"/>
        </w:rPr>
      </w:pPr>
      <w:bookmarkStart w:id="113" w:name="lt_pId133"/>
      <w:r w:rsidRPr="006A0B14">
        <w:rPr>
          <w:lang w:val="es-ES"/>
        </w:rPr>
        <w:t>I.6.2</w:t>
      </w:r>
      <w:bookmarkEnd w:id="113"/>
      <w:r w:rsidRPr="006A0B14">
        <w:rPr>
          <w:lang w:val="es-ES"/>
        </w:rPr>
        <w:tab/>
      </w:r>
      <w:bookmarkStart w:id="114" w:name="lt_pId134"/>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para 2020-2021 no contiene ninguna provisión para el aumento previsto de los costes con respecto al periodo comprendido entre el 1 de enero de 2019 y el 31 de diciembre de 20</w:t>
      </w:r>
      <w:bookmarkEnd w:id="114"/>
      <w:r w:rsidRPr="00A55B4E">
        <w:rPr>
          <w:lang w:val="es-ES"/>
        </w:rPr>
        <w:t>21.</w:t>
      </w:r>
    </w:p>
    <w:p w:rsidR="00716543" w:rsidRPr="006A0B14" w:rsidRDefault="00716543" w:rsidP="00EF1726">
      <w:pPr>
        <w:rPr>
          <w:lang w:val="es-ES"/>
        </w:rPr>
      </w:pPr>
      <w:bookmarkStart w:id="115" w:name="lt_pId135"/>
      <w:r w:rsidRPr="006A0B14">
        <w:rPr>
          <w:lang w:val="es-ES"/>
        </w:rPr>
        <w:lastRenderedPageBreak/>
        <w:t>I.6.3</w:t>
      </w:r>
      <w:bookmarkEnd w:id="115"/>
      <w:r w:rsidRPr="006A0B14">
        <w:rPr>
          <w:lang w:val="es-ES"/>
        </w:rPr>
        <w:tab/>
      </w:r>
      <w:bookmarkStart w:id="116" w:name="lt_pId136"/>
      <w:r w:rsidRPr="006A0B14">
        <w:rPr>
          <w:lang w:val="es-ES"/>
        </w:rPr>
        <w:t>L</w:t>
      </w:r>
      <w:r w:rsidRPr="00A55B4E">
        <w:rPr>
          <w:lang w:val="es-ES"/>
        </w:rPr>
        <w:t xml:space="preserve">os gastos que figuran en los Cuadros del proyecto de Resolución de la Parte 3 se clasifican como gastos operacionales o gastos de capital. Los gastos de capital corresponden a artículos cuya vida útil es superior a un año y </w:t>
      </w:r>
      <w:r>
        <w:rPr>
          <w:lang w:val="es-ES"/>
        </w:rPr>
        <w:t xml:space="preserve">tienen </w:t>
      </w:r>
      <w:r w:rsidRPr="00A55B4E">
        <w:rPr>
          <w:lang w:val="es-ES"/>
        </w:rPr>
        <w:t xml:space="preserve">un valor estimado superior </w:t>
      </w:r>
      <w:r>
        <w:rPr>
          <w:lang w:val="es-ES"/>
        </w:rPr>
        <w:t xml:space="preserve">a 5 000 CHF. En el proyecto de </w:t>
      </w:r>
      <w:r w:rsidR="00EF1726">
        <w:rPr>
          <w:lang w:val="es-ES"/>
        </w:rPr>
        <w:t>p</w:t>
      </w:r>
      <w:r w:rsidR="00C847B9" w:rsidRPr="00A55B4E">
        <w:rPr>
          <w:lang w:val="es-ES"/>
        </w:rPr>
        <w:t xml:space="preserve">resupuesto </w:t>
      </w:r>
      <w:r w:rsidRPr="00A55B4E">
        <w:rPr>
          <w:lang w:val="es-ES"/>
        </w:rPr>
        <w:t>para 2020-2021 se ha estimado en total 4,98 millones CHF de gastos de capital</w:t>
      </w:r>
      <w:r w:rsidRPr="006A0B14">
        <w:rPr>
          <w:lang w:val="es-ES"/>
        </w:rPr>
        <w:t>.</w:t>
      </w:r>
      <w:bookmarkEnd w:id="116"/>
    </w:p>
    <w:p w:rsidR="00716543" w:rsidRPr="006A0B14" w:rsidRDefault="00716543" w:rsidP="00740D17">
      <w:pPr>
        <w:rPr>
          <w:lang w:val="es-ES"/>
        </w:rPr>
      </w:pPr>
      <w:bookmarkStart w:id="117" w:name="lt_pId139"/>
      <w:r w:rsidRPr="006A0B14">
        <w:rPr>
          <w:lang w:val="es-ES"/>
        </w:rPr>
        <w:t>I.6.4</w:t>
      </w:r>
      <w:bookmarkEnd w:id="117"/>
      <w:r w:rsidRPr="006A0B14">
        <w:rPr>
          <w:lang w:val="es-ES"/>
        </w:rPr>
        <w:tab/>
      </w:r>
      <w:bookmarkStart w:id="118" w:name="lt_pId140"/>
      <w:r w:rsidRPr="00A55B4E">
        <w:rPr>
          <w:lang w:val="es-ES"/>
        </w:rPr>
        <w:t>Se ha considerado una proporción de puestos vacantes del 5% en toda la UIT, fruto de una combinación de retrasos en la contratación, trabajo a tiempo parcial y permisos sin sueldo. La aplicación de esta medida supone un gran reto para la gestión de los puestos vacantes y los procesos de contratación</w:t>
      </w:r>
      <w:r w:rsidRPr="006A0B14">
        <w:rPr>
          <w:lang w:val="es-ES"/>
        </w:rPr>
        <w:t>.</w:t>
      </w:r>
      <w:bookmarkEnd w:id="118"/>
    </w:p>
    <w:p w:rsidR="00716543" w:rsidRDefault="00716543" w:rsidP="00EF1726">
      <w:pPr>
        <w:rPr>
          <w:lang w:val="es-ES"/>
        </w:rPr>
      </w:pPr>
      <w:bookmarkStart w:id="119" w:name="lt_pId142"/>
      <w:r w:rsidRPr="006A0B14">
        <w:rPr>
          <w:lang w:val="es-ES"/>
        </w:rPr>
        <w:t>I.6.5</w:t>
      </w:r>
      <w:bookmarkEnd w:id="119"/>
      <w:r w:rsidRPr="006A0B14">
        <w:rPr>
          <w:lang w:val="es-ES"/>
        </w:rPr>
        <w:tab/>
      </w:r>
      <w:bookmarkStart w:id="120" w:name="lt_pId143"/>
      <w:r w:rsidRPr="006A0B14">
        <w:rPr>
          <w:lang w:val="es-ES"/>
        </w:rPr>
        <w:t xml:space="preserve">Se ha incluido una provisión de 5,4 millones CHF en </w:t>
      </w:r>
      <w:r w:rsidRPr="00A55B4E">
        <w:rPr>
          <w:lang w:val="es-ES"/>
        </w:rPr>
        <w:t xml:space="preserve">el proyecto de </w:t>
      </w:r>
      <w:r w:rsidR="00EF1726">
        <w:rPr>
          <w:lang w:val="es-ES"/>
        </w:rPr>
        <w:t>p</w:t>
      </w:r>
      <w:r w:rsidR="00C847B9" w:rsidRPr="00A55B4E">
        <w:rPr>
          <w:lang w:val="es-ES"/>
        </w:rPr>
        <w:t xml:space="preserve">resupuesto </w:t>
      </w:r>
      <w:r w:rsidRPr="00A55B4E">
        <w:rPr>
          <w:lang w:val="es-ES"/>
        </w:rPr>
        <w:t>para 2020</w:t>
      </w:r>
      <w:r>
        <w:rPr>
          <w:lang w:val="es-ES"/>
        </w:rPr>
        <w:noBreakHyphen/>
      </w:r>
      <w:r w:rsidRPr="00A55B4E">
        <w:rPr>
          <w:lang w:val="es-ES"/>
        </w:rPr>
        <w:t xml:space="preserve">2021 en razón de las posibles consecuencias financieras </w:t>
      </w:r>
      <w:r>
        <w:rPr>
          <w:lang w:val="es-ES"/>
        </w:rPr>
        <w:t xml:space="preserve">relacionadas con </w:t>
      </w:r>
      <w:r w:rsidRPr="00A55B4E">
        <w:rPr>
          <w:lang w:val="es-ES"/>
        </w:rPr>
        <w:t xml:space="preserve">las numerosas reclamaciones presentadas contra la aplicación de la decisión de la CAPI </w:t>
      </w:r>
      <w:r>
        <w:rPr>
          <w:lang w:val="es-ES"/>
        </w:rPr>
        <w:t>relativa al</w:t>
      </w:r>
      <w:r w:rsidRPr="00A55B4E">
        <w:rPr>
          <w:lang w:val="es-ES"/>
        </w:rPr>
        <w:t xml:space="preserve"> nuevo ajuste por lugar de destino en Ginebra. Esta provisión está incluida en cada Oficina y Departamento de la Secretaría General como se indica a continuación:</w:t>
      </w:r>
    </w:p>
    <w:p w:rsidR="00716543" w:rsidRDefault="00716543" w:rsidP="00740D17">
      <w:pPr>
        <w:pStyle w:val="Figure"/>
        <w:rPr>
          <w:lang w:val="es-ES"/>
        </w:rPr>
      </w:pPr>
      <w:r w:rsidRPr="0061243F">
        <w:rPr>
          <w:noProof/>
          <w:lang w:val="en-GB" w:eastAsia="zh-CN"/>
        </w:rPr>
        <w:drawing>
          <wp:inline distT="0" distB="0" distL="0" distR="0">
            <wp:extent cx="1777365" cy="1155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7365" cy="1155700"/>
                    </a:xfrm>
                    <a:prstGeom prst="rect">
                      <a:avLst/>
                    </a:prstGeom>
                    <a:noFill/>
                    <a:ln>
                      <a:noFill/>
                    </a:ln>
                  </pic:spPr>
                </pic:pic>
              </a:graphicData>
            </a:graphic>
          </wp:inline>
        </w:drawing>
      </w:r>
    </w:p>
    <w:p w:rsidR="00716543" w:rsidRPr="00BB3A86" w:rsidRDefault="00716543" w:rsidP="00740D17">
      <w:pPr>
        <w:pStyle w:val="Normalaftertitle"/>
        <w:rPr>
          <w:lang w:val="es-ES"/>
        </w:rPr>
      </w:pPr>
      <w:bookmarkStart w:id="121" w:name="lt_pId145"/>
      <w:bookmarkEnd w:id="120"/>
      <w:r w:rsidRPr="00BB3A86">
        <w:rPr>
          <w:lang w:val="es-ES"/>
        </w:rPr>
        <w:t>I.6.6</w:t>
      </w:r>
      <w:bookmarkEnd w:id="121"/>
      <w:r w:rsidRPr="00BB3A86">
        <w:rPr>
          <w:lang w:val="es-ES"/>
        </w:rPr>
        <w:tab/>
      </w:r>
      <w:bookmarkStart w:id="122" w:name="lt_pId146"/>
      <w:r w:rsidRPr="00BB3A86">
        <w:rPr>
          <w:lang w:val="es-ES"/>
        </w:rPr>
        <w:t xml:space="preserve">El valor de la unidad contributiva de los Estados Miembros se ha mantenido en 318 000 CHF de conformidad con la Decisión 5 (Rev. Dubái, 2018), resultando un crecimiento </w:t>
      </w:r>
      <w:r>
        <w:rPr>
          <w:lang w:val="es-ES"/>
        </w:rPr>
        <w:t>nominal cero desde el año 2006.</w:t>
      </w:r>
    </w:p>
    <w:p w:rsidR="00716543" w:rsidRPr="00E11EF8" w:rsidRDefault="00716543" w:rsidP="00740D17">
      <w:pPr>
        <w:pStyle w:val="Heading2"/>
      </w:pPr>
      <w:bookmarkStart w:id="123" w:name="_I.7_Comparación_con"/>
      <w:bookmarkStart w:id="124" w:name="lt_pId148"/>
      <w:bookmarkStart w:id="125" w:name="_Toc7181989"/>
      <w:bookmarkStart w:id="126" w:name="_Toc7518367"/>
      <w:bookmarkStart w:id="127" w:name="_Toc7533956"/>
      <w:bookmarkStart w:id="128" w:name="_Toc7534665"/>
      <w:bookmarkEnd w:id="122"/>
      <w:bookmarkEnd w:id="123"/>
      <w:r w:rsidRPr="00E11EF8">
        <w:t>I.7</w:t>
      </w:r>
      <w:bookmarkEnd w:id="124"/>
      <w:r w:rsidRPr="00E11EF8">
        <w:tab/>
        <w:t>Comparación con el Plan Financiero</w:t>
      </w:r>
      <w:bookmarkEnd w:id="125"/>
      <w:bookmarkEnd w:id="126"/>
      <w:bookmarkEnd w:id="127"/>
      <w:bookmarkEnd w:id="128"/>
    </w:p>
    <w:p w:rsidR="00716543" w:rsidRPr="00BB3A86" w:rsidRDefault="00716543" w:rsidP="00EF1726">
      <w:pPr>
        <w:rPr>
          <w:lang w:val="es-ES"/>
        </w:rPr>
      </w:pPr>
      <w:bookmarkStart w:id="129" w:name="lt_pId150"/>
      <w:r w:rsidRPr="00BB3A86">
        <w:rPr>
          <w:lang w:val="es-ES"/>
        </w:rPr>
        <w:t>I.7.1</w:t>
      </w:r>
      <w:bookmarkEnd w:id="129"/>
      <w:r w:rsidRPr="00BB3A86">
        <w:rPr>
          <w:lang w:val="es-ES"/>
        </w:rPr>
        <w:tab/>
      </w:r>
      <w:bookmarkStart w:id="130" w:name="lt_pId151"/>
      <w:r w:rsidRPr="00BB3A86">
        <w:rPr>
          <w:lang w:val="es-ES"/>
        </w:rPr>
        <w:t xml:space="preserve">En comparación con el Plan Financiero, el proyecto de </w:t>
      </w:r>
      <w:r w:rsidR="00EF1726">
        <w:rPr>
          <w:lang w:val="es-ES"/>
        </w:rPr>
        <w:t>p</w:t>
      </w:r>
      <w:r w:rsidR="00C847B9" w:rsidRPr="00BB3A86">
        <w:rPr>
          <w:lang w:val="es-ES"/>
        </w:rPr>
        <w:t xml:space="preserve">resupuesto </w:t>
      </w:r>
      <w:r w:rsidRPr="00BB3A86">
        <w:rPr>
          <w:lang w:val="es-ES"/>
        </w:rPr>
        <w:t>para 2020-2021 es inferior en 0,59 millones CHF.</w:t>
      </w:r>
      <w:bookmarkEnd w:id="130"/>
    </w:p>
    <w:p w:rsidR="00716543" w:rsidRPr="00BB3A86" w:rsidRDefault="00716543" w:rsidP="00EF1726">
      <w:pPr>
        <w:rPr>
          <w:lang w:val="es-ES"/>
        </w:rPr>
      </w:pPr>
      <w:bookmarkStart w:id="131" w:name="lt_pId152"/>
      <w:r w:rsidRPr="00BB3A86">
        <w:rPr>
          <w:lang w:val="es-ES"/>
        </w:rPr>
        <w:t>I.7.2</w:t>
      </w:r>
      <w:bookmarkEnd w:id="131"/>
      <w:r w:rsidRPr="00BB3A86">
        <w:rPr>
          <w:lang w:val="es-ES"/>
        </w:rPr>
        <w:tab/>
      </w:r>
      <w:bookmarkStart w:id="132" w:name="lt_pId153"/>
      <w:r w:rsidRPr="00BB3A86">
        <w:rPr>
          <w:lang w:val="es-ES"/>
        </w:rPr>
        <w:t>El Foro Mundial de Política de las Telecomunicaciones estaba inicialmente previsto para</w:t>
      </w:r>
      <w:r>
        <w:rPr>
          <w:lang w:val="es-ES"/>
        </w:rPr>
        <w:t> </w:t>
      </w:r>
      <w:r w:rsidRPr="00BB3A86">
        <w:rPr>
          <w:lang w:val="es-ES"/>
        </w:rPr>
        <w:t>2022 en el proyecto de Plan Financiero. Por coherencia al comparar</w:t>
      </w:r>
      <w:r w:rsidRPr="00A55B4E">
        <w:rPr>
          <w:lang w:val="es-ES"/>
        </w:rPr>
        <w:t xml:space="preserve"> con </w:t>
      </w:r>
      <w:r w:rsidRPr="00BB3A86">
        <w:rPr>
          <w:lang w:val="es-ES"/>
        </w:rPr>
        <w:t xml:space="preserve">el proyecto de </w:t>
      </w:r>
      <w:r w:rsidR="00EF1726">
        <w:rPr>
          <w:lang w:val="es-ES"/>
        </w:rPr>
        <w:t>p</w:t>
      </w:r>
      <w:r w:rsidR="00C847B9" w:rsidRPr="00BB3A86">
        <w:rPr>
          <w:lang w:val="es-ES"/>
        </w:rPr>
        <w:t xml:space="preserve">resupuesto </w:t>
      </w:r>
      <w:r w:rsidRPr="00BB3A86">
        <w:rPr>
          <w:lang w:val="es-ES"/>
        </w:rPr>
        <w:t xml:space="preserve">para 2020-2021, se ha añadido al Plan Financiero de la Secretaría General una cantidad de 218 000 CHF. En el proyecto de </w:t>
      </w:r>
      <w:r w:rsidR="00EF1726">
        <w:rPr>
          <w:lang w:val="es-ES"/>
        </w:rPr>
        <w:t>p</w:t>
      </w:r>
      <w:r w:rsidR="00C847B9" w:rsidRPr="00BB3A86">
        <w:rPr>
          <w:lang w:val="es-ES"/>
        </w:rPr>
        <w:t xml:space="preserve">resupuesto </w:t>
      </w:r>
      <w:r w:rsidRPr="00BB3A86">
        <w:rPr>
          <w:lang w:val="es-ES"/>
        </w:rPr>
        <w:t>para 2020-2021, se han incluido 306</w:t>
      </w:r>
      <w:r>
        <w:rPr>
          <w:lang w:val="es-ES"/>
        </w:rPr>
        <w:t> </w:t>
      </w:r>
      <w:r w:rsidRPr="00BB3A86">
        <w:rPr>
          <w:lang w:val="es-ES"/>
        </w:rPr>
        <w:t>000</w:t>
      </w:r>
      <w:r>
        <w:rPr>
          <w:lang w:val="es-ES"/>
        </w:rPr>
        <w:t> </w:t>
      </w:r>
      <w:r w:rsidRPr="00BB3A86">
        <w:rPr>
          <w:lang w:val="es-ES"/>
        </w:rPr>
        <w:t>CHF para el</w:t>
      </w:r>
      <w:r>
        <w:rPr>
          <w:lang w:val="es-ES"/>
        </w:rPr>
        <w:t xml:space="preserve"> FMPT.</w:t>
      </w:r>
    </w:p>
    <w:p w:rsidR="00716543" w:rsidRPr="00BB3A86" w:rsidRDefault="00716543" w:rsidP="00740D17">
      <w:pPr>
        <w:rPr>
          <w:lang w:val="es-ES"/>
        </w:rPr>
      </w:pPr>
      <w:bookmarkStart w:id="133" w:name="lt_pId157"/>
      <w:bookmarkEnd w:id="132"/>
      <w:r w:rsidRPr="00BB3A86">
        <w:rPr>
          <w:lang w:val="es-ES"/>
        </w:rPr>
        <w:t>I.7.3</w:t>
      </w:r>
      <w:bookmarkEnd w:id="133"/>
      <w:r w:rsidRPr="00BB3A86">
        <w:rPr>
          <w:lang w:val="es-ES"/>
        </w:rPr>
        <w:tab/>
      </w:r>
      <w:bookmarkStart w:id="134" w:name="lt_pId158"/>
      <w:r w:rsidRPr="00BB3A86">
        <w:rPr>
          <w:lang w:val="es-ES"/>
        </w:rPr>
        <w:t>En comparación con el Plan Financiero, y como se detalla en el Cuadro E siguiente, algunos gastos específicos, actualmente descentralizados se han centralizado para una</w:t>
      </w:r>
      <w:r>
        <w:rPr>
          <w:lang w:val="es-ES"/>
        </w:rPr>
        <w:t xml:space="preserve"> mejor planificación y gestión:</w:t>
      </w:r>
    </w:p>
    <w:p w:rsidR="00716543" w:rsidRPr="00A55B4E" w:rsidRDefault="00716543" w:rsidP="00740D17">
      <w:pPr>
        <w:pStyle w:val="enumlev1"/>
        <w:rPr>
          <w:lang w:val="es-ES"/>
        </w:rPr>
      </w:pPr>
      <w:bookmarkStart w:id="135" w:name="lt_pId159"/>
      <w:bookmarkEnd w:id="134"/>
      <w:r w:rsidRPr="00E06A1B">
        <w:rPr>
          <w:lang w:val="es-ES"/>
        </w:rPr>
        <w:t>•</w:t>
      </w:r>
      <w:r>
        <w:rPr>
          <w:lang w:val="es-ES"/>
        </w:rPr>
        <w:tab/>
        <w:t>c</w:t>
      </w:r>
      <w:r w:rsidRPr="00A55B4E">
        <w:rPr>
          <w:lang w:val="es-ES"/>
        </w:rPr>
        <w:t>ostes de comunicación (teléfonos fijos y móviles);</w:t>
      </w:r>
      <w:bookmarkEnd w:id="135"/>
    </w:p>
    <w:p w:rsidR="00716543" w:rsidRDefault="00716543" w:rsidP="00740D17">
      <w:pPr>
        <w:pStyle w:val="enumlev1"/>
        <w:rPr>
          <w:lang w:val="es-ES"/>
        </w:rPr>
      </w:pPr>
      <w:bookmarkStart w:id="136" w:name="lt_pId160"/>
      <w:r w:rsidRPr="00E06A1B">
        <w:rPr>
          <w:lang w:val="es-ES"/>
        </w:rPr>
        <w:t>•</w:t>
      </w:r>
      <w:r>
        <w:rPr>
          <w:lang w:val="es-ES"/>
        </w:rPr>
        <w:tab/>
        <w:t>a</w:t>
      </w:r>
      <w:r w:rsidRPr="00A55B4E">
        <w:rPr>
          <w:lang w:val="es-ES"/>
        </w:rPr>
        <w:t>lquiler de fotocopiadoras.</w:t>
      </w:r>
      <w:bookmarkEnd w:id="136"/>
    </w:p>
    <w:p w:rsidR="00716543" w:rsidRDefault="00716543" w:rsidP="00740D17">
      <w:pPr>
        <w:rPr>
          <w:lang w:val="es-ES"/>
        </w:rPr>
      </w:pPr>
      <w:r>
        <w:rPr>
          <w:lang w:val="es-ES"/>
        </w:rPr>
        <w:br w:type="page"/>
      </w:r>
    </w:p>
    <w:p w:rsidR="00716543" w:rsidRPr="00A55B4E" w:rsidRDefault="00716543" w:rsidP="00740D17">
      <w:pPr>
        <w:pStyle w:val="Figure"/>
        <w:rPr>
          <w:lang w:val="es-ES"/>
        </w:rPr>
      </w:pPr>
      <w:r w:rsidRPr="003663F0">
        <w:rPr>
          <w:noProof/>
          <w:lang w:val="en-GB" w:eastAsia="zh-CN"/>
        </w:rPr>
        <w:lastRenderedPageBreak/>
        <w:drawing>
          <wp:inline distT="0" distB="0" distL="0" distR="0">
            <wp:extent cx="5061600" cy="15264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1600" cy="1526400"/>
                    </a:xfrm>
                    <a:prstGeom prst="rect">
                      <a:avLst/>
                    </a:prstGeom>
                    <a:noFill/>
                    <a:ln>
                      <a:noFill/>
                    </a:ln>
                  </pic:spPr>
                </pic:pic>
              </a:graphicData>
            </a:graphic>
          </wp:inline>
        </w:drawing>
      </w:r>
    </w:p>
    <w:p w:rsidR="00716543" w:rsidRDefault="00716543" w:rsidP="00EF1726">
      <w:pPr>
        <w:pStyle w:val="Normalaftertitle"/>
        <w:rPr>
          <w:lang w:val="es-ES"/>
        </w:rPr>
      </w:pPr>
      <w:bookmarkStart w:id="137" w:name="lt_pId161"/>
      <w:r w:rsidRPr="00BB3A86">
        <w:rPr>
          <w:lang w:val="es-ES"/>
        </w:rPr>
        <w:t>I</w:t>
      </w:r>
      <w:r w:rsidRPr="00A55B4E">
        <w:rPr>
          <w:lang w:val="es-ES"/>
        </w:rPr>
        <w:t>.7.4</w:t>
      </w:r>
      <w:bookmarkEnd w:id="137"/>
      <w:r w:rsidRPr="00A55B4E">
        <w:rPr>
          <w:lang w:val="es-ES"/>
        </w:rPr>
        <w:tab/>
      </w:r>
      <w:bookmarkStart w:id="138" w:name="lt_pId162"/>
      <w:r w:rsidRPr="00A55B4E">
        <w:rPr>
          <w:lang w:val="es-ES"/>
        </w:rPr>
        <w:t xml:space="preserve">El Cuadro F muestra la comparación entre el proyecto de </w:t>
      </w:r>
      <w:r w:rsidR="00EF1726">
        <w:rPr>
          <w:lang w:val="es-ES"/>
        </w:rPr>
        <w:t>p</w:t>
      </w:r>
      <w:r w:rsidR="00C847B9" w:rsidRPr="00A55B4E">
        <w:rPr>
          <w:lang w:val="es-ES"/>
        </w:rPr>
        <w:t xml:space="preserve">resupuesto </w:t>
      </w:r>
      <w:r w:rsidRPr="00A55B4E">
        <w:rPr>
          <w:lang w:val="es-ES"/>
        </w:rPr>
        <w:t xml:space="preserve">para 2020-2021 y el Plan Financiero actualizado </w:t>
      </w:r>
      <w:r>
        <w:rPr>
          <w:lang w:val="es-ES"/>
        </w:rPr>
        <w:t>según</w:t>
      </w:r>
      <w:r w:rsidRPr="00A55B4E">
        <w:rPr>
          <w:lang w:val="es-ES"/>
        </w:rPr>
        <w:t xml:space="preserve"> se in</w:t>
      </w:r>
      <w:r>
        <w:rPr>
          <w:lang w:val="es-ES"/>
        </w:rPr>
        <w:t>dica en el punto 7.2 anterior.</w:t>
      </w:r>
    </w:p>
    <w:p w:rsidR="00716543" w:rsidRPr="009A27C0" w:rsidRDefault="00716543" w:rsidP="00740D17">
      <w:pPr>
        <w:pStyle w:val="Figure"/>
        <w:rPr>
          <w:lang w:val="es-ES"/>
        </w:rPr>
      </w:pPr>
      <w:r w:rsidRPr="009A27C0">
        <w:rPr>
          <w:noProof/>
          <w:lang w:val="en-GB" w:eastAsia="zh-CN"/>
        </w:rPr>
        <w:drawing>
          <wp:inline distT="0" distB="0" distL="0" distR="0">
            <wp:extent cx="50580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000" cy="2160000"/>
                    </a:xfrm>
                    <a:prstGeom prst="rect">
                      <a:avLst/>
                    </a:prstGeom>
                    <a:noFill/>
                    <a:ln>
                      <a:noFill/>
                    </a:ln>
                  </pic:spPr>
                </pic:pic>
              </a:graphicData>
            </a:graphic>
          </wp:inline>
        </w:drawing>
      </w:r>
    </w:p>
    <w:p w:rsidR="00716543" w:rsidRPr="00E11EF8" w:rsidRDefault="00716543" w:rsidP="00740D17">
      <w:pPr>
        <w:pStyle w:val="Heading2"/>
      </w:pPr>
      <w:bookmarkStart w:id="139" w:name="_I.8_Previsión_de"/>
      <w:bookmarkStart w:id="140" w:name="lt_pId163"/>
      <w:bookmarkStart w:id="141" w:name="_Toc7181990"/>
      <w:bookmarkStart w:id="142" w:name="_Toc7518368"/>
      <w:bookmarkStart w:id="143" w:name="_Toc7533957"/>
      <w:bookmarkStart w:id="144" w:name="_Toc7534666"/>
      <w:bookmarkEnd w:id="138"/>
      <w:bookmarkEnd w:id="139"/>
      <w:r w:rsidRPr="00E11EF8">
        <w:t>I.8</w:t>
      </w:r>
      <w:bookmarkEnd w:id="140"/>
      <w:r w:rsidRPr="00E11EF8">
        <w:tab/>
        <w:t>Previsión de ingresos</w:t>
      </w:r>
      <w:bookmarkEnd w:id="141"/>
      <w:bookmarkEnd w:id="142"/>
      <w:bookmarkEnd w:id="143"/>
      <w:bookmarkEnd w:id="144"/>
    </w:p>
    <w:p w:rsidR="00716543" w:rsidRPr="00BB3A86" w:rsidRDefault="00716543" w:rsidP="00010D8D">
      <w:pPr>
        <w:rPr>
          <w:lang w:val="es-ES"/>
        </w:rPr>
      </w:pPr>
      <w:bookmarkStart w:id="145" w:name="lt_pId165"/>
      <w:r w:rsidRPr="00BB3A86">
        <w:rPr>
          <w:lang w:val="es-ES"/>
        </w:rPr>
        <w:t>I.8.1</w:t>
      </w:r>
      <w:bookmarkEnd w:id="145"/>
      <w:r w:rsidRPr="00BB3A86">
        <w:rPr>
          <w:lang w:val="es-ES"/>
        </w:rPr>
        <w:tab/>
      </w:r>
      <w:bookmarkStart w:id="146" w:name="lt_pId166"/>
      <w:r w:rsidRPr="00A55B4E">
        <w:rPr>
          <w:lang w:val="es-ES"/>
        </w:rPr>
        <w:t xml:space="preserve">En el Cuadro </w:t>
      </w:r>
      <w:r>
        <w:rPr>
          <w:lang w:val="es-ES"/>
        </w:rPr>
        <w:t xml:space="preserve">G y la Figura C </w:t>
      </w:r>
      <w:r w:rsidRPr="00A55B4E">
        <w:rPr>
          <w:lang w:val="es-ES"/>
        </w:rPr>
        <w:t>a continuación se resume la estimación de ingresos, según su origen, para el 2020-2021, que ascienden a 331 millones CHF, es decir</w:t>
      </w:r>
      <w:r w:rsidR="003018AC">
        <w:rPr>
          <w:lang w:val="es-ES"/>
        </w:rPr>
        <w:t>,</w:t>
      </w:r>
      <w:r w:rsidRPr="00A55B4E">
        <w:rPr>
          <w:lang w:val="es-ES"/>
        </w:rPr>
        <w:t xml:space="preserve"> 6,4 millones CHF más que en el </w:t>
      </w:r>
      <w:r w:rsidR="00010D8D">
        <w:rPr>
          <w:lang w:val="es-ES"/>
        </w:rPr>
        <w:t>p</w:t>
      </w:r>
      <w:r w:rsidRPr="00A55B4E">
        <w:rPr>
          <w:lang w:val="es-ES"/>
        </w:rPr>
        <w:t xml:space="preserve">resupuesto </w:t>
      </w:r>
      <w:r>
        <w:rPr>
          <w:lang w:val="es-ES"/>
        </w:rPr>
        <w:t>de</w:t>
      </w:r>
      <w:r w:rsidRPr="00A55B4E">
        <w:rPr>
          <w:lang w:val="es-ES"/>
        </w:rPr>
        <w:t xml:space="preserve"> 2018-2019</w:t>
      </w:r>
      <w:bookmarkEnd w:id="146"/>
      <w:r w:rsidRPr="00BB3A86">
        <w:rPr>
          <w:lang w:val="es-ES"/>
        </w:rPr>
        <w:t xml:space="preserve">. </w:t>
      </w:r>
      <w:bookmarkStart w:id="147" w:name="lt_pId168"/>
      <w:r w:rsidRPr="00BB3A86">
        <w:rPr>
          <w:lang w:val="es-ES"/>
        </w:rPr>
        <w:t>En el Cuadro 2 de la Parte 3 del presente documento se presentan más detalles sobre los ingresos pasados y previstos.</w:t>
      </w:r>
      <w:bookmarkEnd w:id="147"/>
    </w:p>
    <w:p w:rsidR="00716543" w:rsidRDefault="00716543" w:rsidP="00740D17">
      <w:pPr>
        <w:pStyle w:val="Figure"/>
        <w:keepNext w:val="0"/>
        <w:keepLines w:val="0"/>
        <w:rPr>
          <w:lang w:val="es-ES"/>
        </w:rPr>
      </w:pPr>
      <w:r w:rsidRPr="003663F0">
        <w:rPr>
          <w:noProof/>
          <w:lang w:val="en-GB" w:eastAsia="zh-CN"/>
        </w:rPr>
        <w:drawing>
          <wp:inline distT="0" distB="0" distL="0" distR="0">
            <wp:extent cx="5054400" cy="2268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4400" cy="2268000"/>
                    </a:xfrm>
                    <a:prstGeom prst="rect">
                      <a:avLst/>
                    </a:prstGeom>
                    <a:noFill/>
                    <a:ln>
                      <a:noFill/>
                    </a:ln>
                  </pic:spPr>
                </pic:pic>
              </a:graphicData>
            </a:graphic>
          </wp:inline>
        </w:drawing>
      </w:r>
    </w:p>
    <w:p w:rsidR="00716543" w:rsidRPr="004C0C68" w:rsidRDefault="00716543" w:rsidP="00740D17">
      <w:pPr>
        <w:pStyle w:val="Figure"/>
        <w:rPr>
          <w:lang w:val="es-ES"/>
        </w:rPr>
      </w:pPr>
      <w:r>
        <w:rPr>
          <w:noProof/>
          <w:lang w:val="en-GB" w:eastAsia="zh-CN"/>
        </w:rPr>
        <w:lastRenderedPageBreak/>
        <w:drawing>
          <wp:inline distT="0" distB="0" distL="0" distR="0">
            <wp:extent cx="5788800" cy="3787200"/>
            <wp:effectExtent l="0" t="0" r="2540" b="3810"/>
            <wp:docPr id="71" name="Picture 71" descr="C:\Users\hernandf\AppData\Local\Microsoft\Windows\INetCache\Content.Word\Grafic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ernandf\AppData\Local\Microsoft\Windows\INetCache\Content.Word\Grafico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8800" cy="3787200"/>
                    </a:xfrm>
                    <a:prstGeom prst="rect">
                      <a:avLst/>
                    </a:prstGeom>
                    <a:noFill/>
                    <a:ln>
                      <a:noFill/>
                    </a:ln>
                  </pic:spPr>
                </pic:pic>
              </a:graphicData>
            </a:graphic>
          </wp:inline>
        </w:drawing>
      </w:r>
    </w:p>
    <w:p w:rsidR="00716543" w:rsidRPr="00BB3A86" w:rsidRDefault="00716543" w:rsidP="00740D17">
      <w:pPr>
        <w:pStyle w:val="Normalaftertitle"/>
        <w:rPr>
          <w:lang w:val="es-ES"/>
        </w:rPr>
      </w:pPr>
      <w:bookmarkStart w:id="148" w:name="lt_pId169"/>
      <w:r w:rsidRPr="00BB3A86">
        <w:rPr>
          <w:lang w:val="es-ES"/>
        </w:rPr>
        <w:t>I.8.2</w:t>
      </w:r>
      <w:bookmarkEnd w:id="148"/>
      <w:r w:rsidRPr="00BB3A86">
        <w:rPr>
          <w:lang w:val="es-ES"/>
        </w:rPr>
        <w:tab/>
      </w:r>
      <w:bookmarkStart w:id="149" w:name="lt_pId170"/>
      <w:r w:rsidRPr="00A55B4E">
        <w:rPr>
          <w:lang w:val="es-ES"/>
        </w:rPr>
        <w:t xml:space="preserve">Los ingresos en concepto de contribuciones previstas representan el 75,9 por ciento de los ingresos totales presupuestados para 2020-2021 y comprenden las contribuciones de los Estados Miembros, los Miembros de Sector, los Asociados y las Instituciones Académicas. </w:t>
      </w:r>
      <w:bookmarkStart w:id="150" w:name="lt_pId172"/>
      <w:bookmarkEnd w:id="149"/>
      <w:r w:rsidRPr="00A55B4E">
        <w:rPr>
          <w:lang w:val="es-ES"/>
        </w:rPr>
        <w:t xml:space="preserve">Las contribuciones previstas para 2020-2021 son un 0,93 por ciento </w:t>
      </w:r>
      <w:r>
        <w:rPr>
          <w:lang w:val="es-ES"/>
        </w:rPr>
        <w:t>superiores a las de</w:t>
      </w:r>
      <w:r w:rsidRPr="00A55B4E">
        <w:rPr>
          <w:lang w:val="es-ES"/>
        </w:rPr>
        <w:t xml:space="preserve"> 2018-2019. </w:t>
      </w:r>
      <w:bookmarkStart w:id="151" w:name="lt_pId173"/>
      <w:bookmarkEnd w:id="150"/>
      <w:r w:rsidRPr="00A55B4E">
        <w:rPr>
          <w:lang w:val="es-ES"/>
        </w:rPr>
        <w:t>En el Cuadro H se desglosan las contribuciones previstas para</w:t>
      </w:r>
      <w:r w:rsidRPr="00BB3A86">
        <w:rPr>
          <w:lang w:val="es-ES"/>
        </w:rPr>
        <w:t xml:space="preserve"> 2020-2021.</w:t>
      </w:r>
      <w:bookmarkEnd w:id="151"/>
    </w:p>
    <w:p w:rsidR="00716543" w:rsidRDefault="00716543" w:rsidP="00740D17">
      <w:pPr>
        <w:pStyle w:val="Figure"/>
        <w:rPr>
          <w:lang w:val="es-ES"/>
        </w:rPr>
      </w:pPr>
      <w:r w:rsidRPr="00F56B5E">
        <w:rPr>
          <w:noProof/>
          <w:lang w:val="en-GB" w:eastAsia="zh-CN"/>
        </w:rPr>
        <w:drawing>
          <wp:inline distT="0" distB="0" distL="0" distR="0">
            <wp:extent cx="5079600" cy="22428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9600" cy="2242800"/>
                    </a:xfrm>
                    <a:prstGeom prst="rect">
                      <a:avLst/>
                    </a:prstGeom>
                    <a:noFill/>
                    <a:ln>
                      <a:noFill/>
                    </a:ln>
                  </pic:spPr>
                </pic:pic>
              </a:graphicData>
            </a:graphic>
          </wp:inline>
        </w:drawing>
      </w:r>
    </w:p>
    <w:p w:rsidR="00716543" w:rsidRPr="00BB3A86" w:rsidRDefault="00716543" w:rsidP="00740D17">
      <w:pPr>
        <w:pStyle w:val="Normalaftertitle"/>
        <w:rPr>
          <w:lang w:val="es-ES"/>
        </w:rPr>
      </w:pPr>
      <w:bookmarkStart w:id="152" w:name="lt_pId174"/>
      <w:r w:rsidRPr="00BB3A86">
        <w:rPr>
          <w:lang w:val="es-ES"/>
        </w:rPr>
        <w:t>I.8.3</w:t>
      </w:r>
      <w:bookmarkEnd w:id="152"/>
      <w:r w:rsidRPr="00BB3A86">
        <w:rPr>
          <w:lang w:val="es-ES"/>
        </w:rPr>
        <w:tab/>
      </w:r>
      <w:bookmarkStart w:id="153" w:name="lt_pId175"/>
      <w:r w:rsidRPr="00A55B4E">
        <w:rPr>
          <w:lang w:val="es-ES"/>
        </w:rPr>
        <w:t>Las contribuciones previstas de los Estados Miembros ascienden a 218,6 millones CHF, el 66</w:t>
      </w:r>
      <w:r>
        <w:rPr>
          <w:lang w:val="es-ES"/>
        </w:rPr>
        <w:t> por ciento</w:t>
      </w:r>
      <w:r w:rsidRPr="00A55B4E">
        <w:rPr>
          <w:lang w:val="es-ES"/>
        </w:rPr>
        <w:t xml:space="preserve"> de los ingresos totales para 2020-2021.</w:t>
      </w:r>
      <w:bookmarkEnd w:id="153"/>
    </w:p>
    <w:p w:rsidR="00716543" w:rsidRPr="00BB3A86" w:rsidRDefault="00716543" w:rsidP="00740D17">
      <w:pPr>
        <w:rPr>
          <w:lang w:val="es-ES"/>
        </w:rPr>
      </w:pPr>
      <w:bookmarkStart w:id="154" w:name="lt_pId176"/>
      <w:r w:rsidRPr="00BB3A86">
        <w:rPr>
          <w:lang w:val="es-ES"/>
        </w:rPr>
        <w:t>I.8.4</w:t>
      </w:r>
      <w:bookmarkEnd w:id="154"/>
      <w:r w:rsidRPr="00BB3A86">
        <w:rPr>
          <w:lang w:val="es-ES"/>
        </w:rPr>
        <w:tab/>
      </w:r>
      <w:bookmarkStart w:id="155" w:name="lt_pId177"/>
      <w:r w:rsidRPr="00A55B4E">
        <w:rPr>
          <w:lang w:val="es-ES"/>
        </w:rPr>
        <w:t>Las contribuciones previstas de los Miembros de Sector ascienden a 27,9 millones CHF, el 8,4</w:t>
      </w:r>
      <w:r>
        <w:rPr>
          <w:lang w:val="es-ES"/>
        </w:rPr>
        <w:t> </w:t>
      </w:r>
      <w:r w:rsidRPr="00676F8B">
        <w:rPr>
          <w:lang w:val="es-ES"/>
        </w:rPr>
        <w:t xml:space="preserve">por ciento </w:t>
      </w:r>
      <w:r w:rsidRPr="00A55B4E">
        <w:rPr>
          <w:lang w:val="es-ES"/>
        </w:rPr>
        <w:t>de los ingresos totales para 2020-2021. La estimación de ingresos se basa en un importe de 63 600 CHF por unidad contributiva anual, lo que representa 1/5 del importe aplicable a los Estados Miembros.</w:t>
      </w:r>
      <w:bookmarkEnd w:id="155"/>
    </w:p>
    <w:p w:rsidR="00716543" w:rsidRPr="00BB3A86" w:rsidRDefault="00716543" w:rsidP="00740D17">
      <w:pPr>
        <w:rPr>
          <w:lang w:val="es-ES"/>
        </w:rPr>
      </w:pPr>
      <w:bookmarkStart w:id="156" w:name="lt_pId179"/>
      <w:r w:rsidRPr="00BB3A86">
        <w:rPr>
          <w:lang w:val="es-ES"/>
        </w:rPr>
        <w:lastRenderedPageBreak/>
        <w:t>I.8.5</w:t>
      </w:r>
      <w:bookmarkEnd w:id="156"/>
      <w:r w:rsidRPr="00BB3A86">
        <w:rPr>
          <w:lang w:val="es-ES"/>
        </w:rPr>
        <w:tab/>
      </w:r>
      <w:bookmarkStart w:id="157" w:name="lt_pId180"/>
      <w:r w:rsidRPr="00A55B4E">
        <w:rPr>
          <w:lang w:val="es-ES"/>
        </w:rPr>
        <w:t xml:space="preserve">Las contribuciones previstas de los Asociados ascienden a 3,8 millones CHF, el 1,2 </w:t>
      </w:r>
      <w:r w:rsidRPr="00676F8B">
        <w:rPr>
          <w:lang w:val="es-ES"/>
        </w:rPr>
        <w:t xml:space="preserve">por ciento </w:t>
      </w:r>
      <w:r w:rsidRPr="00A55B4E">
        <w:rPr>
          <w:lang w:val="es-ES"/>
        </w:rPr>
        <w:t>de los ingresos totales para 2020-2021. La estimación de ingresos se basa en un importe de</w:t>
      </w:r>
      <w:r>
        <w:rPr>
          <w:lang w:val="es-ES"/>
        </w:rPr>
        <w:t xml:space="preserve"> </w:t>
      </w:r>
      <w:r w:rsidRPr="00A55B4E">
        <w:rPr>
          <w:lang w:val="es-ES"/>
        </w:rPr>
        <w:t>10</w:t>
      </w:r>
      <w:r>
        <w:rPr>
          <w:lang w:val="es-ES"/>
        </w:rPr>
        <w:t> </w:t>
      </w:r>
      <w:r w:rsidRPr="00A55B4E">
        <w:rPr>
          <w:lang w:val="es-ES"/>
        </w:rPr>
        <w:t>600</w:t>
      </w:r>
      <w:r>
        <w:rPr>
          <w:lang w:val="es-ES"/>
        </w:rPr>
        <w:t> </w:t>
      </w:r>
      <w:r w:rsidRPr="00A55B4E">
        <w:rPr>
          <w:lang w:val="es-ES"/>
        </w:rPr>
        <w:t>CHF por unidad contributiva para los Sectores UIT-R y UIT-T y de 3 975 CHF para el Sector</w:t>
      </w:r>
      <w:r>
        <w:rPr>
          <w:lang w:val="es-ES"/>
        </w:rPr>
        <w:t> </w:t>
      </w:r>
      <w:r w:rsidRPr="00A55B4E">
        <w:rPr>
          <w:lang w:val="es-ES"/>
        </w:rPr>
        <w:t>UIT-D.</w:t>
      </w:r>
      <w:bookmarkEnd w:id="157"/>
    </w:p>
    <w:p w:rsidR="00716543" w:rsidRPr="00BB3A86" w:rsidRDefault="00716543" w:rsidP="00740D17">
      <w:pPr>
        <w:rPr>
          <w:lang w:val="es-ES"/>
        </w:rPr>
      </w:pPr>
      <w:bookmarkStart w:id="158" w:name="lt_pId183"/>
      <w:r w:rsidRPr="00BB3A86">
        <w:rPr>
          <w:lang w:val="es-ES"/>
        </w:rPr>
        <w:t>I.8.6</w:t>
      </w:r>
      <w:bookmarkEnd w:id="158"/>
      <w:r w:rsidRPr="00BB3A86">
        <w:rPr>
          <w:lang w:val="es-ES"/>
        </w:rPr>
        <w:tab/>
      </w:r>
      <w:bookmarkStart w:id="159" w:name="lt_pId184"/>
      <w:r w:rsidRPr="00A55B4E">
        <w:rPr>
          <w:lang w:val="es-ES"/>
        </w:rPr>
        <w:t xml:space="preserve">Las contribuciones previstas de las Instituciones Académicas, universidades y organismos de investigación asociados se estiman en 0,75 millones CHF para 2020-2021, </w:t>
      </w:r>
      <w:bookmarkEnd w:id="159"/>
      <w:r w:rsidRPr="00A55B4E">
        <w:rPr>
          <w:lang w:val="es-ES"/>
        </w:rPr>
        <w:t xml:space="preserve">el 0,23 </w:t>
      </w:r>
      <w:r w:rsidRPr="00676F8B">
        <w:rPr>
          <w:lang w:val="es-ES"/>
        </w:rPr>
        <w:t xml:space="preserve">por ciento </w:t>
      </w:r>
      <w:r w:rsidRPr="00A55B4E">
        <w:rPr>
          <w:lang w:val="es-ES"/>
        </w:rPr>
        <w:t>de los ingresos totales.</w:t>
      </w:r>
    </w:p>
    <w:p w:rsidR="00716543" w:rsidRPr="00BB3A86" w:rsidRDefault="00716543" w:rsidP="00740D17">
      <w:pPr>
        <w:rPr>
          <w:lang w:val="es-ES"/>
        </w:rPr>
      </w:pPr>
      <w:bookmarkStart w:id="160" w:name="lt_pId185"/>
      <w:r w:rsidRPr="00BB3A86">
        <w:rPr>
          <w:lang w:val="es-ES"/>
        </w:rPr>
        <w:t>I.8.7</w:t>
      </w:r>
      <w:bookmarkEnd w:id="160"/>
      <w:r w:rsidRPr="00BB3A86">
        <w:rPr>
          <w:lang w:val="es-ES"/>
        </w:rPr>
        <w:tab/>
      </w:r>
      <w:bookmarkStart w:id="161" w:name="lt_pId186"/>
      <w:r w:rsidRPr="00A55B4E">
        <w:rPr>
          <w:lang w:val="es-ES"/>
        </w:rPr>
        <w:t>En el Cuadro I siguiente se consigna el número de unidades contributivas presupuestadas de los Miembros a</w:t>
      </w:r>
      <w:r w:rsidRPr="00BB3A86">
        <w:rPr>
          <w:lang w:val="es-ES"/>
        </w:rPr>
        <w:t xml:space="preserve"> 1 de enero de 2019.</w:t>
      </w:r>
      <w:bookmarkEnd w:id="161"/>
    </w:p>
    <w:p w:rsidR="00716543" w:rsidRPr="00A55B4E" w:rsidRDefault="00716543" w:rsidP="00740D17">
      <w:pPr>
        <w:pStyle w:val="Figure"/>
        <w:rPr>
          <w:lang w:val="es-ES"/>
        </w:rPr>
      </w:pPr>
      <w:r w:rsidRPr="00A127BC">
        <w:rPr>
          <w:noProof/>
          <w:lang w:val="en-GB" w:eastAsia="zh-CN"/>
        </w:rPr>
        <w:drawing>
          <wp:inline distT="0" distB="0" distL="0" distR="0">
            <wp:extent cx="5115600" cy="31824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5600" cy="3182400"/>
                    </a:xfrm>
                    <a:prstGeom prst="rect">
                      <a:avLst/>
                    </a:prstGeom>
                    <a:noFill/>
                    <a:ln>
                      <a:noFill/>
                    </a:ln>
                  </pic:spPr>
                </pic:pic>
              </a:graphicData>
            </a:graphic>
          </wp:inline>
        </w:drawing>
      </w:r>
    </w:p>
    <w:p w:rsidR="00716543" w:rsidRDefault="00716543" w:rsidP="00740D17">
      <w:pPr>
        <w:pStyle w:val="Normalaftertitle"/>
        <w:rPr>
          <w:lang w:val="es-ES"/>
        </w:rPr>
      </w:pPr>
      <w:bookmarkStart w:id="162" w:name="lt_pId187"/>
      <w:r w:rsidRPr="00BB3A86">
        <w:rPr>
          <w:lang w:val="es-ES"/>
        </w:rPr>
        <w:t>I.8.8</w:t>
      </w:r>
      <w:bookmarkEnd w:id="162"/>
      <w:r w:rsidRPr="00BB3A86">
        <w:rPr>
          <w:lang w:val="es-ES"/>
        </w:rPr>
        <w:tab/>
      </w:r>
      <w:bookmarkStart w:id="163" w:name="lt_pId188"/>
      <w:r w:rsidRPr="00BB3A86">
        <w:rPr>
          <w:lang w:val="es-ES"/>
        </w:rPr>
        <w:t>Los ingresos previstos en concepto de recuperación de costes de 75,8 millones CHF son un 4,12</w:t>
      </w:r>
      <w:r>
        <w:rPr>
          <w:lang w:val="es-ES"/>
        </w:rPr>
        <w:t> </w:t>
      </w:r>
      <w:r w:rsidRPr="00BB3A86">
        <w:rPr>
          <w:lang w:val="es-ES"/>
        </w:rPr>
        <w:t>por ciento mayores que en el presupuesto de 2018-2019, y representan el 22,9 por ciento de los ingresos totales previstos para 2020-2021.</w:t>
      </w:r>
      <w:bookmarkEnd w:id="163"/>
      <w:r w:rsidRPr="00BB3A86">
        <w:rPr>
          <w:lang w:val="es-ES"/>
        </w:rPr>
        <w:t xml:space="preserve"> </w:t>
      </w:r>
      <w:bookmarkStart w:id="164" w:name="lt_pId189"/>
      <w:r w:rsidRPr="00BB3A86">
        <w:rPr>
          <w:lang w:val="es-ES"/>
        </w:rPr>
        <w:t xml:space="preserve">Este incremento se debe a los ingresos adicionales previstos que provienen de las notificaciones de redes de satélites relacionadas con los puestos adicionales concedidos a la Oficina de Radiocomunicaciones para la tramitación de las notificaciones espaciales. En el Cuadro J, a continuación, se muestra el reparto de los ingresos en concepto de recuperación de costes para </w:t>
      </w:r>
      <w:bookmarkStart w:id="165" w:name="lt_pId190"/>
      <w:bookmarkEnd w:id="164"/>
      <w:r w:rsidRPr="00BB3A86">
        <w:rPr>
          <w:lang w:val="es-ES"/>
        </w:rPr>
        <w:t>2020-2021.</w:t>
      </w:r>
      <w:bookmarkEnd w:id="165"/>
    </w:p>
    <w:p w:rsidR="00716543" w:rsidRDefault="00716543" w:rsidP="00740D17">
      <w:pPr>
        <w:rPr>
          <w:lang w:val="es-ES"/>
        </w:rPr>
      </w:pPr>
      <w:r>
        <w:rPr>
          <w:lang w:val="es-ES"/>
        </w:rPr>
        <w:br w:type="page"/>
      </w:r>
    </w:p>
    <w:p w:rsidR="00716543" w:rsidRDefault="00716543" w:rsidP="00740D17">
      <w:pPr>
        <w:pStyle w:val="Figure"/>
        <w:rPr>
          <w:lang w:val="es-ES"/>
        </w:rPr>
      </w:pPr>
      <w:bookmarkStart w:id="166" w:name="lt_pId191"/>
      <w:r w:rsidRPr="00F56B5E">
        <w:rPr>
          <w:noProof/>
          <w:lang w:val="en-GB" w:eastAsia="zh-CN"/>
        </w:rPr>
        <w:lastRenderedPageBreak/>
        <w:drawing>
          <wp:inline distT="0" distB="0" distL="0" distR="0">
            <wp:extent cx="5072400" cy="2332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2400" cy="2332800"/>
                    </a:xfrm>
                    <a:prstGeom prst="rect">
                      <a:avLst/>
                    </a:prstGeom>
                    <a:noFill/>
                    <a:ln>
                      <a:noFill/>
                    </a:ln>
                  </pic:spPr>
                </pic:pic>
              </a:graphicData>
            </a:graphic>
          </wp:inline>
        </w:drawing>
      </w:r>
    </w:p>
    <w:p w:rsidR="00716543" w:rsidRPr="00BB3A86" w:rsidRDefault="00716543" w:rsidP="00B871A0">
      <w:pPr>
        <w:pStyle w:val="Normalaftertitle"/>
        <w:rPr>
          <w:lang w:val="es-ES"/>
        </w:rPr>
      </w:pPr>
      <w:r w:rsidRPr="00BB3A86">
        <w:rPr>
          <w:lang w:val="es-ES"/>
        </w:rPr>
        <w:t>I.8.9</w:t>
      </w:r>
      <w:bookmarkEnd w:id="166"/>
      <w:r w:rsidRPr="00BB3A86">
        <w:rPr>
          <w:lang w:val="es-ES"/>
        </w:rPr>
        <w:tab/>
      </w:r>
      <w:bookmarkStart w:id="167" w:name="lt_pId192"/>
      <w:r w:rsidRPr="00A55B4E">
        <w:rPr>
          <w:lang w:val="es-ES"/>
        </w:rPr>
        <w:t xml:space="preserve">Los ingresos en concepto de intereses y otros ingresos representan el </w:t>
      </w:r>
      <w:r w:rsidRPr="00BB3A86">
        <w:rPr>
          <w:lang w:val="es-ES"/>
        </w:rPr>
        <w:t>0,24 </w:t>
      </w:r>
      <w:r w:rsidRPr="00A55B4E">
        <w:rPr>
          <w:lang w:val="es-ES"/>
        </w:rPr>
        <w:t xml:space="preserve">por ciento de los ingresos totales previstos. Los otros ingresos comprenden los que proceden de la venta de equipos, notas de crédito de vendedores y otros elementos diversos. Las estimaciones se sitúan al mismo nivel que el </w:t>
      </w:r>
      <w:r w:rsidR="00B871A0">
        <w:rPr>
          <w:lang w:val="es-ES"/>
        </w:rPr>
        <w:t>p</w:t>
      </w:r>
      <w:r w:rsidRPr="00A55B4E">
        <w:rPr>
          <w:lang w:val="es-ES"/>
        </w:rPr>
        <w:t xml:space="preserve">resupuesto para </w:t>
      </w:r>
      <w:r w:rsidRPr="00BB3A86">
        <w:rPr>
          <w:lang w:val="es-ES"/>
        </w:rPr>
        <w:t>2018-2019</w:t>
      </w:r>
      <w:r w:rsidRPr="00A55B4E">
        <w:rPr>
          <w:lang w:val="es-ES"/>
        </w:rPr>
        <w:t>.</w:t>
      </w:r>
      <w:bookmarkEnd w:id="167"/>
    </w:p>
    <w:p w:rsidR="00716543" w:rsidRPr="00BB3A86" w:rsidRDefault="00716543" w:rsidP="00740D17">
      <w:pPr>
        <w:rPr>
          <w:lang w:val="es-ES"/>
        </w:rPr>
      </w:pPr>
      <w:bookmarkStart w:id="168" w:name="lt_pId195"/>
      <w:r w:rsidRPr="00BB3A86">
        <w:rPr>
          <w:lang w:val="es-ES"/>
        </w:rPr>
        <w:t>I.8.10</w:t>
      </w:r>
      <w:bookmarkStart w:id="169" w:name="lt_pId196"/>
      <w:bookmarkEnd w:id="168"/>
      <w:r>
        <w:rPr>
          <w:lang w:val="es-ES"/>
        </w:rPr>
        <w:tab/>
      </w:r>
      <w:r w:rsidRPr="00BB3A86">
        <w:rPr>
          <w:lang w:val="es-ES"/>
        </w:rPr>
        <w:t>Como se prevé en el Plan Financiero y de acuerdo con la práctica del presupuesto anterior, los ahorros en la ejecución del presupuesto del año anterior se utilizan para equilibrar los ingresos y los costes, por una cantidad de 3,3 millones CHF, casi 1,2 millones menos que lo previsto en el Plan Financiero.</w:t>
      </w:r>
    </w:p>
    <w:p w:rsidR="00716543" w:rsidRPr="00BB3A86" w:rsidRDefault="00716543" w:rsidP="00EF1726">
      <w:pPr>
        <w:rPr>
          <w:lang w:val="es-ES"/>
        </w:rPr>
      </w:pPr>
      <w:bookmarkStart w:id="170" w:name="lt_pId197"/>
      <w:bookmarkEnd w:id="169"/>
      <w:r w:rsidRPr="00BB3A86">
        <w:rPr>
          <w:lang w:val="es-ES"/>
        </w:rPr>
        <w:t>I.8.11</w:t>
      </w:r>
      <w:bookmarkStart w:id="171" w:name="lt_pId198"/>
      <w:bookmarkEnd w:id="170"/>
      <w:r>
        <w:rPr>
          <w:lang w:val="es-ES"/>
        </w:rPr>
        <w:tab/>
      </w:r>
      <w:r w:rsidRPr="00BB3A86">
        <w:rPr>
          <w:lang w:val="es-ES"/>
        </w:rPr>
        <w:t xml:space="preserve">En el Cuadro K a continuación, se muestra la comparación de los ingresos por origen entre el proyecto de </w:t>
      </w:r>
      <w:r w:rsidR="00EF1726">
        <w:rPr>
          <w:lang w:val="es-ES"/>
        </w:rPr>
        <w:t>p</w:t>
      </w:r>
      <w:r w:rsidR="00C847B9" w:rsidRPr="00BB3A86">
        <w:rPr>
          <w:lang w:val="es-ES"/>
        </w:rPr>
        <w:t xml:space="preserve">resupuesto </w:t>
      </w:r>
      <w:r w:rsidRPr="00BB3A86">
        <w:rPr>
          <w:lang w:val="es-ES"/>
        </w:rPr>
        <w:t>para 2020-2021 y el Plan Financiero para 2018-2019.</w:t>
      </w:r>
    </w:p>
    <w:p w:rsidR="00716543" w:rsidRDefault="00716543" w:rsidP="00740D17">
      <w:pPr>
        <w:pStyle w:val="Figure"/>
        <w:rPr>
          <w:lang w:val="es-ES"/>
        </w:rPr>
      </w:pPr>
      <w:r w:rsidRPr="00F56B5E">
        <w:rPr>
          <w:noProof/>
          <w:lang w:val="en-GB" w:eastAsia="zh-CN"/>
        </w:rPr>
        <w:drawing>
          <wp:inline distT="0" distB="0" distL="0" distR="0">
            <wp:extent cx="5054400" cy="2487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400" cy="2487600"/>
                    </a:xfrm>
                    <a:prstGeom prst="rect">
                      <a:avLst/>
                    </a:prstGeom>
                    <a:noFill/>
                    <a:ln>
                      <a:noFill/>
                    </a:ln>
                  </pic:spPr>
                </pic:pic>
              </a:graphicData>
            </a:graphic>
          </wp:inline>
        </w:drawing>
      </w:r>
    </w:p>
    <w:p w:rsidR="00716543" w:rsidRPr="00E11EF8" w:rsidRDefault="00716543" w:rsidP="00740D17">
      <w:pPr>
        <w:pStyle w:val="Heading2"/>
      </w:pPr>
      <w:bookmarkStart w:id="172" w:name="_I.9_Previsión_de"/>
      <w:bookmarkStart w:id="173" w:name="lt_pId199"/>
      <w:bookmarkStart w:id="174" w:name="_Toc7181991"/>
      <w:bookmarkStart w:id="175" w:name="_Toc7518369"/>
      <w:bookmarkStart w:id="176" w:name="_Toc7533958"/>
      <w:bookmarkStart w:id="177" w:name="_Toc7534667"/>
      <w:bookmarkEnd w:id="171"/>
      <w:bookmarkEnd w:id="172"/>
      <w:r w:rsidRPr="00E11EF8">
        <w:t>I.9</w:t>
      </w:r>
      <w:bookmarkEnd w:id="173"/>
      <w:r w:rsidRPr="00E11EF8">
        <w:tab/>
        <w:t>Previsión de gastos</w:t>
      </w:r>
      <w:bookmarkEnd w:id="174"/>
      <w:bookmarkEnd w:id="175"/>
      <w:bookmarkEnd w:id="176"/>
      <w:bookmarkEnd w:id="177"/>
    </w:p>
    <w:p w:rsidR="00716543" w:rsidRPr="00BB3A86" w:rsidRDefault="00716543" w:rsidP="00740D17">
      <w:pPr>
        <w:rPr>
          <w:lang w:val="es-ES"/>
        </w:rPr>
      </w:pPr>
      <w:bookmarkStart w:id="178" w:name="lt_pId201"/>
      <w:r w:rsidRPr="00BB3A86">
        <w:rPr>
          <w:lang w:val="es-ES"/>
        </w:rPr>
        <w:t>I.9.1</w:t>
      </w:r>
      <w:bookmarkEnd w:id="178"/>
      <w:r w:rsidRPr="00BB3A86">
        <w:rPr>
          <w:lang w:val="es-ES"/>
        </w:rPr>
        <w:tab/>
      </w:r>
      <w:bookmarkStart w:id="179" w:name="lt_pId202"/>
      <w:r w:rsidRPr="00BB3A86">
        <w:rPr>
          <w:lang w:val="es-ES"/>
        </w:rPr>
        <w:t>Los gastos totales previstos para el periodo 2020-2021 ascienden a 331 millones CHF.</w:t>
      </w:r>
      <w:bookmarkEnd w:id="179"/>
      <w:r w:rsidRPr="00BB3A86">
        <w:rPr>
          <w:lang w:val="es-ES"/>
        </w:rPr>
        <w:t xml:space="preserve"> </w:t>
      </w:r>
      <w:bookmarkStart w:id="180" w:name="lt_pId203"/>
      <w:r w:rsidRPr="00BB3A86">
        <w:rPr>
          <w:lang w:val="es-ES"/>
        </w:rPr>
        <w:t>Los Cuadros 1 a 12 (excepto el Cuadro 2 que trata de los ingresos) de la Parte 3 proporcionan información detallada sobre la distribución del presupuesto por sección y categoría de gasto.</w:t>
      </w:r>
      <w:bookmarkEnd w:id="180"/>
    </w:p>
    <w:p w:rsidR="00716543" w:rsidRDefault="00716543" w:rsidP="00740D17">
      <w:pPr>
        <w:rPr>
          <w:lang w:val="es-ES"/>
        </w:rPr>
      </w:pPr>
      <w:bookmarkStart w:id="181" w:name="lt_pId204"/>
      <w:r w:rsidRPr="00BB3A86">
        <w:rPr>
          <w:lang w:val="es-ES"/>
        </w:rPr>
        <w:t>I.9.2</w:t>
      </w:r>
      <w:bookmarkEnd w:id="181"/>
      <w:r w:rsidRPr="00BB3A86">
        <w:rPr>
          <w:lang w:val="es-ES"/>
        </w:rPr>
        <w:tab/>
      </w:r>
      <w:bookmarkStart w:id="182" w:name="lt_pId205"/>
      <w:r w:rsidRPr="00BB3A86">
        <w:rPr>
          <w:lang w:val="es-ES"/>
        </w:rPr>
        <w:t>El Cuadro L y la Figura D muestran el reparto por Sector de los gastos previstos para 2020</w:t>
      </w:r>
      <w:r w:rsidRPr="00BB3A86">
        <w:rPr>
          <w:lang w:val="es-ES"/>
        </w:rPr>
        <w:noBreakHyphen/>
        <w:t>2021 junto con la comparación con el presupuesto de 2018-2019 y el Plan Financiero.</w:t>
      </w:r>
      <w:bookmarkEnd w:id="182"/>
    </w:p>
    <w:p w:rsidR="00716543" w:rsidRPr="00BB3A86" w:rsidRDefault="00716543" w:rsidP="00740D17">
      <w:pPr>
        <w:pStyle w:val="Figure"/>
        <w:rPr>
          <w:lang w:val="es-ES"/>
        </w:rPr>
      </w:pPr>
      <w:r w:rsidRPr="001C2CD4">
        <w:rPr>
          <w:noProof/>
          <w:lang w:val="en-GB" w:eastAsia="zh-CN"/>
        </w:rPr>
        <w:lastRenderedPageBreak/>
        <w:drawing>
          <wp:inline distT="0" distB="0" distL="0" distR="0">
            <wp:extent cx="5014800" cy="20340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4800" cy="2034000"/>
                    </a:xfrm>
                    <a:prstGeom prst="rect">
                      <a:avLst/>
                    </a:prstGeom>
                    <a:noFill/>
                    <a:ln>
                      <a:noFill/>
                    </a:ln>
                  </pic:spPr>
                </pic:pic>
              </a:graphicData>
            </a:graphic>
          </wp:inline>
        </w:drawing>
      </w:r>
    </w:p>
    <w:p w:rsidR="00716543" w:rsidRDefault="00716543" w:rsidP="00740D17">
      <w:pPr>
        <w:pStyle w:val="Figure"/>
      </w:pPr>
      <w:bookmarkStart w:id="183" w:name="lt_pId206"/>
      <w:bookmarkStart w:id="184" w:name="_Toc7181992"/>
      <w:r>
        <w:rPr>
          <w:noProof/>
          <w:lang w:val="en-GB" w:eastAsia="zh-CN"/>
        </w:rPr>
        <w:drawing>
          <wp:inline distT="0" distB="0" distL="0" distR="0">
            <wp:extent cx="6120765" cy="4002440"/>
            <wp:effectExtent l="0" t="0" r="0" b="0"/>
            <wp:docPr id="13" name="Picture 13" descr="C:\Users\hernandf\AppData\Local\Microsoft\Windows\INetCache\Content.Word\Grafico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nandf\AppData\Local\Microsoft\Windows\INetCache\Content.Word\Grafico 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4002440"/>
                    </a:xfrm>
                    <a:prstGeom prst="rect">
                      <a:avLst/>
                    </a:prstGeom>
                    <a:noFill/>
                    <a:ln>
                      <a:noFill/>
                    </a:ln>
                  </pic:spPr>
                </pic:pic>
              </a:graphicData>
            </a:graphic>
          </wp:inline>
        </w:drawing>
      </w:r>
    </w:p>
    <w:p w:rsidR="00716543" w:rsidRPr="00E11EF8" w:rsidRDefault="00716543" w:rsidP="00740D17">
      <w:pPr>
        <w:pStyle w:val="Heading2"/>
      </w:pPr>
      <w:bookmarkStart w:id="185" w:name="_I.10_Gastos_comunes"/>
      <w:bookmarkStart w:id="186" w:name="_Toc7518370"/>
      <w:bookmarkStart w:id="187" w:name="_Toc7533959"/>
      <w:bookmarkStart w:id="188" w:name="_Toc7534668"/>
      <w:bookmarkEnd w:id="185"/>
      <w:r w:rsidRPr="00E11EF8">
        <w:t>I.10</w:t>
      </w:r>
      <w:bookmarkEnd w:id="183"/>
      <w:r w:rsidRPr="00E11EF8">
        <w:tab/>
        <w:t>Gastos comunes de la UIT</w:t>
      </w:r>
      <w:bookmarkEnd w:id="184"/>
      <w:bookmarkEnd w:id="186"/>
      <w:bookmarkEnd w:id="187"/>
      <w:bookmarkEnd w:id="188"/>
    </w:p>
    <w:p w:rsidR="00716543" w:rsidRDefault="00716543" w:rsidP="00740D17">
      <w:pPr>
        <w:rPr>
          <w:lang w:val="es-ES"/>
        </w:rPr>
      </w:pPr>
      <w:bookmarkStart w:id="189" w:name="lt_pId208"/>
      <w:r w:rsidRPr="00BB3A86">
        <w:rPr>
          <w:lang w:val="es-ES"/>
        </w:rPr>
        <w:t>I.10.1</w:t>
      </w:r>
      <w:bookmarkStart w:id="190" w:name="lt_pId209"/>
      <w:bookmarkEnd w:id="189"/>
      <w:r w:rsidRPr="00BB3A86">
        <w:rPr>
          <w:lang w:val="es-ES"/>
        </w:rPr>
        <w:tab/>
        <w:t>Para una mayor transparencia y eficiencia, se ha creado un centro de costes para los gastos comunes de la UIT en 2020-2021 y en adelante, que consolida la mayoría de los gastos comunes de la UIT y centrales. Incluye la lista de asignaciones que se muestra en el Cuadro M a continuación:</w:t>
      </w:r>
    </w:p>
    <w:p w:rsidR="00716543" w:rsidRDefault="00716543" w:rsidP="00740D17">
      <w:pPr>
        <w:rPr>
          <w:lang w:val="es-ES"/>
        </w:rPr>
      </w:pPr>
      <w:r>
        <w:rPr>
          <w:lang w:val="es-ES"/>
        </w:rPr>
        <w:br w:type="page"/>
      </w:r>
    </w:p>
    <w:p w:rsidR="00716543" w:rsidRDefault="00716543" w:rsidP="00740D17">
      <w:pPr>
        <w:pStyle w:val="Figure"/>
      </w:pPr>
      <w:bookmarkStart w:id="191" w:name="lt_pId211"/>
      <w:bookmarkStart w:id="192" w:name="_Toc7181993"/>
      <w:bookmarkEnd w:id="190"/>
      <w:r w:rsidRPr="004566D4">
        <w:rPr>
          <w:noProof/>
          <w:lang w:val="en-GB" w:eastAsia="zh-CN"/>
        </w:rPr>
        <w:lastRenderedPageBreak/>
        <w:drawing>
          <wp:inline distT="0" distB="0" distL="0" distR="0">
            <wp:extent cx="5050800" cy="350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0800" cy="3506400"/>
                    </a:xfrm>
                    <a:prstGeom prst="rect">
                      <a:avLst/>
                    </a:prstGeom>
                    <a:noFill/>
                    <a:ln>
                      <a:noFill/>
                    </a:ln>
                  </pic:spPr>
                </pic:pic>
              </a:graphicData>
            </a:graphic>
          </wp:inline>
        </w:drawing>
      </w:r>
    </w:p>
    <w:p w:rsidR="00716543" w:rsidRPr="00E11EF8" w:rsidRDefault="00716543" w:rsidP="00740D17">
      <w:pPr>
        <w:pStyle w:val="Heading2"/>
      </w:pPr>
      <w:bookmarkStart w:id="193" w:name="_I.11_Medidas_de"/>
      <w:bookmarkStart w:id="194" w:name="_Toc7518371"/>
      <w:bookmarkStart w:id="195" w:name="_Toc7533960"/>
      <w:bookmarkStart w:id="196" w:name="_Toc7534669"/>
      <w:bookmarkEnd w:id="193"/>
      <w:r w:rsidRPr="00E11EF8">
        <w:t>I.11</w:t>
      </w:r>
      <w:bookmarkEnd w:id="191"/>
      <w:r w:rsidRPr="00E11EF8">
        <w:tab/>
        <w:t>Medidas de eficiencia</w:t>
      </w:r>
      <w:bookmarkEnd w:id="192"/>
      <w:bookmarkEnd w:id="194"/>
      <w:bookmarkEnd w:id="195"/>
      <w:bookmarkEnd w:id="196"/>
    </w:p>
    <w:p w:rsidR="00716543" w:rsidRPr="00BB3A86" w:rsidRDefault="00716543" w:rsidP="00EF1726">
      <w:pPr>
        <w:rPr>
          <w:lang w:val="es-ES"/>
        </w:rPr>
      </w:pPr>
      <w:bookmarkStart w:id="197" w:name="lt_pId213"/>
      <w:r w:rsidRPr="00BB3A86">
        <w:rPr>
          <w:lang w:val="es-ES"/>
        </w:rPr>
        <w:t>I.11.1</w:t>
      </w:r>
      <w:bookmarkEnd w:id="197"/>
      <w:r w:rsidRPr="00BB3A86">
        <w:rPr>
          <w:lang w:val="es-ES"/>
        </w:rPr>
        <w:tab/>
      </w:r>
      <w:bookmarkStart w:id="198" w:name="lt_pId214"/>
      <w:r w:rsidRPr="00BB3A86">
        <w:rPr>
          <w:lang w:val="es-ES"/>
        </w:rPr>
        <w:t>Los ingresos y los gastos están equilibrados en 331 millones CHF.</w:t>
      </w:r>
      <w:bookmarkStart w:id="199" w:name="lt_pId215"/>
      <w:bookmarkEnd w:id="198"/>
      <w:r>
        <w:rPr>
          <w:lang w:val="es-ES"/>
        </w:rPr>
        <w:t xml:space="preserve"> </w:t>
      </w:r>
      <w:r w:rsidRPr="00BB3A86">
        <w:rPr>
          <w:lang w:val="es-ES"/>
        </w:rPr>
        <w:t xml:space="preserve">En comparación con el Plan Financiero, el proyecto de </w:t>
      </w:r>
      <w:r w:rsidR="00EF1726">
        <w:rPr>
          <w:lang w:val="es-ES"/>
        </w:rPr>
        <w:t>p</w:t>
      </w:r>
      <w:r w:rsidR="00C847B9" w:rsidRPr="00BB3A86">
        <w:rPr>
          <w:lang w:val="es-ES"/>
        </w:rPr>
        <w:t xml:space="preserve">resupuesto </w:t>
      </w:r>
      <w:r w:rsidRPr="00BB3A86">
        <w:rPr>
          <w:lang w:val="es-ES"/>
        </w:rPr>
        <w:t xml:space="preserve">para 2020-2021 es inferior en 0,59 millones CHF. Con el fin de alcanzar un presupuesto equilibrado, se han aplicado fuertes medidas de eficiencia. </w:t>
      </w:r>
    </w:p>
    <w:p w:rsidR="00716543" w:rsidRPr="00BB3A86" w:rsidRDefault="00716543" w:rsidP="00EF1726">
      <w:pPr>
        <w:rPr>
          <w:lang w:val="es-ES"/>
        </w:rPr>
      </w:pPr>
      <w:bookmarkStart w:id="200" w:name="lt_pId217"/>
      <w:bookmarkEnd w:id="199"/>
      <w:r w:rsidRPr="00BB3A86">
        <w:rPr>
          <w:lang w:val="es-ES"/>
        </w:rPr>
        <w:t>I.11.2</w:t>
      </w:r>
      <w:bookmarkEnd w:id="200"/>
      <w:r w:rsidRPr="00BB3A86">
        <w:rPr>
          <w:lang w:val="es-ES"/>
        </w:rPr>
        <w:tab/>
      </w:r>
      <w:bookmarkStart w:id="201" w:name="lt_pId218"/>
      <w:r w:rsidRPr="00A55B4E">
        <w:rPr>
          <w:lang w:val="es-ES"/>
        </w:rPr>
        <w:t xml:space="preserve">Se han planificado y aplicado medidas de eficiencia estrictas para aprovechar lo mejor posible los recursos limitados en la elaboración del proyecto de </w:t>
      </w:r>
      <w:r w:rsidR="00EF1726">
        <w:rPr>
          <w:lang w:val="es-ES"/>
        </w:rPr>
        <w:t>p</w:t>
      </w:r>
      <w:r w:rsidR="00C847B9" w:rsidRPr="00A55B4E">
        <w:rPr>
          <w:lang w:val="es-ES"/>
        </w:rPr>
        <w:t xml:space="preserve">resupuesto </w:t>
      </w:r>
      <w:r w:rsidRPr="00A55B4E">
        <w:rPr>
          <w:lang w:val="es-ES"/>
        </w:rPr>
        <w:t xml:space="preserve">y minimizar las </w:t>
      </w:r>
      <w:r>
        <w:rPr>
          <w:lang w:val="es-ES"/>
        </w:rPr>
        <w:t>asignaciones</w:t>
      </w:r>
      <w:r w:rsidRPr="00A55B4E">
        <w:rPr>
          <w:lang w:val="es-ES"/>
        </w:rPr>
        <w:t xml:space="preserve"> presupuestarias para </w:t>
      </w:r>
      <w:r w:rsidRPr="00BB3A86">
        <w:rPr>
          <w:lang w:val="es-ES"/>
        </w:rPr>
        <w:t>2020-2021</w:t>
      </w:r>
      <w:r w:rsidRPr="00A55B4E">
        <w:rPr>
          <w:lang w:val="es-ES"/>
        </w:rPr>
        <w:t xml:space="preserve">. Se han tenido en cuenta en el proyecto de </w:t>
      </w:r>
      <w:r w:rsidR="00EF1726">
        <w:rPr>
          <w:lang w:val="es-ES"/>
        </w:rPr>
        <w:t>p</w:t>
      </w:r>
      <w:r w:rsidR="00C847B9" w:rsidRPr="00A55B4E">
        <w:rPr>
          <w:lang w:val="es-ES"/>
        </w:rPr>
        <w:t xml:space="preserve">resupuesto </w:t>
      </w:r>
      <w:r w:rsidRPr="00A55B4E">
        <w:rPr>
          <w:lang w:val="es-ES"/>
        </w:rPr>
        <w:t>medidas para reducir los gastos conforme al Anexo 2 a la Decisión 5 (Rev. </w:t>
      </w:r>
      <w:r w:rsidRPr="00BB3A86">
        <w:rPr>
          <w:lang w:val="es-ES"/>
        </w:rPr>
        <w:t>Dubái,</w:t>
      </w:r>
      <w:r>
        <w:rPr>
          <w:lang w:val="es-ES"/>
        </w:rPr>
        <w:t> </w:t>
      </w:r>
      <w:r w:rsidRPr="00BB3A86">
        <w:rPr>
          <w:lang w:val="es-ES"/>
        </w:rPr>
        <w:t>2018</w:t>
      </w:r>
      <w:r w:rsidRPr="00A55B4E">
        <w:rPr>
          <w:lang w:val="es-ES"/>
        </w:rPr>
        <w:t>)</w:t>
      </w:r>
      <w:bookmarkStart w:id="202" w:name="lt_pId219"/>
      <w:bookmarkEnd w:id="201"/>
      <w:r w:rsidRPr="00BB3A86">
        <w:rPr>
          <w:lang w:val="es-ES"/>
        </w:rPr>
        <w:t>.</w:t>
      </w:r>
      <w:bookmarkEnd w:id="202"/>
    </w:p>
    <w:p w:rsidR="00716543" w:rsidRPr="00BB3A86" w:rsidRDefault="00716543" w:rsidP="00740D17">
      <w:pPr>
        <w:rPr>
          <w:lang w:val="es-ES"/>
        </w:rPr>
      </w:pPr>
      <w:bookmarkStart w:id="203" w:name="lt_pId220"/>
      <w:r w:rsidRPr="00BB3A86">
        <w:rPr>
          <w:lang w:val="es-ES"/>
        </w:rPr>
        <w:t>I.11.3</w:t>
      </w:r>
      <w:bookmarkEnd w:id="203"/>
      <w:r w:rsidRPr="00BB3A86">
        <w:rPr>
          <w:lang w:val="es-ES"/>
        </w:rPr>
        <w:tab/>
      </w:r>
      <w:bookmarkStart w:id="204" w:name="lt_pId221"/>
      <w:r w:rsidRPr="00BB3A86">
        <w:rPr>
          <w:lang w:val="es-ES"/>
        </w:rPr>
        <w:t>En el presente Documento C19/45 se facilita información actualizada acerca de la aplicación de las medidas de eficiencia que figuran en el Anexo 2 a la Decisión 5 (Rev.</w:t>
      </w:r>
      <w:r>
        <w:rPr>
          <w:lang w:val="es-ES"/>
        </w:rPr>
        <w:t> </w:t>
      </w:r>
      <w:r w:rsidRPr="00BB3A86">
        <w:rPr>
          <w:lang w:val="es-ES"/>
        </w:rPr>
        <w:t>Dubái,</w:t>
      </w:r>
      <w:r>
        <w:rPr>
          <w:lang w:val="es-ES"/>
        </w:rPr>
        <w:t> </w:t>
      </w:r>
      <w:r w:rsidRPr="00BB3A86">
        <w:rPr>
          <w:lang w:val="es-ES"/>
        </w:rPr>
        <w:t>2018).</w:t>
      </w:r>
    </w:p>
    <w:p w:rsidR="00716543" w:rsidRPr="00E11EF8" w:rsidRDefault="00716543" w:rsidP="00740D17">
      <w:pPr>
        <w:pStyle w:val="Heading2"/>
      </w:pPr>
      <w:bookmarkStart w:id="205" w:name="_I.12_Becas"/>
      <w:bookmarkStart w:id="206" w:name="lt_pId222"/>
      <w:bookmarkStart w:id="207" w:name="_Toc7181994"/>
      <w:bookmarkStart w:id="208" w:name="_Toc7518372"/>
      <w:bookmarkStart w:id="209" w:name="_Toc7533961"/>
      <w:bookmarkStart w:id="210" w:name="_Toc7534670"/>
      <w:bookmarkEnd w:id="204"/>
      <w:bookmarkEnd w:id="205"/>
      <w:r w:rsidRPr="00E11EF8">
        <w:t>I.12</w:t>
      </w:r>
      <w:bookmarkEnd w:id="206"/>
      <w:r w:rsidRPr="00E11EF8">
        <w:tab/>
        <w:t>Becas</w:t>
      </w:r>
      <w:bookmarkEnd w:id="207"/>
      <w:bookmarkEnd w:id="208"/>
      <w:bookmarkEnd w:id="209"/>
      <w:bookmarkEnd w:id="210"/>
    </w:p>
    <w:p w:rsidR="00716543" w:rsidRDefault="00716543" w:rsidP="00740D17">
      <w:pPr>
        <w:rPr>
          <w:lang w:val="es-ES"/>
        </w:rPr>
      </w:pPr>
      <w:bookmarkStart w:id="211" w:name="lt_pId224"/>
      <w:r w:rsidRPr="00BB3A86">
        <w:rPr>
          <w:lang w:val="es-ES"/>
        </w:rPr>
        <w:t>I.12.1</w:t>
      </w:r>
      <w:bookmarkEnd w:id="211"/>
      <w:r>
        <w:rPr>
          <w:lang w:val="es-ES"/>
        </w:rPr>
        <w:tab/>
      </w:r>
      <w:r w:rsidRPr="00BB3A86">
        <w:rPr>
          <w:lang w:val="es-ES"/>
        </w:rPr>
        <w:t>Los gastos previstos relativos a las becas alcanzan 3,136 millones CHF para 2020-2021, en comparación con 3,163 millones CHF en el presupuesto de 2018-2019, asignados según se indica en el Cuadro N siguiente:</w:t>
      </w:r>
    </w:p>
    <w:p w:rsidR="00716543" w:rsidRDefault="00716543" w:rsidP="00740D17">
      <w:pPr>
        <w:rPr>
          <w:lang w:val="es-ES"/>
        </w:rPr>
      </w:pPr>
      <w:r>
        <w:rPr>
          <w:lang w:val="es-ES"/>
        </w:rPr>
        <w:br w:type="page"/>
      </w:r>
    </w:p>
    <w:p w:rsidR="00716543" w:rsidRDefault="00716543" w:rsidP="00740D17">
      <w:pPr>
        <w:pStyle w:val="Figure"/>
        <w:rPr>
          <w:lang w:val="es-ES"/>
        </w:rPr>
      </w:pPr>
      <w:r w:rsidRPr="00897C52">
        <w:rPr>
          <w:noProof/>
          <w:lang w:val="en-GB" w:eastAsia="zh-CN"/>
        </w:rPr>
        <w:lastRenderedPageBreak/>
        <w:drawing>
          <wp:inline distT="0" distB="0" distL="0" distR="0">
            <wp:extent cx="5083200" cy="191880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3200" cy="1918800"/>
                    </a:xfrm>
                    <a:prstGeom prst="rect">
                      <a:avLst/>
                    </a:prstGeom>
                    <a:noFill/>
                    <a:ln>
                      <a:noFill/>
                    </a:ln>
                  </pic:spPr>
                </pic:pic>
              </a:graphicData>
            </a:graphic>
          </wp:inline>
        </w:drawing>
      </w:r>
    </w:p>
    <w:p w:rsidR="00716543" w:rsidRPr="00E11EF8" w:rsidRDefault="00716543" w:rsidP="00740D17">
      <w:pPr>
        <w:pStyle w:val="Heading2"/>
      </w:pPr>
      <w:bookmarkStart w:id="212" w:name="_I.13_Idiomas"/>
      <w:bookmarkStart w:id="213" w:name="lt_pId226"/>
      <w:bookmarkStart w:id="214" w:name="_Toc7181995"/>
      <w:bookmarkStart w:id="215" w:name="_Toc7518373"/>
      <w:bookmarkStart w:id="216" w:name="_Toc7533962"/>
      <w:bookmarkStart w:id="217" w:name="_Toc7534671"/>
      <w:bookmarkEnd w:id="212"/>
      <w:r w:rsidRPr="00E11EF8">
        <w:t>I.13</w:t>
      </w:r>
      <w:bookmarkEnd w:id="213"/>
      <w:r w:rsidRPr="00E11EF8">
        <w:tab/>
        <w:t>Idiomas</w:t>
      </w:r>
      <w:bookmarkEnd w:id="214"/>
      <w:bookmarkEnd w:id="215"/>
      <w:bookmarkEnd w:id="216"/>
      <w:bookmarkEnd w:id="217"/>
    </w:p>
    <w:p w:rsidR="00716543" w:rsidRPr="00BB3A86" w:rsidRDefault="00716543" w:rsidP="00740D17">
      <w:pPr>
        <w:rPr>
          <w:lang w:val="es-ES"/>
        </w:rPr>
      </w:pPr>
      <w:bookmarkStart w:id="218" w:name="lt_pId228"/>
      <w:r w:rsidRPr="00BB3A86">
        <w:rPr>
          <w:lang w:val="es-ES"/>
        </w:rPr>
        <w:t>I.13.1</w:t>
      </w:r>
      <w:bookmarkEnd w:id="218"/>
      <w:r w:rsidRPr="00BB3A86">
        <w:rPr>
          <w:lang w:val="es-ES"/>
        </w:rPr>
        <w:tab/>
      </w:r>
      <w:bookmarkStart w:id="219" w:name="lt_pId229"/>
      <w:r w:rsidRPr="00A55B4E">
        <w:rPr>
          <w:lang w:val="es-ES"/>
        </w:rPr>
        <w:t xml:space="preserve">Según el </w:t>
      </w:r>
      <w:r w:rsidRPr="00BB3A86">
        <w:rPr>
          <w:i/>
          <w:iCs/>
          <w:lang w:val="es-ES"/>
        </w:rPr>
        <w:t>decide</w:t>
      </w:r>
      <w:r w:rsidRPr="00A55B4E">
        <w:rPr>
          <w:lang w:val="es-ES"/>
        </w:rPr>
        <w:t xml:space="preserve"> 1.2 de la Decisión 5 (Rev. </w:t>
      </w:r>
      <w:r w:rsidRPr="00BB3A86">
        <w:rPr>
          <w:lang w:val="es-ES"/>
        </w:rPr>
        <w:t>Dubái, 2018</w:t>
      </w:r>
      <w:r w:rsidRPr="00A55B4E">
        <w:rPr>
          <w:lang w:val="es-ES"/>
        </w:rPr>
        <w:t xml:space="preserve">), los gastos de interpretación, traducción y tratamiento de textos en los idiomas oficiales de la Unión no superarán 85 millones CHF en el periodo </w:t>
      </w:r>
      <w:r w:rsidRPr="00BB3A86">
        <w:rPr>
          <w:lang w:val="es-ES"/>
        </w:rPr>
        <w:t>2020-2023</w:t>
      </w:r>
      <w:bookmarkEnd w:id="219"/>
      <w:r w:rsidRPr="00A55B4E">
        <w:rPr>
          <w:lang w:val="es-ES"/>
        </w:rPr>
        <w:t>.</w:t>
      </w:r>
    </w:p>
    <w:p w:rsidR="00716543" w:rsidRDefault="00716543" w:rsidP="00740D17">
      <w:pPr>
        <w:rPr>
          <w:lang w:val="es-ES"/>
        </w:rPr>
      </w:pPr>
      <w:bookmarkStart w:id="220" w:name="lt_pId230"/>
      <w:r w:rsidRPr="00BB3A86">
        <w:rPr>
          <w:lang w:val="es-ES"/>
        </w:rPr>
        <w:t>I.13.2</w:t>
      </w:r>
      <w:bookmarkEnd w:id="220"/>
      <w:r w:rsidRPr="00BB3A86">
        <w:rPr>
          <w:lang w:val="es-ES"/>
        </w:rPr>
        <w:tab/>
      </w:r>
      <w:bookmarkStart w:id="221" w:name="lt_pId231"/>
      <w:r w:rsidRPr="00B90D49">
        <w:rPr>
          <w:lang w:val="es-ES"/>
        </w:rPr>
        <w:t xml:space="preserve">En el Cuadro O se indican las estimaciones de gastos de los servicios relacionados con los idiomas para 2020-2021, en comparación con </w:t>
      </w:r>
      <w:bookmarkEnd w:id="221"/>
      <w:r w:rsidRPr="00B90D49">
        <w:rPr>
          <w:lang w:val="es-ES"/>
        </w:rPr>
        <w:t>2018-2019.</w:t>
      </w:r>
    </w:p>
    <w:p w:rsidR="00716543" w:rsidRPr="00A55B4E" w:rsidRDefault="00716543" w:rsidP="00740D17">
      <w:pPr>
        <w:pStyle w:val="Figure"/>
        <w:rPr>
          <w:lang w:val="es-ES"/>
        </w:rPr>
      </w:pPr>
      <w:r w:rsidRPr="003778F0">
        <w:rPr>
          <w:noProof/>
          <w:lang w:val="en-GB" w:eastAsia="zh-CN"/>
        </w:rPr>
        <w:drawing>
          <wp:inline distT="0" distB="0" distL="0" distR="0">
            <wp:extent cx="4928400" cy="20556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9">
                      <a:extLst>
                        <a:ext uri="{28A0092B-C50C-407E-A947-70E740481C1C}">
                          <a14:useLocalDpi xmlns:a14="http://schemas.microsoft.com/office/drawing/2010/main" val="0"/>
                        </a:ext>
                      </a:extLst>
                    </a:blip>
                    <a:srcRect r="-2"/>
                    <a:stretch/>
                  </pic:blipFill>
                  <pic:spPr bwMode="auto">
                    <a:xfrm>
                      <a:off x="0" y="0"/>
                      <a:ext cx="4928400" cy="2055600"/>
                    </a:xfrm>
                    <a:prstGeom prst="rect">
                      <a:avLst/>
                    </a:prstGeom>
                    <a:noFill/>
                    <a:ln>
                      <a:noFill/>
                    </a:ln>
                    <a:extLst>
                      <a:ext uri="{53640926-AAD7-44D8-BBD7-CCE9431645EC}">
                        <a14:shadowObscured xmlns:a14="http://schemas.microsoft.com/office/drawing/2010/main"/>
                      </a:ext>
                    </a:extLst>
                  </pic:spPr>
                </pic:pic>
              </a:graphicData>
            </a:graphic>
          </wp:inline>
        </w:drawing>
      </w:r>
    </w:p>
    <w:p w:rsidR="00716543" w:rsidRPr="00E11EF8" w:rsidRDefault="00716543" w:rsidP="00740D17">
      <w:pPr>
        <w:pStyle w:val="Heading2"/>
      </w:pPr>
      <w:bookmarkStart w:id="222" w:name="_I.14_Puestos_presupuestados"/>
      <w:bookmarkStart w:id="223" w:name="lt_pId232"/>
      <w:bookmarkStart w:id="224" w:name="_Toc7181996"/>
      <w:bookmarkStart w:id="225" w:name="_Toc7518374"/>
      <w:bookmarkStart w:id="226" w:name="_Toc7533963"/>
      <w:bookmarkStart w:id="227" w:name="_Toc7534672"/>
      <w:bookmarkEnd w:id="222"/>
      <w:r w:rsidRPr="00E11EF8">
        <w:t>I.14</w:t>
      </w:r>
      <w:bookmarkEnd w:id="223"/>
      <w:r w:rsidRPr="00E11EF8">
        <w:tab/>
        <w:t>Puestos presupuestados</w:t>
      </w:r>
      <w:bookmarkEnd w:id="224"/>
      <w:bookmarkEnd w:id="225"/>
      <w:bookmarkEnd w:id="226"/>
      <w:bookmarkEnd w:id="227"/>
    </w:p>
    <w:p w:rsidR="00716543" w:rsidRPr="00BB3A86" w:rsidRDefault="00716543" w:rsidP="00740D17">
      <w:pPr>
        <w:rPr>
          <w:lang w:val="es-ES"/>
        </w:rPr>
      </w:pPr>
      <w:bookmarkStart w:id="228" w:name="lt_pId234"/>
      <w:r w:rsidRPr="00BB3A86">
        <w:rPr>
          <w:lang w:val="es-ES"/>
        </w:rPr>
        <w:t>I.14.1</w:t>
      </w:r>
      <w:bookmarkEnd w:id="228"/>
      <w:r w:rsidRPr="00BB3A86">
        <w:rPr>
          <w:lang w:val="es-ES"/>
        </w:rPr>
        <w:tab/>
      </w:r>
      <w:bookmarkStart w:id="229" w:name="lt_pId235"/>
      <w:r w:rsidRPr="00BB3A86">
        <w:rPr>
          <w:lang w:val="es-ES"/>
        </w:rPr>
        <w:t>El número total de puestos presupuestados para el periodo 2020-2021 alcanza los 764, un aumento de 15 puestos respecto del presupuesto 2018-2019. El Cuadro P proporciona la distribución por Departamentos de la Secretaría General y las Oficinas así como la comparación entre los puestos presupuestados en 2020-2021 y 2018-2019</w:t>
      </w:r>
      <w:r>
        <w:rPr>
          <w:lang w:val="es-ES"/>
        </w:rPr>
        <w:t>.</w:t>
      </w:r>
    </w:p>
    <w:bookmarkEnd w:id="229"/>
    <w:p w:rsidR="00716543" w:rsidRPr="00A55B4E" w:rsidRDefault="00716543" w:rsidP="00740D17">
      <w:pPr>
        <w:pStyle w:val="Figure"/>
        <w:rPr>
          <w:lang w:val="es-ES"/>
        </w:rPr>
      </w:pPr>
      <w:r w:rsidRPr="00F409CE">
        <w:rPr>
          <w:noProof/>
          <w:lang w:val="en-GB" w:eastAsia="zh-CN"/>
        </w:rPr>
        <w:lastRenderedPageBreak/>
        <w:drawing>
          <wp:inline distT="0" distB="0" distL="0" distR="0">
            <wp:extent cx="6120765" cy="31427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3142710"/>
                    </a:xfrm>
                    <a:prstGeom prst="rect">
                      <a:avLst/>
                    </a:prstGeom>
                    <a:noFill/>
                    <a:ln>
                      <a:noFill/>
                    </a:ln>
                  </pic:spPr>
                </pic:pic>
              </a:graphicData>
            </a:graphic>
          </wp:inline>
        </w:drawing>
      </w:r>
    </w:p>
    <w:p w:rsidR="00716543" w:rsidRPr="00A55B4E" w:rsidRDefault="00716543" w:rsidP="00740D17">
      <w:pPr>
        <w:pStyle w:val="Normalaftertitle"/>
        <w:rPr>
          <w:lang w:val="es-ES"/>
        </w:rPr>
      </w:pPr>
      <w:bookmarkStart w:id="230" w:name="lt_pId237"/>
      <w:r w:rsidRPr="00BB3A86">
        <w:rPr>
          <w:lang w:val="es-ES"/>
        </w:rPr>
        <w:t>I</w:t>
      </w:r>
      <w:r w:rsidRPr="00A55B4E">
        <w:rPr>
          <w:lang w:val="es-ES"/>
        </w:rPr>
        <w:t>.14.2</w:t>
      </w:r>
      <w:bookmarkEnd w:id="230"/>
      <w:r w:rsidRPr="00A55B4E">
        <w:rPr>
          <w:lang w:val="es-ES"/>
        </w:rPr>
        <w:tab/>
      </w:r>
      <w:bookmarkStart w:id="231" w:name="lt_pId238"/>
      <w:r w:rsidRPr="00A55B4E">
        <w:rPr>
          <w:lang w:val="es-ES"/>
        </w:rPr>
        <w:t>El Cuadro Q proporciona la distribución por grados y Oficinas/Departamentos de los 15</w:t>
      </w:r>
      <w:r>
        <w:rPr>
          <w:lang w:val="es-ES"/>
        </w:rPr>
        <w:t> </w:t>
      </w:r>
      <w:r w:rsidRPr="00A55B4E">
        <w:rPr>
          <w:lang w:val="es-ES"/>
        </w:rPr>
        <w:t>nuevos puestos.</w:t>
      </w:r>
      <w:bookmarkEnd w:id="231"/>
    </w:p>
    <w:p w:rsidR="00716543" w:rsidRPr="00A55B4E" w:rsidRDefault="00716543" w:rsidP="00740D17">
      <w:pPr>
        <w:pStyle w:val="Figure"/>
        <w:rPr>
          <w:lang w:val="es-ES"/>
        </w:rPr>
      </w:pPr>
      <w:r w:rsidRPr="00F409CE">
        <w:rPr>
          <w:noProof/>
          <w:lang w:val="en-GB" w:eastAsia="zh-CN"/>
        </w:rPr>
        <w:drawing>
          <wp:inline distT="0" distB="0" distL="0" distR="0">
            <wp:extent cx="5054400" cy="2462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4400" cy="2462400"/>
                    </a:xfrm>
                    <a:prstGeom prst="rect">
                      <a:avLst/>
                    </a:prstGeom>
                    <a:noFill/>
                    <a:ln>
                      <a:noFill/>
                    </a:ln>
                  </pic:spPr>
                </pic:pic>
              </a:graphicData>
            </a:graphic>
          </wp:inline>
        </w:drawing>
      </w:r>
    </w:p>
    <w:p w:rsidR="00716543" w:rsidRDefault="00716543" w:rsidP="00740D17">
      <w:pPr>
        <w:rPr>
          <w:lang w:val="es-ES"/>
        </w:rPr>
      </w:pPr>
      <w:bookmarkStart w:id="232" w:name="lt_pId239"/>
      <w:r>
        <w:rPr>
          <w:lang w:val="es-ES"/>
        </w:rPr>
        <w:br w:type="page"/>
      </w:r>
    </w:p>
    <w:p w:rsidR="00716543" w:rsidRDefault="00716543" w:rsidP="00740D17">
      <w:pPr>
        <w:pStyle w:val="Normalaftertitle"/>
        <w:rPr>
          <w:lang w:val="es-ES"/>
        </w:rPr>
      </w:pPr>
      <w:r w:rsidRPr="00BB3A86">
        <w:rPr>
          <w:lang w:val="es-ES"/>
        </w:rPr>
        <w:lastRenderedPageBreak/>
        <w:t>I.14.3</w:t>
      </w:r>
      <w:bookmarkEnd w:id="232"/>
      <w:r w:rsidRPr="00BB3A86">
        <w:rPr>
          <w:lang w:val="es-ES"/>
        </w:rPr>
        <w:tab/>
      </w:r>
      <w:bookmarkStart w:id="233" w:name="lt_pId240"/>
      <w:r w:rsidRPr="00BB3A86">
        <w:rPr>
          <w:lang w:val="es-ES"/>
        </w:rPr>
        <w:t>En la Figura E se muestra la evolución del número de puestos presupuestados desde</w:t>
      </w:r>
      <w:r>
        <w:rPr>
          <w:lang w:val="es-ES"/>
        </w:rPr>
        <w:t> </w:t>
      </w:r>
      <w:r w:rsidRPr="00BB3A86">
        <w:rPr>
          <w:lang w:val="es-ES"/>
        </w:rPr>
        <w:t>2012.</w:t>
      </w:r>
      <w:bookmarkEnd w:id="233"/>
    </w:p>
    <w:p w:rsidR="00716543" w:rsidRPr="00021F68" w:rsidRDefault="00716543" w:rsidP="00740D17">
      <w:pPr>
        <w:pStyle w:val="Figure"/>
        <w:rPr>
          <w:lang w:val="es-ES"/>
        </w:rPr>
      </w:pPr>
      <w:r>
        <w:rPr>
          <w:noProof/>
          <w:lang w:val="en-GB" w:eastAsia="zh-CN"/>
        </w:rPr>
        <w:drawing>
          <wp:inline distT="0" distB="0" distL="0" distR="0">
            <wp:extent cx="5490000" cy="3441600"/>
            <wp:effectExtent l="0" t="0" r="0" b="6985"/>
            <wp:docPr id="73" name="Picture 73" descr="C:\Users\hernandf\AppData\Local\Microsoft\Windows\INetCache\Content.Word\Grafic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ernandf\AppData\Local\Microsoft\Windows\INetCache\Content.Word\Grafico 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0000" cy="3441600"/>
                    </a:xfrm>
                    <a:prstGeom prst="rect">
                      <a:avLst/>
                    </a:prstGeom>
                    <a:noFill/>
                    <a:ln>
                      <a:noFill/>
                    </a:ln>
                  </pic:spPr>
                </pic:pic>
              </a:graphicData>
            </a:graphic>
          </wp:inline>
        </w:drawing>
      </w:r>
    </w:p>
    <w:p w:rsidR="00716543" w:rsidRPr="00E11EF8" w:rsidRDefault="00716543" w:rsidP="00740D17">
      <w:pPr>
        <w:pStyle w:val="Heading2"/>
        <w:tabs>
          <w:tab w:val="clear" w:pos="709"/>
          <w:tab w:val="left" w:pos="851"/>
        </w:tabs>
      </w:pPr>
      <w:bookmarkStart w:id="234" w:name="_I.15_Estructura_del"/>
      <w:bookmarkStart w:id="235" w:name="lt_pId241"/>
      <w:bookmarkStart w:id="236" w:name="_Toc7181997"/>
      <w:bookmarkStart w:id="237" w:name="_Toc7518375"/>
      <w:bookmarkStart w:id="238" w:name="_Toc7533964"/>
      <w:bookmarkStart w:id="239" w:name="_Toc7534673"/>
      <w:bookmarkEnd w:id="234"/>
      <w:r w:rsidRPr="00E11EF8">
        <w:t>I.15</w:t>
      </w:r>
      <w:bookmarkEnd w:id="235"/>
      <w:r w:rsidRPr="00E11EF8">
        <w:tab/>
        <w:t>Estructura del documento de presupuesto</w:t>
      </w:r>
      <w:bookmarkEnd w:id="236"/>
      <w:bookmarkEnd w:id="237"/>
      <w:bookmarkEnd w:id="238"/>
      <w:bookmarkEnd w:id="239"/>
    </w:p>
    <w:p w:rsidR="00716543" w:rsidRPr="00BB3A86" w:rsidRDefault="00716543" w:rsidP="00740D17">
      <w:pPr>
        <w:rPr>
          <w:lang w:val="es-ES"/>
        </w:rPr>
      </w:pPr>
      <w:bookmarkStart w:id="240" w:name="lt_pId243"/>
      <w:r w:rsidRPr="00BB3A86">
        <w:rPr>
          <w:lang w:val="es-ES"/>
        </w:rPr>
        <w:t>I.15.1</w:t>
      </w:r>
      <w:bookmarkEnd w:id="240"/>
      <w:r w:rsidRPr="00BB3A86">
        <w:rPr>
          <w:lang w:val="es-ES"/>
        </w:rPr>
        <w:tab/>
      </w:r>
      <w:bookmarkStart w:id="241" w:name="lt_pId244"/>
      <w:r w:rsidRPr="00BB3A86">
        <w:rPr>
          <w:lang w:val="es-ES"/>
        </w:rPr>
        <w:t>El documento de presupuesto está compuesto por 4 partes:</w:t>
      </w:r>
      <w:bookmarkEnd w:id="241"/>
    </w:p>
    <w:p w:rsidR="00716543" w:rsidRPr="00BB3A86" w:rsidRDefault="00716543" w:rsidP="00EF1726">
      <w:pPr>
        <w:pStyle w:val="enumlev1"/>
      </w:pPr>
      <w:bookmarkStart w:id="242" w:name="lt_pId245"/>
      <w:r w:rsidRPr="00BB3A86">
        <w:t>•</w:t>
      </w:r>
      <w:r w:rsidRPr="00BB3A86">
        <w:tab/>
      </w:r>
      <w:r>
        <w:t>l</w:t>
      </w:r>
      <w:r w:rsidRPr="00BB3A86">
        <w:t xml:space="preserve">a Parte 1 proporciona una síntesis del proyecto de </w:t>
      </w:r>
      <w:r w:rsidR="00EF1726">
        <w:t>p</w:t>
      </w:r>
      <w:r w:rsidR="00C847B9" w:rsidRPr="00BB3A86">
        <w:t xml:space="preserve">resupuesto </w:t>
      </w:r>
      <w:r w:rsidRPr="00BB3A86">
        <w:t>para 2020-2021;</w:t>
      </w:r>
      <w:bookmarkEnd w:id="242"/>
    </w:p>
    <w:p w:rsidR="00716543" w:rsidRPr="00BB3A86" w:rsidRDefault="00716543" w:rsidP="00740D17">
      <w:pPr>
        <w:pStyle w:val="enumlev1"/>
      </w:pPr>
      <w:bookmarkStart w:id="243" w:name="lt_pId246"/>
      <w:r w:rsidRPr="00BB3A86">
        <w:t>•</w:t>
      </w:r>
      <w:r w:rsidRPr="00BB3A86">
        <w:tab/>
      </w:r>
      <w:r>
        <w:t>l</w:t>
      </w:r>
      <w:r w:rsidRPr="00BB3A86">
        <w:t>a Parte 2 proporciona el presupuesto basado en resultados a nivel de los objetivos;</w:t>
      </w:r>
      <w:bookmarkEnd w:id="243"/>
    </w:p>
    <w:p w:rsidR="00716543" w:rsidRPr="00BB3A86" w:rsidRDefault="00716543" w:rsidP="00740D17">
      <w:pPr>
        <w:pStyle w:val="enumlev1"/>
      </w:pPr>
      <w:bookmarkStart w:id="244" w:name="lt_pId247"/>
      <w:r w:rsidRPr="00BB3A86">
        <w:t>•</w:t>
      </w:r>
      <w:r w:rsidRPr="00BB3A86">
        <w:tab/>
      </w:r>
      <w:r>
        <w:t>l</w:t>
      </w:r>
      <w:r w:rsidRPr="00BB3A86">
        <w:t xml:space="preserve">a Parte 3 proporciona el presupuesto financiero consolidado y el proyecto de Resolución para </w:t>
      </w:r>
      <w:bookmarkEnd w:id="244"/>
      <w:r w:rsidRPr="00BB3A86">
        <w:t>2020-2021;</w:t>
      </w:r>
    </w:p>
    <w:p w:rsidR="00716543" w:rsidRDefault="00716543" w:rsidP="00740D17">
      <w:pPr>
        <w:pStyle w:val="enumlev1"/>
      </w:pPr>
      <w:bookmarkStart w:id="245" w:name="lt_pId249"/>
      <w:r w:rsidRPr="00BB3A86">
        <w:t>•</w:t>
      </w:r>
      <w:r w:rsidRPr="00BB3A86">
        <w:tab/>
      </w:r>
      <w:proofErr w:type="gramStart"/>
      <w:r>
        <w:t>l</w:t>
      </w:r>
      <w:r w:rsidRPr="00BB3A86">
        <w:t>a</w:t>
      </w:r>
      <w:proofErr w:type="gramEnd"/>
      <w:r w:rsidRPr="00BB3A86">
        <w:t xml:space="preserve"> Parte 4 proporciona información adicional sobre puestos, documentación y ODS.</w:t>
      </w:r>
      <w:bookmarkEnd w:id="245"/>
    </w:p>
    <w:p w:rsidR="004E0508" w:rsidRDefault="004E0508">
      <w:pPr>
        <w:tabs>
          <w:tab w:val="clear" w:pos="709"/>
          <w:tab w:val="clear" w:pos="1134"/>
          <w:tab w:val="clear" w:pos="1701"/>
          <w:tab w:val="clear" w:pos="2268"/>
          <w:tab w:val="clear" w:pos="2835"/>
        </w:tabs>
        <w:overflowPunct/>
        <w:autoSpaceDE/>
        <w:autoSpaceDN/>
        <w:adjustRightInd/>
        <w:spacing w:before="0"/>
        <w:textAlignment w:val="auto"/>
        <w:sectPr w:rsidR="004E0508" w:rsidSect="006710F6">
          <w:headerReference w:type="default" r:id="rId43"/>
          <w:footerReference w:type="default" r:id="rId44"/>
          <w:headerReference w:type="first" r:id="rId45"/>
          <w:footerReference w:type="first" r:id="rId46"/>
          <w:pgSz w:w="11907" w:h="16834"/>
          <w:pgMar w:top="1418" w:right="1134" w:bottom="1418" w:left="1134" w:header="720" w:footer="720" w:gutter="0"/>
          <w:paperSrc w:first="15" w:other="15"/>
          <w:cols w:space="720"/>
          <w:titlePg/>
        </w:sectPr>
      </w:pPr>
    </w:p>
    <w:p w:rsidR="000E0F4D" w:rsidRDefault="000E0F4D">
      <w:pPr>
        <w:tabs>
          <w:tab w:val="clear" w:pos="709"/>
          <w:tab w:val="clear" w:pos="1134"/>
          <w:tab w:val="clear" w:pos="1701"/>
          <w:tab w:val="clear" w:pos="2268"/>
          <w:tab w:val="clear" w:pos="2835"/>
        </w:tabs>
        <w:overflowPunct/>
        <w:autoSpaceDE/>
        <w:autoSpaceDN/>
        <w:adjustRightInd/>
        <w:spacing w:before="0"/>
        <w:textAlignment w:val="auto"/>
      </w:pPr>
    </w:p>
    <w:p w:rsidR="000E0F4D" w:rsidRDefault="000E0F4D" w:rsidP="00740D17">
      <w:pPr>
        <w:pStyle w:val="enumlev1"/>
      </w:pPr>
    </w:p>
    <w:p w:rsidR="00BC6A1D" w:rsidRPr="00BB3A86" w:rsidRDefault="00BC6A1D" w:rsidP="00BC6A1D"/>
    <w:p w:rsidR="00BC6A1D" w:rsidRDefault="00BC6A1D" w:rsidP="00716543">
      <w:pPr>
        <w:sectPr w:rsidR="00BC6A1D" w:rsidSect="006710F6">
          <w:headerReference w:type="first" r:id="rId47"/>
          <w:pgSz w:w="11907" w:h="16834"/>
          <w:pgMar w:top="1418" w:right="1134" w:bottom="1418" w:left="1134" w:header="720" w:footer="720" w:gutter="0"/>
          <w:paperSrc w:first="15" w:other="15"/>
          <w:cols w:space="720"/>
          <w:titlePg/>
        </w:sectPr>
      </w:pPr>
    </w:p>
    <w:p w:rsidR="000E0F4D" w:rsidRPr="000E0F4D" w:rsidRDefault="000E0F4D" w:rsidP="000E0F4D">
      <w:pPr>
        <w:pStyle w:val="Title4"/>
        <w:rPr>
          <w:sz w:val="56"/>
          <w:szCs w:val="56"/>
          <w:lang w:val="es-ES"/>
        </w:rPr>
      </w:pPr>
      <w:bookmarkStart w:id="246" w:name="prep_resul"/>
      <w:r w:rsidRPr="000E0F4D">
        <w:rPr>
          <w:sz w:val="56"/>
          <w:szCs w:val="56"/>
          <w:lang w:val="es-ES"/>
        </w:rPr>
        <w:lastRenderedPageBreak/>
        <w:t xml:space="preserve">PROYECTO DE </w:t>
      </w:r>
      <w:r w:rsidRPr="000E0F4D">
        <w:rPr>
          <w:sz w:val="56"/>
          <w:szCs w:val="56"/>
          <w:lang w:val="es-ES"/>
        </w:rPr>
        <w:br/>
        <w:t>PRESUPUESTO</w:t>
      </w:r>
    </w:p>
    <w:p w:rsidR="000E0F4D" w:rsidRPr="000E0F4D" w:rsidRDefault="000E0F4D" w:rsidP="000E0F4D">
      <w:pPr>
        <w:pStyle w:val="Title4"/>
        <w:rPr>
          <w:sz w:val="40"/>
          <w:szCs w:val="40"/>
          <w:lang w:val="es-ES"/>
        </w:rPr>
      </w:pPr>
      <w:r w:rsidRPr="000E0F4D">
        <w:rPr>
          <w:sz w:val="40"/>
          <w:szCs w:val="40"/>
          <w:lang w:val="es-ES"/>
        </w:rPr>
        <w:t>2020-2021</w:t>
      </w:r>
    </w:p>
    <w:p w:rsidR="000E0F4D" w:rsidRPr="000E0F4D" w:rsidRDefault="000E0F4D" w:rsidP="000E0F4D">
      <w:pPr>
        <w:tabs>
          <w:tab w:val="clear" w:pos="1134"/>
          <w:tab w:val="left" w:pos="1560"/>
        </w:tabs>
        <w:spacing w:before="2000"/>
        <w:rPr>
          <w:color w:val="A6A6A6" w:themeColor="background1" w:themeShade="A6"/>
          <w:sz w:val="28"/>
          <w:szCs w:val="28"/>
          <w:lang w:val="es-ES"/>
        </w:rPr>
      </w:pPr>
      <w:r w:rsidRPr="000E0F4D">
        <w:rPr>
          <w:color w:val="A6A6A6" w:themeColor="background1" w:themeShade="A6"/>
          <w:sz w:val="28"/>
          <w:szCs w:val="28"/>
          <w:lang w:val="es-ES"/>
        </w:rPr>
        <w:t>Parte I</w:t>
      </w:r>
      <w:r w:rsidRPr="000E0F4D">
        <w:rPr>
          <w:color w:val="A6A6A6" w:themeColor="background1" w:themeShade="A6"/>
          <w:sz w:val="28"/>
          <w:szCs w:val="28"/>
          <w:lang w:val="es-ES"/>
        </w:rPr>
        <w:tab/>
        <w:t>Síntesis</w:t>
      </w:r>
    </w:p>
    <w:p w:rsidR="000E0F4D" w:rsidRPr="000E0F4D" w:rsidRDefault="000E0F4D" w:rsidP="000E0F4D">
      <w:pPr>
        <w:tabs>
          <w:tab w:val="clear" w:pos="1134"/>
          <w:tab w:val="left" w:pos="1560"/>
        </w:tabs>
        <w:spacing w:before="360"/>
        <w:rPr>
          <w:b/>
          <w:bCs/>
          <w:sz w:val="36"/>
          <w:szCs w:val="36"/>
          <w:lang w:val="es-ES"/>
        </w:rPr>
      </w:pPr>
      <w:r w:rsidRPr="000E0F4D">
        <w:rPr>
          <w:b/>
          <w:bCs/>
          <w:sz w:val="36"/>
          <w:szCs w:val="36"/>
          <w:lang w:val="es-ES"/>
        </w:rPr>
        <w:t>Parte II</w:t>
      </w:r>
      <w:r w:rsidRPr="000E0F4D">
        <w:rPr>
          <w:b/>
          <w:bCs/>
          <w:sz w:val="36"/>
          <w:szCs w:val="36"/>
          <w:lang w:val="es-ES"/>
        </w:rPr>
        <w:tab/>
        <w:t>Presupuesto basado en resultados para 2020-2021</w:t>
      </w:r>
    </w:p>
    <w:p w:rsidR="000E0F4D" w:rsidRPr="000E0F4D" w:rsidRDefault="000E0F4D" w:rsidP="000E0F4D">
      <w:pPr>
        <w:tabs>
          <w:tab w:val="clear" w:pos="1134"/>
          <w:tab w:val="left" w:pos="1560"/>
        </w:tabs>
        <w:spacing w:before="360"/>
        <w:rPr>
          <w:color w:val="A6A6A6" w:themeColor="background1" w:themeShade="A6"/>
          <w:sz w:val="28"/>
          <w:szCs w:val="28"/>
          <w:lang w:val="es-ES"/>
        </w:rPr>
      </w:pPr>
      <w:r w:rsidRPr="000E0F4D">
        <w:rPr>
          <w:color w:val="A6A6A6" w:themeColor="background1" w:themeShade="A6"/>
          <w:sz w:val="28"/>
          <w:szCs w:val="28"/>
          <w:lang w:val="es-ES"/>
        </w:rPr>
        <w:t>Parte III</w:t>
      </w:r>
      <w:r w:rsidRPr="000E0F4D">
        <w:rPr>
          <w:color w:val="A6A6A6" w:themeColor="background1" w:themeShade="A6"/>
          <w:sz w:val="28"/>
          <w:szCs w:val="28"/>
          <w:lang w:val="es-ES"/>
        </w:rPr>
        <w:tab/>
        <w:t>Presupuesto financiero consolidado para 2020-2021</w:t>
      </w:r>
    </w:p>
    <w:p w:rsidR="000E0F4D" w:rsidRPr="00026E09" w:rsidRDefault="000E0F4D" w:rsidP="000E0F4D">
      <w:pPr>
        <w:tabs>
          <w:tab w:val="clear" w:pos="1134"/>
          <w:tab w:val="left" w:pos="1560"/>
        </w:tabs>
        <w:spacing w:before="360"/>
        <w:rPr>
          <w:color w:val="A6A6A6" w:themeColor="background1" w:themeShade="A6"/>
          <w:sz w:val="28"/>
          <w:szCs w:val="28"/>
          <w:lang w:val="es-ES"/>
        </w:rPr>
      </w:pPr>
      <w:r w:rsidRPr="00026E09">
        <w:rPr>
          <w:color w:val="A6A6A6" w:themeColor="background1" w:themeShade="A6"/>
          <w:sz w:val="28"/>
          <w:szCs w:val="28"/>
          <w:lang w:val="es-ES"/>
        </w:rPr>
        <w:t>Parte IV</w:t>
      </w:r>
      <w:r w:rsidRPr="00026E09">
        <w:rPr>
          <w:color w:val="A6A6A6" w:themeColor="background1" w:themeShade="A6"/>
          <w:sz w:val="28"/>
          <w:szCs w:val="28"/>
          <w:lang w:val="es-ES"/>
        </w:rPr>
        <w:tab/>
        <w:t>Anexos</w:t>
      </w:r>
    </w:p>
    <w:p w:rsidR="009E407A" w:rsidRDefault="009E407A" w:rsidP="00740D17">
      <w:pPr>
        <w:rPr>
          <w:lang w:val="es-ES"/>
        </w:rPr>
      </w:pPr>
    </w:p>
    <w:bookmarkEnd w:id="246"/>
    <w:p w:rsidR="00740D17" w:rsidRPr="007F10CF" w:rsidRDefault="00740D17" w:rsidP="00740D17">
      <w:pPr>
        <w:rPr>
          <w:lang w:val="es-ES"/>
        </w:rPr>
      </w:pPr>
      <w:r w:rsidRPr="00EE1E1F">
        <w:rPr>
          <w:lang w:val="es-ES"/>
        </w:rPr>
        <w:br w:type="page"/>
      </w:r>
    </w:p>
    <w:p w:rsidR="00740D17" w:rsidRPr="00201F51" w:rsidRDefault="00740D17" w:rsidP="00AF17BC">
      <w:pPr>
        <w:pStyle w:val="Heading1"/>
        <w:spacing w:after="720"/>
        <w:rPr>
          <w:color w:val="00205C"/>
          <w:lang w:val="es-ES"/>
        </w:rPr>
      </w:pPr>
      <w:bookmarkStart w:id="247" w:name="_Parte_II_–"/>
      <w:bookmarkStart w:id="248" w:name="_Toc7518622"/>
      <w:bookmarkEnd w:id="247"/>
      <w:r w:rsidRPr="00201F51">
        <w:rPr>
          <w:color w:val="00205C"/>
          <w:lang w:val="es-ES"/>
        </w:rPr>
        <w:lastRenderedPageBreak/>
        <w:t>Parte II – Presupuesto basado en resultados</w:t>
      </w:r>
      <w:bookmarkEnd w:id="248"/>
    </w:p>
    <w:p w:rsidR="00AF17BC" w:rsidRPr="00AF17BC" w:rsidRDefault="004E0508" w:rsidP="00AF17BC">
      <w:pPr>
        <w:pStyle w:val="TOC1"/>
        <w:rPr>
          <w:noProof/>
        </w:rPr>
      </w:pPr>
      <w:hyperlink w:anchor="prep_resul" w:history="1">
        <w:r w:rsidR="00740D17" w:rsidRPr="00AF17BC">
          <w:rPr>
            <w:b/>
            <w:bCs/>
            <w:lang w:val="es-ES"/>
          </w:rPr>
          <w:t>II</w:t>
        </w:r>
        <w:r w:rsidR="00740D17" w:rsidRPr="00AF17BC">
          <w:rPr>
            <w:rFonts w:eastAsiaTheme="minorEastAsia"/>
            <w:b/>
            <w:bCs/>
            <w:lang w:val="es-ES"/>
          </w:rPr>
          <w:tab/>
        </w:r>
        <w:r w:rsidR="00740D17" w:rsidRPr="00AF17BC">
          <w:rPr>
            <w:b/>
            <w:bCs/>
            <w:lang w:val="es-ES"/>
          </w:rPr>
          <w:t>Presupuesto basado en resultados</w:t>
        </w:r>
        <w:r w:rsidR="00740D17" w:rsidRPr="00AF17BC">
          <w:rPr>
            <w:webHidden/>
          </w:rPr>
          <w:tab/>
        </w:r>
        <w:r w:rsidR="00E15C8A" w:rsidRPr="00AF17BC">
          <w:rPr>
            <w:webHidden/>
          </w:rPr>
          <w:t>23</w:t>
        </w:r>
      </w:hyperlink>
      <w:r w:rsidR="00AF17BC">
        <w:rPr>
          <w:noProof/>
          <w:webHidden/>
        </w:rPr>
        <w:fldChar w:fldCharType="begin"/>
      </w:r>
      <w:r w:rsidR="00AF17BC">
        <w:rPr>
          <w:noProof/>
          <w:webHidden/>
        </w:rPr>
        <w:instrText xml:space="preserve"> TOC \o "2-3" \h \z </w:instrText>
      </w:r>
      <w:r w:rsidR="00AF17BC">
        <w:rPr>
          <w:noProof/>
          <w:webHidden/>
        </w:rPr>
        <w:fldChar w:fldCharType="separate"/>
      </w:r>
    </w:p>
    <w:p w:rsidR="00AF17BC" w:rsidRDefault="004E0508">
      <w:pPr>
        <w:pStyle w:val="TOC2"/>
        <w:rPr>
          <w:rFonts w:asciiTheme="minorHAnsi" w:eastAsiaTheme="minorEastAsia" w:hAnsiTheme="minorHAnsi" w:cstheme="minorBidi"/>
          <w:noProof/>
          <w:sz w:val="22"/>
          <w:szCs w:val="22"/>
          <w:lang w:val="en-US" w:eastAsia="zh-CN"/>
        </w:rPr>
      </w:pPr>
      <w:hyperlink w:anchor="_Toc7534674" w:history="1">
        <w:r w:rsidR="00AF17BC" w:rsidRPr="00F06E17">
          <w:rPr>
            <w:rStyle w:val="Hyperlink"/>
            <w:noProof/>
          </w:rPr>
          <w:t>II.1</w:t>
        </w:r>
        <w:r w:rsidR="00AF17BC">
          <w:rPr>
            <w:rFonts w:asciiTheme="minorHAnsi" w:eastAsiaTheme="minorEastAsia" w:hAnsiTheme="minorHAnsi" w:cstheme="minorBidi"/>
            <w:noProof/>
            <w:sz w:val="22"/>
            <w:szCs w:val="22"/>
            <w:lang w:val="en-US" w:eastAsia="zh-CN"/>
          </w:rPr>
          <w:tab/>
        </w:r>
        <w:r w:rsidR="00AF17BC" w:rsidRPr="00F06E17">
          <w:rPr>
            <w:rStyle w:val="Hyperlink"/>
            <w:noProof/>
          </w:rPr>
          <w:t>Presupuesto basado en resultados de la UIT – Estructura de costes y resumen</w:t>
        </w:r>
        <w:r w:rsidR="00AF17BC">
          <w:rPr>
            <w:noProof/>
            <w:webHidden/>
          </w:rPr>
          <w:tab/>
        </w:r>
        <w:r w:rsidR="00AF17BC">
          <w:rPr>
            <w:noProof/>
            <w:webHidden/>
          </w:rPr>
          <w:fldChar w:fldCharType="begin"/>
        </w:r>
        <w:r w:rsidR="00AF17BC">
          <w:rPr>
            <w:noProof/>
            <w:webHidden/>
          </w:rPr>
          <w:instrText xml:space="preserve"> PAGEREF _Toc7534674 \h </w:instrText>
        </w:r>
        <w:r w:rsidR="00AF17BC">
          <w:rPr>
            <w:noProof/>
            <w:webHidden/>
          </w:rPr>
        </w:r>
        <w:r w:rsidR="00AF17BC">
          <w:rPr>
            <w:noProof/>
            <w:webHidden/>
          </w:rPr>
          <w:fldChar w:fldCharType="separate"/>
        </w:r>
        <w:r w:rsidR="00AF17BC">
          <w:rPr>
            <w:noProof/>
            <w:webHidden/>
          </w:rPr>
          <w:t>25</w:t>
        </w:r>
        <w:r w:rsidR="00AF17BC">
          <w:rPr>
            <w:noProof/>
            <w:webHidden/>
          </w:rPr>
          <w:fldChar w:fldCharType="end"/>
        </w:r>
      </w:hyperlink>
    </w:p>
    <w:p w:rsidR="00AF17BC" w:rsidRDefault="004E0508">
      <w:pPr>
        <w:pStyle w:val="TOC2"/>
        <w:rPr>
          <w:rFonts w:asciiTheme="minorHAnsi" w:eastAsiaTheme="minorEastAsia" w:hAnsiTheme="minorHAnsi" w:cstheme="minorBidi"/>
          <w:noProof/>
          <w:sz w:val="22"/>
          <w:szCs w:val="22"/>
          <w:lang w:val="en-US" w:eastAsia="zh-CN"/>
        </w:rPr>
      </w:pPr>
      <w:hyperlink w:anchor="_Toc7534675" w:history="1">
        <w:r w:rsidR="00AF17BC" w:rsidRPr="00F06E17">
          <w:rPr>
            <w:rStyle w:val="Hyperlink"/>
            <w:noProof/>
          </w:rPr>
          <w:t>II.2</w:t>
        </w:r>
        <w:r w:rsidR="00AF17BC">
          <w:rPr>
            <w:rFonts w:asciiTheme="minorHAnsi" w:eastAsiaTheme="minorEastAsia" w:hAnsiTheme="minorHAnsi" w:cstheme="minorBidi"/>
            <w:noProof/>
            <w:sz w:val="22"/>
            <w:szCs w:val="22"/>
            <w:lang w:val="en-US" w:eastAsia="zh-CN"/>
          </w:rPr>
          <w:tab/>
        </w:r>
        <w:r w:rsidR="00AF17BC" w:rsidRPr="00F06E17">
          <w:rPr>
            <w:rStyle w:val="Hyperlink"/>
            <w:noProof/>
          </w:rPr>
          <w:t>Objetivos intersectoriales</w:t>
        </w:r>
        <w:r w:rsidR="00AF17BC">
          <w:rPr>
            <w:noProof/>
            <w:webHidden/>
          </w:rPr>
          <w:tab/>
        </w:r>
        <w:r w:rsidR="00AF17BC">
          <w:rPr>
            <w:noProof/>
            <w:webHidden/>
          </w:rPr>
          <w:fldChar w:fldCharType="begin"/>
        </w:r>
        <w:r w:rsidR="00AF17BC">
          <w:rPr>
            <w:noProof/>
            <w:webHidden/>
          </w:rPr>
          <w:instrText xml:space="preserve"> PAGEREF _Toc7534675 \h </w:instrText>
        </w:r>
        <w:r w:rsidR="00AF17BC">
          <w:rPr>
            <w:noProof/>
            <w:webHidden/>
          </w:rPr>
        </w:r>
        <w:r w:rsidR="00AF17BC">
          <w:rPr>
            <w:noProof/>
            <w:webHidden/>
          </w:rPr>
          <w:fldChar w:fldCharType="separate"/>
        </w:r>
        <w:r w:rsidR="00AF17BC">
          <w:rPr>
            <w:noProof/>
            <w:webHidden/>
          </w:rPr>
          <w:t>31</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76" w:history="1">
        <w:r w:rsidR="00AF17BC" w:rsidRPr="00F06E17">
          <w:rPr>
            <w:rStyle w:val="Hyperlink"/>
            <w:noProof/>
          </w:rPr>
          <w:t>II.2.1 – I.1 Colaboración</w:t>
        </w:r>
        <w:r w:rsidR="00AF17BC">
          <w:rPr>
            <w:noProof/>
            <w:webHidden/>
          </w:rPr>
          <w:tab/>
        </w:r>
        <w:r w:rsidR="00AF17BC">
          <w:rPr>
            <w:noProof/>
            <w:webHidden/>
          </w:rPr>
          <w:fldChar w:fldCharType="begin"/>
        </w:r>
        <w:r w:rsidR="00AF17BC">
          <w:rPr>
            <w:noProof/>
            <w:webHidden/>
          </w:rPr>
          <w:instrText xml:space="preserve"> PAGEREF _Toc7534676 \h </w:instrText>
        </w:r>
        <w:r w:rsidR="00AF17BC">
          <w:rPr>
            <w:noProof/>
            <w:webHidden/>
          </w:rPr>
        </w:r>
        <w:r w:rsidR="00AF17BC">
          <w:rPr>
            <w:noProof/>
            <w:webHidden/>
          </w:rPr>
          <w:fldChar w:fldCharType="separate"/>
        </w:r>
        <w:r w:rsidR="00AF17BC">
          <w:rPr>
            <w:noProof/>
            <w:webHidden/>
          </w:rPr>
          <w:t>33</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77" w:history="1">
        <w:r w:rsidR="00AF17BC" w:rsidRPr="00F06E17">
          <w:rPr>
            <w:rStyle w:val="Hyperlink"/>
            <w:noProof/>
          </w:rPr>
          <w:t>II.2.2 – I.2 Tendencias emergentes en materia de telecomunicaciones/TIC</w:t>
        </w:r>
        <w:r w:rsidR="00AF17BC">
          <w:rPr>
            <w:noProof/>
            <w:webHidden/>
          </w:rPr>
          <w:tab/>
        </w:r>
        <w:r w:rsidR="00AF17BC">
          <w:rPr>
            <w:noProof/>
            <w:webHidden/>
          </w:rPr>
          <w:fldChar w:fldCharType="begin"/>
        </w:r>
        <w:r w:rsidR="00AF17BC">
          <w:rPr>
            <w:noProof/>
            <w:webHidden/>
          </w:rPr>
          <w:instrText xml:space="preserve"> PAGEREF _Toc7534677 \h </w:instrText>
        </w:r>
        <w:r w:rsidR="00AF17BC">
          <w:rPr>
            <w:noProof/>
            <w:webHidden/>
          </w:rPr>
        </w:r>
        <w:r w:rsidR="00AF17BC">
          <w:rPr>
            <w:noProof/>
            <w:webHidden/>
          </w:rPr>
          <w:fldChar w:fldCharType="separate"/>
        </w:r>
        <w:r w:rsidR="00AF17BC">
          <w:rPr>
            <w:noProof/>
            <w:webHidden/>
          </w:rPr>
          <w:t>34</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78" w:history="1">
        <w:r w:rsidR="00AF17BC" w:rsidRPr="00F06E17">
          <w:rPr>
            <w:rStyle w:val="Hyperlink"/>
            <w:noProof/>
          </w:rPr>
          <w:t>II.2.3 – I.3 Accesibilidad de las telecomunicaciones/TIC</w:t>
        </w:r>
        <w:r w:rsidR="00AF17BC">
          <w:rPr>
            <w:noProof/>
            <w:webHidden/>
          </w:rPr>
          <w:tab/>
        </w:r>
        <w:r w:rsidR="00AF17BC">
          <w:rPr>
            <w:noProof/>
            <w:webHidden/>
          </w:rPr>
          <w:fldChar w:fldCharType="begin"/>
        </w:r>
        <w:r w:rsidR="00AF17BC">
          <w:rPr>
            <w:noProof/>
            <w:webHidden/>
          </w:rPr>
          <w:instrText xml:space="preserve"> PAGEREF _Toc7534678 \h </w:instrText>
        </w:r>
        <w:r w:rsidR="00AF17BC">
          <w:rPr>
            <w:noProof/>
            <w:webHidden/>
          </w:rPr>
        </w:r>
        <w:r w:rsidR="00AF17BC">
          <w:rPr>
            <w:noProof/>
            <w:webHidden/>
          </w:rPr>
          <w:fldChar w:fldCharType="separate"/>
        </w:r>
        <w:r w:rsidR="00AF17BC">
          <w:rPr>
            <w:noProof/>
            <w:webHidden/>
          </w:rPr>
          <w:t>35</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79" w:history="1">
        <w:r w:rsidR="00AF17BC" w:rsidRPr="00F06E17">
          <w:rPr>
            <w:rStyle w:val="Hyperlink"/>
            <w:noProof/>
          </w:rPr>
          <w:t>II.2.4 – I.4 Igualdad de género e inclusión</w:t>
        </w:r>
        <w:r w:rsidR="00AF17BC">
          <w:rPr>
            <w:noProof/>
            <w:webHidden/>
          </w:rPr>
          <w:tab/>
        </w:r>
        <w:r w:rsidR="00AF17BC">
          <w:rPr>
            <w:noProof/>
            <w:webHidden/>
          </w:rPr>
          <w:fldChar w:fldCharType="begin"/>
        </w:r>
        <w:r w:rsidR="00AF17BC">
          <w:rPr>
            <w:noProof/>
            <w:webHidden/>
          </w:rPr>
          <w:instrText xml:space="preserve"> PAGEREF _Toc7534679 \h </w:instrText>
        </w:r>
        <w:r w:rsidR="00AF17BC">
          <w:rPr>
            <w:noProof/>
            <w:webHidden/>
          </w:rPr>
        </w:r>
        <w:r w:rsidR="00AF17BC">
          <w:rPr>
            <w:noProof/>
            <w:webHidden/>
          </w:rPr>
          <w:fldChar w:fldCharType="separate"/>
        </w:r>
        <w:r w:rsidR="00AF17BC">
          <w:rPr>
            <w:noProof/>
            <w:webHidden/>
          </w:rPr>
          <w:t>36</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0" w:history="1">
        <w:r w:rsidR="00AF17BC" w:rsidRPr="00F06E17">
          <w:rPr>
            <w:rStyle w:val="Hyperlink"/>
            <w:noProof/>
          </w:rPr>
          <w:t>II.2.5 – I.5 Sostenibilidad ambiental</w:t>
        </w:r>
        <w:r w:rsidR="00AF17BC">
          <w:rPr>
            <w:noProof/>
            <w:webHidden/>
          </w:rPr>
          <w:tab/>
        </w:r>
        <w:r w:rsidR="00AF17BC">
          <w:rPr>
            <w:noProof/>
            <w:webHidden/>
          </w:rPr>
          <w:fldChar w:fldCharType="begin"/>
        </w:r>
        <w:r w:rsidR="00AF17BC">
          <w:rPr>
            <w:noProof/>
            <w:webHidden/>
          </w:rPr>
          <w:instrText xml:space="preserve"> PAGEREF _Toc7534680 \h </w:instrText>
        </w:r>
        <w:r w:rsidR="00AF17BC">
          <w:rPr>
            <w:noProof/>
            <w:webHidden/>
          </w:rPr>
        </w:r>
        <w:r w:rsidR="00AF17BC">
          <w:rPr>
            <w:noProof/>
            <w:webHidden/>
          </w:rPr>
          <w:fldChar w:fldCharType="separate"/>
        </w:r>
        <w:r w:rsidR="00AF17BC">
          <w:rPr>
            <w:noProof/>
            <w:webHidden/>
          </w:rPr>
          <w:t>37</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1" w:history="1">
        <w:r w:rsidR="00AF17BC" w:rsidRPr="00F06E17">
          <w:rPr>
            <w:rStyle w:val="Hyperlink"/>
            <w:noProof/>
          </w:rPr>
          <w:t>II.2.6 – I.6 Reducción de solapamientos y duplicaciones</w:t>
        </w:r>
        <w:r w:rsidR="00AF17BC">
          <w:rPr>
            <w:noProof/>
            <w:webHidden/>
          </w:rPr>
          <w:tab/>
        </w:r>
        <w:r w:rsidR="00AF17BC">
          <w:rPr>
            <w:noProof/>
            <w:webHidden/>
          </w:rPr>
          <w:fldChar w:fldCharType="begin"/>
        </w:r>
        <w:r w:rsidR="00AF17BC">
          <w:rPr>
            <w:noProof/>
            <w:webHidden/>
          </w:rPr>
          <w:instrText xml:space="preserve"> PAGEREF _Toc7534681 \h </w:instrText>
        </w:r>
        <w:r w:rsidR="00AF17BC">
          <w:rPr>
            <w:noProof/>
            <w:webHidden/>
          </w:rPr>
        </w:r>
        <w:r w:rsidR="00AF17BC">
          <w:rPr>
            <w:noProof/>
            <w:webHidden/>
          </w:rPr>
          <w:fldChar w:fldCharType="separate"/>
        </w:r>
        <w:r w:rsidR="00AF17BC">
          <w:rPr>
            <w:noProof/>
            <w:webHidden/>
          </w:rPr>
          <w:t>38</w:t>
        </w:r>
        <w:r w:rsidR="00AF17BC">
          <w:rPr>
            <w:noProof/>
            <w:webHidden/>
          </w:rPr>
          <w:fldChar w:fldCharType="end"/>
        </w:r>
      </w:hyperlink>
    </w:p>
    <w:p w:rsidR="00AF17BC" w:rsidRDefault="004E0508">
      <w:pPr>
        <w:pStyle w:val="TOC2"/>
        <w:rPr>
          <w:rFonts w:asciiTheme="minorHAnsi" w:eastAsiaTheme="minorEastAsia" w:hAnsiTheme="minorHAnsi" w:cstheme="minorBidi"/>
          <w:noProof/>
          <w:sz w:val="22"/>
          <w:szCs w:val="22"/>
          <w:lang w:val="en-US" w:eastAsia="zh-CN"/>
        </w:rPr>
      </w:pPr>
      <w:hyperlink w:anchor="_Toc7534682" w:history="1">
        <w:r w:rsidR="00AF17BC" w:rsidRPr="00F06E17">
          <w:rPr>
            <w:rStyle w:val="Hyperlink"/>
            <w:noProof/>
          </w:rPr>
          <w:t>II.3</w:t>
        </w:r>
        <w:r w:rsidR="00AF17BC">
          <w:rPr>
            <w:rFonts w:asciiTheme="minorHAnsi" w:eastAsiaTheme="minorEastAsia" w:hAnsiTheme="minorHAnsi" w:cstheme="minorBidi"/>
            <w:noProof/>
            <w:sz w:val="22"/>
            <w:szCs w:val="22"/>
            <w:lang w:val="en-US" w:eastAsia="zh-CN"/>
          </w:rPr>
          <w:tab/>
        </w:r>
        <w:r w:rsidR="00AF17BC" w:rsidRPr="00F06E17">
          <w:rPr>
            <w:rStyle w:val="Hyperlink"/>
            <w:noProof/>
          </w:rPr>
          <w:t>Objetivos del Sector de Radiocomunicaciones</w:t>
        </w:r>
        <w:r w:rsidR="00AF17BC">
          <w:rPr>
            <w:noProof/>
            <w:webHidden/>
          </w:rPr>
          <w:tab/>
        </w:r>
        <w:r w:rsidR="00AF17BC">
          <w:rPr>
            <w:noProof/>
            <w:webHidden/>
          </w:rPr>
          <w:fldChar w:fldCharType="begin"/>
        </w:r>
        <w:r w:rsidR="00AF17BC">
          <w:rPr>
            <w:noProof/>
            <w:webHidden/>
          </w:rPr>
          <w:instrText xml:space="preserve"> PAGEREF _Toc7534682 \h </w:instrText>
        </w:r>
        <w:r w:rsidR="00AF17BC">
          <w:rPr>
            <w:noProof/>
            <w:webHidden/>
          </w:rPr>
        </w:r>
        <w:r w:rsidR="00AF17BC">
          <w:rPr>
            <w:noProof/>
            <w:webHidden/>
          </w:rPr>
          <w:fldChar w:fldCharType="separate"/>
        </w:r>
        <w:r w:rsidR="00AF17BC">
          <w:rPr>
            <w:noProof/>
            <w:webHidden/>
          </w:rPr>
          <w:t>39</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3" w:history="1">
        <w:r w:rsidR="00AF17BC" w:rsidRPr="00F06E17">
          <w:rPr>
            <w:rStyle w:val="Hyperlink"/>
            <w:noProof/>
          </w:rPr>
          <w:t>II.3.1 – R.1 Reglamentación y gestión del espectro/las órbitas</w:t>
        </w:r>
        <w:r w:rsidR="00AF17BC">
          <w:rPr>
            <w:noProof/>
            <w:webHidden/>
          </w:rPr>
          <w:tab/>
        </w:r>
        <w:r w:rsidR="00AF17BC">
          <w:rPr>
            <w:noProof/>
            <w:webHidden/>
          </w:rPr>
          <w:fldChar w:fldCharType="begin"/>
        </w:r>
        <w:r w:rsidR="00AF17BC">
          <w:rPr>
            <w:noProof/>
            <w:webHidden/>
          </w:rPr>
          <w:instrText xml:space="preserve"> PAGEREF _Toc7534683 \h </w:instrText>
        </w:r>
        <w:r w:rsidR="00AF17BC">
          <w:rPr>
            <w:noProof/>
            <w:webHidden/>
          </w:rPr>
        </w:r>
        <w:r w:rsidR="00AF17BC">
          <w:rPr>
            <w:noProof/>
            <w:webHidden/>
          </w:rPr>
          <w:fldChar w:fldCharType="separate"/>
        </w:r>
        <w:r w:rsidR="00AF17BC">
          <w:rPr>
            <w:noProof/>
            <w:webHidden/>
          </w:rPr>
          <w:t>41</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4" w:history="1">
        <w:r w:rsidR="00AF17BC" w:rsidRPr="00F06E17">
          <w:rPr>
            <w:rStyle w:val="Hyperlink"/>
            <w:noProof/>
          </w:rPr>
          <w:t>II.3.2 – R.2 Normas de radiocomunicaciones</w:t>
        </w:r>
        <w:r w:rsidR="00AF17BC">
          <w:rPr>
            <w:noProof/>
            <w:webHidden/>
          </w:rPr>
          <w:tab/>
        </w:r>
        <w:r w:rsidR="00AF17BC">
          <w:rPr>
            <w:noProof/>
            <w:webHidden/>
          </w:rPr>
          <w:fldChar w:fldCharType="begin"/>
        </w:r>
        <w:r w:rsidR="00AF17BC">
          <w:rPr>
            <w:noProof/>
            <w:webHidden/>
          </w:rPr>
          <w:instrText xml:space="preserve"> PAGEREF _Toc7534684 \h </w:instrText>
        </w:r>
        <w:r w:rsidR="00AF17BC">
          <w:rPr>
            <w:noProof/>
            <w:webHidden/>
          </w:rPr>
        </w:r>
        <w:r w:rsidR="00AF17BC">
          <w:rPr>
            <w:noProof/>
            <w:webHidden/>
          </w:rPr>
          <w:fldChar w:fldCharType="separate"/>
        </w:r>
        <w:r w:rsidR="00AF17BC">
          <w:rPr>
            <w:noProof/>
            <w:webHidden/>
          </w:rPr>
          <w:t>43</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5" w:history="1">
        <w:r w:rsidR="00AF17BC" w:rsidRPr="00F06E17">
          <w:rPr>
            <w:rStyle w:val="Hyperlink"/>
            <w:noProof/>
          </w:rPr>
          <w:t>II.3.3 – R.3 Intercambio de conocimientos</w:t>
        </w:r>
        <w:r w:rsidR="00AF17BC">
          <w:rPr>
            <w:noProof/>
            <w:webHidden/>
          </w:rPr>
          <w:tab/>
        </w:r>
        <w:r w:rsidR="00AF17BC">
          <w:rPr>
            <w:noProof/>
            <w:webHidden/>
          </w:rPr>
          <w:fldChar w:fldCharType="begin"/>
        </w:r>
        <w:r w:rsidR="00AF17BC">
          <w:rPr>
            <w:noProof/>
            <w:webHidden/>
          </w:rPr>
          <w:instrText xml:space="preserve"> PAGEREF _Toc7534685 \h </w:instrText>
        </w:r>
        <w:r w:rsidR="00AF17BC">
          <w:rPr>
            <w:noProof/>
            <w:webHidden/>
          </w:rPr>
        </w:r>
        <w:r w:rsidR="00AF17BC">
          <w:rPr>
            <w:noProof/>
            <w:webHidden/>
          </w:rPr>
          <w:fldChar w:fldCharType="separate"/>
        </w:r>
        <w:r w:rsidR="00AF17BC">
          <w:rPr>
            <w:noProof/>
            <w:webHidden/>
          </w:rPr>
          <w:t>45</w:t>
        </w:r>
        <w:r w:rsidR="00AF17BC">
          <w:rPr>
            <w:noProof/>
            <w:webHidden/>
          </w:rPr>
          <w:fldChar w:fldCharType="end"/>
        </w:r>
      </w:hyperlink>
    </w:p>
    <w:p w:rsidR="00AF17BC" w:rsidRDefault="004E0508">
      <w:pPr>
        <w:pStyle w:val="TOC2"/>
        <w:rPr>
          <w:rFonts w:asciiTheme="minorHAnsi" w:eastAsiaTheme="minorEastAsia" w:hAnsiTheme="minorHAnsi" w:cstheme="minorBidi"/>
          <w:noProof/>
          <w:sz w:val="22"/>
          <w:szCs w:val="22"/>
          <w:lang w:val="en-US" w:eastAsia="zh-CN"/>
        </w:rPr>
      </w:pPr>
      <w:hyperlink w:anchor="_Toc7534686" w:history="1">
        <w:r w:rsidR="00AF17BC" w:rsidRPr="00F06E17">
          <w:rPr>
            <w:rStyle w:val="Hyperlink"/>
            <w:noProof/>
          </w:rPr>
          <w:t>II.4</w:t>
        </w:r>
        <w:r w:rsidR="00AF17BC">
          <w:rPr>
            <w:rFonts w:asciiTheme="minorHAnsi" w:eastAsiaTheme="minorEastAsia" w:hAnsiTheme="minorHAnsi" w:cstheme="minorBidi"/>
            <w:noProof/>
            <w:sz w:val="22"/>
            <w:szCs w:val="22"/>
            <w:lang w:val="en-US" w:eastAsia="zh-CN"/>
          </w:rPr>
          <w:tab/>
        </w:r>
        <w:r w:rsidR="00AF17BC" w:rsidRPr="00F06E17">
          <w:rPr>
            <w:rStyle w:val="Hyperlink"/>
            <w:noProof/>
          </w:rPr>
          <w:t>Objetivos del Sector de Normalización de las Telecomunicaciones</w:t>
        </w:r>
        <w:r w:rsidR="00AF17BC">
          <w:rPr>
            <w:noProof/>
            <w:webHidden/>
          </w:rPr>
          <w:tab/>
        </w:r>
        <w:r w:rsidR="00AF17BC">
          <w:rPr>
            <w:noProof/>
            <w:webHidden/>
          </w:rPr>
          <w:fldChar w:fldCharType="begin"/>
        </w:r>
        <w:r w:rsidR="00AF17BC">
          <w:rPr>
            <w:noProof/>
            <w:webHidden/>
          </w:rPr>
          <w:instrText xml:space="preserve"> PAGEREF _Toc7534686 \h </w:instrText>
        </w:r>
        <w:r w:rsidR="00AF17BC">
          <w:rPr>
            <w:noProof/>
            <w:webHidden/>
          </w:rPr>
        </w:r>
        <w:r w:rsidR="00AF17BC">
          <w:rPr>
            <w:noProof/>
            <w:webHidden/>
          </w:rPr>
          <w:fldChar w:fldCharType="separate"/>
        </w:r>
        <w:r w:rsidR="00AF17BC">
          <w:rPr>
            <w:noProof/>
            <w:webHidden/>
          </w:rPr>
          <w:t>46</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7" w:history="1">
        <w:r w:rsidR="00AF17BC" w:rsidRPr="00F06E17">
          <w:rPr>
            <w:rStyle w:val="Hyperlink"/>
            <w:noProof/>
          </w:rPr>
          <w:t>II.4.1 – T.1 Elaboración de normas</w:t>
        </w:r>
        <w:r w:rsidR="00AF17BC">
          <w:rPr>
            <w:noProof/>
            <w:webHidden/>
          </w:rPr>
          <w:tab/>
        </w:r>
        <w:r w:rsidR="00AF17BC">
          <w:rPr>
            <w:noProof/>
            <w:webHidden/>
          </w:rPr>
          <w:fldChar w:fldCharType="begin"/>
        </w:r>
        <w:r w:rsidR="00AF17BC">
          <w:rPr>
            <w:noProof/>
            <w:webHidden/>
          </w:rPr>
          <w:instrText xml:space="preserve"> PAGEREF _Toc7534687 \h </w:instrText>
        </w:r>
        <w:r w:rsidR="00AF17BC">
          <w:rPr>
            <w:noProof/>
            <w:webHidden/>
          </w:rPr>
        </w:r>
        <w:r w:rsidR="00AF17BC">
          <w:rPr>
            <w:noProof/>
            <w:webHidden/>
          </w:rPr>
          <w:fldChar w:fldCharType="separate"/>
        </w:r>
        <w:r w:rsidR="00AF17BC">
          <w:rPr>
            <w:noProof/>
            <w:webHidden/>
          </w:rPr>
          <w:t>48</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8" w:history="1">
        <w:r w:rsidR="00AF17BC" w:rsidRPr="00F06E17">
          <w:rPr>
            <w:rStyle w:val="Hyperlink"/>
            <w:noProof/>
          </w:rPr>
          <w:t>II.4.2 – T.2 Reducción de la brecha normativa</w:t>
        </w:r>
        <w:r w:rsidR="00AF17BC">
          <w:rPr>
            <w:noProof/>
            <w:webHidden/>
          </w:rPr>
          <w:tab/>
        </w:r>
        <w:r w:rsidR="00AF17BC">
          <w:rPr>
            <w:noProof/>
            <w:webHidden/>
          </w:rPr>
          <w:fldChar w:fldCharType="begin"/>
        </w:r>
        <w:r w:rsidR="00AF17BC">
          <w:rPr>
            <w:noProof/>
            <w:webHidden/>
          </w:rPr>
          <w:instrText xml:space="preserve"> PAGEREF _Toc7534688 \h </w:instrText>
        </w:r>
        <w:r w:rsidR="00AF17BC">
          <w:rPr>
            <w:noProof/>
            <w:webHidden/>
          </w:rPr>
        </w:r>
        <w:r w:rsidR="00AF17BC">
          <w:rPr>
            <w:noProof/>
            <w:webHidden/>
          </w:rPr>
          <w:fldChar w:fldCharType="separate"/>
        </w:r>
        <w:r w:rsidR="00AF17BC">
          <w:rPr>
            <w:noProof/>
            <w:webHidden/>
          </w:rPr>
          <w:t>49</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89" w:history="1">
        <w:r w:rsidR="00AF17BC" w:rsidRPr="00F06E17">
          <w:rPr>
            <w:rStyle w:val="Hyperlink"/>
            <w:noProof/>
          </w:rPr>
          <w:t>II.4.3 – T.3 Recursos de telecomunicaciones</w:t>
        </w:r>
        <w:r w:rsidR="00AF17BC">
          <w:rPr>
            <w:noProof/>
            <w:webHidden/>
          </w:rPr>
          <w:tab/>
        </w:r>
        <w:r w:rsidR="00AF17BC">
          <w:rPr>
            <w:noProof/>
            <w:webHidden/>
          </w:rPr>
          <w:fldChar w:fldCharType="begin"/>
        </w:r>
        <w:r w:rsidR="00AF17BC">
          <w:rPr>
            <w:noProof/>
            <w:webHidden/>
          </w:rPr>
          <w:instrText xml:space="preserve"> PAGEREF _Toc7534689 \h </w:instrText>
        </w:r>
        <w:r w:rsidR="00AF17BC">
          <w:rPr>
            <w:noProof/>
            <w:webHidden/>
          </w:rPr>
        </w:r>
        <w:r w:rsidR="00AF17BC">
          <w:rPr>
            <w:noProof/>
            <w:webHidden/>
          </w:rPr>
          <w:fldChar w:fldCharType="separate"/>
        </w:r>
        <w:r w:rsidR="00AF17BC">
          <w:rPr>
            <w:noProof/>
            <w:webHidden/>
          </w:rPr>
          <w:t>50</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0" w:history="1">
        <w:r w:rsidR="00AF17BC" w:rsidRPr="00F06E17">
          <w:rPr>
            <w:rStyle w:val="Hyperlink"/>
            <w:noProof/>
          </w:rPr>
          <w:t>II.4.4 – T.4 Intercambio de conocimientos</w:t>
        </w:r>
        <w:r w:rsidR="00AF17BC">
          <w:rPr>
            <w:noProof/>
            <w:webHidden/>
          </w:rPr>
          <w:tab/>
        </w:r>
        <w:r w:rsidR="00AF17BC">
          <w:rPr>
            <w:noProof/>
            <w:webHidden/>
          </w:rPr>
          <w:fldChar w:fldCharType="begin"/>
        </w:r>
        <w:r w:rsidR="00AF17BC">
          <w:rPr>
            <w:noProof/>
            <w:webHidden/>
          </w:rPr>
          <w:instrText xml:space="preserve"> PAGEREF _Toc7534690 \h </w:instrText>
        </w:r>
        <w:r w:rsidR="00AF17BC">
          <w:rPr>
            <w:noProof/>
            <w:webHidden/>
          </w:rPr>
        </w:r>
        <w:r w:rsidR="00AF17BC">
          <w:rPr>
            <w:noProof/>
            <w:webHidden/>
          </w:rPr>
          <w:fldChar w:fldCharType="separate"/>
        </w:r>
        <w:r w:rsidR="00AF17BC">
          <w:rPr>
            <w:noProof/>
            <w:webHidden/>
          </w:rPr>
          <w:t>51</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1" w:history="1">
        <w:r w:rsidR="00AF17BC" w:rsidRPr="00F06E17">
          <w:rPr>
            <w:rStyle w:val="Hyperlink"/>
            <w:noProof/>
          </w:rPr>
          <w:t>II.4.5 – T.5 Colaboración con organismos de normalización</w:t>
        </w:r>
        <w:r w:rsidR="00AF17BC">
          <w:rPr>
            <w:noProof/>
            <w:webHidden/>
          </w:rPr>
          <w:tab/>
        </w:r>
        <w:r w:rsidR="00AF17BC">
          <w:rPr>
            <w:noProof/>
            <w:webHidden/>
          </w:rPr>
          <w:fldChar w:fldCharType="begin"/>
        </w:r>
        <w:r w:rsidR="00AF17BC">
          <w:rPr>
            <w:noProof/>
            <w:webHidden/>
          </w:rPr>
          <w:instrText xml:space="preserve"> PAGEREF _Toc7534691 \h </w:instrText>
        </w:r>
        <w:r w:rsidR="00AF17BC">
          <w:rPr>
            <w:noProof/>
            <w:webHidden/>
          </w:rPr>
        </w:r>
        <w:r w:rsidR="00AF17BC">
          <w:rPr>
            <w:noProof/>
            <w:webHidden/>
          </w:rPr>
          <w:fldChar w:fldCharType="separate"/>
        </w:r>
        <w:r w:rsidR="00AF17BC">
          <w:rPr>
            <w:noProof/>
            <w:webHidden/>
          </w:rPr>
          <w:t>53</w:t>
        </w:r>
        <w:r w:rsidR="00AF17BC">
          <w:rPr>
            <w:noProof/>
            <w:webHidden/>
          </w:rPr>
          <w:fldChar w:fldCharType="end"/>
        </w:r>
      </w:hyperlink>
    </w:p>
    <w:p w:rsidR="00AF17BC" w:rsidRDefault="004E0508">
      <w:pPr>
        <w:pStyle w:val="TOC2"/>
        <w:rPr>
          <w:rFonts w:asciiTheme="minorHAnsi" w:eastAsiaTheme="minorEastAsia" w:hAnsiTheme="minorHAnsi" w:cstheme="minorBidi"/>
          <w:noProof/>
          <w:sz w:val="22"/>
          <w:szCs w:val="22"/>
          <w:lang w:val="en-US" w:eastAsia="zh-CN"/>
        </w:rPr>
      </w:pPr>
      <w:hyperlink w:anchor="_Toc7534692" w:history="1">
        <w:r w:rsidR="00AF17BC" w:rsidRPr="00F06E17">
          <w:rPr>
            <w:rStyle w:val="Hyperlink"/>
            <w:noProof/>
          </w:rPr>
          <w:t>II.5</w:t>
        </w:r>
        <w:r w:rsidR="00AF17BC">
          <w:rPr>
            <w:rFonts w:asciiTheme="minorHAnsi" w:eastAsiaTheme="minorEastAsia" w:hAnsiTheme="minorHAnsi" w:cstheme="minorBidi"/>
            <w:noProof/>
            <w:sz w:val="22"/>
            <w:szCs w:val="22"/>
            <w:lang w:val="en-US" w:eastAsia="zh-CN"/>
          </w:rPr>
          <w:tab/>
        </w:r>
        <w:r w:rsidR="00AF17BC" w:rsidRPr="00F06E17">
          <w:rPr>
            <w:rStyle w:val="Hyperlink"/>
            <w:noProof/>
          </w:rPr>
          <w:t>Objetivos del Sector de Desarrollo de las Telecomunicaciones</w:t>
        </w:r>
        <w:r w:rsidR="00AF17BC">
          <w:rPr>
            <w:noProof/>
            <w:webHidden/>
          </w:rPr>
          <w:tab/>
        </w:r>
        <w:r w:rsidR="00AF17BC">
          <w:rPr>
            <w:noProof/>
            <w:webHidden/>
          </w:rPr>
          <w:fldChar w:fldCharType="begin"/>
        </w:r>
        <w:r w:rsidR="00AF17BC">
          <w:rPr>
            <w:noProof/>
            <w:webHidden/>
          </w:rPr>
          <w:instrText xml:space="preserve"> PAGEREF _Toc7534692 \h </w:instrText>
        </w:r>
        <w:r w:rsidR="00AF17BC">
          <w:rPr>
            <w:noProof/>
            <w:webHidden/>
          </w:rPr>
        </w:r>
        <w:r w:rsidR="00AF17BC">
          <w:rPr>
            <w:noProof/>
            <w:webHidden/>
          </w:rPr>
          <w:fldChar w:fldCharType="separate"/>
        </w:r>
        <w:r w:rsidR="00AF17BC">
          <w:rPr>
            <w:noProof/>
            <w:webHidden/>
          </w:rPr>
          <w:t>54</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3" w:history="1">
        <w:r w:rsidR="00AF17BC" w:rsidRPr="00F06E17">
          <w:rPr>
            <w:rStyle w:val="Hyperlink"/>
            <w:noProof/>
          </w:rPr>
          <w:t>II.5.1 – D.1 Coordinación</w:t>
        </w:r>
        <w:r w:rsidR="00AF17BC">
          <w:rPr>
            <w:noProof/>
            <w:webHidden/>
          </w:rPr>
          <w:tab/>
        </w:r>
        <w:r w:rsidR="00AF17BC">
          <w:rPr>
            <w:noProof/>
            <w:webHidden/>
          </w:rPr>
          <w:fldChar w:fldCharType="begin"/>
        </w:r>
        <w:r w:rsidR="00AF17BC">
          <w:rPr>
            <w:noProof/>
            <w:webHidden/>
          </w:rPr>
          <w:instrText xml:space="preserve"> PAGEREF _Toc7534693 \h </w:instrText>
        </w:r>
        <w:r w:rsidR="00AF17BC">
          <w:rPr>
            <w:noProof/>
            <w:webHidden/>
          </w:rPr>
        </w:r>
        <w:r w:rsidR="00AF17BC">
          <w:rPr>
            <w:noProof/>
            <w:webHidden/>
          </w:rPr>
          <w:fldChar w:fldCharType="separate"/>
        </w:r>
        <w:r w:rsidR="00AF17BC">
          <w:rPr>
            <w:noProof/>
            <w:webHidden/>
          </w:rPr>
          <w:t>56</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4" w:history="1">
        <w:r w:rsidR="00AF17BC" w:rsidRPr="00F06E17">
          <w:rPr>
            <w:rStyle w:val="Hyperlink"/>
            <w:noProof/>
          </w:rPr>
          <w:t>II.5.2 – D.2 Infraestructura de telecomunicaciones/TIC moderna y segura</w:t>
        </w:r>
        <w:r w:rsidR="00AF17BC">
          <w:rPr>
            <w:noProof/>
            <w:webHidden/>
          </w:rPr>
          <w:tab/>
        </w:r>
        <w:r w:rsidR="00AF17BC">
          <w:rPr>
            <w:noProof/>
            <w:webHidden/>
          </w:rPr>
          <w:fldChar w:fldCharType="begin"/>
        </w:r>
        <w:r w:rsidR="00AF17BC">
          <w:rPr>
            <w:noProof/>
            <w:webHidden/>
          </w:rPr>
          <w:instrText xml:space="preserve"> PAGEREF _Toc7534694 \h </w:instrText>
        </w:r>
        <w:r w:rsidR="00AF17BC">
          <w:rPr>
            <w:noProof/>
            <w:webHidden/>
          </w:rPr>
        </w:r>
        <w:r w:rsidR="00AF17BC">
          <w:rPr>
            <w:noProof/>
            <w:webHidden/>
          </w:rPr>
          <w:fldChar w:fldCharType="separate"/>
        </w:r>
        <w:r w:rsidR="00AF17BC">
          <w:rPr>
            <w:noProof/>
            <w:webHidden/>
          </w:rPr>
          <w:t>58</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5" w:history="1">
        <w:r w:rsidR="00AF17BC" w:rsidRPr="00F06E17">
          <w:rPr>
            <w:rStyle w:val="Hyperlink"/>
            <w:noProof/>
          </w:rPr>
          <w:t>II.5.3 – D.3 Entorno habilitador</w:t>
        </w:r>
        <w:r w:rsidR="00AF17BC">
          <w:rPr>
            <w:noProof/>
            <w:webHidden/>
          </w:rPr>
          <w:tab/>
        </w:r>
        <w:r w:rsidR="00AF17BC">
          <w:rPr>
            <w:noProof/>
            <w:webHidden/>
          </w:rPr>
          <w:fldChar w:fldCharType="begin"/>
        </w:r>
        <w:r w:rsidR="00AF17BC">
          <w:rPr>
            <w:noProof/>
            <w:webHidden/>
          </w:rPr>
          <w:instrText xml:space="preserve"> PAGEREF _Toc7534695 \h </w:instrText>
        </w:r>
        <w:r w:rsidR="00AF17BC">
          <w:rPr>
            <w:noProof/>
            <w:webHidden/>
          </w:rPr>
        </w:r>
        <w:r w:rsidR="00AF17BC">
          <w:rPr>
            <w:noProof/>
            <w:webHidden/>
          </w:rPr>
          <w:fldChar w:fldCharType="separate"/>
        </w:r>
        <w:r w:rsidR="00AF17BC">
          <w:rPr>
            <w:noProof/>
            <w:webHidden/>
          </w:rPr>
          <w:t>60</w:t>
        </w:r>
        <w:r w:rsidR="00AF17BC">
          <w:rPr>
            <w:noProof/>
            <w:webHidden/>
          </w:rPr>
          <w:fldChar w:fldCharType="end"/>
        </w:r>
      </w:hyperlink>
    </w:p>
    <w:p w:rsidR="00AF17BC" w:rsidRDefault="004E0508" w:rsidP="00AF17BC">
      <w:pPr>
        <w:pStyle w:val="TOC3"/>
        <w:ind w:left="1673"/>
        <w:rPr>
          <w:rFonts w:asciiTheme="minorHAnsi" w:eastAsiaTheme="minorEastAsia" w:hAnsiTheme="minorHAnsi" w:cstheme="minorBidi"/>
          <w:noProof/>
          <w:sz w:val="22"/>
          <w:szCs w:val="22"/>
          <w:lang w:val="en-US" w:eastAsia="zh-CN"/>
        </w:rPr>
      </w:pPr>
      <w:hyperlink w:anchor="_Toc7534696" w:history="1">
        <w:r w:rsidR="00AF17BC" w:rsidRPr="00F06E17">
          <w:rPr>
            <w:rStyle w:val="Hyperlink"/>
            <w:noProof/>
          </w:rPr>
          <w:t>II.5.4 – D.4 Sociedad de la información integradora</w:t>
        </w:r>
        <w:r w:rsidR="00AF17BC">
          <w:rPr>
            <w:noProof/>
            <w:webHidden/>
          </w:rPr>
          <w:tab/>
        </w:r>
        <w:r w:rsidR="00AF17BC">
          <w:rPr>
            <w:noProof/>
            <w:webHidden/>
          </w:rPr>
          <w:fldChar w:fldCharType="begin"/>
        </w:r>
        <w:r w:rsidR="00AF17BC">
          <w:rPr>
            <w:noProof/>
            <w:webHidden/>
          </w:rPr>
          <w:instrText xml:space="preserve"> PAGEREF _Toc7534696 \h </w:instrText>
        </w:r>
        <w:r w:rsidR="00AF17BC">
          <w:rPr>
            <w:noProof/>
            <w:webHidden/>
          </w:rPr>
        </w:r>
        <w:r w:rsidR="00AF17BC">
          <w:rPr>
            <w:noProof/>
            <w:webHidden/>
          </w:rPr>
          <w:fldChar w:fldCharType="separate"/>
        </w:r>
        <w:r w:rsidR="00AF17BC">
          <w:rPr>
            <w:noProof/>
            <w:webHidden/>
          </w:rPr>
          <w:t>62</w:t>
        </w:r>
        <w:r w:rsidR="00AF17BC">
          <w:rPr>
            <w:noProof/>
            <w:webHidden/>
          </w:rPr>
          <w:fldChar w:fldCharType="end"/>
        </w:r>
      </w:hyperlink>
    </w:p>
    <w:p w:rsidR="00740D17" w:rsidRPr="00840791" w:rsidRDefault="00AF17BC" w:rsidP="00AF17BC">
      <w:pPr>
        <w:rPr>
          <w:noProof/>
        </w:rPr>
      </w:pPr>
      <w:r>
        <w:rPr>
          <w:noProof/>
          <w:webHidden/>
        </w:rPr>
        <w:fldChar w:fldCharType="end"/>
      </w:r>
      <w:r w:rsidR="00740D17" w:rsidRPr="00EE1E1F">
        <w:rPr>
          <w:lang w:val="es-ES"/>
        </w:rPr>
        <w:br w:type="page"/>
      </w:r>
    </w:p>
    <w:p w:rsidR="00740D17" w:rsidRPr="001239E6" w:rsidRDefault="00740D17" w:rsidP="00740D17">
      <w:pPr>
        <w:pStyle w:val="Heading2"/>
      </w:pPr>
      <w:bookmarkStart w:id="249" w:name="_II.1_Presupuesto_basado"/>
      <w:bookmarkStart w:id="250" w:name="_Toc7518623"/>
      <w:bookmarkStart w:id="251" w:name="_Toc7533965"/>
      <w:bookmarkStart w:id="252" w:name="_Toc7534674"/>
      <w:bookmarkEnd w:id="249"/>
      <w:r w:rsidRPr="001239E6">
        <w:lastRenderedPageBreak/>
        <w:t>II.1</w:t>
      </w:r>
      <w:r w:rsidRPr="001239E6">
        <w:tab/>
        <w:t>Presupuesto basado en resultados de la UIT</w:t>
      </w:r>
      <w:r>
        <w:t xml:space="preserve"> </w:t>
      </w:r>
      <w:r w:rsidRPr="001239E6">
        <w:t>– Estructura de costes y resumen</w:t>
      </w:r>
      <w:bookmarkEnd w:id="250"/>
      <w:bookmarkEnd w:id="251"/>
      <w:bookmarkEnd w:id="252"/>
    </w:p>
    <w:p w:rsidR="00740D17" w:rsidRPr="00C01FD3" w:rsidRDefault="00740D17" w:rsidP="00EF1726">
      <w:pPr>
        <w:rPr>
          <w:lang w:val="es-ES"/>
        </w:rPr>
      </w:pPr>
      <w:r w:rsidRPr="00C01FD3">
        <w:rPr>
          <w:lang w:val="es-ES"/>
        </w:rPr>
        <w:t>II.1.1</w:t>
      </w:r>
      <w:r w:rsidRPr="00C01FD3">
        <w:rPr>
          <w:lang w:val="es-ES"/>
        </w:rPr>
        <w:tab/>
        <w:t xml:space="preserve">El proyecto de </w:t>
      </w:r>
      <w:r w:rsidR="00EF1726">
        <w:rPr>
          <w:lang w:val="es-ES"/>
        </w:rPr>
        <w:t>p</w:t>
      </w:r>
      <w:r w:rsidR="00C847B9" w:rsidRPr="00C01FD3">
        <w:rPr>
          <w:lang w:val="es-ES"/>
        </w:rPr>
        <w:t xml:space="preserve">resupuesto </w:t>
      </w:r>
      <w:r w:rsidRPr="00C01FD3">
        <w:rPr>
          <w:lang w:val="es-ES"/>
        </w:rPr>
        <w:t>para 2020-2021 incluye consignaciones para la ejecución de 5</w:t>
      </w:r>
      <w:r>
        <w:rPr>
          <w:lang w:val="es-ES"/>
        </w:rPr>
        <w:t> </w:t>
      </w:r>
      <w:r w:rsidRPr="00C01FD3">
        <w:rPr>
          <w:lang w:val="es-ES"/>
        </w:rPr>
        <w:t xml:space="preserve">metas estratégicas y 18 objetivos estratégicos clasificados como se indica a continuación: </w:t>
      </w:r>
    </w:p>
    <w:p w:rsidR="00740D17" w:rsidRPr="00EE1E1F" w:rsidRDefault="00740D17" w:rsidP="00740D17">
      <w:pPr>
        <w:pStyle w:val="enumlev1"/>
        <w:rPr>
          <w:lang w:val="es-ES"/>
        </w:rPr>
      </w:pPr>
      <w:r w:rsidRPr="00EE1E1F">
        <w:rPr>
          <w:lang w:val="es-ES"/>
        </w:rPr>
        <w:t>–</w:t>
      </w:r>
      <w:r w:rsidRPr="00EE1E1F">
        <w:rPr>
          <w:lang w:val="es-ES"/>
        </w:rPr>
        <w:tab/>
        <w:t xml:space="preserve">6 </w:t>
      </w:r>
      <w:bookmarkStart w:id="253" w:name="lt_pId080"/>
      <w:r w:rsidRPr="00EE1E1F">
        <w:rPr>
          <w:lang w:val="es-ES"/>
        </w:rPr>
        <w:t>objetivos intersectoriales;</w:t>
      </w:r>
      <w:bookmarkEnd w:id="253"/>
    </w:p>
    <w:p w:rsidR="00740D17" w:rsidRPr="00EE1E1F" w:rsidRDefault="00740D17" w:rsidP="00740D17">
      <w:pPr>
        <w:pStyle w:val="enumlev1"/>
        <w:rPr>
          <w:lang w:val="es-ES"/>
        </w:rPr>
      </w:pPr>
      <w:r w:rsidRPr="00EE1E1F">
        <w:rPr>
          <w:lang w:val="es-ES"/>
        </w:rPr>
        <w:t>–</w:t>
      </w:r>
      <w:r w:rsidRPr="00EE1E1F">
        <w:rPr>
          <w:lang w:val="es-ES"/>
        </w:rPr>
        <w:tab/>
        <w:t>3 objetivos del Sector de Radiocomunicaciones;</w:t>
      </w:r>
    </w:p>
    <w:p w:rsidR="00740D17" w:rsidRPr="00EE1E1F" w:rsidRDefault="00740D17" w:rsidP="00740D17">
      <w:pPr>
        <w:pStyle w:val="enumlev1"/>
        <w:rPr>
          <w:lang w:val="es-ES"/>
        </w:rPr>
      </w:pPr>
      <w:r w:rsidRPr="00EE1E1F">
        <w:rPr>
          <w:lang w:val="es-ES"/>
        </w:rPr>
        <w:t>–</w:t>
      </w:r>
      <w:r w:rsidRPr="00EE1E1F">
        <w:rPr>
          <w:lang w:val="es-ES"/>
        </w:rPr>
        <w:tab/>
        <w:t>5 objetivos del Sector de Normalización de las Telecomunicaciones;</w:t>
      </w:r>
    </w:p>
    <w:p w:rsidR="00740D17" w:rsidRPr="00EE1E1F" w:rsidRDefault="00740D17" w:rsidP="00740D17">
      <w:pPr>
        <w:pStyle w:val="enumlev1"/>
        <w:rPr>
          <w:lang w:val="es-ES"/>
        </w:rPr>
      </w:pPr>
      <w:r w:rsidRPr="00EE1E1F">
        <w:rPr>
          <w:lang w:val="es-ES"/>
        </w:rPr>
        <w:t>–</w:t>
      </w:r>
      <w:r w:rsidRPr="00EE1E1F">
        <w:rPr>
          <w:lang w:val="es-ES"/>
        </w:rPr>
        <w:tab/>
        <w:t>4 objetivos del Sector de Desarrollo de las Telecomunicaciones.</w:t>
      </w:r>
    </w:p>
    <w:p w:rsidR="00740D17" w:rsidRPr="00EE1E1F" w:rsidRDefault="00740D17" w:rsidP="00740D17">
      <w:pPr>
        <w:rPr>
          <w:lang w:val="es-ES"/>
        </w:rPr>
      </w:pPr>
      <w:r w:rsidRPr="00C01FD3">
        <w:rPr>
          <w:lang w:val="es-ES"/>
        </w:rPr>
        <w:t>II</w:t>
      </w:r>
      <w:r w:rsidRPr="00EE1E1F">
        <w:rPr>
          <w:lang w:val="es-ES"/>
        </w:rPr>
        <w:t>.1.2</w:t>
      </w:r>
      <w:r w:rsidRPr="00EE1E1F">
        <w:rPr>
          <w:lang w:val="es-ES"/>
        </w:rPr>
        <w:tab/>
        <w:t xml:space="preserve">La atribución </w:t>
      </w:r>
      <w:r>
        <w:rPr>
          <w:lang w:val="es-ES"/>
        </w:rPr>
        <w:t xml:space="preserve">completa </w:t>
      </w:r>
      <w:r w:rsidRPr="00EE1E1F">
        <w:rPr>
          <w:lang w:val="es-ES"/>
        </w:rPr>
        <w:t>de los costes a cada componente del presupuesto basado en resultados, es decir</w:t>
      </w:r>
      <w:r>
        <w:rPr>
          <w:lang w:val="es-ES"/>
        </w:rPr>
        <w:t>,</w:t>
      </w:r>
      <w:r w:rsidRPr="00EE1E1F">
        <w:rPr>
          <w:lang w:val="es-ES"/>
        </w:rPr>
        <w:t xml:space="preserve"> </w:t>
      </w:r>
      <w:r>
        <w:rPr>
          <w:lang w:val="es-ES"/>
        </w:rPr>
        <w:t xml:space="preserve">a </w:t>
      </w:r>
      <w:r w:rsidRPr="00EE1E1F">
        <w:rPr>
          <w:lang w:val="es-ES"/>
        </w:rPr>
        <w:t>las metas, los objetivos y los resultados</w:t>
      </w:r>
      <w:r>
        <w:rPr>
          <w:lang w:val="es-ES"/>
        </w:rPr>
        <w:t>,</w:t>
      </w:r>
      <w:r w:rsidRPr="00EE1E1F">
        <w:rPr>
          <w:lang w:val="es-ES"/>
        </w:rPr>
        <w:t xml:space="preserve"> se basa en la metodología de atribución de costes descrita en el Acuerdo 535.</w:t>
      </w:r>
    </w:p>
    <w:p w:rsidR="00740D17" w:rsidRDefault="00740D17" w:rsidP="00740D17">
      <w:pPr>
        <w:rPr>
          <w:lang w:val="es-ES"/>
        </w:rPr>
      </w:pPr>
      <w:r w:rsidRPr="00C01FD3">
        <w:rPr>
          <w:lang w:val="es-ES"/>
        </w:rPr>
        <w:t>II</w:t>
      </w:r>
      <w:r w:rsidRPr="00EE1E1F">
        <w:rPr>
          <w:lang w:val="es-ES"/>
        </w:rPr>
        <w:t>.1.3</w:t>
      </w:r>
      <w:r w:rsidRPr="00EE1E1F">
        <w:rPr>
          <w:lang w:val="es-ES"/>
        </w:rPr>
        <w:tab/>
      </w:r>
      <w:bookmarkStart w:id="254" w:name="lt_pId090"/>
      <w:r w:rsidRPr="00EE1E1F">
        <w:rPr>
          <w:lang w:val="es-ES"/>
        </w:rPr>
        <w:t>La estructura completa es la siguiente:</w:t>
      </w:r>
      <w:bookmarkEnd w:id="254"/>
    </w:p>
    <w:p w:rsidR="00740D17" w:rsidRDefault="00740D17" w:rsidP="00740D17">
      <w:pPr>
        <w:pStyle w:val="Figure"/>
        <w:rPr>
          <w:lang w:val="es-ES"/>
        </w:rPr>
      </w:pPr>
      <w:r>
        <w:rPr>
          <w:noProof/>
          <w:lang w:val="en-GB" w:eastAsia="zh-CN"/>
        </w:rPr>
        <w:drawing>
          <wp:inline distT="0" distB="0" distL="0" distR="0">
            <wp:extent cx="3960000" cy="2577600"/>
            <wp:effectExtent l="0" t="0" r="2540" b="0"/>
            <wp:docPr id="24" name="Picture 24" descr="C:\Users\hernandf\AppData\Local\Microsoft\Windows\INetCache\Content.Word\Figura 1-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f\AppData\Local\Microsoft\Windows\INetCache\Content.Word\Figura 1-bi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0000" cy="2577600"/>
                    </a:xfrm>
                    <a:prstGeom prst="rect">
                      <a:avLst/>
                    </a:prstGeom>
                    <a:noFill/>
                    <a:ln>
                      <a:noFill/>
                    </a:ln>
                  </pic:spPr>
                </pic:pic>
              </a:graphicData>
            </a:graphic>
          </wp:inline>
        </w:drawing>
      </w:r>
    </w:p>
    <w:p w:rsidR="00740D17" w:rsidRPr="00EE1E1F" w:rsidRDefault="00740D17" w:rsidP="00EF1726">
      <w:pPr>
        <w:rPr>
          <w:lang w:val="es-ES"/>
        </w:rPr>
      </w:pPr>
      <w:r w:rsidRPr="00C01FD3">
        <w:rPr>
          <w:lang w:val="es-ES"/>
        </w:rPr>
        <w:t>II</w:t>
      </w:r>
      <w:r w:rsidRPr="00EE1E1F">
        <w:rPr>
          <w:lang w:val="es-ES"/>
        </w:rPr>
        <w:t>.1.4</w:t>
      </w:r>
      <w:r w:rsidRPr="00EE1E1F">
        <w:rPr>
          <w:lang w:val="es-ES"/>
        </w:rPr>
        <w:tab/>
      </w:r>
      <w:r w:rsidRPr="00C01FD3">
        <w:rPr>
          <w:lang w:val="es-ES"/>
        </w:rPr>
        <w:t xml:space="preserve">Los </w:t>
      </w:r>
      <w:r w:rsidRPr="0021267D">
        <w:rPr>
          <w:b/>
          <w:bCs/>
          <w:color w:val="00205C"/>
          <w:lang w:val="es-ES"/>
        </w:rPr>
        <w:t>Gastos previstos</w:t>
      </w:r>
      <w:r w:rsidRPr="00C01FD3">
        <w:rPr>
          <w:lang w:val="es-ES"/>
        </w:rPr>
        <w:t xml:space="preserve"> </w:t>
      </w:r>
      <w:r w:rsidRPr="00EE1E1F">
        <w:rPr>
          <w:lang w:val="es-ES"/>
        </w:rPr>
        <w:t>(</w:t>
      </w:r>
      <w:r w:rsidR="00EF1726">
        <w:rPr>
          <w:lang w:val="es-ES"/>
        </w:rPr>
        <w:t>p</w:t>
      </w:r>
      <w:r w:rsidRPr="00EE1E1F">
        <w:rPr>
          <w:lang w:val="es-ES"/>
        </w:rPr>
        <w:t xml:space="preserve">resupuesto </w:t>
      </w:r>
      <w:r w:rsidR="00EF1726">
        <w:rPr>
          <w:lang w:val="es-ES"/>
        </w:rPr>
        <w:t>f</w:t>
      </w:r>
      <w:r w:rsidRPr="00EE1E1F">
        <w:rPr>
          <w:lang w:val="es-ES"/>
        </w:rPr>
        <w:t>inanciero) se dividen en las siguientes categorías de gastos:</w:t>
      </w:r>
    </w:p>
    <w:p w:rsidR="00740D17" w:rsidRPr="009C23B1" w:rsidRDefault="00740D17" w:rsidP="00740D17">
      <w:pPr>
        <w:pStyle w:val="enumlev1"/>
        <w:rPr>
          <w:lang w:val="es-ES"/>
        </w:rPr>
      </w:pPr>
      <w:r>
        <w:rPr>
          <w:lang w:val="es-ES"/>
        </w:rPr>
        <w:tab/>
      </w:r>
      <w:r w:rsidRPr="00CD2461">
        <w:rPr>
          <w:color w:val="00205C"/>
          <w:lang w:val="es-ES"/>
        </w:rPr>
        <w:t>Costes de personal</w:t>
      </w:r>
      <w:r w:rsidRPr="009C23B1">
        <w:t>:</w:t>
      </w:r>
    </w:p>
    <w:p w:rsidR="00740D17" w:rsidRPr="00EE1E1F" w:rsidRDefault="00740D17" w:rsidP="00740D17">
      <w:pPr>
        <w:pStyle w:val="enumlev2"/>
        <w:rPr>
          <w:lang w:val="es-ES"/>
        </w:rPr>
      </w:pPr>
      <w:r w:rsidRPr="00EE1E1F">
        <w:rPr>
          <w:lang w:val="es-ES"/>
        </w:rPr>
        <w:t>•</w:t>
      </w:r>
      <w:r w:rsidRPr="00EE1E1F">
        <w:rPr>
          <w:lang w:val="es-ES"/>
        </w:rPr>
        <w:tab/>
        <w:t>Categoría 1</w:t>
      </w:r>
      <w:r w:rsidRPr="00EE1E1F">
        <w:rPr>
          <w:lang w:val="es-ES"/>
        </w:rPr>
        <w:tab/>
        <w:t>Gastos de personal (sueldos y gastos conexos, etc.)</w:t>
      </w:r>
      <w:r>
        <w:rPr>
          <w:lang w:val="es-ES"/>
        </w:rPr>
        <w:t>;</w:t>
      </w:r>
    </w:p>
    <w:p w:rsidR="00740D17" w:rsidRPr="00EE1E1F" w:rsidRDefault="00740D17" w:rsidP="00486645">
      <w:pPr>
        <w:pStyle w:val="enumlev2"/>
        <w:ind w:left="2268" w:hanging="1843"/>
        <w:rPr>
          <w:lang w:val="es-ES"/>
        </w:rPr>
      </w:pPr>
      <w:r w:rsidRPr="00EE1E1F">
        <w:rPr>
          <w:lang w:val="es-ES"/>
        </w:rPr>
        <w:t>•</w:t>
      </w:r>
      <w:r w:rsidRPr="00EE1E1F">
        <w:rPr>
          <w:lang w:val="es-ES"/>
        </w:rPr>
        <w:tab/>
        <w:t>Categoría 2</w:t>
      </w:r>
      <w:r w:rsidRPr="00EE1E1F">
        <w:rPr>
          <w:lang w:val="es-ES"/>
        </w:rPr>
        <w:tab/>
        <w:t>Otros gastos de personal (pensiones, seguro de enfermedad, desarrollo de los recursos humanos, etc.)</w:t>
      </w:r>
      <w:r>
        <w:rPr>
          <w:lang w:val="es-ES"/>
        </w:rPr>
        <w:t>.</w:t>
      </w:r>
    </w:p>
    <w:p w:rsidR="00740D17" w:rsidRPr="00EE1E1F" w:rsidRDefault="00740D17" w:rsidP="00740D17">
      <w:pPr>
        <w:pStyle w:val="enumlev1"/>
        <w:rPr>
          <w:lang w:val="es-ES"/>
        </w:rPr>
      </w:pPr>
      <w:r>
        <w:rPr>
          <w:lang w:val="es-ES"/>
        </w:rPr>
        <w:tab/>
      </w:r>
      <w:r w:rsidRPr="00CD2461">
        <w:rPr>
          <w:color w:val="00205C"/>
          <w:lang w:val="es-ES"/>
        </w:rPr>
        <w:t>Costes que no son de personal</w:t>
      </w:r>
      <w:r w:rsidRPr="00EE1E1F">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3</w:t>
      </w:r>
      <w:r w:rsidRPr="00EE1E1F">
        <w:rPr>
          <w:lang w:val="es-ES"/>
        </w:rPr>
        <w:tab/>
        <w:t>Gastos de misión</w:t>
      </w:r>
      <w:r>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4</w:t>
      </w:r>
      <w:r w:rsidRPr="00EE1E1F">
        <w:rPr>
          <w:lang w:val="es-ES"/>
        </w:rPr>
        <w:tab/>
        <w:t>Servicios por contrata</w:t>
      </w:r>
      <w:r>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5</w:t>
      </w:r>
      <w:r w:rsidRPr="00EE1E1F">
        <w:rPr>
          <w:lang w:val="es-ES"/>
        </w:rPr>
        <w:tab/>
        <w:t>Alquiler y cons</w:t>
      </w:r>
      <w:r>
        <w:rPr>
          <w:lang w:val="es-ES"/>
        </w:rPr>
        <w:t>ervación de edificios y equipos;</w:t>
      </w:r>
    </w:p>
    <w:p w:rsidR="00740D17" w:rsidRPr="00EE1E1F" w:rsidRDefault="00740D17" w:rsidP="00740D17">
      <w:pPr>
        <w:pStyle w:val="enumlev2"/>
        <w:rPr>
          <w:lang w:val="es-ES"/>
        </w:rPr>
      </w:pPr>
      <w:r w:rsidRPr="00EE1E1F">
        <w:rPr>
          <w:lang w:val="es-ES"/>
        </w:rPr>
        <w:t>•</w:t>
      </w:r>
      <w:r w:rsidRPr="00EE1E1F">
        <w:rPr>
          <w:lang w:val="es-ES"/>
        </w:rPr>
        <w:tab/>
        <w:t>Categoría 6</w:t>
      </w:r>
      <w:r w:rsidRPr="00EE1E1F">
        <w:rPr>
          <w:lang w:val="es-ES"/>
        </w:rPr>
        <w:tab/>
        <w:t>Materiales y suministros</w:t>
      </w:r>
      <w:r>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7</w:t>
      </w:r>
      <w:r w:rsidRPr="00EE1E1F">
        <w:rPr>
          <w:lang w:val="es-ES"/>
        </w:rPr>
        <w:tab/>
        <w:t>Adquisición de locales, mobiliario y equipos</w:t>
      </w:r>
      <w:r>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8</w:t>
      </w:r>
      <w:r w:rsidRPr="00EE1E1F">
        <w:rPr>
          <w:lang w:val="es-ES"/>
        </w:rPr>
        <w:tab/>
        <w:t>Servicios públicos e instalaciones</w:t>
      </w:r>
      <w:r>
        <w:rPr>
          <w:lang w:val="es-ES"/>
        </w:rPr>
        <w:t>;</w:t>
      </w:r>
    </w:p>
    <w:p w:rsidR="00740D17" w:rsidRPr="00EE1E1F" w:rsidRDefault="00740D17" w:rsidP="00740D17">
      <w:pPr>
        <w:pStyle w:val="enumlev2"/>
        <w:rPr>
          <w:lang w:val="es-ES"/>
        </w:rPr>
      </w:pPr>
      <w:r w:rsidRPr="00EE1E1F">
        <w:rPr>
          <w:lang w:val="es-ES"/>
        </w:rPr>
        <w:t>•</w:t>
      </w:r>
      <w:r w:rsidRPr="00EE1E1F">
        <w:rPr>
          <w:lang w:val="es-ES"/>
        </w:rPr>
        <w:tab/>
        <w:t>Categoría 9</w:t>
      </w:r>
      <w:r w:rsidRPr="00EE1E1F">
        <w:rPr>
          <w:lang w:val="es-ES"/>
        </w:rPr>
        <w:tab/>
        <w:t>Auditoría de cuentas, cotizaciones a otros organismos y varios</w:t>
      </w:r>
      <w:r>
        <w:rPr>
          <w:lang w:val="es-ES"/>
        </w:rPr>
        <w:t>.</w:t>
      </w:r>
    </w:p>
    <w:p w:rsidR="00740D17" w:rsidRPr="00EE1E1F" w:rsidRDefault="00740D17" w:rsidP="00740D17">
      <w:pPr>
        <w:rPr>
          <w:lang w:val="es-ES"/>
        </w:rPr>
      </w:pPr>
      <w:r w:rsidRPr="00C01FD3">
        <w:rPr>
          <w:lang w:val="es-ES"/>
        </w:rPr>
        <w:lastRenderedPageBreak/>
        <w:t>II</w:t>
      </w:r>
      <w:r w:rsidRPr="00EE1E1F">
        <w:rPr>
          <w:lang w:val="es-ES"/>
        </w:rPr>
        <w:t>.1.5</w:t>
      </w:r>
      <w:r w:rsidRPr="00EE1E1F">
        <w:rPr>
          <w:lang w:val="es-ES"/>
        </w:rPr>
        <w:tab/>
      </w:r>
      <w:bookmarkStart w:id="255" w:name="lt_pId105"/>
      <w:r w:rsidRPr="00C01FD3">
        <w:rPr>
          <w:lang w:val="es-ES"/>
        </w:rPr>
        <w:t xml:space="preserve">Los </w:t>
      </w:r>
      <w:r w:rsidRPr="00C01FD3">
        <w:rPr>
          <w:b/>
          <w:bCs/>
          <w:color w:val="00205C"/>
          <w:lang w:val="es-ES"/>
        </w:rPr>
        <w:t>Costes de documentación</w:t>
      </w:r>
      <w:r w:rsidRPr="00C01FD3">
        <w:rPr>
          <w:lang w:val="es-ES"/>
        </w:rPr>
        <w:t xml:space="preserve"> representan servicios proporcionados por el Departamento de Conferencias y Publicaciones que pueden imputarse directamente a un </w:t>
      </w:r>
      <w:r>
        <w:rPr>
          <w:lang w:val="es-ES"/>
        </w:rPr>
        <w:t>p</w:t>
      </w:r>
      <w:r w:rsidRPr="00EE1E1F">
        <w:rPr>
          <w:lang w:val="es-ES"/>
        </w:rPr>
        <w:t>roducto en base al número de páginas. Estos servicios son:</w:t>
      </w:r>
    </w:p>
    <w:bookmarkEnd w:id="255"/>
    <w:p w:rsidR="00740D17" w:rsidRPr="00EE1E1F" w:rsidRDefault="00740D17" w:rsidP="00740D17">
      <w:pPr>
        <w:pStyle w:val="enumlev1"/>
        <w:rPr>
          <w:lang w:val="es-ES"/>
        </w:rPr>
      </w:pPr>
      <w:r w:rsidRPr="00EE1E1F">
        <w:rPr>
          <w:lang w:val="es-ES"/>
        </w:rPr>
        <w:t>•</w:t>
      </w:r>
      <w:r w:rsidRPr="00EE1E1F">
        <w:rPr>
          <w:lang w:val="es-ES"/>
        </w:rPr>
        <w:tab/>
        <w:t>Traducción (en los 6 idiomas oficiales de la Unión);</w:t>
      </w:r>
    </w:p>
    <w:p w:rsidR="00740D17" w:rsidRPr="00EE1E1F" w:rsidRDefault="00740D17" w:rsidP="00740D17">
      <w:pPr>
        <w:pStyle w:val="enumlev1"/>
        <w:rPr>
          <w:lang w:val="es-ES"/>
        </w:rPr>
      </w:pPr>
      <w:bookmarkStart w:id="256" w:name="lt_pId108"/>
      <w:r w:rsidRPr="00EE1E1F">
        <w:rPr>
          <w:lang w:val="es-ES"/>
        </w:rPr>
        <w:t>•</w:t>
      </w:r>
      <w:r w:rsidRPr="00EE1E1F">
        <w:rPr>
          <w:lang w:val="es-ES"/>
        </w:rPr>
        <w:tab/>
        <w:t>Mecanografía (en los 6 idiomas oficiales de la Unión);</w:t>
      </w:r>
      <w:bookmarkEnd w:id="256"/>
    </w:p>
    <w:p w:rsidR="00740D17" w:rsidRPr="00EE1E1F" w:rsidRDefault="00740D17" w:rsidP="00740D17">
      <w:pPr>
        <w:pStyle w:val="enumlev1"/>
        <w:rPr>
          <w:lang w:val="es-ES"/>
        </w:rPr>
      </w:pPr>
      <w:r w:rsidRPr="00EE1E1F">
        <w:rPr>
          <w:lang w:val="es-ES"/>
        </w:rPr>
        <w:t>•</w:t>
      </w:r>
      <w:r w:rsidRPr="00EE1E1F">
        <w:rPr>
          <w:lang w:val="es-ES"/>
        </w:rPr>
        <w:tab/>
        <w:t>Reprografía.</w:t>
      </w:r>
    </w:p>
    <w:p w:rsidR="00740D17" w:rsidRPr="00EE1E1F" w:rsidRDefault="00740D17" w:rsidP="00740D17">
      <w:pPr>
        <w:rPr>
          <w:lang w:val="es-ES"/>
        </w:rPr>
      </w:pPr>
      <w:r w:rsidRPr="00C01FD3">
        <w:rPr>
          <w:lang w:val="es-ES"/>
        </w:rPr>
        <w:t>II</w:t>
      </w:r>
      <w:r w:rsidRPr="00EE1E1F">
        <w:rPr>
          <w:lang w:val="es-ES"/>
        </w:rPr>
        <w:t>.1.6</w:t>
      </w:r>
      <w:r w:rsidRPr="00EE1E1F">
        <w:rPr>
          <w:lang w:val="es-ES"/>
        </w:rPr>
        <w:tab/>
      </w:r>
      <w:bookmarkStart w:id="257" w:name="lt_pId111"/>
      <w:r w:rsidRPr="00EE1E1F">
        <w:rPr>
          <w:lang w:val="es-ES"/>
        </w:rPr>
        <w:t xml:space="preserve">Los </w:t>
      </w:r>
      <w:r w:rsidRPr="00C01FD3">
        <w:rPr>
          <w:b/>
          <w:bCs/>
          <w:color w:val="00205C"/>
          <w:lang w:val="es-ES"/>
        </w:rPr>
        <w:t xml:space="preserve">Costes de apoyo de Oficinas/Departamento </w:t>
      </w:r>
      <w:r w:rsidRPr="00C01FD3">
        <w:rPr>
          <w:color w:val="00205C"/>
          <w:lang w:val="es-ES"/>
        </w:rPr>
        <w:t>(Facilitadores)</w:t>
      </w:r>
      <w:r w:rsidRPr="00C01FD3">
        <w:rPr>
          <w:lang w:val="es-ES"/>
        </w:rPr>
        <w:t xml:space="preserve"> </w:t>
      </w:r>
      <w:r w:rsidRPr="00EE1E1F">
        <w:rPr>
          <w:lang w:val="es-ES"/>
        </w:rPr>
        <w:t xml:space="preserve">representan los costes de personal y los gastos asociados de las Oficinas (incluida la oficina de Director) y </w:t>
      </w:r>
      <w:r>
        <w:rPr>
          <w:lang w:val="es-ES"/>
        </w:rPr>
        <w:t>D</w:t>
      </w:r>
      <w:r w:rsidRPr="00EE1E1F">
        <w:rPr>
          <w:lang w:val="es-ES"/>
        </w:rPr>
        <w:t xml:space="preserve">epartamento (el Departamento de Planificación Estratégica y </w:t>
      </w:r>
      <w:r>
        <w:rPr>
          <w:lang w:val="es-ES"/>
        </w:rPr>
        <w:t>Relaciones con los</w:t>
      </w:r>
      <w:r w:rsidRPr="00EE1E1F">
        <w:rPr>
          <w:lang w:val="es-ES"/>
        </w:rPr>
        <w:t xml:space="preserve"> Miembros) que se atribuyen a los productos en base a </w:t>
      </w:r>
      <w:r>
        <w:rPr>
          <w:lang w:val="es-ES"/>
        </w:rPr>
        <w:t>la medición</w:t>
      </w:r>
      <w:r w:rsidRPr="00EE1E1F">
        <w:rPr>
          <w:lang w:val="es-ES"/>
        </w:rPr>
        <w:t xml:space="preserve"> del esfuerzo realizado (estudio de tiempos).</w:t>
      </w:r>
      <w:bookmarkEnd w:id="257"/>
    </w:p>
    <w:p w:rsidR="00740D17" w:rsidRPr="00C01FD3" w:rsidRDefault="00740D17" w:rsidP="00740D17">
      <w:pPr>
        <w:rPr>
          <w:lang w:val="es-ES"/>
        </w:rPr>
      </w:pPr>
      <w:bookmarkStart w:id="258" w:name="lt_pId112"/>
      <w:r w:rsidRPr="00C01FD3">
        <w:rPr>
          <w:lang w:val="es-ES"/>
        </w:rPr>
        <w:t>II</w:t>
      </w:r>
      <w:r w:rsidRPr="00EE1E1F">
        <w:rPr>
          <w:lang w:val="es-ES"/>
        </w:rPr>
        <w:t>.1.7</w:t>
      </w:r>
      <w:bookmarkEnd w:id="258"/>
      <w:r w:rsidRPr="00EE1E1F">
        <w:rPr>
          <w:lang w:val="es-ES"/>
        </w:rPr>
        <w:tab/>
      </w:r>
      <w:r w:rsidRPr="00C01FD3">
        <w:rPr>
          <w:lang w:val="es-ES"/>
        </w:rPr>
        <w:t xml:space="preserve">Los </w:t>
      </w:r>
      <w:r w:rsidRPr="00C01FD3">
        <w:rPr>
          <w:b/>
          <w:bCs/>
          <w:color w:val="00205C"/>
          <w:lang w:val="es-ES"/>
        </w:rPr>
        <w:t xml:space="preserve">Costes de servicios administrativos centralizados </w:t>
      </w:r>
      <w:r w:rsidRPr="00C01FD3">
        <w:rPr>
          <w:color w:val="00205C"/>
          <w:lang w:val="es-ES"/>
        </w:rPr>
        <w:t xml:space="preserve">(Facilitadores) </w:t>
      </w:r>
      <w:r w:rsidRPr="00C01FD3">
        <w:rPr>
          <w:lang w:val="es-ES"/>
        </w:rPr>
        <w:t>representan los costes de personal y los gastos asociados de:</w:t>
      </w:r>
    </w:p>
    <w:p w:rsidR="00740D17" w:rsidRPr="00EE1E1F" w:rsidRDefault="00740D17" w:rsidP="00740D17">
      <w:pPr>
        <w:pStyle w:val="enumlev1"/>
        <w:rPr>
          <w:lang w:val="es-ES"/>
        </w:rPr>
      </w:pPr>
      <w:r w:rsidRPr="00EE1E1F">
        <w:rPr>
          <w:lang w:val="es-ES"/>
        </w:rPr>
        <w:t>•</w:t>
      </w:r>
      <w:r w:rsidRPr="00EE1E1F">
        <w:rPr>
          <w:lang w:val="es-ES"/>
        </w:rPr>
        <w:tab/>
        <w:t>la Oficina del Secretario General y del Vicesecretario General;</w:t>
      </w:r>
    </w:p>
    <w:p w:rsidR="00740D17" w:rsidRPr="00EE1E1F" w:rsidRDefault="00740D17" w:rsidP="00740D17">
      <w:pPr>
        <w:pStyle w:val="enumlev1"/>
        <w:rPr>
          <w:lang w:val="es-ES"/>
        </w:rPr>
      </w:pPr>
      <w:bookmarkStart w:id="259" w:name="lt_pId115"/>
      <w:r w:rsidRPr="00EE1E1F">
        <w:rPr>
          <w:lang w:val="es-ES"/>
        </w:rPr>
        <w:t>•</w:t>
      </w:r>
      <w:r w:rsidRPr="00EE1E1F">
        <w:rPr>
          <w:lang w:val="es-ES"/>
        </w:rPr>
        <w:tab/>
        <w:t>el Departamento de Gestión de Recursos Humanos;</w:t>
      </w:r>
      <w:bookmarkEnd w:id="259"/>
    </w:p>
    <w:p w:rsidR="00740D17" w:rsidRPr="00EE1E1F" w:rsidRDefault="00740D17" w:rsidP="00740D17">
      <w:pPr>
        <w:pStyle w:val="enumlev1"/>
        <w:rPr>
          <w:lang w:val="es-ES"/>
        </w:rPr>
      </w:pPr>
      <w:bookmarkStart w:id="260" w:name="lt_pId116"/>
      <w:r w:rsidRPr="00EE1E1F">
        <w:rPr>
          <w:lang w:val="es-ES"/>
        </w:rPr>
        <w:t>•</w:t>
      </w:r>
      <w:r w:rsidRPr="00EE1E1F">
        <w:rPr>
          <w:lang w:val="es-ES"/>
        </w:rPr>
        <w:tab/>
        <w:t>el Departamento de Gestión de Recursos Financieros;</w:t>
      </w:r>
      <w:bookmarkEnd w:id="260"/>
    </w:p>
    <w:p w:rsidR="00740D17" w:rsidRPr="00EE1E1F" w:rsidRDefault="00740D17" w:rsidP="00740D17">
      <w:pPr>
        <w:rPr>
          <w:lang w:val="es-ES"/>
        </w:rPr>
      </w:pPr>
      <w:r w:rsidRPr="00EE1E1F">
        <w:rPr>
          <w:lang w:val="es-ES"/>
        </w:rPr>
        <w:t>que proporcionan apoyo administrativo general a todas las metas, objetivos y productos de la Unión. Estos costes se reatribuyen a los productos en b</w:t>
      </w:r>
      <w:r>
        <w:rPr>
          <w:lang w:val="es-ES"/>
        </w:rPr>
        <w:t>ase a factores de reatribución.</w:t>
      </w:r>
    </w:p>
    <w:p w:rsidR="00740D17" w:rsidRPr="00C01FD3" w:rsidRDefault="00740D17" w:rsidP="00740D17">
      <w:pPr>
        <w:rPr>
          <w:lang w:val="es-ES"/>
        </w:rPr>
      </w:pPr>
      <w:r w:rsidRPr="00C01FD3">
        <w:rPr>
          <w:lang w:val="es-ES"/>
        </w:rPr>
        <w:t>II</w:t>
      </w:r>
      <w:r w:rsidRPr="00EE1E1F">
        <w:rPr>
          <w:lang w:val="es-ES"/>
        </w:rPr>
        <w:t>.1.8</w:t>
      </w:r>
      <w:r w:rsidRPr="00EE1E1F">
        <w:rPr>
          <w:lang w:val="es-ES"/>
        </w:rPr>
        <w:tab/>
      </w:r>
      <w:bookmarkStart w:id="261" w:name="lt_pId120"/>
      <w:r w:rsidRPr="00C01FD3">
        <w:rPr>
          <w:lang w:val="es-ES"/>
        </w:rPr>
        <w:t xml:space="preserve">Los </w:t>
      </w:r>
      <w:r w:rsidRPr="00C01FD3">
        <w:rPr>
          <w:b/>
          <w:bCs/>
          <w:color w:val="00205C"/>
          <w:lang w:val="es-ES"/>
        </w:rPr>
        <w:t>Costes de servicios de apoyo centralizados</w:t>
      </w:r>
      <w:r w:rsidRPr="00C01FD3">
        <w:rPr>
          <w:color w:val="00205C"/>
          <w:lang w:val="es-ES"/>
        </w:rPr>
        <w:t xml:space="preserve"> (Facilitadores)</w:t>
      </w:r>
      <w:r w:rsidRPr="00C01FD3">
        <w:rPr>
          <w:lang w:val="es-ES"/>
        </w:rPr>
        <w:t xml:space="preserve"> representan los costes de personal y los gastos asociados de:</w:t>
      </w:r>
      <w:bookmarkEnd w:id="261"/>
    </w:p>
    <w:p w:rsidR="00740D17" w:rsidRPr="00EE1E1F" w:rsidRDefault="00740D17" w:rsidP="00740D17">
      <w:pPr>
        <w:pStyle w:val="enumlev1"/>
        <w:rPr>
          <w:lang w:val="es-ES"/>
        </w:rPr>
      </w:pPr>
      <w:r w:rsidRPr="00EE1E1F">
        <w:rPr>
          <w:lang w:val="es-ES"/>
        </w:rPr>
        <w:t>•</w:t>
      </w:r>
      <w:r w:rsidRPr="00EE1E1F">
        <w:rPr>
          <w:lang w:val="es-ES"/>
        </w:rPr>
        <w:tab/>
        <w:t>el Departamento de Conferencias y Publicaciones (excepto costes de documentación);</w:t>
      </w:r>
    </w:p>
    <w:p w:rsidR="00740D17" w:rsidRPr="00EE1E1F" w:rsidRDefault="00740D17" w:rsidP="00740D17">
      <w:pPr>
        <w:pStyle w:val="enumlev1"/>
        <w:rPr>
          <w:lang w:val="es-ES"/>
        </w:rPr>
      </w:pPr>
      <w:r w:rsidRPr="00EE1E1F">
        <w:rPr>
          <w:lang w:val="es-ES"/>
        </w:rPr>
        <w:t>•</w:t>
      </w:r>
      <w:r w:rsidRPr="00EE1E1F">
        <w:rPr>
          <w:lang w:val="es-ES"/>
        </w:rPr>
        <w:tab/>
        <w:t>el Departamento de Servicios Informáticos;</w:t>
      </w:r>
    </w:p>
    <w:p w:rsidR="00740D17" w:rsidRPr="00EE1E1F" w:rsidRDefault="00740D17" w:rsidP="00740D17">
      <w:pPr>
        <w:pStyle w:val="enumlev1"/>
        <w:rPr>
          <w:lang w:val="es-ES"/>
        </w:rPr>
      </w:pPr>
      <w:r w:rsidRPr="00EE1E1F">
        <w:rPr>
          <w:lang w:val="es-ES"/>
        </w:rPr>
        <w:t>•</w:t>
      </w:r>
      <w:r w:rsidRPr="00EE1E1F">
        <w:rPr>
          <w:lang w:val="es-ES"/>
        </w:rPr>
        <w:tab/>
        <w:t>los gastos comunes de la UIT;</w:t>
      </w:r>
    </w:p>
    <w:p w:rsidR="00740D17" w:rsidRPr="00EE1E1F" w:rsidRDefault="00740D17" w:rsidP="00740D17">
      <w:pPr>
        <w:rPr>
          <w:lang w:val="es-ES"/>
        </w:rPr>
      </w:pPr>
      <w:r w:rsidRPr="00EE1E1F">
        <w:rPr>
          <w:lang w:val="es-ES"/>
        </w:rPr>
        <w:t xml:space="preserve">que proporcionan apoyo general a todas las metas, objetivos y </w:t>
      </w:r>
      <w:r>
        <w:rPr>
          <w:lang w:val="es-ES"/>
        </w:rPr>
        <w:t>productos</w:t>
      </w:r>
      <w:r w:rsidRPr="00EE1E1F">
        <w:rPr>
          <w:lang w:val="es-ES"/>
        </w:rPr>
        <w:t xml:space="preserve"> de la Unión. Estos costes se reatribuyen a los productos en base a factores de reatribución.</w:t>
      </w:r>
    </w:p>
    <w:p w:rsidR="00740D17" w:rsidRDefault="00740D17" w:rsidP="00740D17">
      <w:pPr>
        <w:rPr>
          <w:lang w:val="es-ES"/>
        </w:rPr>
      </w:pPr>
      <w:r w:rsidRPr="00C01FD3">
        <w:rPr>
          <w:lang w:val="es-ES"/>
        </w:rPr>
        <w:t>II.1.9</w:t>
      </w:r>
      <w:r w:rsidRPr="00C01FD3">
        <w:rPr>
          <w:lang w:val="es-ES"/>
        </w:rPr>
        <w:tab/>
        <w:t>Los Cuadros R y S de las páginas siguientes contienen la atribución prevista de recursos para 2020-2021 por objetivos y metas y la atribución prevista de recursos por Sector y meta.</w:t>
      </w:r>
    </w:p>
    <w:p w:rsidR="00740D17" w:rsidRPr="00EE1E1F" w:rsidRDefault="00740D17" w:rsidP="00740D17">
      <w:pPr>
        <w:rPr>
          <w:lang w:val="es-ES"/>
        </w:rPr>
      </w:pPr>
    </w:p>
    <w:p w:rsidR="00740D17" w:rsidRPr="00EE1E1F" w:rsidRDefault="00740D17" w:rsidP="00740D17">
      <w:pPr>
        <w:rPr>
          <w:lang w:val="es-ES"/>
        </w:rPr>
        <w:sectPr w:rsidR="00740D17" w:rsidRPr="00EE1E1F" w:rsidSect="00740D17">
          <w:headerReference w:type="default" r:id="rId49"/>
          <w:footerReference w:type="default" r:id="rId50"/>
          <w:headerReference w:type="first" r:id="rId51"/>
          <w:footerReference w:type="first" r:id="rId52"/>
          <w:type w:val="oddPage"/>
          <w:pgSz w:w="11907" w:h="16834"/>
          <w:pgMar w:top="1418" w:right="1134" w:bottom="1418" w:left="1134" w:header="720" w:footer="720" w:gutter="0"/>
          <w:paperSrc w:first="15" w:other="15"/>
          <w:cols w:space="720"/>
          <w:titlePg/>
        </w:sectPr>
      </w:pPr>
    </w:p>
    <w:p w:rsidR="00740D17" w:rsidRDefault="00740D17" w:rsidP="00740D17">
      <w:pPr>
        <w:pStyle w:val="Tabletitle"/>
      </w:pPr>
      <w:r w:rsidRPr="00FD5056">
        <w:lastRenderedPageBreak/>
        <w:t>Cuadro</w:t>
      </w:r>
      <w:r w:rsidRPr="00C01FD3">
        <w:t xml:space="preserve"> R</w:t>
      </w:r>
    </w:p>
    <w:p w:rsidR="00740D17" w:rsidRPr="00296B66" w:rsidRDefault="00740D17" w:rsidP="00740D17">
      <w:pPr>
        <w:pStyle w:val="Figure"/>
      </w:pPr>
      <w:r w:rsidRPr="00296B66">
        <w:rPr>
          <w:noProof/>
          <w:lang w:val="en-GB" w:eastAsia="zh-CN"/>
        </w:rPr>
        <w:drawing>
          <wp:inline distT="0" distB="0" distL="0" distR="0">
            <wp:extent cx="9249410" cy="4679319"/>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49410" cy="4679319"/>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E76754" w:rsidRDefault="00740D17" w:rsidP="00740D17">
      <w:pPr>
        <w:pStyle w:val="Tabletitle"/>
      </w:pPr>
      <w:r w:rsidRPr="00E76754">
        <w:lastRenderedPageBreak/>
        <w:t>Cuadro S</w:t>
      </w:r>
    </w:p>
    <w:p w:rsidR="00740D17" w:rsidRPr="008C6404" w:rsidRDefault="00740D17" w:rsidP="00740D17">
      <w:pPr>
        <w:pStyle w:val="Figure"/>
        <w:rPr>
          <w:lang w:val="es-ES"/>
        </w:rPr>
      </w:pPr>
      <w:r w:rsidRPr="008C6404">
        <w:rPr>
          <w:noProof/>
          <w:lang w:val="en-GB" w:eastAsia="zh-CN"/>
        </w:rPr>
        <w:drawing>
          <wp:inline distT="0" distB="0" distL="0" distR="0">
            <wp:extent cx="7724775" cy="267017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24775" cy="2670175"/>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6834" w:h="11907" w:orient="landscape"/>
          <w:pgMar w:top="1417" w:right="1134" w:bottom="1417" w:left="1134" w:header="720" w:footer="720" w:gutter="0"/>
          <w:paperSrc w:first="15" w:other="15"/>
          <w:cols w:space="720"/>
          <w:docGrid w:linePitch="326"/>
        </w:sectPr>
      </w:pPr>
    </w:p>
    <w:p w:rsidR="00740D17" w:rsidRDefault="00740D17" w:rsidP="00740D17">
      <w:pPr>
        <w:rPr>
          <w:lang w:val="es-ES"/>
        </w:rPr>
      </w:pPr>
      <w:r w:rsidRPr="00C01FD3">
        <w:rPr>
          <w:lang w:val="es-ES"/>
        </w:rPr>
        <w:lastRenderedPageBreak/>
        <w:t>II</w:t>
      </w:r>
      <w:r w:rsidRPr="00EE1E1F">
        <w:rPr>
          <w:lang w:val="es-ES"/>
        </w:rPr>
        <w:t>.1.10</w:t>
      </w:r>
      <w:r w:rsidRPr="00EE1E1F">
        <w:rPr>
          <w:lang w:val="es-ES"/>
        </w:rPr>
        <w:tab/>
        <w:t xml:space="preserve">La Figura F muestra la atribución de </w:t>
      </w:r>
      <w:r>
        <w:rPr>
          <w:lang w:val="es-ES"/>
        </w:rPr>
        <w:t xml:space="preserve">los </w:t>
      </w:r>
      <w:r w:rsidRPr="00EE1E1F">
        <w:rPr>
          <w:lang w:val="es-ES"/>
        </w:rPr>
        <w:t xml:space="preserve">recursos del presupuesto basado en resultados </w:t>
      </w:r>
      <w:r>
        <w:rPr>
          <w:lang w:val="es-ES"/>
        </w:rPr>
        <w:t>para 2020-2021 por</w:t>
      </w:r>
      <w:r w:rsidRPr="00EE1E1F">
        <w:rPr>
          <w:lang w:val="es-ES"/>
        </w:rPr>
        <w:t xml:space="preserve"> Sector.</w:t>
      </w:r>
    </w:p>
    <w:p w:rsidR="00740D17" w:rsidRDefault="00740D17" w:rsidP="00740D17">
      <w:pPr>
        <w:pStyle w:val="Figure"/>
        <w:rPr>
          <w:lang w:val="es-ES"/>
        </w:rPr>
      </w:pPr>
      <w:r>
        <w:rPr>
          <w:noProof/>
          <w:lang w:val="en-GB" w:eastAsia="zh-CN"/>
        </w:rPr>
        <w:drawing>
          <wp:inline distT="0" distB="0" distL="0" distR="0">
            <wp:extent cx="5407200" cy="3456000"/>
            <wp:effectExtent l="0" t="0" r="3175" b="0"/>
            <wp:docPr id="12" name="Picture 12" descr="C:\Users\hernandf\AppData\Local\Microsoft\Windows\INetCache\Content.Word\Grafico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nandf\AppData\Local\Microsoft\Windows\INetCache\Content.Word\Grafico F.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227" r="3776"/>
                    <a:stretch/>
                  </pic:blipFill>
                  <pic:spPr bwMode="auto">
                    <a:xfrm>
                      <a:off x="0" y="0"/>
                      <a:ext cx="5407200" cy="3456000"/>
                    </a:xfrm>
                    <a:prstGeom prst="rect">
                      <a:avLst/>
                    </a:prstGeom>
                    <a:noFill/>
                    <a:ln>
                      <a:noFill/>
                    </a:ln>
                    <a:extLst>
                      <a:ext uri="{53640926-AAD7-44D8-BBD7-CCE9431645EC}">
                        <a14:shadowObscured xmlns:a14="http://schemas.microsoft.com/office/drawing/2010/main"/>
                      </a:ext>
                    </a:extLst>
                  </pic:spPr>
                </pic:pic>
              </a:graphicData>
            </a:graphic>
          </wp:inline>
        </w:drawing>
      </w:r>
    </w:p>
    <w:p w:rsidR="00740D17" w:rsidRPr="00C01FD3" w:rsidRDefault="00740D17" w:rsidP="00740D17">
      <w:pPr>
        <w:pStyle w:val="Normalaftertitle"/>
        <w:rPr>
          <w:lang w:val="es-ES"/>
        </w:rPr>
      </w:pPr>
      <w:r w:rsidRPr="00C01FD3">
        <w:rPr>
          <w:lang w:val="es-ES"/>
        </w:rPr>
        <w:t>II.1.11</w:t>
      </w:r>
      <w:r w:rsidRPr="00C01FD3">
        <w:rPr>
          <w:lang w:val="es-ES"/>
        </w:rPr>
        <w:tab/>
        <w:t>La Figura G muestra la atribución de los recursos del presupuesto basado en resultados para 2020-2021 por objetivo.</w:t>
      </w:r>
    </w:p>
    <w:p w:rsidR="00740D17" w:rsidRPr="00CF484F" w:rsidRDefault="00740D17" w:rsidP="00740D17">
      <w:pPr>
        <w:pStyle w:val="Figure"/>
        <w:rPr>
          <w:lang w:val="es-ES"/>
        </w:rPr>
      </w:pPr>
      <w:r>
        <w:rPr>
          <w:noProof/>
          <w:lang w:val="en-GB" w:eastAsia="zh-CN"/>
        </w:rPr>
        <w:drawing>
          <wp:inline distT="0" distB="0" distL="0" distR="0">
            <wp:extent cx="5544000" cy="3798000"/>
            <wp:effectExtent l="0" t="0" r="0" b="0"/>
            <wp:docPr id="40" name="Picture 40" descr="C:\Users\hernandf\AppData\Local\Microsoft\Windows\INetCache\Content.Word\Grafico 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nandf\AppData\Local\Microsoft\Windows\INetCache\Content.Word\Grafico 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4000" cy="3798000"/>
                    </a:xfrm>
                    <a:prstGeom prst="rect">
                      <a:avLst/>
                    </a:prstGeom>
                    <a:noFill/>
                    <a:ln>
                      <a:noFill/>
                    </a:ln>
                  </pic:spPr>
                </pic:pic>
              </a:graphicData>
            </a:graphic>
          </wp:inline>
        </w:drawing>
      </w:r>
    </w:p>
    <w:p w:rsidR="00740D17" w:rsidRDefault="00740D17" w:rsidP="00740D17">
      <w:pPr>
        <w:rPr>
          <w:lang w:val="es-ES"/>
        </w:rPr>
      </w:pPr>
      <w:r>
        <w:rPr>
          <w:lang w:val="es-ES"/>
        </w:rPr>
        <w:br w:type="page"/>
      </w:r>
    </w:p>
    <w:p w:rsidR="00740D17" w:rsidRPr="00C01FD3" w:rsidRDefault="00740D17" w:rsidP="00740D17">
      <w:pPr>
        <w:rPr>
          <w:lang w:val="es-ES"/>
        </w:rPr>
      </w:pPr>
      <w:r w:rsidRPr="00C01FD3">
        <w:rPr>
          <w:lang w:val="es-ES"/>
        </w:rPr>
        <w:lastRenderedPageBreak/>
        <w:t>II.1.1</w:t>
      </w:r>
      <w:r>
        <w:rPr>
          <w:lang w:val="es-ES"/>
        </w:rPr>
        <w:t>2</w:t>
      </w:r>
      <w:r w:rsidRPr="00C01FD3">
        <w:rPr>
          <w:lang w:val="es-ES"/>
        </w:rPr>
        <w:tab/>
        <w:t>La Figura H muestra la atribución de los recursos del presupuesto basado en resultados para 2020-2021 por componente de coste.</w:t>
      </w:r>
    </w:p>
    <w:p w:rsidR="00740D17" w:rsidRDefault="00740D17" w:rsidP="00740D17">
      <w:pPr>
        <w:pStyle w:val="Figure"/>
        <w:rPr>
          <w:lang w:val="es-ES"/>
        </w:rPr>
      </w:pPr>
      <w:r>
        <w:rPr>
          <w:noProof/>
          <w:lang w:val="en-GB" w:eastAsia="zh-CN"/>
        </w:rPr>
        <w:drawing>
          <wp:inline distT="0" distB="0" distL="0" distR="0">
            <wp:extent cx="6058800" cy="3708000"/>
            <wp:effectExtent l="0" t="0" r="0" b="6985"/>
            <wp:docPr id="18" name="Picture 18" descr="C:\Users\hernandf\AppData\Local\Microsoft\Windows\INetCache\Content.Word\Grafico 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ernandf\AppData\Local\Microsoft\Windows\INetCache\Content.Word\Grafico H.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8800" cy="3708000"/>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1239E6" w:rsidRDefault="00740D17" w:rsidP="00740D17">
      <w:pPr>
        <w:pStyle w:val="Heading2"/>
      </w:pPr>
      <w:bookmarkStart w:id="262" w:name="_Toc7518624"/>
      <w:bookmarkStart w:id="263" w:name="_Toc7533966"/>
      <w:bookmarkStart w:id="264" w:name="_Toc7534675"/>
      <w:r w:rsidRPr="001239E6">
        <w:lastRenderedPageBreak/>
        <w:t>II.2</w:t>
      </w:r>
      <w:r w:rsidRPr="001239E6">
        <w:tab/>
        <w:t>Objetivos intersectoriales</w:t>
      </w:r>
      <w:bookmarkEnd w:id="262"/>
      <w:bookmarkEnd w:id="263"/>
      <w:bookmarkEnd w:id="264"/>
    </w:p>
    <w:p w:rsidR="00740D17" w:rsidRPr="00EE1E1F" w:rsidRDefault="00740D17" w:rsidP="00EF1726">
      <w:pPr>
        <w:rPr>
          <w:lang w:val="es-ES"/>
        </w:rPr>
      </w:pPr>
      <w:r w:rsidRPr="00EE1E1F">
        <w:rPr>
          <w:lang w:val="es-ES"/>
        </w:rPr>
        <w:t xml:space="preserve">Se prevén seis objetivos intersectoriales en 2020-2021, que representan el 9,94 por ciento del total del proyecto de </w:t>
      </w:r>
      <w:r w:rsidR="00EF1726">
        <w:rPr>
          <w:lang w:val="es-ES"/>
        </w:rPr>
        <w:t>p</w:t>
      </w:r>
      <w:r w:rsidR="00C847B9" w:rsidRPr="00EE1E1F">
        <w:rPr>
          <w:lang w:val="es-ES"/>
        </w:rPr>
        <w:t xml:space="preserve">resupuesto </w:t>
      </w:r>
      <w:r w:rsidRPr="00EE1E1F">
        <w:rPr>
          <w:lang w:val="es-ES"/>
        </w:rPr>
        <w:t>de la Unión para 2020-2021.</w:t>
      </w:r>
    </w:p>
    <w:p w:rsidR="00740D17" w:rsidRDefault="00740D17" w:rsidP="00740D17">
      <w:pPr>
        <w:pStyle w:val="Figure"/>
        <w:rPr>
          <w:lang w:val="es-ES"/>
        </w:rPr>
      </w:pPr>
      <w:r>
        <w:rPr>
          <w:noProof/>
          <w:lang w:val="en-GB" w:eastAsia="zh-CN"/>
        </w:rPr>
        <w:drawing>
          <wp:inline distT="0" distB="0" distL="0" distR="0">
            <wp:extent cx="6004800" cy="3600000"/>
            <wp:effectExtent l="0" t="0" r="0" b="635"/>
            <wp:docPr id="20" name="Picture 20" descr="C:\Users\hernandf\AppData\Local\Microsoft\Windows\INetCache\Content.Word\Grafic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ernandf\AppData\Local\Microsoft\Windows\INetCache\Content.Word\Grafico 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4800" cy="3600000"/>
                    </a:xfrm>
                    <a:prstGeom prst="rect">
                      <a:avLst/>
                    </a:prstGeom>
                    <a:noFill/>
                    <a:ln>
                      <a:noFill/>
                    </a:ln>
                  </pic:spPr>
                </pic:pic>
              </a:graphicData>
            </a:graphic>
          </wp:inline>
        </w:drawing>
      </w:r>
    </w:p>
    <w:p w:rsidR="00740D17" w:rsidRPr="00EE1E1F" w:rsidRDefault="00740D17" w:rsidP="00740D17">
      <w:pPr>
        <w:rPr>
          <w:lang w:val="es-ES"/>
        </w:rPr>
      </w:pPr>
    </w:p>
    <w:p w:rsidR="00740D17" w:rsidRDefault="00740D17" w:rsidP="00740D17">
      <w:pPr>
        <w:pStyle w:val="Figure"/>
        <w:rPr>
          <w:lang w:val="es-ES"/>
        </w:rPr>
      </w:pPr>
      <w:r>
        <w:rPr>
          <w:noProof/>
          <w:lang w:val="en-GB" w:eastAsia="zh-CN"/>
        </w:rPr>
        <w:drawing>
          <wp:inline distT="0" distB="0" distL="0" distR="0">
            <wp:extent cx="5997600" cy="3574800"/>
            <wp:effectExtent l="0" t="0" r="3175" b="6985"/>
            <wp:docPr id="22" name="Picture 22" descr="C:\Users\hernandf\AppData\Local\Microsoft\Windows\INetCache\Content.Word\Grafic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ernandf\AppData\Local\Microsoft\Windows\INetCache\Content.Word\Grafico 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7600" cy="35748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tabs>
          <w:tab w:val="clear" w:pos="1134"/>
          <w:tab w:val="clear" w:pos="1701"/>
          <w:tab w:val="clear" w:pos="2268"/>
          <w:tab w:val="clear" w:pos="2835"/>
        </w:tabs>
        <w:overflowPunct/>
        <w:autoSpaceDE/>
        <w:autoSpaceDN/>
        <w:adjustRightInd/>
        <w:spacing w:before="0"/>
        <w:textAlignment w:val="auto"/>
        <w:rPr>
          <w:lang w:val="es-ES"/>
        </w:rPr>
        <w:sectPr w:rsidR="00740D17" w:rsidRPr="00EE1E1F" w:rsidSect="00740D17">
          <w:pgSz w:w="11907" w:h="16834"/>
          <w:pgMar w:top="1417" w:right="1134" w:bottom="1417" w:left="1134" w:header="720" w:footer="720" w:gutter="0"/>
          <w:paperSrc w:first="15" w:other="15"/>
          <w:cols w:space="720"/>
          <w:docGrid w:linePitch="326"/>
        </w:sectPr>
      </w:pPr>
    </w:p>
    <w:p w:rsidR="00740D17" w:rsidRPr="00EE1E1F" w:rsidRDefault="00740D17" w:rsidP="00740D17">
      <w:pPr>
        <w:pStyle w:val="Tabletitle"/>
        <w:rPr>
          <w:lang w:val="es-ES"/>
        </w:rPr>
      </w:pPr>
      <w:bookmarkStart w:id="265" w:name="lt_pId137"/>
      <w:r w:rsidRPr="00EE1E1F">
        <w:rPr>
          <w:lang w:val="es-ES"/>
        </w:rPr>
        <w:lastRenderedPageBreak/>
        <w:t>Cuadro T</w:t>
      </w:r>
      <w:bookmarkEnd w:id="265"/>
    </w:p>
    <w:p w:rsidR="00740D17" w:rsidRDefault="00740D17" w:rsidP="00740D17">
      <w:pPr>
        <w:pStyle w:val="Tabletitle"/>
        <w:rPr>
          <w:lang w:val="es-ES"/>
        </w:rPr>
      </w:pPr>
      <w:r w:rsidRPr="00710B62">
        <w:rPr>
          <w:lang w:val="es-ES"/>
        </w:rPr>
        <w:t>Objetivos intersectoriales</w:t>
      </w:r>
      <w:r>
        <w:rPr>
          <w:lang w:val="es-ES"/>
        </w:rPr>
        <w:br/>
      </w:r>
      <w:r w:rsidRPr="00710B62">
        <w:rPr>
          <w:lang w:val="es-ES"/>
        </w:rPr>
        <w:t>Costes previstos para 2020-2021</w:t>
      </w:r>
      <w:r>
        <w:rPr>
          <w:lang w:val="es-ES"/>
        </w:rPr>
        <w:br/>
      </w:r>
      <w:r w:rsidRPr="00710B62">
        <w:rPr>
          <w:lang w:val="es-ES"/>
        </w:rPr>
        <w:t>Distribución por componente de coste</w:t>
      </w:r>
    </w:p>
    <w:p w:rsidR="00740D17" w:rsidRPr="00832A6D" w:rsidRDefault="00740D17" w:rsidP="00740D17">
      <w:pPr>
        <w:pStyle w:val="Figure"/>
        <w:rPr>
          <w:lang w:val="es-ES"/>
        </w:rPr>
      </w:pPr>
      <w:r w:rsidRPr="00832A6D">
        <w:rPr>
          <w:noProof/>
          <w:lang w:val="en-GB" w:eastAsia="zh-CN"/>
        </w:rPr>
        <w:drawing>
          <wp:inline distT="0" distB="0" distL="0" distR="0">
            <wp:extent cx="8492400" cy="27288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92400" cy="27288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6834" w:h="11907" w:orient="landscape"/>
          <w:pgMar w:top="1417" w:right="1134" w:bottom="1417" w:left="1134" w:header="720" w:footer="720" w:gutter="0"/>
          <w:paperSrc w:first="15" w:other="15"/>
          <w:cols w:space="720"/>
          <w:docGrid w:linePitch="326"/>
        </w:sectPr>
      </w:pPr>
    </w:p>
    <w:p w:rsidR="00740D17" w:rsidRPr="00661491" w:rsidRDefault="00740D17" w:rsidP="00740D17">
      <w:pPr>
        <w:pStyle w:val="Heading3"/>
        <w:rPr>
          <w:color w:val="00205C"/>
        </w:rPr>
      </w:pPr>
      <w:bookmarkStart w:id="266" w:name="_Toc7518625"/>
      <w:bookmarkStart w:id="267" w:name="_Toc7534676"/>
      <w:r w:rsidRPr="00661491">
        <w:rPr>
          <w:color w:val="00205C"/>
        </w:rPr>
        <w:lastRenderedPageBreak/>
        <w:t>II.2.1 – I.1 Colaboración</w:t>
      </w:r>
      <w:bookmarkEnd w:id="266"/>
      <w:bookmarkEnd w:id="267"/>
    </w:p>
    <w:p w:rsidR="00740D17" w:rsidRPr="00661491" w:rsidRDefault="00740D17" w:rsidP="00740D17">
      <w:pPr>
        <w:pStyle w:val="Headingb"/>
        <w:rPr>
          <w:i/>
          <w:iCs/>
          <w:color w:val="00205C"/>
          <w:lang w:val="es-ES"/>
        </w:rPr>
      </w:pPr>
      <w:r w:rsidRPr="00661491">
        <w:rPr>
          <w:i/>
          <w:iCs/>
          <w:color w:val="00205C"/>
          <w:lang w:val="es-ES"/>
        </w:rPr>
        <w:t>Descripción del objetivo</w:t>
      </w:r>
    </w:p>
    <w:p w:rsidR="00740D17" w:rsidRPr="00EE1E1F" w:rsidRDefault="00740D17" w:rsidP="00740D17">
      <w:pPr>
        <w:rPr>
          <w:lang w:val="es-ES"/>
        </w:rPr>
      </w:pPr>
      <w:r w:rsidRPr="00EE1E1F">
        <w:rPr>
          <w:lang w:val="es-ES"/>
        </w:rPr>
        <w:t>Fomentar una colaboración más estrecha entre todos los interesados en el ecosistema de las telecomunicaciones/TIC.</w:t>
      </w:r>
    </w:p>
    <w:p w:rsidR="00740D17" w:rsidRPr="00EE1E1F" w:rsidRDefault="00740D17" w:rsidP="00740D17">
      <w:pPr>
        <w:rPr>
          <w:lang w:val="es-ES"/>
        </w:rPr>
      </w:pPr>
      <w:bookmarkStart w:id="268" w:name="lt_pId144"/>
      <w:r w:rsidRPr="00EE1E1F">
        <w:rPr>
          <w:lang w:val="es-ES"/>
        </w:rPr>
        <w:t>El Objetivo I.1 utiliza el 61,14 por ciento de los recursos previstos para los objetivos intersectoriales, un 6,08 por ciento de los recursos previstos de la UIT para 2020-2021.</w:t>
      </w:r>
      <w:bookmarkEnd w:id="268"/>
    </w:p>
    <w:p w:rsidR="00740D17" w:rsidRPr="00661491" w:rsidRDefault="00740D17" w:rsidP="00740D17">
      <w:pPr>
        <w:pStyle w:val="Headingb"/>
        <w:spacing w:after="120"/>
        <w:rPr>
          <w:i/>
          <w:iCs/>
          <w:color w:val="00205C"/>
          <w:lang w:val="es-ES"/>
        </w:rPr>
      </w:pPr>
      <w:r w:rsidRPr="00661491">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7F10CF" w:rsidTr="00740D17">
        <w:trPr>
          <w:trHeight w:val="586"/>
        </w:trPr>
        <w:tc>
          <w:tcPr>
            <w:tcW w:w="4508" w:type="dxa"/>
            <w:tcBorders>
              <w:righ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Resultados principales</w:t>
            </w:r>
          </w:p>
        </w:tc>
        <w:tc>
          <w:tcPr>
            <w:tcW w:w="4508" w:type="dxa"/>
            <w:tcBorders>
              <w:lef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727203" w:rsidRDefault="00740D17" w:rsidP="00740D17">
            <w:pPr>
              <w:pStyle w:val="Tabletext"/>
              <w:rPr>
                <w:lang w:val="es-ES"/>
              </w:rPr>
            </w:pPr>
            <w:r w:rsidRPr="00727203">
              <w:rPr>
                <w:lang w:val="es-ES"/>
              </w:rPr>
              <w:t>Aumento de la colaboración entre las partes interesadas relevantes.</w:t>
            </w:r>
          </w:p>
        </w:tc>
        <w:tc>
          <w:tcPr>
            <w:tcW w:w="4508" w:type="dxa"/>
            <w:tcBorders>
              <w:top w:val="single" w:sz="12" w:space="0" w:color="4F81BD" w:themeColor="accent1"/>
              <w:left w:val="dotted" w:sz="4" w:space="0" w:color="4F81BD" w:themeColor="accent1"/>
              <w:bottom w:val="nil"/>
            </w:tcBorders>
          </w:tcPr>
          <w:p w:rsidR="00740D17" w:rsidRPr="00727203" w:rsidRDefault="00740D17" w:rsidP="00740D17">
            <w:pPr>
              <w:pStyle w:val="Tabletext"/>
              <w:rPr>
                <w:lang w:val="es-ES"/>
              </w:rPr>
            </w:pPr>
            <w:r w:rsidRPr="00727203">
              <w:rPr>
                <w:lang w:val="es-ES"/>
              </w:rPr>
              <w:t>Número de países/partes interesadas representados y nivel de representación (CMSI/Telecom).</w:t>
            </w:r>
          </w:p>
        </w:tc>
      </w:tr>
      <w:tr w:rsidR="00740D17" w:rsidRPr="00EE1E1F" w:rsidTr="00740D17">
        <w:tc>
          <w:tcPr>
            <w:tcW w:w="4508" w:type="dxa"/>
            <w:tcBorders>
              <w:bottom w:val="nil"/>
              <w:right w:val="dotted" w:sz="4" w:space="0" w:color="4F81BD" w:themeColor="accent1"/>
            </w:tcBorders>
          </w:tcPr>
          <w:p w:rsidR="00740D17" w:rsidRPr="00727203" w:rsidRDefault="00740D17" w:rsidP="00740D17">
            <w:pPr>
              <w:pStyle w:val="Tabletext"/>
              <w:rPr>
                <w:lang w:val="es-ES"/>
              </w:rPr>
            </w:pPr>
            <w:r w:rsidRPr="00727203">
              <w:rPr>
                <w:lang w:val="es-ES"/>
              </w:rPr>
              <w:t>Mayores sinergias mediante asociaciones sobre telecomunicaciones/TIC.</w:t>
            </w:r>
          </w:p>
        </w:tc>
        <w:tc>
          <w:tcPr>
            <w:tcW w:w="4508" w:type="dxa"/>
            <w:tcBorders>
              <w:left w:val="dotted" w:sz="4" w:space="0" w:color="4F81BD" w:themeColor="accent1"/>
              <w:bottom w:val="nil"/>
            </w:tcBorders>
          </w:tcPr>
          <w:p w:rsidR="00740D17" w:rsidRPr="00727203" w:rsidRDefault="00740D17" w:rsidP="00740D17">
            <w:pPr>
              <w:pStyle w:val="Tabletext"/>
              <w:rPr>
                <w:lang w:val="es-ES"/>
              </w:rPr>
            </w:pPr>
            <w:r w:rsidRPr="00727203">
              <w:rPr>
                <w:lang w:val="es-ES"/>
              </w:rPr>
              <w:t>Porcentaje de Miembros que indican que las Recomendaciones/Normas/Prácticas idóneas de la UIT se utilizan para apoyar el establecimiento de asociaciones.</w:t>
            </w:r>
          </w:p>
        </w:tc>
      </w:tr>
      <w:tr w:rsidR="00740D17" w:rsidRPr="00EE1E1F" w:rsidTr="00740D17">
        <w:tc>
          <w:tcPr>
            <w:tcW w:w="4508" w:type="dxa"/>
            <w:tcBorders>
              <w:bottom w:val="nil"/>
              <w:right w:val="dotted" w:sz="4" w:space="0" w:color="4F81BD" w:themeColor="accent1"/>
            </w:tcBorders>
          </w:tcPr>
          <w:p w:rsidR="00740D17" w:rsidRPr="00727203" w:rsidRDefault="00740D17" w:rsidP="00740D17">
            <w:pPr>
              <w:pStyle w:val="Tabletext"/>
              <w:rPr>
                <w:lang w:val="es-ES"/>
              </w:rPr>
            </w:pPr>
            <w:r w:rsidRPr="00727203">
              <w:rPr>
                <w:lang w:val="es-ES"/>
              </w:rPr>
              <w:t>Mayor reconocimiento de las telecomunicaciones/TIC como facilitador global de la aplicación de las líneas de acción de la</w:t>
            </w:r>
            <w:r>
              <w:rPr>
                <w:lang w:val="es-ES"/>
              </w:rPr>
              <w:t> </w:t>
            </w:r>
            <w:r w:rsidRPr="00727203">
              <w:rPr>
                <w:lang w:val="es-ES"/>
              </w:rPr>
              <w:t>CMSI y de la Agenda 2030 para el Desarrollo Sostenible.</w:t>
            </w:r>
          </w:p>
        </w:tc>
        <w:tc>
          <w:tcPr>
            <w:tcW w:w="4508" w:type="dxa"/>
            <w:tcBorders>
              <w:left w:val="dotted" w:sz="4" w:space="0" w:color="4F81BD" w:themeColor="accent1"/>
              <w:bottom w:val="nil"/>
            </w:tcBorders>
          </w:tcPr>
          <w:p w:rsidR="00740D17" w:rsidRPr="00727203" w:rsidRDefault="00740D17" w:rsidP="00740D17">
            <w:pPr>
              <w:pStyle w:val="Tabletext"/>
              <w:rPr>
                <w:lang w:val="es-ES"/>
              </w:rPr>
            </w:pPr>
            <w:r w:rsidRPr="00727203">
              <w:rPr>
                <w:lang w:val="es-ES"/>
              </w:rPr>
              <w:t>Porcentaje de Miembros que piensan que las telecomunicaciones/TIC contribuyen a la consecución de los ODS de las Naciones Unidas y la Agenda 2030.</w:t>
            </w:r>
          </w:p>
        </w:tc>
      </w:tr>
      <w:tr w:rsidR="00740D17" w:rsidRPr="00EE1E1F" w:rsidTr="00740D17">
        <w:tc>
          <w:tcPr>
            <w:tcW w:w="4508" w:type="dxa"/>
            <w:tcBorders>
              <w:bottom w:val="nil"/>
              <w:right w:val="dotted" w:sz="4" w:space="0" w:color="4F81BD" w:themeColor="accent1"/>
            </w:tcBorders>
          </w:tcPr>
          <w:p w:rsidR="00740D17" w:rsidRPr="00727203" w:rsidRDefault="00740D17" w:rsidP="00740D17">
            <w:pPr>
              <w:pStyle w:val="Tabletext"/>
              <w:rPr>
                <w:lang w:val="es-ES"/>
              </w:rPr>
            </w:pPr>
            <w:r w:rsidRPr="00727203">
              <w:rPr>
                <w:lang w:val="es-ES"/>
              </w:rPr>
              <w:t>Mayor apoyo a los Miembros de la UIT en la creación y facilitación de productos y servicios de TIC.</w:t>
            </w:r>
          </w:p>
        </w:tc>
        <w:tc>
          <w:tcPr>
            <w:tcW w:w="4508" w:type="dxa"/>
            <w:tcBorders>
              <w:left w:val="dotted" w:sz="4" w:space="0" w:color="4F81BD" w:themeColor="accent1"/>
              <w:bottom w:val="nil"/>
            </w:tcBorders>
          </w:tcPr>
          <w:p w:rsidR="00740D17" w:rsidRPr="00727203" w:rsidRDefault="00740D17" w:rsidP="00740D17">
            <w:pPr>
              <w:pStyle w:val="Tabletext"/>
              <w:rPr>
                <w:lang w:val="es-ES"/>
              </w:rPr>
            </w:pPr>
            <w:r w:rsidRPr="00727203">
              <w:rPr>
                <w:lang w:val="es-ES"/>
              </w:rPr>
              <w:t>Porcentaje de Miembros que indican que las Recomendaciones/Normas/Prácticas idóneas de la UIT se utilizan para diseñar nuevas redes y productos de telecomunicaciones.</w:t>
            </w:r>
          </w:p>
          <w:p w:rsidR="00740D17" w:rsidRPr="00727203" w:rsidRDefault="00740D17" w:rsidP="00740D17">
            <w:pPr>
              <w:pStyle w:val="Tabletext"/>
              <w:rPr>
                <w:lang w:val="es-ES"/>
              </w:rPr>
            </w:pPr>
            <w:r w:rsidRPr="00727203">
              <w:rPr>
                <w:lang w:val="es-ES"/>
              </w:rPr>
              <w:t>Porcentaje de Miembros que están satisfechos con los servicios generales de cliente de la UIT.</w:t>
            </w:r>
          </w:p>
        </w:tc>
      </w:tr>
    </w:tbl>
    <w:p w:rsidR="00740D17" w:rsidRPr="00661491" w:rsidRDefault="00740D17" w:rsidP="00740D17">
      <w:pPr>
        <w:pStyle w:val="Headingb"/>
        <w:rPr>
          <w:i/>
          <w:iCs/>
          <w:color w:val="00205C"/>
          <w:lang w:val="es-ES"/>
        </w:rPr>
      </w:pPr>
      <w:r w:rsidRPr="00661491">
        <w:rPr>
          <w:i/>
          <w:iCs/>
          <w:color w:val="00205C"/>
          <w:lang w:val="es-ES"/>
        </w:rPr>
        <w:t>Resumen de los costes previstos</w:t>
      </w:r>
    </w:p>
    <w:p w:rsidR="00740D17" w:rsidRDefault="00740D17" w:rsidP="00740D17">
      <w:pPr>
        <w:pStyle w:val="Figure"/>
        <w:keepNext w:val="0"/>
        <w:keepLines w:val="0"/>
        <w:rPr>
          <w:lang w:val="es-ES"/>
        </w:rPr>
      </w:pPr>
      <w:r w:rsidRPr="00710B62">
        <w:rPr>
          <w:noProof/>
          <w:lang w:val="en-GB" w:eastAsia="zh-CN"/>
        </w:rPr>
        <w:drawing>
          <wp:inline distT="0" distB="0" distL="0" distR="0">
            <wp:extent cx="5193665" cy="229679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93665" cy="2296795"/>
                    </a:xfrm>
                    <a:prstGeom prst="rect">
                      <a:avLst/>
                    </a:prstGeom>
                    <a:noFill/>
                    <a:ln>
                      <a:noFill/>
                    </a:ln>
                  </pic:spPr>
                </pic:pic>
              </a:graphicData>
            </a:graphic>
          </wp:inline>
        </w:drawing>
      </w:r>
    </w:p>
    <w:p w:rsidR="00740D17" w:rsidRDefault="00740D17" w:rsidP="00740D17">
      <w:pPr>
        <w:rPr>
          <w:lang w:val="es-ES"/>
        </w:rPr>
      </w:pPr>
      <w:r>
        <w:rPr>
          <w:lang w:val="es-ES"/>
        </w:rPr>
        <w:br w:type="page"/>
      </w:r>
    </w:p>
    <w:p w:rsidR="00740D17" w:rsidRPr="00661491" w:rsidRDefault="00740D17" w:rsidP="00740D17">
      <w:pPr>
        <w:pStyle w:val="Heading3"/>
        <w:rPr>
          <w:color w:val="00205C"/>
        </w:rPr>
      </w:pPr>
      <w:bookmarkStart w:id="269" w:name="_Toc7518626"/>
      <w:bookmarkStart w:id="270" w:name="_Toc7534677"/>
      <w:r w:rsidRPr="00661491">
        <w:rPr>
          <w:color w:val="00205C"/>
        </w:rPr>
        <w:lastRenderedPageBreak/>
        <w:t>II.2.2 – I.2 Tendencias emergentes en materia de telecomunicaciones/TIC</w:t>
      </w:r>
      <w:bookmarkEnd w:id="269"/>
      <w:bookmarkEnd w:id="270"/>
    </w:p>
    <w:p w:rsidR="00740D17" w:rsidRPr="00661491" w:rsidRDefault="00740D17" w:rsidP="00740D17">
      <w:pPr>
        <w:pStyle w:val="Headingb"/>
        <w:rPr>
          <w:i/>
          <w:iCs/>
          <w:color w:val="00205C"/>
          <w:lang w:val="es-ES"/>
        </w:rPr>
      </w:pPr>
      <w:r w:rsidRPr="00661491">
        <w:rPr>
          <w:i/>
          <w:iCs/>
          <w:color w:val="00205C"/>
          <w:lang w:val="es-ES"/>
        </w:rPr>
        <w:t>Descripción del objetivo</w:t>
      </w:r>
    </w:p>
    <w:p w:rsidR="00740D17" w:rsidRPr="00EE1E1F" w:rsidRDefault="00740D17" w:rsidP="00740D17">
      <w:pPr>
        <w:rPr>
          <w:lang w:val="es-ES"/>
        </w:rPr>
      </w:pPr>
      <w:r w:rsidRPr="00EE1E1F">
        <w:rPr>
          <w:lang w:val="es-ES"/>
        </w:rPr>
        <w:t>Mejorar la identificación, el conocimiento y el análisis de la transformación digital y las tendencias emergentes en el entorno de las telecomunicaciones/TIC.</w:t>
      </w:r>
    </w:p>
    <w:p w:rsidR="00740D17" w:rsidRPr="00EE1E1F" w:rsidRDefault="00740D17" w:rsidP="00740D17">
      <w:pPr>
        <w:rPr>
          <w:lang w:val="es-ES"/>
        </w:rPr>
      </w:pPr>
      <w:r w:rsidRPr="00EE1E1F">
        <w:rPr>
          <w:lang w:val="es-ES"/>
        </w:rPr>
        <w:t>El Objetivo I.2 utiliza el 18,77 por ciento de los recursos previstos para los objetivos intersectoriales, un 1,87 por ciento de los recursos previstos de la UIT para 2020-2021.</w:t>
      </w:r>
    </w:p>
    <w:p w:rsidR="00740D17" w:rsidRPr="00661491" w:rsidRDefault="00740D17" w:rsidP="00740D17">
      <w:pPr>
        <w:pStyle w:val="Headingb"/>
        <w:spacing w:after="120"/>
        <w:rPr>
          <w:i/>
          <w:iCs/>
          <w:color w:val="00205C"/>
          <w:lang w:val="es-ES"/>
        </w:rPr>
      </w:pPr>
      <w:r w:rsidRPr="00661491">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661491" w:rsidTr="00740D17">
        <w:trPr>
          <w:trHeight w:val="586"/>
        </w:trPr>
        <w:tc>
          <w:tcPr>
            <w:tcW w:w="4508" w:type="dxa"/>
            <w:tcBorders>
              <w:righ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Resultados principales</w:t>
            </w:r>
          </w:p>
        </w:tc>
        <w:tc>
          <w:tcPr>
            <w:tcW w:w="4508" w:type="dxa"/>
            <w:tcBorders>
              <w:lef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5920A1" w:rsidRDefault="00740D17" w:rsidP="00740D17">
            <w:pPr>
              <w:pStyle w:val="Tabletext"/>
              <w:rPr>
                <w:lang w:val="es-ES"/>
              </w:rPr>
            </w:pPr>
            <w:r w:rsidRPr="005920A1">
              <w:rPr>
                <w:lang w:val="es-ES"/>
              </w:rPr>
              <w:t>Identificación, sensibilización y análisis de la transformación digital y las tendencias emergentes en las telecomunicaciones/TIC.</w:t>
            </w:r>
          </w:p>
        </w:tc>
        <w:tc>
          <w:tcPr>
            <w:tcW w:w="4508" w:type="dxa"/>
            <w:tcBorders>
              <w:top w:val="single" w:sz="12" w:space="0" w:color="4F81BD" w:themeColor="accent1"/>
              <w:left w:val="dotted" w:sz="4" w:space="0" w:color="4F81BD" w:themeColor="accent1"/>
              <w:bottom w:val="nil"/>
            </w:tcBorders>
          </w:tcPr>
          <w:p w:rsidR="00740D17" w:rsidRPr="005920A1" w:rsidRDefault="00740D17" w:rsidP="00740D17">
            <w:pPr>
              <w:pStyle w:val="Tabletext"/>
              <w:rPr>
                <w:lang w:val="es-ES"/>
              </w:rPr>
            </w:pPr>
            <w:r w:rsidRPr="005920A1">
              <w:rPr>
                <w:lang w:val="es-ES"/>
              </w:rPr>
              <w:t>Resultados de los Grupos Temáticos del UIT-T (productos, nuevas cuestiones, nuevos grupos temáticos, nuevas Comisiones de Estudio, nuevos temas de trabajo, nuevos Grupos de Trabajo).</w:t>
            </w:r>
          </w:p>
          <w:p w:rsidR="00740D17" w:rsidRPr="005920A1" w:rsidRDefault="00740D17" w:rsidP="00740D17">
            <w:pPr>
              <w:pStyle w:val="Tabletext"/>
              <w:rPr>
                <w:lang w:val="es-ES"/>
              </w:rPr>
            </w:pPr>
            <w:bookmarkStart w:id="271" w:name="lt_pId167"/>
            <w:r w:rsidRPr="005920A1">
              <w:rPr>
                <w:lang w:val="es-ES"/>
              </w:rPr>
              <w:t>Contribuciones a los eventos Caleidoscopio.</w:t>
            </w:r>
            <w:bookmarkEnd w:id="271"/>
          </w:p>
          <w:p w:rsidR="00740D17" w:rsidRPr="005920A1" w:rsidRDefault="00740D17" w:rsidP="00740D17">
            <w:pPr>
              <w:pStyle w:val="Tabletext"/>
              <w:rPr>
                <w:lang w:val="es-ES"/>
              </w:rPr>
            </w:pPr>
            <w:r w:rsidRPr="005920A1">
              <w:rPr>
                <w:lang w:val="es-ES"/>
              </w:rPr>
              <w:t>Indicadores de la Gaceta de la UIT: Descubrimientos de las TIC.</w:t>
            </w:r>
          </w:p>
        </w:tc>
      </w:tr>
      <w:tr w:rsidR="00740D17" w:rsidRPr="00EE1E1F" w:rsidTr="00740D17">
        <w:tc>
          <w:tcPr>
            <w:tcW w:w="4508" w:type="dxa"/>
            <w:tcBorders>
              <w:bottom w:val="nil"/>
              <w:right w:val="dotted" w:sz="4" w:space="0" w:color="4F81BD" w:themeColor="accent1"/>
            </w:tcBorders>
          </w:tcPr>
          <w:p w:rsidR="00740D17" w:rsidRPr="005920A1" w:rsidRDefault="00740D17" w:rsidP="00740D17">
            <w:pPr>
              <w:pStyle w:val="Tabletext"/>
              <w:rPr>
                <w:lang w:val="es-ES"/>
              </w:rPr>
            </w:pPr>
          </w:p>
        </w:tc>
        <w:tc>
          <w:tcPr>
            <w:tcW w:w="4508" w:type="dxa"/>
            <w:tcBorders>
              <w:left w:val="dotted" w:sz="4" w:space="0" w:color="4F81BD" w:themeColor="accent1"/>
              <w:bottom w:val="nil"/>
            </w:tcBorders>
          </w:tcPr>
          <w:p w:rsidR="00740D17" w:rsidRPr="005920A1" w:rsidRDefault="00740D17" w:rsidP="00740D17">
            <w:pPr>
              <w:pStyle w:val="Tabletext"/>
              <w:rPr>
                <w:lang w:val="es-ES"/>
              </w:rPr>
            </w:pPr>
            <w:r w:rsidRPr="005920A1">
              <w:rPr>
                <w:lang w:val="es-ES"/>
              </w:rPr>
              <w:t xml:space="preserve">Número de nuevas tendencias emergentes identificadas y analizadas por la UIT. </w:t>
            </w:r>
          </w:p>
        </w:tc>
      </w:tr>
      <w:tr w:rsidR="00740D17" w:rsidRPr="00EE1E1F" w:rsidTr="00740D17">
        <w:tc>
          <w:tcPr>
            <w:tcW w:w="4508" w:type="dxa"/>
            <w:tcBorders>
              <w:bottom w:val="nil"/>
              <w:right w:val="dotted" w:sz="4" w:space="0" w:color="4F81BD" w:themeColor="accent1"/>
            </w:tcBorders>
          </w:tcPr>
          <w:p w:rsidR="00740D17" w:rsidRPr="005920A1" w:rsidRDefault="00740D17" w:rsidP="00740D17">
            <w:pPr>
              <w:pStyle w:val="Tabletext"/>
              <w:rPr>
                <w:lang w:val="es-ES"/>
              </w:rPr>
            </w:pPr>
          </w:p>
        </w:tc>
        <w:tc>
          <w:tcPr>
            <w:tcW w:w="4508" w:type="dxa"/>
            <w:tcBorders>
              <w:left w:val="dotted" w:sz="4" w:space="0" w:color="4F81BD" w:themeColor="accent1"/>
              <w:bottom w:val="nil"/>
            </w:tcBorders>
          </w:tcPr>
          <w:p w:rsidR="00740D17" w:rsidRPr="005920A1" w:rsidRDefault="00740D17" w:rsidP="00740D17">
            <w:pPr>
              <w:pStyle w:val="Tabletext"/>
              <w:rPr>
                <w:lang w:val="es-ES"/>
              </w:rPr>
            </w:pPr>
            <w:r w:rsidRPr="005920A1">
              <w:rPr>
                <w:lang w:val="es-ES"/>
              </w:rPr>
              <w:t>Porcentaje de Miembros/personal que consideran que la UIT trabaja adecuadamente en la identificación y análisis de las nuevas tendencias emergentes.</w:t>
            </w:r>
          </w:p>
        </w:tc>
      </w:tr>
      <w:tr w:rsidR="00740D17" w:rsidRPr="00EE1E1F" w:rsidTr="00740D17">
        <w:tc>
          <w:tcPr>
            <w:tcW w:w="4508" w:type="dxa"/>
            <w:tcBorders>
              <w:bottom w:val="dotted" w:sz="4" w:space="0" w:color="auto"/>
              <w:right w:val="dotted" w:sz="4" w:space="0" w:color="4F81BD" w:themeColor="accent1"/>
            </w:tcBorders>
          </w:tcPr>
          <w:p w:rsidR="00740D17" w:rsidRPr="005920A1" w:rsidRDefault="00740D17" w:rsidP="00740D17">
            <w:pPr>
              <w:pStyle w:val="Tabletext"/>
              <w:rPr>
                <w:lang w:val="es-ES"/>
              </w:rPr>
            </w:pPr>
          </w:p>
        </w:tc>
        <w:tc>
          <w:tcPr>
            <w:tcW w:w="4508" w:type="dxa"/>
            <w:tcBorders>
              <w:left w:val="dotted" w:sz="4" w:space="0" w:color="4F81BD" w:themeColor="accent1"/>
              <w:bottom w:val="dotted" w:sz="4" w:space="0" w:color="auto"/>
            </w:tcBorders>
          </w:tcPr>
          <w:p w:rsidR="00740D17" w:rsidRPr="005920A1" w:rsidRDefault="00740D17" w:rsidP="00740D17">
            <w:pPr>
              <w:pStyle w:val="Tabletext"/>
              <w:rPr>
                <w:lang w:val="es-ES"/>
              </w:rPr>
            </w:pPr>
            <w:bookmarkStart w:id="272" w:name="lt_pId171"/>
            <w:r w:rsidRPr="005920A1">
              <w:rPr>
                <w:lang w:val="es-ES"/>
              </w:rPr>
              <w:t>Trabajo de la UIT en la identificación y análisis de las nuevas tendencias emergentes y la transformación digital.</w:t>
            </w:r>
            <w:bookmarkEnd w:id="272"/>
          </w:p>
        </w:tc>
      </w:tr>
    </w:tbl>
    <w:p w:rsidR="00740D17" w:rsidRPr="00661491" w:rsidRDefault="00740D17" w:rsidP="00740D17">
      <w:pPr>
        <w:pStyle w:val="Headingb"/>
        <w:rPr>
          <w:i/>
          <w:iCs/>
          <w:color w:val="00205C"/>
          <w:lang w:val="es-ES"/>
        </w:rPr>
      </w:pPr>
      <w:r w:rsidRPr="00661491">
        <w:rPr>
          <w:i/>
          <w:iCs/>
          <w:color w:val="00205C"/>
          <w:lang w:val="es-ES"/>
        </w:rPr>
        <w:t>Resumen de los costes previstos</w:t>
      </w:r>
    </w:p>
    <w:p w:rsidR="00740D17" w:rsidRDefault="00740D17" w:rsidP="00740D17">
      <w:pPr>
        <w:pStyle w:val="Figure"/>
        <w:keepNext w:val="0"/>
        <w:keepLines w:val="0"/>
        <w:rPr>
          <w:noProof/>
          <w:lang w:val="es-ES" w:eastAsia="zh-CN"/>
        </w:rPr>
      </w:pPr>
      <w:r w:rsidRPr="00C95AC2">
        <w:rPr>
          <w:noProof/>
          <w:lang w:val="en-GB" w:eastAsia="zh-CN"/>
        </w:rPr>
        <w:drawing>
          <wp:inline distT="0" distB="0" distL="0" distR="0">
            <wp:extent cx="5193665" cy="229679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3665" cy="2296795"/>
                    </a:xfrm>
                    <a:prstGeom prst="rect">
                      <a:avLst/>
                    </a:prstGeom>
                    <a:noFill/>
                    <a:ln>
                      <a:noFill/>
                    </a:ln>
                  </pic:spPr>
                </pic:pic>
              </a:graphicData>
            </a:graphic>
          </wp:inline>
        </w:drawing>
      </w:r>
    </w:p>
    <w:p w:rsidR="00740D17" w:rsidRDefault="00740D17" w:rsidP="00740D17">
      <w:pPr>
        <w:rPr>
          <w:lang w:val="es-ES" w:eastAsia="zh-CN"/>
        </w:rPr>
      </w:pPr>
      <w:r>
        <w:rPr>
          <w:lang w:val="es-ES" w:eastAsia="zh-CN"/>
        </w:rPr>
        <w:br w:type="page"/>
      </w:r>
    </w:p>
    <w:p w:rsidR="00740D17" w:rsidRPr="00661491" w:rsidRDefault="00740D17" w:rsidP="00740D17">
      <w:pPr>
        <w:pStyle w:val="Heading3"/>
        <w:rPr>
          <w:color w:val="00205C"/>
        </w:rPr>
      </w:pPr>
      <w:bookmarkStart w:id="273" w:name="_Toc7518627"/>
      <w:bookmarkStart w:id="274" w:name="_Toc7534678"/>
      <w:r w:rsidRPr="00661491">
        <w:rPr>
          <w:color w:val="00205C"/>
        </w:rPr>
        <w:lastRenderedPageBreak/>
        <w:t>II.2.3 – I.3 Accesibilidad de las telecomunicaciones/TIC</w:t>
      </w:r>
      <w:bookmarkEnd w:id="273"/>
      <w:bookmarkEnd w:id="274"/>
    </w:p>
    <w:p w:rsidR="00740D17" w:rsidRPr="00661491" w:rsidRDefault="00740D17" w:rsidP="00740D17">
      <w:pPr>
        <w:pStyle w:val="Headingb"/>
        <w:rPr>
          <w:i/>
          <w:iCs/>
          <w:color w:val="00205C"/>
          <w:lang w:val="es-ES"/>
        </w:rPr>
      </w:pPr>
      <w:r w:rsidRPr="00661491">
        <w:rPr>
          <w:i/>
          <w:iCs/>
          <w:color w:val="00205C"/>
          <w:lang w:val="es-ES"/>
        </w:rPr>
        <w:t>Descripción del objetivo</w:t>
      </w:r>
    </w:p>
    <w:p w:rsidR="00740D17" w:rsidRPr="00EE1E1F" w:rsidRDefault="00740D17" w:rsidP="00740D17">
      <w:pPr>
        <w:rPr>
          <w:lang w:val="es-ES"/>
        </w:rPr>
      </w:pPr>
      <w:r w:rsidRPr="00EE1E1F">
        <w:rPr>
          <w:lang w:val="es-ES"/>
        </w:rPr>
        <w:t>Mejorar la accesibilidad de las telecomunicaciones/TIC para las personas con discapacidad y con necesidades especiales.</w:t>
      </w:r>
    </w:p>
    <w:p w:rsidR="00740D17" w:rsidRPr="00EE1E1F" w:rsidRDefault="00740D17" w:rsidP="00740D17">
      <w:pPr>
        <w:rPr>
          <w:lang w:val="es-ES"/>
        </w:rPr>
      </w:pPr>
      <w:r w:rsidRPr="00EE1E1F">
        <w:rPr>
          <w:lang w:val="es-ES"/>
        </w:rPr>
        <w:t>El Objetivo I.3 utiliza el 1</w:t>
      </w:r>
      <w:r>
        <w:rPr>
          <w:lang w:val="es-ES"/>
        </w:rPr>
        <w:t>,</w:t>
      </w:r>
      <w:r w:rsidRPr="00EE1E1F">
        <w:rPr>
          <w:lang w:val="es-ES"/>
        </w:rPr>
        <w:t>88 por ciento de los recursos previstos para los objetivos intersectoriales, un 0</w:t>
      </w:r>
      <w:r>
        <w:rPr>
          <w:lang w:val="es-ES"/>
        </w:rPr>
        <w:t>,</w:t>
      </w:r>
      <w:r w:rsidRPr="00EE1E1F">
        <w:rPr>
          <w:lang w:val="es-ES"/>
        </w:rPr>
        <w:t>19 por ciento de los recursos previstos de la UIT para 2020-2021.</w:t>
      </w:r>
    </w:p>
    <w:p w:rsidR="00740D17" w:rsidRPr="00661491" w:rsidRDefault="00740D17" w:rsidP="00740D17">
      <w:pPr>
        <w:pStyle w:val="Headingb"/>
        <w:spacing w:after="120"/>
        <w:rPr>
          <w:i/>
          <w:iCs/>
          <w:color w:val="00205C"/>
          <w:lang w:val="es-ES"/>
        </w:rPr>
      </w:pPr>
      <w:r w:rsidRPr="00661491">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661491" w:rsidTr="00740D17">
        <w:trPr>
          <w:trHeight w:val="586"/>
        </w:trPr>
        <w:tc>
          <w:tcPr>
            <w:tcW w:w="4508" w:type="dxa"/>
            <w:tcBorders>
              <w:righ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Resultados principales</w:t>
            </w:r>
          </w:p>
        </w:tc>
        <w:tc>
          <w:tcPr>
            <w:tcW w:w="4508" w:type="dxa"/>
            <w:tcBorders>
              <w:lef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5920A1" w:rsidRDefault="00740D17" w:rsidP="00740D17">
            <w:pPr>
              <w:pStyle w:val="Tabletext"/>
              <w:rPr>
                <w:lang w:val="es-ES"/>
              </w:rPr>
            </w:pPr>
            <w:r w:rsidRPr="005920A1">
              <w:rPr>
                <w:lang w:val="es-ES"/>
              </w:rPr>
              <w:t>Aumento de la disponibilidad y conformidad de equipos, servicios y aplicaciones de telecomunicaciones/TIC con principios de diseño universales.</w:t>
            </w:r>
          </w:p>
        </w:tc>
        <w:tc>
          <w:tcPr>
            <w:tcW w:w="4508" w:type="dxa"/>
            <w:tcBorders>
              <w:top w:val="single" w:sz="12" w:space="0" w:color="4F81BD" w:themeColor="accent1"/>
              <w:left w:val="dotted" w:sz="4" w:space="0" w:color="4F81BD" w:themeColor="accent1"/>
              <w:bottom w:val="nil"/>
            </w:tcBorders>
          </w:tcPr>
          <w:p w:rsidR="00740D17" w:rsidRPr="005920A1" w:rsidRDefault="00740D17" w:rsidP="00740D17">
            <w:pPr>
              <w:pStyle w:val="Tabletext"/>
              <w:rPr>
                <w:lang w:val="es-ES"/>
              </w:rPr>
            </w:pPr>
            <w:bookmarkStart w:id="275" w:name="lt_pId181"/>
            <w:r w:rsidRPr="005920A1">
              <w:rPr>
                <w:lang w:val="es-ES"/>
              </w:rPr>
              <w:t>Número de publicaciones técnicas del UIT-T que tienen elementos principales dedicados a la accesibilidad de las TIC, que mejoran la accesibilidad o contienen requisitos o características de accesibilidad.</w:t>
            </w:r>
            <w:bookmarkEnd w:id="275"/>
          </w:p>
        </w:tc>
      </w:tr>
      <w:tr w:rsidR="00740D17" w:rsidRPr="00EE1E1F" w:rsidTr="00740D17">
        <w:tc>
          <w:tcPr>
            <w:tcW w:w="4508" w:type="dxa"/>
            <w:tcBorders>
              <w:bottom w:val="nil"/>
              <w:right w:val="dotted" w:sz="4" w:space="0" w:color="4F81BD" w:themeColor="accent1"/>
            </w:tcBorders>
          </w:tcPr>
          <w:p w:rsidR="00740D17" w:rsidRPr="005920A1" w:rsidRDefault="00740D17" w:rsidP="00740D17">
            <w:pPr>
              <w:pStyle w:val="Tabletext"/>
              <w:rPr>
                <w:lang w:val="es-ES"/>
              </w:rPr>
            </w:pPr>
            <w:r w:rsidRPr="005920A1">
              <w:rPr>
                <w:lang w:val="es-ES"/>
              </w:rPr>
              <w:t>Aumento de la participación de las organizaciones de personas con discapacidad y con necesidades especiales en los trabajos de la Unión.</w:t>
            </w:r>
          </w:p>
        </w:tc>
        <w:tc>
          <w:tcPr>
            <w:tcW w:w="4508" w:type="dxa"/>
            <w:tcBorders>
              <w:left w:val="dotted" w:sz="4" w:space="0" w:color="4F81BD" w:themeColor="accent1"/>
              <w:bottom w:val="nil"/>
            </w:tcBorders>
          </w:tcPr>
          <w:p w:rsidR="00740D17" w:rsidRPr="005920A1" w:rsidRDefault="00740D17" w:rsidP="00740D17">
            <w:pPr>
              <w:pStyle w:val="Tabletext"/>
              <w:rPr>
                <w:lang w:val="es-ES"/>
              </w:rPr>
            </w:pPr>
            <w:r w:rsidRPr="005920A1">
              <w:rPr>
                <w:lang w:val="es-ES"/>
              </w:rPr>
              <w:t>Número de reuniones con lenguaje de signos y subtítulos.</w:t>
            </w:r>
          </w:p>
          <w:p w:rsidR="00740D17" w:rsidRPr="005920A1" w:rsidRDefault="00740D17" w:rsidP="00740D17">
            <w:pPr>
              <w:pStyle w:val="Tabletext"/>
              <w:rPr>
                <w:lang w:val="es-ES"/>
              </w:rPr>
            </w:pPr>
            <w:r w:rsidRPr="005920A1">
              <w:rPr>
                <w:lang w:val="es-ES"/>
              </w:rPr>
              <w:t>Fondos de la UIT para accesibilidad (lenguaje de signos, viajes de expertos y subtitulado).</w:t>
            </w:r>
          </w:p>
        </w:tc>
      </w:tr>
      <w:tr w:rsidR="00740D17" w:rsidRPr="00EE1E1F" w:rsidTr="00740D17">
        <w:tc>
          <w:tcPr>
            <w:tcW w:w="4508" w:type="dxa"/>
            <w:tcBorders>
              <w:bottom w:val="nil"/>
              <w:right w:val="dotted" w:sz="4" w:space="0" w:color="4F81BD" w:themeColor="accent1"/>
            </w:tcBorders>
          </w:tcPr>
          <w:p w:rsidR="00740D17" w:rsidRPr="005920A1" w:rsidRDefault="00740D17" w:rsidP="00740D17">
            <w:pPr>
              <w:pStyle w:val="Tabletext"/>
              <w:rPr>
                <w:lang w:val="es-ES"/>
              </w:rPr>
            </w:pPr>
            <w:r w:rsidRPr="005920A1">
              <w:rPr>
                <w:lang w:val="es-ES"/>
              </w:rPr>
              <w:t>Aumento de la sensibilización, incluido el reconocimiento multilateral e intergubernamental de la necesidad de mejorar el acceso a las telecomunicaciones/TIC para las personas con discapacidad y con necesidades especiales.</w:t>
            </w:r>
          </w:p>
        </w:tc>
        <w:tc>
          <w:tcPr>
            <w:tcW w:w="4508" w:type="dxa"/>
            <w:tcBorders>
              <w:left w:val="dotted" w:sz="4" w:space="0" w:color="4F81BD" w:themeColor="accent1"/>
              <w:bottom w:val="nil"/>
            </w:tcBorders>
          </w:tcPr>
          <w:p w:rsidR="00740D17" w:rsidRPr="005920A1" w:rsidRDefault="00740D17" w:rsidP="00740D17">
            <w:pPr>
              <w:pStyle w:val="Tabletext"/>
              <w:rPr>
                <w:lang w:val="es-ES"/>
              </w:rPr>
            </w:pPr>
            <w:r w:rsidRPr="005920A1">
              <w:rPr>
                <w:lang w:val="es-ES"/>
              </w:rPr>
              <w:t>Número de países con políticas de accesibilidad</w:t>
            </w:r>
            <w:r>
              <w:rPr>
                <w:lang w:val="es-ES"/>
              </w:rPr>
              <w:t>.</w:t>
            </w:r>
          </w:p>
        </w:tc>
      </w:tr>
    </w:tbl>
    <w:p w:rsidR="00740D17" w:rsidRPr="00661491" w:rsidRDefault="00740D17" w:rsidP="00740D17">
      <w:pPr>
        <w:pStyle w:val="Headingb"/>
        <w:rPr>
          <w:i/>
          <w:iCs/>
          <w:color w:val="00205C"/>
          <w:lang w:val="es-ES"/>
        </w:rPr>
      </w:pPr>
      <w:r w:rsidRPr="00661491">
        <w:rPr>
          <w:i/>
          <w:iCs/>
          <w:color w:val="00205C"/>
          <w:lang w:val="es-ES"/>
        </w:rPr>
        <w:t>Resumen de los costes previstos</w:t>
      </w:r>
    </w:p>
    <w:p w:rsidR="00740D17" w:rsidRPr="00EE1E1F" w:rsidRDefault="00740D17" w:rsidP="00740D17">
      <w:pPr>
        <w:pStyle w:val="Figure"/>
        <w:rPr>
          <w:lang w:val="es-ES"/>
        </w:rPr>
      </w:pPr>
      <w:r w:rsidRPr="00C95AC2">
        <w:rPr>
          <w:noProof/>
          <w:lang w:val="en-GB" w:eastAsia="zh-CN"/>
        </w:rPr>
        <w:drawing>
          <wp:inline distT="0" distB="0" distL="0" distR="0">
            <wp:extent cx="5149850" cy="2296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9850" cy="2296795"/>
                    </a:xfrm>
                    <a:prstGeom prst="rect">
                      <a:avLst/>
                    </a:prstGeom>
                    <a:noFill/>
                    <a:ln>
                      <a:noFill/>
                    </a:ln>
                  </pic:spPr>
                </pic:pic>
              </a:graphicData>
            </a:graphic>
          </wp:inline>
        </w:drawing>
      </w:r>
    </w:p>
    <w:p w:rsidR="00740D17" w:rsidRDefault="00740D17" w:rsidP="00740D17">
      <w:pPr>
        <w:rPr>
          <w:lang w:val="es-ES"/>
        </w:rPr>
      </w:pPr>
      <w:r>
        <w:rPr>
          <w:lang w:val="es-ES"/>
        </w:rPr>
        <w:br w:type="page"/>
      </w:r>
    </w:p>
    <w:p w:rsidR="00740D17" w:rsidRPr="00661491" w:rsidRDefault="00740D17" w:rsidP="00740D17">
      <w:pPr>
        <w:pStyle w:val="Heading3"/>
        <w:rPr>
          <w:color w:val="00205C"/>
        </w:rPr>
      </w:pPr>
      <w:bookmarkStart w:id="276" w:name="_Toc7518628"/>
      <w:bookmarkStart w:id="277" w:name="_Toc7534679"/>
      <w:r w:rsidRPr="00661491">
        <w:rPr>
          <w:color w:val="00205C"/>
        </w:rPr>
        <w:lastRenderedPageBreak/>
        <w:t>II.2.4 – I.4 Igualdad de género e inclusión</w:t>
      </w:r>
      <w:bookmarkEnd w:id="276"/>
      <w:bookmarkEnd w:id="277"/>
    </w:p>
    <w:p w:rsidR="00740D17" w:rsidRPr="00661491" w:rsidRDefault="00740D17" w:rsidP="00740D17">
      <w:pPr>
        <w:pStyle w:val="Headingb"/>
        <w:rPr>
          <w:i/>
          <w:iCs/>
          <w:color w:val="00205C"/>
          <w:lang w:val="es-ES"/>
        </w:rPr>
      </w:pPr>
      <w:r w:rsidRPr="00661491">
        <w:rPr>
          <w:i/>
          <w:iCs/>
          <w:color w:val="00205C"/>
          <w:lang w:val="es-ES"/>
        </w:rPr>
        <w:t>Descripción del objetivo</w:t>
      </w:r>
    </w:p>
    <w:p w:rsidR="00740D17" w:rsidRPr="00EE1E1F" w:rsidRDefault="00740D17" w:rsidP="00740D17">
      <w:pPr>
        <w:rPr>
          <w:lang w:val="es-ES"/>
        </w:rPr>
      </w:pPr>
      <w:r w:rsidRPr="00EE1E1F">
        <w:rPr>
          <w:lang w:val="es-ES"/>
        </w:rPr>
        <w:t>Aumentar la utilización de las telecomunicaciones/TIC a efectos de igualdad de género e inclusión, y empoderamiento de las mujeres y las niñas.</w:t>
      </w:r>
    </w:p>
    <w:p w:rsidR="00740D17" w:rsidRPr="00EE1E1F" w:rsidRDefault="00740D17" w:rsidP="00740D17">
      <w:pPr>
        <w:rPr>
          <w:lang w:val="es-ES"/>
        </w:rPr>
      </w:pPr>
      <w:r w:rsidRPr="005920A1">
        <w:rPr>
          <w:lang w:val="es-ES"/>
        </w:rPr>
        <w:t>El</w:t>
      </w:r>
      <w:r w:rsidRPr="00EE1E1F">
        <w:rPr>
          <w:lang w:val="es-ES"/>
        </w:rPr>
        <w:t xml:space="preserve"> Objetivo I.4 utiliza el 7,83 por ciento de los recursos previstos para los objetivos intersectoriales, un 0,78 por ciento de los recursos previstos de la UIT para 2020-2021</w:t>
      </w:r>
      <w:r>
        <w:rPr>
          <w:lang w:val="es-ES"/>
        </w:rPr>
        <w:t>.</w:t>
      </w:r>
    </w:p>
    <w:p w:rsidR="00740D17" w:rsidRPr="00661491" w:rsidRDefault="00740D17" w:rsidP="00740D17">
      <w:pPr>
        <w:pStyle w:val="Headingb"/>
        <w:spacing w:after="120"/>
        <w:rPr>
          <w:i/>
          <w:iCs/>
          <w:color w:val="00205C"/>
          <w:lang w:val="es-ES"/>
        </w:rPr>
      </w:pPr>
      <w:r w:rsidRPr="00661491">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661491" w:rsidTr="00740D17">
        <w:trPr>
          <w:trHeight w:val="586"/>
        </w:trPr>
        <w:tc>
          <w:tcPr>
            <w:tcW w:w="4508" w:type="dxa"/>
            <w:tcBorders>
              <w:righ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Resultados principales</w:t>
            </w:r>
          </w:p>
        </w:tc>
        <w:tc>
          <w:tcPr>
            <w:tcW w:w="4508" w:type="dxa"/>
            <w:tcBorders>
              <w:lef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 xml:space="preserve">Mejor acceso a las telecomunicaciones/TIC y utilización de las mismas para promover </w:t>
            </w:r>
            <w:r>
              <w:rPr>
                <w:lang w:val="es-ES"/>
              </w:rPr>
              <w:t xml:space="preserve">el </w:t>
            </w:r>
            <w:r w:rsidRPr="00FE2DAB">
              <w:rPr>
                <w:lang w:val="es-ES"/>
              </w:rPr>
              <w:t>empoderamiento</w:t>
            </w:r>
            <w:r w:rsidRPr="00EE1E1F">
              <w:rPr>
                <w:lang w:val="es-ES"/>
              </w:rPr>
              <w:t xml:space="preserve"> de la mujer.</w:t>
            </w:r>
          </w:p>
        </w:tc>
        <w:tc>
          <w:tcPr>
            <w:tcW w:w="4508" w:type="dxa"/>
            <w:tcBorders>
              <w:top w:val="single" w:sz="12" w:space="0" w:color="4F81BD" w:themeColor="accent1"/>
              <w:left w:val="dotted" w:sz="4" w:space="0" w:color="4F81BD" w:themeColor="accent1"/>
              <w:bottom w:val="nil"/>
            </w:tcBorders>
          </w:tcPr>
          <w:p w:rsidR="00740D17" w:rsidRPr="004F01F5" w:rsidRDefault="00740D17" w:rsidP="00740D17">
            <w:pPr>
              <w:pStyle w:val="Tabletext"/>
              <w:rPr>
                <w:lang w:val="es-ES"/>
              </w:rPr>
            </w:pPr>
            <w:r w:rsidRPr="004F01F5">
              <w:rPr>
                <w:lang w:val="es-ES"/>
              </w:rPr>
              <w:t>Diferencia entre los porcentajes de hombres y mujeres que utilizan Internet.</w:t>
            </w:r>
          </w:p>
          <w:p w:rsidR="00740D17" w:rsidRPr="004F01F5" w:rsidRDefault="00740D17" w:rsidP="00740D17">
            <w:pPr>
              <w:pStyle w:val="Tabletext"/>
              <w:rPr>
                <w:lang w:val="es-ES"/>
              </w:rPr>
            </w:pPr>
            <w:r w:rsidRPr="004F01F5">
              <w:rPr>
                <w:lang w:val="es-ES"/>
              </w:rPr>
              <w:t>Diferencia entre los porcentajes de hombres y mujeres que disponen de teléfono móvil.</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Mayor participación de mujeres en todos los niveles de toma de decisión en las labores de la Unión y en el sector de las telecomunicaciones/TIC</w:t>
            </w:r>
            <w:r>
              <w:rPr>
                <w:lang w:val="es-ES"/>
              </w:rPr>
              <w:t>.</w:t>
            </w:r>
          </w:p>
        </w:tc>
        <w:tc>
          <w:tcPr>
            <w:tcW w:w="4508" w:type="dxa"/>
            <w:tcBorders>
              <w:left w:val="dotted" w:sz="4" w:space="0" w:color="4F81BD" w:themeColor="accent1"/>
              <w:bottom w:val="nil"/>
            </w:tcBorders>
          </w:tcPr>
          <w:p w:rsidR="00740D17" w:rsidRPr="004F01F5" w:rsidRDefault="00740D17" w:rsidP="00740D17">
            <w:pPr>
              <w:pStyle w:val="Tabletext"/>
              <w:rPr>
                <w:lang w:val="es-ES"/>
              </w:rPr>
            </w:pPr>
            <w:r w:rsidRPr="004F01F5">
              <w:rPr>
                <w:lang w:val="es-ES"/>
              </w:rPr>
              <w:t>Resultados del Panel de control de la UIT sobre cuestiones de género (</w:t>
            </w:r>
            <w:r>
              <w:rPr>
                <w:lang w:val="es-ES"/>
              </w:rPr>
              <w:t>n</w:t>
            </w:r>
            <w:r w:rsidRPr="004F01F5">
              <w:rPr>
                <w:lang w:val="es-ES"/>
              </w:rPr>
              <w:t>úmero de mujeres en las reuniones de la UIT: en general, Presidentas, Vicepresidentas; mujeres en comisiones estatutarias; mujeres en eventos clave; mujeres en la PP y en el Consejo; mujeres en las TIC y conectividad).</w:t>
            </w:r>
          </w:p>
        </w:tc>
      </w:tr>
      <w:tr w:rsidR="00740D17" w:rsidRPr="00EE1E1F" w:rsidTr="00740D17">
        <w:tc>
          <w:tcPr>
            <w:tcW w:w="4508" w:type="dxa"/>
            <w:tcBorders>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 xml:space="preserve">Mayor implicación con otras organizaciones de las Naciones Unidas y partes interesadas implicadas en la utilización de las telecomunicaciones/TIC </w:t>
            </w:r>
            <w:r w:rsidRPr="00FE2DAB">
              <w:rPr>
                <w:lang w:val="es-ES"/>
              </w:rPr>
              <w:t>para promover el empoderamiento de la mujer</w:t>
            </w:r>
            <w:r>
              <w:rPr>
                <w:lang w:val="es-ES"/>
              </w:rPr>
              <w:t>.</w:t>
            </w:r>
          </w:p>
        </w:tc>
        <w:tc>
          <w:tcPr>
            <w:tcW w:w="4508" w:type="dxa"/>
            <w:tcBorders>
              <w:left w:val="dotted" w:sz="4" w:space="0" w:color="4F81BD" w:themeColor="accent1"/>
            </w:tcBorders>
          </w:tcPr>
          <w:p w:rsidR="00740D17" w:rsidRPr="004F01F5" w:rsidRDefault="00740D17" w:rsidP="00740D17">
            <w:pPr>
              <w:pStyle w:val="Tabletext"/>
              <w:rPr>
                <w:lang w:val="es-ES"/>
              </w:rPr>
            </w:pPr>
            <w:r w:rsidRPr="00EE1E1F">
              <w:rPr>
                <w:lang w:val="es-ES"/>
              </w:rPr>
              <w:t>Resultados de EQUALS y</w:t>
            </w:r>
            <w:r>
              <w:rPr>
                <w:lang w:val="es-ES"/>
              </w:rPr>
              <w:t xml:space="preserve"> BBComm.</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Plena aplicación de la estrategia en todo el sistema de Naciones Unidas sobre la igualdad de género en el ámbito de competencias de la</w:t>
            </w:r>
            <w:r>
              <w:rPr>
                <w:lang w:val="es-ES"/>
              </w:rPr>
              <w:t> </w:t>
            </w:r>
            <w:r w:rsidRPr="00EE1E1F">
              <w:rPr>
                <w:lang w:val="es-ES"/>
              </w:rPr>
              <w:t>UIT.</w:t>
            </w:r>
          </w:p>
        </w:tc>
        <w:tc>
          <w:tcPr>
            <w:tcW w:w="4508" w:type="dxa"/>
            <w:tcBorders>
              <w:left w:val="dotted" w:sz="4" w:space="0" w:color="4F81BD" w:themeColor="accent1"/>
              <w:bottom w:val="nil"/>
            </w:tcBorders>
          </w:tcPr>
          <w:p w:rsidR="00740D17" w:rsidRPr="004F01F5" w:rsidRDefault="00740D17" w:rsidP="00740D17">
            <w:pPr>
              <w:pStyle w:val="Tabletext"/>
              <w:rPr>
                <w:lang w:val="es-ES"/>
              </w:rPr>
            </w:pPr>
            <w:r w:rsidRPr="00EE1E1F">
              <w:rPr>
                <w:lang w:val="es-ES"/>
              </w:rPr>
              <w:t>Puntuaciones de la UIT en los indicadores de rendimiento del ONU-SWAP.</w:t>
            </w:r>
          </w:p>
        </w:tc>
      </w:tr>
    </w:tbl>
    <w:p w:rsidR="00740D17" w:rsidRPr="00661491" w:rsidRDefault="00740D17" w:rsidP="00740D17">
      <w:pPr>
        <w:pStyle w:val="Headingb"/>
        <w:rPr>
          <w:i/>
          <w:iCs/>
          <w:color w:val="00205C"/>
          <w:lang w:val="es-ES"/>
        </w:rPr>
      </w:pPr>
      <w:r w:rsidRPr="00661491">
        <w:rPr>
          <w:i/>
          <w:iCs/>
          <w:color w:val="00205C"/>
          <w:lang w:val="es-ES"/>
        </w:rPr>
        <w:t>Resumen de los costes previstos</w:t>
      </w:r>
    </w:p>
    <w:p w:rsidR="00740D17" w:rsidRDefault="00740D17" w:rsidP="00740D17">
      <w:pPr>
        <w:pStyle w:val="Figure"/>
        <w:keepNext w:val="0"/>
        <w:keepLines w:val="0"/>
      </w:pPr>
      <w:r w:rsidRPr="00CC0151">
        <w:rPr>
          <w:noProof/>
          <w:lang w:val="en-GB" w:eastAsia="zh-CN"/>
        </w:rPr>
        <w:drawing>
          <wp:inline distT="0" distB="0" distL="0" distR="0">
            <wp:extent cx="5201285" cy="2296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1285" cy="2296795"/>
                    </a:xfrm>
                    <a:prstGeom prst="rect">
                      <a:avLst/>
                    </a:prstGeom>
                    <a:noFill/>
                    <a:ln>
                      <a:noFill/>
                    </a:ln>
                  </pic:spPr>
                </pic:pic>
              </a:graphicData>
            </a:graphic>
          </wp:inline>
        </w:drawing>
      </w:r>
    </w:p>
    <w:p w:rsidR="00740D17" w:rsidRDefault="00740D17" w:rsidP="00740D17">
      <w:r>
        <w:br w:type="page"/>
      </w:r>
    </w:p>
    <w:p w:rsidR="00740D17" w:rsidRPr="00661491" w:rsidRDefault="00740D17" w:rsidP="00740D17">
      <w:pPr>
        <w:pStyle w:val="Heading3"/>
        <w:rPr>
          <w:color w:val="00205C"/>
        </w:rPr>
      </w:pPr>
      <w:bookmarkStart w:id="278" w:name="_Toc7518629"/>
      <w:bookmarkStart w:id="279" w:name="_Toc7534680"/>
      <w:r w:rsidRPr="00661491">
        <w:rPr>
          <w:color w:val="00205C"/>
        </w:rPr>
        <w:lastRenderedPageBreak/>
        <w:t>II.2.5 – I.5 Sostenibilidad ambiental</w:t>
      </w:r>
      <w:bookmarkEnd w:id="278"/>
      <w:bookmarkEnd w:id="279"/>
    </w:p>
    <w:p w:rsidR="00740D17" w:rsidRPr="00661491" w:rsidRDefault="00740D17" w:rsidP="00740D17">
      <w:pPr>
        <w:pStyle w:val="Headingb"/>
        <w:rPr>
          <w:i/>
          <w:iCs/>
          <w:color w:val="00205C"/>
          <w:lang w:val="es-ES"/>
        </w:rPr>
      </w:pPr>
      <w:r w:rsidRPr="00661491">
        <w:rPr>
          <w:i/>
          <w:iCs/>
          <w:color w:val="00205C"/>
          <w:lang w:val="es-ES"/>
        </w:rPr>
        <w:t>Descripción del objetivo</w:t>
      </w:r>
    </w:p>
    <w:p w:rsidR="00740D17" w:rsidRPr="00EE1E1F" w:rsidRDefault="00740D17" w:rsidP="00740D17">
      <w:pPr>
        <w:rPr>
          <w:lang w:val="es-ES"/>
        </w:rPr>
      </w:pPr>
      <w:r w:rsidRPr="00EE1E1F">
        <w:rPr>
          <w:lang w:val="es-ES"/>
        </w:rPr>
        <w:t>Utilizar las telecomunicaciones/TIC para reducir la huella ambiental.</w:t>
      </w:r>
    </w:p>
    <w:p w:rsidR="00740D17" w:rsidRPr="00EE1E1F" w:rsidRDefault="00740D17" w:rsidP="00740D17">
      <w:pPr>
        <w:rPr>
          <w:lang w:val="es-ES"/>
        </w:rPr>
      </w:pPr>
      <w:r w:rsidRPr="00EE1E1F">
        <w:rPr>
          <w:lang w:val="es-ES"/>
        </w:rPr>
        <w:t>El Objetivo I.5 utiliza el 2,42 por ciento de los recursos previstos para los objetivos intersectoriales, un 0,24 por ciento de los recursos previstos de la UIT para 2020-2021</w:t>
      </w:r>
      <w:r>
        <w:rPr>
          <w:lang w:val="es-ES"/>
        </w:rPr>
        <w:t>.</w:t>
      </w:r>
    </w:p>
    <w:p w:rsidR="00740D17" w:rsidRPr="00661491" w:rsidRDefault="00740D17" w:rsidP="00740D17">
      <w:pPr>
        <w:pStyle w:val="Headingb"/>
        <w:spacing w:after="120"/>
        <w:rPr>
          <w:i/>
          <w:iCs/>
          <w:color w:val="00205C"/>
          <w:lang w:val="es-ES"/>
        </w:rPr>
      </w:pPr>
      <w:r w:rsidRPr="00661491">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661491" w:rsidTr="00740D17">
        <w:trPr>
          <w:trHeight w:val="586"/>
        </w:trPr>
        <w:tc>
          <w:tcPr>
            <w:tcW w:w="4508" w:type="dxa"/>
            <w:tcBorders>
              <w:righ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Resultados principales</w:t>
            </w:r>
          </w:p>
        </w:tc>
        <w:tc>
          <w:tcPr>
            <w:tcW w:w="4508" w:type="dxa"/>
            <w:tcBorders>
              <w:left w:val="dotted" w:sz="4" w:space="0" w:color="4F81BD" w:themeColor="accent1"/>
            </w:tcBorders>
          </w:tcPr>
          <w:p w:rsidR="00740D17" w:rsidRPr="00661491" w:rsidRDefault="00740D17" w:rsidP="00740D17">
            <w:pPr>
              <w:pStyle w:val="Tablehead"/>
              <w:rPr>
                <w:i/>
                <w:iCs/>
                <w:color w:val="00205C"/>
                <w:lang w:val="es-ES"/>
              </w:rPr>
            </w:pPr>
            <w:r w:rsidRPr="00661491">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Mejora de la eficacia de las políticas y las normas ambientales</w:t>
            </w:r>
            <w:r>
              <w:rPr>
                <w:lang w:val="es-ES"/>
              </w:rPr>
              <w:t>.</w:t>
            </w:r>
          </w:p>
        </w:tc>
        <w:tc>
          <w:tcPr>
            <w:tcW w:w="4508" w:type="dxa"/>
            <w:tcBorders>
              <w:top w:val="single" w:sz="12" w:space="0" w:color="4F81BD" w:themeColor="accent1"/>
              <w:left w:val="dotted" w:sz="4" w:space="0" w:color="4F81BD" w:themeColor="accent1"/>
              <w:bottom w:val="nil"/>
            </w:tcBorders>
          </w:tcPr>
          <w:p w:rsidR="00740D17" w:rsidRPr="00EE1E1F" w:rsidRDefault="00740D17" w:rsidP="00740D17">
            <w:pPr>
              <w:pStyle w:val="Tabletext"/>
              <w:rPr>
                <w:rFonts w:asciiTheme="minorHAnsi" w:hAnsiTheme="minorHAnsi"/>
                <w:lang w:val="es-ES"/>
              </w:rPr>
            </w:pPr>
            <w:r w:rsidRPr="00EE1E1F">
              <w:rPr>
                <w:lang w:val="es-ES"/>
              </w:rPr>
              <w:t>Porcentaje de países con una legislación sobre residuos electrónicos</w:t>
            </w:r>
            <w:r>
              <w:rPr>
                <w:lang w:val="es-ES"/>
              </w:rPr>
              <w:t>.</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Reducción del consumo energético de las aplicaciones de telecomunicaciones/TIC</w:t>
            </w:r>
            <w:r>
              <w:rPr>
                <w:lang w:val="es-ES"/>
              </w:rPr>
              <w:t>.</w:t>
            </w:r>
          </w:p>
        </w:tc>
        <w:tc>
          <w:tcPr>
            <w:tcW w:w="4508" w:type="dxa"/>
            <w:tcBorders>
              <w:left w:val="dotted" w:sz="4" w:space="0" w:color="4F81BD" w:themeColor="accent1"/>
              <w:bottom w:val="nil"/>
            </w:tcBorders>
          </w:tcPr>
          <w:p w:rsidR="00740D17" w:rsidRPr="00EE1E1F" w:rsidRDefault="00740D17" w:rsidP="00740D17">
            <w:pPr>
              <w:pStyle w:val="Tabletext"/>
              <w:rPr>
                <w:rFonts w:asciiTheme="minorHAnsi" w:hAnsiTheme="minorHAnsi"/>
                <w:lang w:val="es-ES"/>
              </w:rPr>
            </w:pPr>
            <w:r w:rsidRPr="00EE1E1F">
              <w:rPr>
                <w:lang w:val="es-ES"/>
              </w:rPr>
              <w:t>Reducción neta de las emisiones de gases de efecto invernadero propiciada por las telecomunicaciones/TIC.</w:t>
            </w:r>
          </w:p>
        </w:tc>
      </w:tr>
      <w:tr w:rsidR="00740D17" w:rsidRPr="00EE1E1F" w:rsidTr="00740D17">
        <w:tc>
          <w:tcPr>
            <w:tcW w:w="4508" w:type="dxa"/>
            <w:tcBorders>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Aumento del volumen de residuos electrónicos reciclados</w:t>
            </w:r>
            <w:r>
              <w:rPr>
                <w:lang w:val="es-ES"/>
              </w:rPr>
              <w:t>.</w:t>
            </w:r>
          </w:p>
        </w:tc>
        <w:tc>
          <w:tcPr>
            <w:tcW w:w="4508" w:type="dxa"/>
            <w:tcBorders>
              <w:lef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Tasa mundial de reciclado de los residuos electrónicos</w:t>
            </w:r>
            <w:r>
              <w:rPr>
                <w:lang w:val="es-ES"/>
              </w:rPr>
              <w:t>.</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Mejora de las soluciones para las ciudades inteligentes y sostenibles</w:t>
            </w:r>
            <w:r>
              <w:rPr>
                <w:lang w:val="es-ES"/>
              </w:rPr>
              <w:t>.</w:t>
            </w:r>
          </w:p>
        </w:tc>
        <w:tc>
          <w:tcPr>
            <w:tcW w:w="4508" w:type="dxa"/>
            <w:tcBorders>
              <w:left w:val="dotted" w:sz="4" w:space="0" w:color="4F81BD" w:themeColor="accent1"/>
              <w:bottom w:val="nil"/>
            </w:tcBorders>
          </w:tcPr>
          <w:p w:rsidR="00740D17" w:rsidRPr="00EE1E1F" w:rsidRDefault="00740D17" w:rsidP="00740D17">
            <w:pPr>
              <w:pStyle w:val="Tabletext"/>
              <w:rPr>
                <w:rFonts w:asciiTheme="minorHAnsi" w:hAnsiTheme="minorHAnsi"/>
                <w:lang w:val="es-ES"/>
              </w:rPr>
            </w:pPr>
            <w:r w:rsidRPr="00EE1E1F">
              <w:rPr>
                <w:lang w:val="es-ES"/>
              </w:rPr>
              <w:t>Indicador de mejora de las soluciones para las ciudades inteligentes y sostenibles</w:t>
            </w:r>
            <w:r>
              <w:rPr>
                <w:lang w:val="es-ES"/>
              </w:rPr>
              <w:t>.</w:t>
            </w:r>
          </w:p>
        </w:tc>
      </w:tr>
    </w:tbl>
    <w:p w:rsidR="00740D17" w:rsidRPr="00661491" w:rsidRDefault="00740D17" w:rsidP="00740D17">
      <w:pPr>
        <w:pStyle w:val="Headingb"/>
        <w:rPr>
          <w:i/>
          <w:iCs/>
          <w:color w:val="00205C"/>
          <w:lang w:val="es-ES"/>
        </w:rPr>
      </w:pPr>
      <w:r w:rsidRPr="00661491">
        <w:rPr>
          <w:i/>
          <w:iCs/>
          <w:color w:val="00205C"/>
          <w:lang w:val="es-ES"/>
        </w:rPr>
        <w:t>Resumen de los costes previstos</w:t>
      </w:r>
    </w:p>
    <w:p w:rsidR="00740D17" w:rsidRPr="00EE1E1F" w:rsidRDefault="00740D17" w:rsidP="00740D17">
      <w:pPr>
        <w:pStyle w:val="Figure"/>
        <w:rPr>
          <w:lang w:val="es-ES"/>
        </w:rPr>
      </w:pPr>
      <w:r w:rsidRPr="00CC0151">
        <w:rPr>
          <w:noProof/>
          <w:lang w:val="en-GB" w:eastAsia="zh-CN"/>
        </w:rPr>
        <w:drawing>
          <wp:inline distT="0" distB="0" distL="0" distR="0">
            <wp:extent cx="5222875" cy="2296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2875" cy="2296795"/>
                    </a:xfrm>
                    <a:prstGeom prst="rect">
                      <a:avLst/>
                    </a:prstGeom>
                    <a:noFill/>
                    <a:ln>
                      <a:noFill/>
                    </a:ln>
                  </pic:spPr>
                </pic:pic>
              </a:graphicData>
            </a:graphic>
          </wp:inline>
        </w:drawing>
      </w:r>
    </w:p>
    <w:p w:rsidR="00740D17" w:rsidRDefault="00740D17" w:rsidP="00740D17">
      <w:pPr>
        <w:rPr>
          <w:lang w:val="es-ES"/>
        </w:rPr>
      </w:pPr>
      <w:r>
        <w:rPr>
          <w:lang w:val="es-ES"/>
        </w:rPr>
        <w:br w:type="page"/>
      </w:r>
    </w:p>
    <w:p w:rsidR="00740D17" w:rsidRPr="00DE26FA" w:rsidRDefault="00740D17" w:rsidP="00740D17">
      <w:pPr>
        <w:pStyle w:val="Heading3"/>
        <w:rPr>
          <w:color w:val="00205C"/>
        </w:rPr>
      </w:pPr>
      <w:bookmarkStart w:id="280" w:name="_Toc7518630"/>
      <w:bookmarkStart w:id="281" w:name="_Toc7534681"/>
      <w:r w:rsidRPr="00DE26FA">
        <w:rPr>
          <w:color w:val="00205C"/>
        </w:rPr>
        <w:lastRenderedPageBreak/>
        <w:t>II.2.6 – I.6 Reducción de solapamientos y duplicaciones</w:t>
      </w:r>
      <w:bookmarkEnd w:id="280"/>
      <w:bookmarkEnd w:id="281"/>
    </w:p>
    <w:p w:rsidR="00740D17" w:rsidRPr="00DE26FA" w:rsidRDefault="00740D17" w:rsidP="00740D17">
      <w:pPr>
        <w:pStyle w:val="Headingb"/>
        <w:rPr>
          <w:i/>
          <w:iCs/>
          <w:color w:val="00205C"/>
          <w:lang w:val="es-ES"/>
        </w:rPr>
      </w:pPr>
      <w:r w:rsidRPr="00DE26FA">
        <w:rPr>
          <w:i/>
          <w:iCs/>
          <w:color w:val="00205C"/>
          <w:lang w:val="es-ES"/>
        </w:rPr>
        <w:t>Descripción del objetivo</w:t>
      </w:r>
    </w:p>
    <w:p w:rsidR="00740D17" w:rsidRPr="00EE1E1F" w:rsidRDefault="00740D17" w:rsidP="00740D17">
      <w:pPr>
        <w:rPr>
          <w:lang w:val="es-ES"/>
        </w:rPr>
      </w:pPr>
      <w:r w:rsidRPr="00EE1E1F">
        <w:rPr>
          <w:lang w:val="es-ES"/>
        </w:rPr>
        <w:t>Reducir las esferas que se solapan y duplican, y fomentar una coordinación más estrecha y transparente entre la Secretaría General y los Sectores de la UIT, teniendo en cuenta las disposiciones presupuestarias de la Unión y los conocimientos y mandatos de cada Sector.</w:t>
      </w:r>
    </w:p>
    <w:p w:rsidR="00740D17" w:rsidRPr="00EE1E1F" w:rsidRDefault="00740D17" w:rsidP="00740D17">
      <w:pPr>
        <w:rPr>
          <w:lang w:val="es-ES"/>
        </w:rPr>
      </w:pPr>
      <w:r w:rsidRPr="00EE1E1F">
        <w:rPr>
          <w:lang w:val="es-ES"/>
        </w:rPr>
        <w:t>El Objetivo I.6 utiliza el 7,95 por ciento de los recursos previstos para los objetivos intersectoriales, un 0,79 por ciento de los recursos previstos de la UIT para 2020-2021.</w:t>
      </w:r>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right w:val="dotted" w:sz="4" w:space="0" w:color="4F81BD" w:themeColor="accent1"/>
            </w:tcBorders>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left w:val="dotted" w:sz="4" w:space="0" w:color="4F81BD" w:themeColor="accent1"/>
            </w:tcBorders>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Colaboración más estrecha y transparente entre los Sectores de la UIT, la Secretaría General y las tres Oficinas</w:t>
            </w:r>
            <w:r>
              <w:rPr>
                <w:lang w:val="es-ES"/>
              </w:rPr>
              <w:t>.</w:t>
            </w:r>
          </w:p>
        </w:tc>
        <w:tc>
          <w:tcPr>
            <w:tcW w:w="4508" w:type="dxa"/>
            <w:tcBorders>
              <w:top w:val="single" w:sz="12" w:space="0" w:color="4F81BD" w:themeColor="accent1"/>
              <w:left w:val="dotted" w:sz="4" w:space="0" w:color="4F81BD" w:themeColor="accent1"/>
              <w:bottom w:val="nil"/>
            </w:tcBorders>
          </w:tcPr>
          <w:p w:rsidR="00740D17" w:rsidRPr="00EE1E1F" w:rsidRDefault="00740D17" w:rsidP="00740D17">
            <w:pPr>
              <w:pStyle w:val="Tabletext"/>
              <w:rPr>
                <w:rFonts w:asciiTheme="minorHAnsi" w:hAnsiTheme="minorHAnsi"/>
                <w:szCs w:val="20"/>
                <w:lang w:val="es-ES"/>
              </w:rPr>
            </w:pPr>
            <w:r>
              <w:rPr>
                <w:rFonts w:asciiTheme="minorHAnsi" w:hAnsiTheme="minorHAnsi"/>
                <w:szCs w:val="20"/>
                <w:lang w:val="es-ES"/>
              </w:rPr>
              <w:t>Porcentaje de los Miembros que declaran que la UIT funciona como "Una UIT".</w:t>
            </w:r>
          </w:p>
          <w:p w:rsidR="00740D17" w:rsidRPr="00EE1E1F" w:rsidRDefault="00740D17" w:rsidP="00740D17">
            <w:pPr>
              <w:pStyle w:val="Tabletext"/>
              <w:rPr>
                <w:rFonts w:asciiTheme="minorHAnsi" w:hAnsiTheme="minorHAnsi"/>
                <w:szCs w:val="20"/>
                <w:lang w:val="es-ES"/>
              </w:rPr>
            </w:pPr>
            <w:r w:rsidRPr="00EE1E1F">
              <w:rPr>
                <w:szCs w:val="20"/>
                <w:lang w:val="es-ES"/>
              </w:rPr>
              <w:t>Número de eventos organizados conjuntamente por al menos dos Sectores</w:t>
            </w:r>
            <w:r>
              <w:rPr>
                <w:szCs w:val="20"/>
                <w:lang w:val="es-ES"/>
              </w:rPr>
              <w:t>.</w:t>
            </w:r>
          </w:p>
          <w:p w:rsidR="00740D17" w:rsidRPr="00EE1E1F" w:rsidRDefault="00740D17" w:rsidP="00740D17">
            <w:pPr>
              <w:pStyle w:val="Tabletext"/>
              <w:rPr>
                <w:rFonts w:asciiTheme="minorHAnsi" w:hAnsiTheme="minorHAnsi"/>
                <w:szCs w:val="20"/>
                <w:lang w:val="es-ES"/>
              </w:rPr>
            </w:pPr>
            <w:r w:rsidRPr="00EE1E1F">
              <w:rPr>
                <w:rFonts w:asciiTheme="minorHAnsi" w:hAnsiTheme="minorHAnsi"/>
                <w:szCs w:val="20"/>
                <w:lang w:val="es-ES"/>
              </w:rPr>
              <w:t>Resultados del</w:t>
            </w:r>
            <w:r w:rsidRPr="00EE1E1F">
              <w:rPr>
                <w:szCs w:val="20"/>
                <w:lang w:val="es-ES"/>
              </w:rPr>
              <w:t xml:space="preserve"> </w:t>
            </w:r>
            <w:r w:rsidRPr="00EE1E1F">
              <w:rPr>
                <w:rFonts w:asciiTheme="minorHAnsi" w:hAnsiTheme="minorHAnsi"/>
                <w:szCs w:val="20"/>
                <w:lang w:val="es-ES"/>
              </w:rPr>
              <w:t>GE-CIS.</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Reducción de las esferas que se solapan y duplican entre los Sectores de la UIT, y entre los trabajos de la Secretaría General y las tres Oficinas</w:t>
            </w:r>
            <w:r>
              <w:rPr>
                <w:lang w:val="es-ES"/>
              </w:rPr>
              <w:t>.</w:t>
            </w:r>
          </w:p>
        </w:tc>
        <w:tc>
          <w:tcPr>
            <w:tcW w:w="4508" w:type="dxa"/>
            <w:tcBorders>
              <w:left w:val="dotted" w:sz="4" w:space="0" w:color="4F81BD" w:themeColor="accent1"/>
              <w:bottom w:val="nil"/>
            </w:tcBorders>
          </w:tcPr>
          <w:p w:rsidR="00740D17" w:rsidRPr="00EE1E1F" w:rsidRDefault="00740D17" w:rsidP="00740D17">
            <w:pPr>
              <w:pStyle w:val="Tabletext"/>
              <w:rPr>
                <w:rFonts w:asciiTheme="minorHAnsi" w:hAnsiTheme="minorHAnsi"/>
                <w:szCs w:val="20"/>
                <w:highlight w:val="yellow"/>
                <w:lang w:val="es-ES"/>
              </w:rPr>
            </w:pPr>
            <w:r w:rsidRPr="00EE1E1F">
              <w:rPr>
                <w:szCs w:val="20"/>
                <w:lang w:val="es-ES"/>
              </w:rPr>
              <w:t>Número de esferas de solapamiento identificadas y sobre las que se ha actuado</w:t>
            </w:r>
            <w:r>
              <w:rPr>
                <w:szCs w:val="20"/>
                <w:lang w:val="es-ES"/>
              </w:rPr>
              <w:t>.</w:t>
            </w:r>
          </w:p>
        </w:tc>
      </w:tr>
      <w:tr w:rsidR="00740D17" w:rsidRPr="00EE1E1F" w:rsidTr="00740D17">
        <w:tc>
          <w:tcPr>
            <w:tcW w:w="4508" w:type="dxa"/>
            <w:tcBorders>
              <w:bottom w:val="nil"/>
              <w:right w:val="dotted" w:sz="4" w:space="0" w:color="4F81BD" w:themeColor="accent1"/>
            </w:tcBorders>
          </w:tcPr>
          <w:p w:rsidR="00740D17" w:rsidRPr="00EE1E1F" w:rsidRDefault="00740D17" w:rsidP="00740D17">
            <w:pPr>
              <w:pStyle w:val="Tabletext"/>
              <w:rPr>
                <w:rFonts w:asciiTheme="minorHAnsi" w:hAnsiTheme="minorHAnsi"/>
                <w:lang w:val="es-ES"/>
              </w:rPr>
            </w:pPr>
            <w:r w:rsidRPr="00EE1E1F">
              <w:rPr>
                <w:lang w:val="es-ES"/>
              </w:rPr>
              <w:t>Ahorrar mediante la evitación de esferas de solapamiento</w:t>
            </w:r>
            <w:r>
              <w:rPr>
                <w:lang w:val="es-ES"/>
              </w:rPr>
              <w:t>.</w:t>
            </w:r>
          </w:p>
        </w:tc>
        <w:tc>
          <w:tcPr>
            <w:tcW w:w="4508" w:type="dxa"/>
            <w:tcBorders>
              <w:left w:val="dotted" w:sz="4" w:space="0" w:color="4F81BD" w:themeColor="accent1"/>
              <w:bottom w:val="nil"/>
            </w:tcBorders>
          </w:tcPr>
          <w:p w:rsidR="00740D17" w:rsidRPr="00EE1E1F" w:rsidRDefault="00740D17" w:rsidP="00740D17">
            <w:pPr>
              <w:pStyle w:val="Tabletext"/>
              <w:rPr>
                <w:rFonts w:asciiTheme="minorHAnsi" w:hAnsiTheme="minorHAnsi"/>
                <w:szCs w:val="20"/>
                <w:highlight w:val="yellow"/>
                <w:lang w:val="es-ES"/>
              </w:rPr>
            </w:pPr>
            <w:r w:rsidRPr="00EE1E1F">
              <w:rPr>
                <w:szCs w:val="20"/>
                <w:lang w:val="es-ES"/>
              </w:rPr>
              <w:t>Reducciones de costes resultantes de las medidas de eficiencia relativas a la identificación y eliminación de todos los casos y tipos de duplicación</w:t>
            </w:r>
            <w:r>
              <w:rPr>
                <w:szCs w:val="20"/>
                <w:lang w:val="es-ES"/>
              </w:rPr>
              <w:t>.</w:t>
            </w:r>
          </w:p>
        </w:tc>
      </w:tr>
    </w:tbl>
    <w:p w:rsidR="00740D17" w:rsidRPr="00DE26FA" w:rsidRDefault="00740D17" w:rsidP="00740D17">
      <w:pPr>
        <w:pStyle w:val="Headingb"/>
        <w:rPr>
          <w:i/>
          <w:iCs/>
          <w:color w:val="00205C"/>
          <w:lang w:val="es-ES"/>
        </w:rPr>
      </w:pPr>
      <w:bookmarkStart w:id="282" w:name="lt_pId236"/>
      <w:r w:rsidRPr="00DE26FA">
        <w:rPr>
          <w:i/>
          <w:iCs/>
          <w:color w:val="00205C"/>
          <w:lang w:val="es-ES"/>
        </w:rPr>
        <w:t>Resumen de los costes previstos</w:t>
      </w:r>
      <w:bookmarkEnd w:id="282"/>
    </w:p>
    <w:p w:rsidR="00740D17" w:rsidRPr="0068717C" w:rsidRDefault="00740D17" w:rsidP="00740D17">
      <w:pPr>
        <w:pStyle w:val="Figure"/>
        <w:rPr>
          <w:lang w:val="es-ES"/>
        </w:rPr>
      </w:pPr>
      <w:r w:rsidRPr="0068717C">
        <w:rPr>
          <w:noProof/>
          <w:lang w:val="en-GB" w:eastAsia="zh-CN"/>
        </w:rPr>
        <w:drawing>
          <wp:inline distT="0" distB="0" distL="0" distR="0">
            <wp:extent cx="5230495" cy="229679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0495" cy="2296795"/>
                    </a:xfrm>
                    <a:prstGeom prst="rect">
                      <a:avLst/>
                    </a:prstGeom>
                    <a:noFill/>
                    <a:ln>
                      <a:noFill/>
                    </a:ln>
                  </pic:spPr>
                </pic:pic>
              </a:graphicData>
            </a:graphic>
          </wp:inline>
        </w:drawing>
      </w:r>
    </w:p>
    <w:p w:rsidR="00740D17" w:rsidRDefault="00740D17" w:rsidP="00740D17">
      <w:r>
        <w:br w:type="page"/>
      </w:r>
    </w:p>
    <w:p w:rsidR="00740D17" w:rsidRPr="007F10CF" w:rsidRDefault="00740D17" w:rsidP="00740D17">
      <w:pPr>
        <w:pStyle w:val="Heading2"/>
      </w:pPr>
      <w:bookmarkStart w:id="283" w:name="_Toc7518631"/>
      <w:bookmarkStart w:id="284" w:name="_Toc7533967"/>
      <w:bookmarkStart w:id="285" w:name="_Toc7534682"/>
      <w:r w:rsidRPr="007F10CF">
        <w:lastRenderedPageBreak/>
        <w:t>II.3</w:t>
      </w:r>
      <w:r w:rsidRPr="007F10CF">
        <w:tab/>
        <w:t>Objetivos del Sector de Radiocomunicaciones</w:t>
      </w:r>
      <w:bookmarkEnd w:id="283"/>
      <w:bookmarkEnd w:id="284"/>
      <w:bookmarkEnd w:id="285"/>
    </w:p>
    <w:p w:rsidR="00740D17" w:rsidRDefault="00740D17" w:rsidP="00740D17">
      <w:pPr>
        <w:rPr>
          <w:lang w:val="es-ES"/>
        </w:rPr>
      </w:pPr>
      <w:r w:rsidRPr="00EE1E1F">
        <w:rPr>
          <w:lang w:val="es-ES"/>
        </w:rPr>
        <w:t>Se prevén tres objetivos del Sector de Radiocomunicaciones en 2020-2021, que representan el 37,03 por ciento del presupuesto total de la Unión para 2020-2021.</w:t>
      </w:r>
    </w:p>
    <w:p w:rsidR="00740D17" w:rsidRPr="00EE1E1F" w:rsidRDefault="00740D17" w:rsidP="00740D17">
      <w:pPr>
        <w:pStyle w:val="Figure"/>
        <w:rPr>
          <w:lang w:val="es-ES"/>
        </w:rPr>
      </w:pPr>
      <w:r>
        <w:rPr>
          <w:noProof/>
          <w:lang w:val="en-GB" w:eastAsia="zh-CN"/>
        </w:rPr>
        <w:drawing>
          <wp:inline distT="0" distB="0" distL="0" distR="0">
            <wp:extent cx="4784400" cy="3092400"/>
            <wp:effectExtent l="0" t="0" r="0" b="0"/>
            <wp:docPr id="32" name="Picture 32" descr="C:\Users\hernandf\AppData\Local\Microsoft\Windows\INetCache\Content.Word\Grafic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ernandf\AppData\Local\Microsoft\Windows\INetCache\Content.Word\Grafico 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84400" cy="3092400"/>
                    </a:xfrm>
                    <a:prstGeom prst="rect">
                      <a:avLst/>
                    </a:prstGeom>
                    <a:noFill/>
                    <a:ln>
                      <a:noFill/>
                    </a:ln>
                  </pic:spPr>
                </pic:pic>
              </a:graphicData>
            </a:graphic>
          </wp:inline>
        </w:drawing>
      </w:r>
    </w:p>
    <w:p w:rsidR="00740D17" w:rsidRDefault="00740D17" w:rsidP="00740D17">
      <w:pPr>
        <w:rPr>
          <w:lang w:val="es-ES"/>
        </w:rPr>
      </w:pPr>
    </w:p>
    <w:p w:rsidR="00740D17" w:rsidRPr="00EE1E1F" w:rsidRDefault="00740D17" w:rsidP="00740D17">
      <w:pPr>
        <w:pStyle w:val="Figure"/>
        <w:rPr>
          <w:lang w:val="es-ES"/>
        </w:rPr>
      </w:pPr>
      <w:r>
        <w:rPr>
          <w:noProof/>
          <w:lang w:val="en-GB" w:eastAsia="zh-CN"/>
        </w:rPr>
        <w:drawing>
          <wp:inline distT="0" distB="0" distL="0" distR="0">
            <wp:extent cx="4629600" cy="3344400"/>
            <wp:effectExtent l="0" t="0" r="0" b="8890"/>
            <wp:docPr id="35" name="Picture 35" descr="C:\Users\hernandf\AppData\Local\Microsoft\Windows\INetCache\Content.Word\Grafico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ernandf\AppData\Local\Microsoft\Windows\INetCache\Content.Word\Grafico 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29600" cy="33444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1907" w:h="16834"/>
          <w:pgMar w:top="1417" w:right="1134" w:bottom="1417" w:left="1134" w:header="720" w:footer="720" w:gutter="0"/>
          <w:paperSrc w:first="15" w:other="15"/>
          <w:cols w:space="720"/>
          <w:docGrid w:linePitch="326"/>
        </w:sectPr>
      </w:pPr>
    </w:p>
    <w:p w:rsidR="00740D17" w:rsidRPr="00EE1E1F" w:rsidRDefault="00740D17" w:rsidP="00740D17">
      <w:pPr>
        <w:pStyle w:val="Tabletitle"/>
        <w:rPr>
          <w:lang w:val="es-ES"/>
        </w:rPr>
      </w:pPr>
      <w:r w:rsidRPr="00EE1E1F">
        <w:rPr>
          <w:lang w:val="es-ES"/>
        </w:rPr>
        <w:lastRenderedPageBreak/>
        <w:t>Cuadro U</w:t>
      </w:r>
    </w:p>
    <w:p w:rsidR="00740D17" w:rsidRPr="00EE1E1F" w:rsidRDefault="00740D17" w:rsidP="00740D17">
      <w:pPr>
        <w:pStyle w:val="Tabletitle"/>
        <w:rPr>
          <w:lang w:val="es-ES"/>
        </w:rPr>
      </w:pPr>
      <w:bookmarkStart w:id="286" w:name="lt_pId242"/>
      <w:r w:rsidRPr="00EE1E1F">
        <w:rPr>
          <w:lang w:val="es-ES"/>
        </w:rPr>
        <w:t xml:space="preserve">Objetivos del UIT-R </w:t>
      </w:r>
      <w:r w:rsidRPr="00EE1E1F">
        <w:rPr>
          <w:lang w:val="es-ES"/>
        </w:rPr>
        <w:br/>
        <w:t>Costes previstos para 2020-2021</w:t>
      </w:r>
      <w:r w:rsidRPr="00EE1E1F">
        <w:rPr>
          <w:lang w:val="es-ES"/>
        </w:rPr>
        <w:br/>
        <w:t>Distribución por componente de coste</w:t>
      </w:r>
    </w:p>
    <w:bookmarkEnd w:id="286"/>
    <w:p w:rsidR="00740D17" w:rsidRPr="00EE1E1F" w:rsidRDefault="00740D17" w:rsidP="00740D17">
      <w:pPr>
        <w:pStyle w:val="Figure"/>
        <w:rPr>
          <w:lang w:val="es-ES"/>
        </w:rPr>
      </w:pPr>
      <w:r w:rsidRPr="005723CB">
        <w:rPr>
          <w:noProof/>
          <w:lang w:val="en-GB" w:eastAsia="zh-CN"/>
        </w:rPr>
        <w:drawing>
          <wp:inline distT="0" distB="0" distL="0" distR="0">
            <wp:extent cx="8989200" cy="24912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89200" cy="24912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6834" w:h="11907" w:orient="landscape"/>
          <w:pgMar w:top="1417" w:right="1134" w:bottom="1417" w:left="1134" w:header="720" w:footer="720" w:gutter="0"/>
          <w:paperSrc w:first="15" w:other="15"/>
          <w:cols w:space="720"/>
          <w:docGrid w:linePitch="326"/>
        </w:sectPr>
      </w:pPr>
    </w:p>
    <w:p w:rsidR="00740D17" w:rsidRPr="00DE26FA" w:rsidRDefault="00740D17" w:rsidP="00740D17">
      <w:pPr>
        <w:pStyle w:val="Heading3"/>
        <w:rPr>
          <w:color w:val="00205C"/>
        </w:rPr>
      </w:pPr>
      <w:bookmarkStart w:id="287" w:name="_Toc7518632"/>
      <w:bookmarkStart w:id="288" w:name="_Toc7534683"/>
      <w:r w:rsidRPr="00DE26FA">
        <w:rPr>
          <w:color w:val="00205C"/>
        </w:rPr>
        <w:lastRenderedPageBreak/>
        <w:t>II.3.1 – R.1 Reglamentación y gestión del espectro/las órbitas</w:t>
      </w:r>
      <w:bookmarkEnd w:id="287"/>
      <w:bookmarkEnd w:id="288"/>
    </w:p>
    <w:p w:rsidR="00740D17" w:rsidRPr="00DE26FA" w:rsidRDefault="00740D17" w:rsidP="00740D17">
      <w:pPr>
        <w:pStyle w:val="Headingb"/>
        <w:rPr>
          <w:i/>
          <w:iCs/>
          <w:color w:val="00205C"/>
          <w:lang w:val="es-ES"/>
        </w:rPr>
      </w:pPr>
      <w:r w:rsidRPr="00DE26FA">
        <w:rPr>
          <w:i/>
          <w:iCs/>
          <w:color w:val="00205C"/>
          <w:lang w:val="es-ES"/>
        </w:rPr>
        <w:t>Descripción del objetivo</w:t>
      </w:r>
    </w:p>
    <w:p w:rsidR="00740D17" w:rsidRDefault="00740D17" w:rsidP="00740D17">
      <w:pPr>
        <w:rPr>
          <w:lang w:val="es-ES"/>
        </w:rPr>
      </w:pPr>
      <w:r w:rsidRPr="00EE1E1F">
        <w:rPr>
          <w:lang w:val="es-ES"/>
        </w:rPr>
        <w:t>Atender de manera racional, equitativa, eficiente, económica y oportuna las necesidades de los Miembros de la UIT en materia de recursos de espectro de radiofrecuencias y órbitas de satélites, evitando interferencias perjudiciales.</w:t>
      </w:r>
    </w:p>
    <w:p w:rsidR="00740D17" w:rsidRPr="00EE1E1F" w:rsidRDefault="00740D17" w:rsidP="00740D17">
      <w:pPr>
        <w:rPr>
          <w:lang w:val="es-ES"/>
        </w:rPr>
      </w:pPr>
      <w:bookmarkStart w:id="289" w:name="lt_pId248"/>
      <w:r w:rsidRPr="00EE1E1F">
        <w:rPr>
          <w:lang w:val="es-ES"/>
        </w:rPr>
        <w:t>El Objetivo R.1 utiliza el 59,10 por ciento de los recursos previstos para los objetivos del UIT-R, un 21,88 por ciento de los recursos previstos de la UIT para 2020-2021.</w:t>
      </w:r>
      <w:bookmarkEnd w:id="289"/>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Aumento del número de países que tienen redes de satélite y estaciones terrenas inscritas en el Registro Internacional de Frecuencias (MIFR).</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países que tienen redes de satélite inscritas en el MIFR.</w:t>
            </w:r>
          </w:p>
          <w:p w:rsidR="00740D17" w:rsidRPr="00EE1E1F" w:rsidRDefault="00740D17" w:rsidP="00740D17">
            <w:pPr>
              <w:pStyle w:val="Tabletext"/>
              <w:rPr>
                <w:lang w:val="es-ES"/>
              </w:rPr>
            </w:pPr>
            <w:r w:rsidRPr="00EE1E1F">
              <w:rPr>
                <w:lang w:val="es-ES"/>
              </w:rPr>
              <w:t>Número de países que tienen estaciones terrenas inscritas en el MIFR.</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Aumento del número de países que tienen asignaciones de frecuencias terrenales inscritas en el MIFR.</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países que tienen asignaciones de frecuencias terrenales inscritas en el MIFR.</w:t>
            </w:r>
          </w:p>
          <w:p w:rsidR="00740D17" w:rsidRPr="00EE1E1F" w:rsidRDefault="00740D17" w:rsidP="00740D17">
            <w:pPr>
              <w:pStyle w:val="Tabletext"/>
              <w:rPr>
                <w:lang w:val="es-ES"/>
              </w:rPr>
            </w:pPr>
            <w:r w:rsidRPr="00EE1E1F">
              <w:rPr>
                <w:lang w:val="es-ES"/>
              </w:rPr>
              <w:t>Número de países que inscribieron asignaciones de frecuencias terrenales en el MIFR en los 4 últimos años.</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porcentaje de asignaciones inscritas en el Registro Internacional de Frecuencias con conclusión favorable.</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highlight w:val="green"/>
                <w:lang w:val="es-ES"/>
              </w:rPr>
            </w:pPr>
            <w:r w:rsidRPr="00EE1E1F">
              <w:rPr>
                <w:lang w:val="es-ES"/>
              </w:rPr>
              <w:t>Sujetas a coordinación (Terrenal).</w:t>
            </w:r>
          </w:p>
          <w:p w:rsidR="00740D17" w:rsidRPr="00EE1E1F" w:rsidRDefault="00740D17" w:rsidP="00740D17">
            <w:pPr>
              <w:pStyle w:val="Tabletext"/>
              <w:rPr>
                <w:highlight w:val="green"/>
                <w:lang w:val="es-ES"/>
              </w:rPr>
            </w:pPr>
            <w:r w:rsidRPr="00EE1E1F">
              <w:rPr>
                <w:lang w:val="es-ES"/>
              </w:rPr>
              <w:t>Sujetas a un Plan (Terrenal).</w:t>
            </w:r>
          </w:p>
          <w:p w:rsidR="00740D17" w:rsidRPr="00EE1E1F" w:rsidRDefault="00740D17" w:rsidP="00740D17">
            <w:pPr>
              <w:pStyle w:val="Tabletext"/>
              <w:rPr>
                <w:highlight w:val="green"/>
                <w:lang w:val="es-ES"/>
              </w:rPr>
            </w:pPr>
            <w:r w:rsidRPr="00EE1E1F">
              <w:rPr>
                <w:lang w:val="es-ES"/>
              </w:rPr>
              <w:t>Otras.</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porcentaje de países que han completado la transición a la radiodifusión de televisión terrenal digital.</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highlight w:val="green"/>
                <w:lang w:val="es-ES"/>
              </w:rPr>
            </w:pPr>
            <w:r w:rsidRPr="00EE1E1F">
              <w:rPr>
                <w:lang w:val="es-ES"/>
              </w:rPr>
              <w:t>Porcentaje de países que han completado la transición a la radiodifusión de televisión terrenal digital.</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porcentaje de espectro exento de interferencia perjudicial asignado a redes de satélite.</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Porcentaje de espectro asignado a redes de satélites que está libre de interferencia perjudicial.</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porcentaje de asignaciones exentas de interferencias perjudiciales a servicios terrenales inscritas en el Registro.</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Porcentaje de asignaciones a los servicios terrenales inscritas en el Registro que están libres de interferencia perjudicial (sobre la base del número de casos presentados a la UIT).</w:t>
            </w:r>
          </w:p>
        </w:tc>
      </w:tr>
    </w:tbl>
    <w:p w:rsidR="00740D17" w:rsidRDefault="00740D17" w:rsidP="00740D17">
      <w:pPr>
        <w:rPr>
          <w:lang w:val="es-ES"/>
        </w:rPr>
      </w:pPr>
      <w:r>
        <w:rPr>
          <w:lang w:val="es-ES"/>
        </w:rPr>
        <w:br w:type="page"/>
      </w:r>
    </w:p>
    <w:p w:rsidR="00740D17" w:rsidRPr="00DE26FA" w:rsidRDefault="00740D17" w:rsidP="00740D17">
      <w:pPr>
        <w:pStyle w:val="Headingb"/>
        <w:rPr>
          <w:i/>
          <w:iCs/>
          <w:color w:val="00205C"/>
          <w:lang w:val="es-ES"/>
        </w:rPr>
      </w:pPr>
      <w:r w:rsidRPr="00DE26FA">
        <w:rPr>
          <w:i/>
          <w:iCs/>
          <w:color w:val="00205C"/>
          <w:lang w:val="es-ES"/>
        </w:rPr>
        <w:lastRenderedPageBreak/>
        <w:t>Resumen de los costes previstos</w:t>
      </w:r>
    </w:p>
    <w:p w:rsidR="00740D17" w:rsidRPr="00EE1E1F" w:rsidRDefault="00740D17" w:rsidP="00740D17">
      <w:pPr>
        <w:pStyle w:val="Figure"/>
        <w:keepNext w:val="0"/>
        <w:keepLines w:val="0"/>
        <w:rPr>
          <w:lang w:val="es-ES"/>
        </w:rPr>
      </w:pPr>
      <w:r w:rsidRPr="005723CB">
        <w:rPr>
          <w:noProof/>
          <w:lang w:val="en-GB" w:eastAsia="zh-CN"/>
        </w:rPr>
        <w:drawing>
          <wp:inline distT="0" distB="0" distL="0" distR="0">
            <wp:extent cx="5222875" cy="2296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2875" cy="2296795"/>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DE26FA" w:rsidRDefault="00740D17" w:rsidP="00740D17">
      <w:pPr>
        <w:pStyle w:val="Heading3"/>
        <w:rPr>
          <w:color w:val="00205C"/>
        </w:rPr>
      </w:pPr>
      <w:bookmarkStart w:id="290" w:name="lt_pId269"/>
      <w:bookmarkStart w:id="291" w:name="_Toc7518633"/>
      <w:bookmarkStart w:id="292" w:name="_Toc7534684"/>
      <w:r w:rsidRPr="00DE26FA">
        <w:rPr>
          <w:color w:val="00205C"/>
        </w:rPr>
        <w:lastRenderedPageBreak/>
        <w:t xml:space="preserve">II.3.2 – R.2 </w:t>
      </w:r>
      <w:bookmarkEnd w:id="290"/>
      <w:r w:rsidRPr="00DE26FA">
        <w:rPr>
          <w:color w:val="00205C"/>
        </w:rPr>
        <w:t>Normas de radiocomunicaciones</w:t>
      </w:r>
      <w:bookmarkEnd w:id="291"/>
      <w:bookmarkEnd w:id="292"/>
    </w:p>
    <w:p w:rsidR="00740D17" w:rsidRPr="00DE26FA" w:rsidRDefault="00740D17" w:rsidP="00740D17">
      <w:pPr>
        <w:pStyle w:val="Headingb"/>
        <w:rPr>
          <w:i/>
          <w:iCs/>
          <w:color w:val="00205C"/>
          <w:lang w:val="es-ES"/>
        </w:rPr>
      </w:pPr>
      <w:bookmarkStart w:id="293" w:name="lt_pId270"/>
      <w:r w:rsidRPr="00DE26FA">
        <w:rPr>
          <w:i/>
          <w:iCs/>
          <w:color w:val="00205C"/>
          <w:lang w:val="es-ES"/>
        </w:rPr>
        <w:t>Descripción del objetivo</w:t>
      </w:r>
      <w:bookmarkEnd w:id="293"/>
    </w:p>
    <w:p w:rsidR="00740D17" w:rsidRPr="00EE1E1F" w:rsidRDefault="00740D17" w:rsidP="00740D17">
      <w:pPr>
        <w:rPr>
          <w:lang w:val="es-ES"/>
        </w:rPr>
      </w:pPr>
      <w:r w:rsidRPr="00EE1E1F">
        <w:rPr>
          <w:lang w:val="es-ES"/>
        </w:rPr>
        <w:t>Asegurar una conectividad e interoperabilidad mundiales, una mejora del funcionamiento, calidad, asequibilidad y puntualidad de los servicios y de la economía global del sistema en las radiocomunicaciones, incluido mediante la elaboración de normas internacionales.</w:t>
      </w:r>
    </w:p>
    <w:p w:rsidR="00740D17" w:rsidRPr="00EE1E1F" w:rsidRDefault="00740D17" w:rsidP="00740D17">
      <w:pPr>
        <w:rPr>
          <w:lang w:val="es-ES"/>
        </w:rPr>
      </w:pPr>
      <w:bookmarkStart w:id="294" w:name="lt_pId272"/>
      <w:r w:rsidRPr="00EE1E1F">
        <w:rPr>
          <w:lang w:val="es-ES"/>
        </w:rPr>
        <w:t>El Objetivo R.2 utiliza el 13,39 por ciento de los recursos previstos para los objetivos del UIT-R, un 4,96 por ciento de los recursos previstos de la UIT para 2020-2021.</w:t>
      </w:r>
      <w:bookmarkEnd w:id="294"/>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acceso y utilización de la banda ancha móvil, incluso en bandas de frecuencias identificadas para las telecomunicaciones móviles internacionales (IMT).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abonos/abonados</w:t>
            </w:r>
            <w:r>
              <w:rPr>
                <w:lang w:val="es-ES"/>
              </w:rPr>
              <w:t xml:space="preserve"> (miles de millones)</w:t>
            </w:r>
            <w:r w:rsidRPr="00EE1E1F">
              <w:rPr>
                <w:lang w:val="es-ES"/>
              </w:rPr>
              <w:t>.</w:t>
            </w:r>
          </w:p>
          <w:p w:rsidR="00740D17" w:rsidRPr="00EE1E1F" w:rsidRDefault="00740D17" w:rsidP="00740D17">
            <w:pPr>
              <w:pStyle w:val="Tabletext"/>
              <w:rPr>
                <w:lang w:val="es-ES"/>
              </w:rPr>
            </w:pPr>
            <w:r>
              <w:rPr>
                <w:lang w:val="es-ES"/>
              </w:rPr>
              <w:t>Porcentaje</w:t>
            </w:r>
            <w:r w:rsidRPr="00EE1E1F">
              <w:rPr>
                <w:lang w:val="es-ES"/>
              </w:rPr>
              <w:t xml:space="preserve"> de abonos a la banda ancha móvil.</w:t>
            </w:r>
          </w:p>
        </w:tc>
      </w:tr>
      <w:tr w:rsidR="00740D17" w:rsidRPr="00FE2DAB"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 xml:space="preserve">Disminución de la cesta de precios de la banda ancha móvil </w:t>
            </w:r>
            <w:r>
              <w:rPr>
                <w:lang w:val="es-ES"/>
              </w:rPr>
              <w:t>como</w:t>
            </w:r>
            <w:r w:rsidRPr="00EE1E1F">
              <w:rPr>
                <w:lang w:val="es-ES"/>
              </w:rPr>
              <w:t xml:space="preserve"> porcentaje de la Renta Nacional Bruta (RNB) por habitante.</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Cesta de precios de la banda ancha móvil en porcentaje de la RNB por habitante (prepago, teléfono móvil, 500 MB).</w:t>
            </w:r>
          </w:p>
          <w:p w:rsidR="00740D17" w:rsidRPr="00EE1E1F" w:rsidRDefault="00740D17" w:rsidP="00740D17">
            <w:pPr>
              <w:pStyle w:val="Tabletext"/>
              <w:rPr>
                <w:lang w:val="es-ES"/>
              </w:rPr>
            </w:pPr>
            <w:bookmarkStart w:id="295" w:name="lt_pId281"/>
            <w:r w:rsidRPr="00EE1E1F">
              <w:rPr>
                <w:lang w:val="es-ES"/>
              </w:rPr>
              <w:t>Mundial, países desarrollados, países en desarrollo, países menos adelantados.</w:t>
            </w:r>
            <w:bookmarkEnd w:id="295"/>
          </w:p>
          <w:p w:rsidR="00740D17" w:rsidRPr="00EE1E1F" w:rsidRDefault="00740D17" w:rsidP="00740D17">
            <w:pPr>
              <w:pStyle w:val="Tabletext"/>
              <w:rPr>
                <w:lang w:val="es-ES"/>
              </w:rPr>
            </w:pPr>
            <w:r w:rsidRPr="00EE1E1F">
              <w:rPr>
                <w:lang w:val="es-ES"/>
              </w:rPr>
              <w:t>Número de países con una cesta de precios por debajo del 5%.</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número de enlaces fijos y aumento del tráfico cursado por el servicio fijo (Tbit/s).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296" w:name="lt_pId284"/>
            <w:r w:rsidRPr="00EE1E1F">
              <w:rPr>
                <w:lang w:val="es-ES"/>
              </w:rPr>
              <w:t>Número de enlaces fijo, capacidad total (en Tbit/s).</w:t>
            </w:r>
            <w:bookmarkEnd w:id="296"/>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número de hogares con recepción de televisión digital terrenal.</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hogares con TDT (millones).</w:t>
            </w:r>
          </w:p>
          <w:p w:rsidR="00740D17" w:rsidRPr="00EE1E1F" w:rsidRDefault="00740D17" w:rsidP="00740D17">
            <w:pPr>
              <w:pStyle w:val="Tabletext"/>
              <w:rPr>
                <w:lang w:val="es-ES"/>
              </w:rPr>
            </w:pPr>
            <w:r w:rsidRPr="00EE1E1F">
              <w:rPr>
                <w:lang w:val="es-ES"/>
              </w:rPr>
              <w:t>Número de hogares con TAT (millones).</w:t>
            </w:r>
          </w:p>
          <w:p w:rsidR="00740D17" w:rsidRPr="00EE1E1F" w:rsidRDefault="00740D17" w:rsidP="00740D17">
            <w:pPr>
              <w:pStyle w:val="Tabletext"/>
              <w:rPr>
                <w:lang w:val="es-ES"/>
              </w:rPr>
            </w:pPr>
            <w:r w:rsidRPr="00EE1E1F">
              <w:rPr>
                <w:lang w:val="es-ES"/>
              </w:rPr>
              <w:t>Número total de hogares con TDT+TAT (millones).</w:t>
            </w:r>
          </w:p>
          <w:p w:rsidR="00740D17" w:rsidRPr="00EE1E1F" w:rsidRDefault="00740D17" w:rsidP="00740D17">
            <w:pPr>
              <w:pStyle w:val="Tabletext"/>
              <w:rPr>
                <w:lang w:val="es-ES"/>
              </w:rPr>
            </w:pPr>
            <w:bookmarkStart w:id="297" w:name="lt_pId289"/>
            <w:r w:rsidRPr="00EE1E1F">
              <w:rPr>
                <w:lang w:val="es-ES"/>
              </w:rPr>
              <w:t>Porcentaje de hogares con TDT, TAT o televisión terrenal.</w:t>
            </w:r>
            <w:bookmarkEnd w:id="297"/>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número de transpondedores de satélite (equivalente a 36 MHz) en funcionamiento y capacidad</w:t>
            </w:r>
            <w:r>
              <w:rPr>
                <w:lang w:val="es-ES"/>
              </w:rPr>
              <w:t>.</w:t>
            </w:r>
            <w:r w:rsidRPr="00EE1E1F">
              <w:rPr>
                <w:lang w:val="es-ES"/>
              </w:rPr>
              <w:t xml:space="preserve"> correspondiente (Tbit/s); número de terminales VSAR, número de hogares con recepción de televisión por satélite.</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transpondedores de satélite (equivalente 36 MHz) en explotación.</w:t>
            </w:r>
          </w:p>
          <w:p w:rsidR="00740D17" w:rsidRPr="00EE1E1F" w:rsidRDefault="00740D17" w:rsidP="00740D17">
            <w:pPr>
              <w:pStyle w:val="Tabletext"/>
              <w:rPr>
                <w:lang w:val="es-ES"/>
              </w:rPr>
            </w:pPr>
            <w:r w:rsidRPr="00EE1E1F">
              <w:rPr>
                <w:lang w:val="es-ES"/>
              </w:rPr>
              <w:t>Capacidad correspondiente (en Tbit/s).</w:t>
            </w:r>
          </w:p>
          <w:p w:rsidR="00740D17" w:rsidRPr="00EE1E1F" w:rsidRDefault="00740D17" w:rsidP="00740D17">
            <w:pPr>
              <w:pStyle w:val="Tabletext"/>
              <w:rPr>
                <w:lang w:val="es-ES"/>
              </w:rPr>
            </w:pPr>
            <w:r w:rsidRPr="00EE1E1F">
              <w:rPr>
                <w:lang w:val="es-ES"/>
              </w:rPr>
              <w:t>Número de VSAT (millones).</w:t>
            </w:r>
          </w:p>
          <w:p w:rsidR="00740D17" w:rsidRPr="00EE1E1F" w:rsidRDefault="00740D17" w:rsidP="00740D17">
            <w:pPr>
              <w:pStyle w:val="Tabletext"/>
              <w:rPr>
                <w:lang w:val="es-ES"/>
              </w:rPr>
            </w:pPr>
            <w:r w:rsidRPr="00EE1E1F">
              <w:rPr>
                <w:lang w:val="es-ES"/>
              </w:rPr>
              <w:t>Número de DTH (millones).</w:t>
            </w:r>
          </w:p>
        </w:tc>
      </w:tr>
      <w:tr w:rsidR="00740D17" w:rsidRPr="00EE1E1F" w:rsidTr="00E81E2D">
        <w:tc>
          <w:tcPr>
            <w:tcW w:w="4508" w:type="dxa"/>
            <w:tcBorders>
              <w:top w:val="nil"/>
              <w:left w:val="nil"/>
              <w:bottom w:val="nil"/>
              <w:right w:val="dotted" w:sz="4" w:space="0" w:color="4F81BD" w:themeColor="accent1"/>
            </w:tcBorders>
          </w:tcPr>
          <w:p w:rsidR="00740D17" w:rsidRPr="00EE1E1F" w:rsidRDefault="00740D17" w:rsidP="00740D17">
            <w:pPr>
              <w:pStyle w:val="Tabletext"/>
              <w:rPr>
                <w:lang w:val="es-ES"/>
              </w:rPr>
            </w:pPr>
            <w:r w:rsidRPr="00EE1E1F">
              <w:rPr>
                <w:lang w:val="es-ES"/>
              </w:rPr>
              <w:t>Mayor número de dispositivos con recepción de radionavegación por satélite.</w:t>
            </w:r>
          </w:p>
        </w:tc>
        <w:tc>
          <w:tcPr>
            <w:tcW w:w="4508" w:type="dxa"/>
            <w:tcBorders>
              <w:top w:val="nil"/>
              <w:left w:val="dotted" w:sz="4" w:space="0" w:color="4F81BD" w:themeColor="accent1"/>
              <w:bottom w:val="nil"/>
              <w:right w:val="nil"/>
            </w:tcBorders>
          </w:tcPr>
          <w:p w:rsidR="00740D17" w:rsidRPr="00EE1E1F" w:rsidRDefault="00740D17" w:rsidP="00740D17">
            <w:pPr>
              <w:pStyle w:val="Tabletext"/>
              <w:rPr>
                <w:lang w:val="es-ES"/>
              </w:rPr>
            </w:pPr>
            <w:r w:rsidRPr="00EE1E1F">
              <w:rPr>
                <w:lang w:val="es-ES"/>
              </w:rPr>
              <w:t>Número de satélites/constelaciones del GNSS en funcionamiento.</w:t>
            </w:r>
          </w:p>
          <w:p w:rsidR="00740D17" w:rsidRPr="00EE1E1F" w:rsidRDefault="00740D17" w:rsidP="00740D17">
            <w:pPr>
              <w:pStyle w:val="Tabletext"/>
              <w:rPr>
                <w:lang w:val="es-ES"/>
              </w:rPr>
            </w:pPr>
            <w:r w:rsidRPr="00EE1E1F">
              <w:rPr>
                <w:lang w:val="es-ES"/>
              </w:rPr>
              <w:t>Número de dispositivos con receptor GNSS incorporado (miles de millones).</w:t>
            </w:r>
          </w:p>
        </w:tc>
      </w:tr>
      <w:tr w:rsidR="00740D17" w:rsidRPr="00EE1E1F" w:rsidTr="00E81E2D">
        <w:tc>
          <w:tcPr>
            <w:tcW w:w="4508" w:type="dxa"/>
            <w:tcBorders>
              <w:top w:val="nil"/>
              <w:left w:val="nil"/>
              <w:bottom w:val="nil"/>
              <w:right w:val="dotted" w:sz="4" w:space="0" w:color="4F81BD" w:themeColor="accent1"/>
            </w:tcBorders>
          </w:tcPr>
          <w:p w:rsidR="00740D17" w:rsidRPr="00EE1E1F" w:rsidRDefault="00740D17" w:rsidP="00740D17">
            <w:pPr>
              <w:pStyle w:val="Tabletext"/>
              <w:rPr>
                <w:lang w:val="es-ES"/>
              </w:rPr>
            </w:pPr>
            <w:r w:rsidRPr="00EE1E1F">
              <w:rPr>
                <w:lang w:val="es-ES"/>
              </w:rPr>
              <w:t>Mayor número de satélites de exploración de la Tierra en funcionamiento, cantidad y resolución correspondientes de las imágenes transmitidas y los volúmenes de datos descargados (Tbytes).</w:t>
            </w:r>
          </w:p>
        </w:tc>
        <w:tc>
          <w:tcPr>
            <w:tcW w:w="4508" w:type="dxa"/>
            <w:tcBorders>
              <w:top w:val="nil"/>
              <w:left w:val="dotted" w:sz="4" w:space="0" w:color="4F81BD" w:themeColor="accent1"/>
              <w:bottom w:val="nil"/>
              <w:right w:val="nil"/>
            </w:tcBorders>
          </w:tcPr>
          <w:p w:rsidR="00740D17" w:rsidRDefault="00740D17" w:rsidP="00740D17">
            <w:pPr>
              <w:pStyle w:val="Tabletext"/>
              <w:rPr>
                <w:lang w:val="es-ES"/>
              </w:rPr>
            </w:pPr>
            <w:r w:rsidRPr="00EE1E1F">
              <w:rPr>
                <w:lang w:val="es-ES"/>
              </w:rPr>
              <w:t>Número de satélites de estudio de los recursos terrestres.</w:t>
            </w:r>
          </w:p>
          <w:p w:rsidR="00740D17" w:rsidRPr="00EE1E1F" w:rsidRDefault="00740D17" w:rsidP="00740D17">
            <w:pPr>
              <w:pStyle w:val="Tabletext"/>
              <w:rPr>
                <w:lang w:val="es-ES"/>
              </w:rPr>
            </w:pPr>
            <w:r w:rsidRPr="00EE1E1F">
              <w:rPr>
                <w:lang w:val="es-ES"/>
              </w:rPr>
              <w:t>Cantidad de imágenes transmitidas (millones).</w:t>
            </w:r>
          </w:p>
          <w:p w:rsidR="00740D17" w:rsidRPr="00EE1E1F" w:rsidRDefault="00740D17" w:rsidP="00740D17">
            <w:pPr>
              <w:pStyle w:val="Tabletext"/>
              <w:rPr>
                <w:lang w:val="es-ES"/>
              </w:rPr>
            </w:pPr>
            <w:r w:rsidRPr="00EE1E1F">
              <w:rPr>
                <w:lang w:val="es-ES"/>
              </w:rPr>
              <w:t>Tamaño de las imágenes descargadas (Terabytes).</w:t>
            </w:r>
          </w:p>
        </w:tc>
      </w:tr>
    </w:tbl>
    <w:p w:rsidR="00740D17" w:rsidRPr="00DE26FA" w:rsidRDefault="00740D17" w:rsidP="00740D17">
      <w:pPr>
        <w:pStyle w:val="Headingb"/>
        <w:rPr>
          <w:i/>
          <w:iCs/>
          <w:color w:val="00205C"/>
          <w:lang w:val="es-ES"/>
        </w:rPr>
      </w:pPr>
      <w:r w:rsidRPr="00DE26FA">
        <w:rPr>
          <w:i/>
          <w:iCs/>
          <w:color w:val="00205C"/>
          <w:lang w:val="es-ES"/>
        </w:rPr>
        <w:lastRenderedPageBreak/>
        <w:t>Resumen de los costes previstos</w:t>
      </w:r>
    </w:p>
    <w:p w:rsidR="00740D17" w:rsidRPr="00EE1E1F" w:rsidRDefault="00740D17" w:rsidP="00740D17">
      <w:pPr>
        <w:pStyle w:val="Figure"/>
        <w:rPr>
          <w:lang w:val="es-ES"/>
        </w:rPr>
      </w:pPr>
      <w:r w:rsidRPr="00683263">
        <w:rPr>
          <w:noProof/>
          <w:lang w:val="en-GB" w:eastAsia="zh-CN"/>
        </w:rPr>
        <w:drawing>
          <wp:inline distT="0" distB="0" distL="0" distR="0">
            <wp:extent cx="5142865" cy="229679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2865" cy="2296795"/>
                    </a:xfrm>
                    <a:prstGeom prst="rect">
                      <a:avLst/>
                    </a:prstGeom>
                    <a:noFill/>
                    <a:ln>
                      <a:noFill/>
                    </a:ln>
                  </pic:spPr>
                </pic:pic>
              </a:graphicData>
            </a:graphic>
          </wp:inline>
        </w:drawing>
      </w:r>
    </w:p>
    <w:p w:rsidR="00740D17" w:rsidRDefault="00740D17" w:rsidP="00740D17">
      <w:pPr>
        <w:rPr>
          <w:lang w:val="es-ES"/>
        </w:rPr>
      </w:pPr>
      <w:bookmarkStart w:id="298" w:name="lt_pId305"/>
      <w:r>
        <w:rPr>
          <w:lang w:val="es-ES"/>
        </w:rPr>
        <w:br w:type="page"/>
      </w:r>
    </w:p>
    <w:p w:rsidR="00740D17" w:rsidRPr="00DE26FA" w:rsidRDefault="00740D17" w:rsidP="00740D17">
      <w:pPr>
        <w:pStyle w:val="Heading3"/>
        <w:rPr>
          <w:color w:val="00205C"/>
        </w:rPr>
      </w:pPr>
      <w:bookmarkStart w:id="299" w:name="_Toc7518634"/>
      <w:bookmarkStart w:id="300" w:name="_Toc7534685"/>
      <w:r w:rsidRPr="00DE26FA">
        <w:rPr>
          <w:color w:val="00205C"/>
        </w:rPr>
        <w:lastRenderedPageBreak/>
        <w:t xml:space="preserve">II.3.3 – R.3 </w:t>
      </w:r>
      <w:bookmarkEnd w:id="298"/>
      <w:r w:rsidRPr="00DE26FA">
        <w:rPr>
          <w:color w:val="00205C"/>
        </w:rPr>
        <w:t>Intercambio de conocimientos</w:t>
      </w:r>
      <w:bookmarkEnd w:id="299"/>
      <w:bookmarkEnd w:id="300"/>
    </w:p>
    <w:p w:rsidR="00740D17" w:rsidRPr="00DE26FA" w:rsidRDefault="00740D17" w:rsidP="00740D17">
      <w:pPr>
        <w:pStyle w:val="Headingb"/>
        <w:rPr>
          <w:i/>
          <w:iCs/>
          <w:color w:val="00205C"/>
          <w:lang w:val="es-ES"/>
        </w:rPr>
      </w:pPr>
      <w:r w:rsidRPr="00DE26FA">
        <w:rPr>
          <w:i/>
          <w:iCs/>
          <w:color w:val="00205C"/>
          <w:lang w:val="es-ES"/>
        </w:rPr>
        <w:t>Descripción del objetivo</w:t>
      </w:r>
    </w:p>
    <w:p w:rsidR="00740D17" w:rsidRPr="00EE1E1F" w:rsidRDefault="00740D17" w:rsidP="00740D17">
      <w:pPr>
        <w:rPr>
          <w:lang w:val="es-ES"/>
        </w:rPr>
      </w:pPr>
      <w:r w:rsidRPr="00EE1E1F">
        <w:rPr>
          <w:lang w:val="es-ES"/>
        </w:rPr>
        <w:t>Fomentar la adquisición y compartición de conocimientos y experiencia de radiocomunicaciones.</w:t>
      </w:r>
    </w:p>
    <w:p w:rsidR="00740D17" w:rsidRPr="00EE1E1F" w:rsidRDefault="00740D17" w:rsidP="00740D17">
      <w:pPr>
        <w:rPr>
          <w:lang w:val="es-ES"/>
        </w:rPr>
      </w:pPr>
      <w:bookmarkStart w:id="301" w:name="lt_pId308"/>
      <w:r w:rsidRPr="00EE1E1F">
        <w:rPr>
          <w:lang w:val="es-ES"/>
        </w:rPr>
        <w:t>El Objetivo R.3 utiliza el 27,51 por ciento de los recursos previstos para los objetivos del UIT-R, un</w:t>
      </w:r>
      <w:r>
        <w:rPr>
          <w:lang w:val="es-ES"/>
        </w:rPr>
        <w:t> </w:t>
      </w:r>
      <w:r w:rsidRPr="00EE1E1F">
        <w:rPr>
          <w:lang w:val="es-ES"/>
        </w:rPr>
        <w:t>10,19 por ciento de los recursos previstos de la UIT para 2020-2021.</w:t>
      </w:r>
      <w:bookmarkEnd w:id="301"/>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Mayores conocimientos teóricos y prácticos del Reglamento de Radiocomunicaciones, las Reglas de Procedimiento, los Acuerdos Regionales, las Recomendaciones y las prácticas idóneas sobre la utilización del espectro.</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descargas en línea de publicaciones gratuitas del UIT-R (millones).</w:t>
            </w:r>
          </w:p>
          <w:p w:rsidR="00740D17" w:rsidRPr="00EE1E1F" w:rsidRDefault="00740D17" w:rsidP="00740D17">
            <w:pPr>
              <w:pStyle w:val="Tabletext"/>
              <w:rPr>
                <w:lang w:val="es-ES"/>
              </w:rPr>
            </w:pPr>
            <w:r w:rsidRPr="00EE1E1F">
              <w:rPr>
                <w:lang w:val="es-ES"/>
              </w:rPr>
              <w:t>Número de eventos de capacitación organizados/respaldados por la BR (presenciales y virtuales).</w:t>
            </w:r>
          </w:p>
          <w:p w:rsidR="00740D17" w:rsidRPr="00EE1E1F" w:rsidRDefault="00740D17" w:rsidP="00740D17">
            <w:pPr>
              <w:pStyle w:val="Tabletext"/>
              <w:rPr>
                <w:lang w:val="es-ES"/>
              </w:rPr>
            </w:pPr>
            <w:r w:rsidRPr="00EE1E1F">
              <w:rPr>
                <w:lang w:val="es-ES"/>
              </w:rPr>
              <w:t>Número de participantes en los eventos de capacitación organizados/respaldados por la</w:t>
            </w:r>
            <w:r>
              <w:rPr>
                <w:lang w:val="es-ES"/>
              </w:rPr>
              <w:t> </w:t>
            </w:r>
            <w:r w:rsidRPr="00EE1E1F">
              <w:rPr>
                <w:lang w:val="es-ES"/>
              </w:rPr>
              <w:t>UIT/BR (acumulado en el periodo entre dos</w:t>
            </w:r>
            <w:r>
              <w:rPr>
                <w:lang w:val="es-ES"/>
              </w:rPr>
              <w:t> </w:t>
            </w:r>
            <w:r w:rsidRPr="00EE1E1F">
              <w:rPr>
                <w:lang w:val="es-ES"/>
              </w:rPr>
              <w:t>CMR).</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Mayor participación, en particular de países en desarrollo, en actividades del UIT-R (inclu</w:t>
            </w:r>
            <w:r>
              <w:rPr>
                <w:lang w:val="es-ES"/>
              </w:rPr>
              <w:t>ido</w:t>
            </w:r>
            <w:r w:rsidRPr="00EE1E1F">
              <w:rPr>
                <w:lang w:val="es-ES"/>
              </w:rPr>
              <w:t xml:space="preserve"> a través de la participación a distancia).</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Número de prestaciones de asistencia o eventos técnicos en los que ha participado la BR.</w:t>
            </w:r>
          </w:p>
          <w:p w:rsidR="00740D17" w:rsidRPr="00EE1E1F" w:rsidRDefault="00740D17" w:rsidP="00740D17">
            <w:pPr>
              <w:pStyle w:val="Tabletext"/>
              <w:rPr>
                <w:lang w:val="es-ES"/>
              </w:rPr>
            </w:pPr>
            <w:r w:rsidRPr="00EE1E1F">
              <w:rPr>
                <w:lang w:val="es-ES"/>
              </w:rPr>
              <w:t>Número de países que reciben asistencia técnica o acogen eventos técnicos de la BR.</w:t>
            </w:r>
          </w:p>
          <w:p w:rsidR="00740D17" w:rsidRPr="00EE1E1F" w:rsidRDefault="00740D17" w:rsidP="00740D17">
            <w:pPr>
              <w:pStyle w:val="Tabletext"/>
              <w:rPr>
                <w:lang w:val="es-ES"/>
              </w:rPr>
            </w:pPr>
            <w:r w:rsidRPr="00EE1E1F">
              <w:rPr>
                <w:lang w:val="es-ES"/>
              </w:rPr>
              <w:t>Número de participantes/eventos en las conferencias, asambleas y reuniones relacionadas con las Comisiones de Estudio del</w:t>
            </w:r>
            <w:r>
              <w:rPr>
                <w:lang w:val="es-ES"/>
              </w:rPr>
              <w:t> </w:t>
            </w:r>
            <w:r w:rsidRPr="00EE1E1F">
              <w:rPr>
                <w:lang w:val="es-ES"/>
              </w:rPr>
              <w:t>UIT-R (presenciales y virtuales).</w:t>
            </w:r>
          </w:p>
          <w:p w:rsidR="00740D17" w:rsidRPr="00EE1E1F" w:rsidRDefault="00740D17" w:rsidP="00740D17">
            <w:pPr>
              <w:pStyle w:val="Tabletext"/>
              <w:rPr>
                <w:lang w:val="es-ES"/>
              </w:rPr>
            </w:pPr>
            <w:r w:rsidRPr="00EE1E1F">
              <w:rPr>
                <w:lang w:val="es-ES"/>
              </w:rPr>
              <w:t>Número de países que participan en seminarios y talleres, reuniones de CE y GT y eventos del UIT-R (presenciales y virtuales).</w:t>
            </w:r>
          </w:p>
        </w:tc>
      </w:tr>
    </w:tbl>
    <w:p w:rsidR="00740D17" w:rsidRPr="00DE26FA" w:rsidRDefault="00740D17" w:rsidP="00740D17">
      <w:pPr>
        <w:pStyle w:val="Headingb"/>
        <w:rPr>
          <w:i/>
          <w:iCs/>
          <w:color w:val="00205C"/>
          <w:lang w:val="es-ES"/>
        </w:rPr>
      </w:pPr>
      <w:r w:rsidRPr="00DE26FA">
        <w:rPr>
          <w:i/>
          <w:iCs/>
          <w:color w:val="00205C"/>
          <w:lang w:val="es-ES"/>
        </w:rPr>
        <w:t>Resumen de los costes previstos</w:t>
      </w:r>
    </w:p>
    <w:p w:rsidR="00740D17" w:rsidRPr="00683263" w:rsidRDefault="00740D17" w:rsidP="00740D17">
      <w:pPr>
        <w:pStyle w:val="Figure"/>
        <w:keepNext w:val="0"/>
        <w:keepLines w:val="0"/>
        <w:rPr>
          <w:lang w:val="es-ES"/>
        </w:rPr>
      </w:pPr>
      <w:r w:rsidRPr="00683263">
        <w:rPr>
          <w:noProof/>
          <w:lang w:val="en-GB" w:eastAsia="zh-CN"/>
        </w:rPr>
        <w:drawing>
          <wp:inline distT="0" distB="0" distL="0" distR="0">
            <wp:extent cx="5193665" cy="229679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3665" cy="2296795"/>
                    </a:xfrm>
                    <a:prstGeom prst="rect">
                      <a:avLst/>
                    </a:prstGeom>
                    <a:noFill/>
                    <a:ln>
                      <a:noFill/>
                    </a:ln>
                  </pic:spPr>
                </pic:pic>
              </a:graphicData>
            </a:graphic>
          </wp:inline>
        </w:drawing>
      </w:r>
    </w:p>
    <w:p w:rsidR="00740D17" w:rsidRPr="001239E6" w:rsidRDefault="00740D17" w:rsidP="00740D17">
      <w:pPr>
        <w:pStyle w:val="Heading2"/>
      </w:pPr>
      <w:bookmarkStart w:id="302" w:name="lt_pId323"/>
      <w:bookmarkStart w:id="303" w:name="_Toc7518635"/>
      <w:bookmarkStart w:id="304" w:name="_Toc7533968"/>
      <w:bookmarkStart w:id="305" w:name="_Toc7534686"/>
      <w:r w:rsidRPr="001239E6">
        <w:lastRenderedPageBreak/>
        <w:t>II.4</w:t>
      </w:r>
      <w:bookmarkEnd w:id="302"/>
      <w:r w:rsidRPr="001239E6">
        <w:tab/>
      </w:r>
      <w:bookmarkStart w:id="306" w:name="lt_pId324"/>
      <w:r w:rsidRPr="001239E6">
        <w:t>Objetivos del Sector de Normalización de las Telecomunicaciones</w:t>
      </w:r>
      <w:bookmarkEnd w:id="303"/>
      <w:bookmarkEnd w:id="304"/>
      <w:bookmarkEnd w:id="305"/>
      <w:bookmarkEnd w:id="306"/>
    </w:p>
    <w:p w:rsidR="00740D17" w:rsidRDefault="00740D17" w:rsidP="00740D17">
      <w:pPr>
        <w:rPr>
          <w:lang w:val="es-ES"/>
        </w:rPr>
      </w:pPr>
      <w:r w:rsidRPr="00EE1E1F">
        <w:rPr>
          <w:lang w:val="es-ES"/>
        </w:rPr>
        <w:t>Se prevén cinco objetivos del Sector de Normalización de las Telecomunicaciones en 2020-2021, que representan el 17,05 por ciento del presupuesto total de la Unión para 2020-2021.</w:t>
      </w:r>
    </w:p>
    <w:p w:rsidR="00740D17" w:rsidRPr="00A40283" w:rsidRDefault="00740D17" w:rsidP="00740D17">
      <w:pPr>
        <w:pStyle w:val="Figure"/>
        <w:rPr>
          <w:lang w:val="es-ES"/>
        </w:rPr>
      </w:pPr>
      <w:r>
        <w:rPr>
          <w:noProof/>
          <w:lang w:val="en-GB" w:eastAsia="zh-CN"/>
        </w:rPr>
        <w:drawing>
          <wp:inline distT="0" distB="0" distL="0" distR="0">
            <wp:extent cx="5256000" cy="3160800"/>
            <wp:effectExtent l="0" t="0" r="1905" b="1905"/>
            <wp:docPr id="45" name="Picture 45" descr="C:\Users\hernandf\AppData\Local\Microsoft\Windows\INetCache\Content.Word\Grafic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f\AppData\Local\Microsoft\Windows\INetCache\Content.Word\Grafico 1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6000" cy="3160800"/>
                    </a:xfrm>
                    <a:prstGeom prst="rect">
                      <a:avLst/>
                    </a:prstGeom>
                    <a:noFill/>
                    <a:ln>
                      <a:noFill/>
                    </a:ln>
                  </pic:spPr>
                </pic:pic>
              </a:graphicData>
            </a:graphic>
          </wp:inline>
        </w:drawing>
      </w:r>
    </w:p>
    <w:p w:rsidR="00740D17" w:rsidRDefault="00740D17" w:rsidP="00740D17">
      <w:pPr>
        <w:rPr>
          <w:lang w:val="es-ES"/>
        </w:rPr>
      </w:pPr>
    </w:p>
    <w:p w:rsidR="00740D17" w:rsidRPr="00EE1E1F" w:rsidRDefault="00740D17" w:rsidP="00740D17">
      <w:pPr>
        <w:pStyle w:val="Figure"/>
        <w:rPr>
          <w:lang w:val="es-ES"/>
        </w:rPr>
      </w:pPr>
      <w:r>
        <w:rPr>
          <w:noProof/>
          <w:lang w:val="en-GB" w:eastAsia="zh-CN"/>
        </w:rPr>
        <w:drawing>
          <wp:inline distT="0" distB="0" distL="0" distR="0">
            <wp:extent cx="5252400" cy="3477600"/>
            <wp:effectExtent l="0" t="0" r="5715" b="8890"/>
            <wp:docPr id="43" name="Picture 43" descr="C:\Users\hernandf\AppData\Local\Microsoft\Windows\INetCache\Content.Word\Grafico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ernandf\AppData\Local\Microsoft\Windows\INetCache\Content.Word\Grafico 1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52400" cy="3477600"/>
                    </a:xfrm>
                    <a:prstGeom prst="rect">
                      <a:avLst/>
                    </a:prstGeom>
                    <a:noFill/>
                    <a:ln>
                      <a:noFill/>
                    </a:ln>
                  </pic:spPr>
                </pic:pic>
              </a:graphicData>
            </a:graphic>
          </wp:inline>
        </w:drawing>
      </w:r>
    </w:p>
    <w:p w:rsidR="00740D17" w:rsidRPr="00EE1E1F" w:rsidRDefault="00740D17" w:rsidP="00740D17">
      <w:pPr>
        <w:tabs>
          <w:tab w:val="clear" w:pos="1134"/>
          <w:tab w:val="clear" w:pos="1701"/>
          <w:tab w:val="clear" w:pos="2268"/>
          <w:tab w:val="clear" w:pos="2835"/>
        </w:tabs>
        <w:overflowPunct/>
        <w:autoSpaceDE/>
        <w:autoSpaceDN/>
        <w:adjustRightInd/>
        <w:spacing w:before="0"/>
        <w:textAlignment w:val="auto"/>
        <w:rPr>
          <w:rFonts w:asciiTheme="minorHAnsi" w:hAnsiTheme="minorHAnsi"/>
          <w:lang w:val="es-ES"/>
        </w:rPr>
      </w:pPr>
    </w:p>
    <w:p w:rsidR="00740D17" w:rsidRPr="00EE1E1F" w:rsidRDefault="00740D17" w:rsidP="00740D17">
      <w:pPr>
        <w:rPr>
          <w:lang w:val="es-ES"/>
        </w:rPr>
        <w:sectPr w:rsidR="00740D17" w:rsidRPr="00EE1E1F" w:rsidSect="00740D17">
          <w:pgSz w:w="11907" w:h="16834"/>
          <w:pgMar w:top="1417" w:right="1134" w:bottom="1417" w:left="1134" w:header="720" w:footer="720" w:gutter="0"/>
          <w:paperSrc w:first="15" w:other="15"/>
          <w:cols w:space="720"/>
          <w:docGrid w:linePitch="326"/>
        </w:sectPr>
      </w:pPr>
    </w:p>
    <w:p w:rsidR="00740D17" w:rsidRPr="00EE1E1F" w:rsidRDefault="00740D17" w:rsidP="00740D17">
      <w:pPr>
        <w:pStyle w:val="Tabletitle"/>
        <w:rPr>
          <w:lang w:val="es-ES"/>
        </w:rPr>
      </w:pPr>
      <w:bookmarkStart w:id="307" w:name="lt_pId326"/>
      <w:r w:rsidRPr="00EE1E1F">
        <w:rPr>
          <w:lang w:val="es-ES"/>
        </w:rPr>
        <w:lastRenderedPageBreak/>
        <w:t>Cuadro V</w:t>
      </w:r>
      <w:bookmarkEnd w:id="307"/>
    </w:p>
    <w:p w:rsidR="00740D17" w:rsidRPr="001F724D" w:rsidRDefault="00740D17" w:rsidP="00740D17">
      <w:pPr>
        <w:pStyle w:val="Tabletitle"/>
        <w:rPr>
          <w:lang w:val="es-ES"/>
        </w:rPr>
      </w:pPr>
      <w:r w:rsidRPr="001F724D">
        <w:rPr>
          <w:lang w:val="es-ES"/>
        </w:rPr>
        <w:t>Objetivos del UIT-T</w:t>
      </w:r>
      <w:r w:rsidRPr="001F724D">
        <w:rPr>
          <w:lang w:val="es-ES"/>
        </w:rPr>
        <w:br/>
        <w:t>Costes previstos para 2020-2021</w:t>
      </w:r>
      <w:r w:rsidRPr="001F724D">
        <w:rPr>
          <w:lang w:val="es-ES"/>
        </w:rPr>
        <w:br/>
        <w:t>Distribución por componente de coste</w:t>
      </w:r>
    </w:p>
    <w:p w:rsidR="00740D17" w:rsidRPr="00EE1E1F" w:rsidRDefault="00740D17" w:rsidP="00740D17">
      <w:pPr>
        <w:pStyle w:val="Figure"/>
        <w:rPr>
          <w:lang w:val="es-ES"/>
        </w:rPr>
      </w:pPr>
      <w:r w:rsidRPr="00780E3D">
        <w:rPr>
          <w:noProof/>
          <w:lang w:val="en-GB" w:eastAsia="zh-CN"/>
        </w:rPr>
        <w:drawing>
          <wp:inline distT="0" distB="0" distL="0" distR="0">
            <wp:extent cx="8798400" cy="28332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98400" cy="28332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6834" w:h="11907" w:orient="landscape"/>
          <w:pgMar w:top="1417" w:right="1134" w:bottom="1417" w:left="1134" w:header="720" w:footer="720" w:gutter="0"/>
          <w:paperSrc w:first="15" w:other="15"/>
          <w:cols w:space="720"/>
          <w:docGrid w:linePitch="326"/>
        </w:sectPr>
      </w:pPr>
    </w:p>
    <w:p w:rsidR="00740D17" w:rsidRPr="00DE26FA" w:rsidRDefault="00740D17" w:rsidP="00740D17">
      <w:pPr>
        <w:pStyle w:val="Heading3"/>
        <w:rPr>
          <w:color w:val="00205C"/>
        </w:rPr>
      </w:pPr>
      <w:bookmarkStart w:id="308" w:name="lt_pId330"/>
      <w:bookmarkStart w:id="309" w:name="_Toc7518636"/>
      <w:bookmarkStart w:id="310" w:name="_Toc7534687"/>
      <w:r w:rsidRPr="00DE26FA">
        <w:rPr>
          <w:color w:val="00205C"/>
        </w:rPr>
        <w:lastRenderedPageBreak/>
        <w:t xml:space="preserve">II.4.1 – T.1 </w:t>
      </w:r>
      <w:bookmarkStart w:id="311" w:name="lt_pId331"/>
      <w:bookmarkEnd w:id="308"/>
      <w:r w:rsidRPr="00DE26FA">
        <w:rPr>
          <w:color w:val="00205C"/>
        </w:rPr>
        <w:t>Elaboración de normas</w:t>
      </w:r>
      <w:bookmarkEnd w:id="309"/>
      <w:bookmarkEnd w:id="310"/>
    </w:p>
    <w:p w:rsidR="00740D17" w:rsidRPr="00DE26FA" w:rsidRDefault="00740D17" w:rsidP="00740D17">
      <w:pPr>
        <w:pStyle w:val="Headingb"/>
        <w:rPr>
          <w:i/>
          <w:iCs/>
          <w:color w:val="00205C"/>
          <w:lang w:val="es-ES"/>
        </w:rPr>
      </w:pPr>
      <w:r w:rsidRPr="00DE26FA">
        <w:rPr>
          <w:i/>
          <w:iCs/>
          <w:color w:val="00205C"/>
          <w:lang w:val="es-ES"/>
        </w:rPr>
        <w:t>Descripción del objetivo</w:t>
      </w:r>
      <w:bookmarkEnd w:id="311"/>
    </w:p>
    <w:p w:rsidR="00740D17" w:rsidRPr="00EE1E1F" w:rsidRDefault="00740D17" w:rsidP="00740D17">
      <w:pPr>
        <w:snapToGrid w:val="0"/>
        <w:rPr>
          <w:lang w:val="es-ES"/>
        </w:rPr>
      </w:pPr>
      <w:r>
        <w:rPr>
          <w:lang w:val="es-ES"/>
        </w:rPr>
        <w:t>Elaborar</w:t>
      </w:r>
      <w:r w:rsidRPr="00EE1E1F">
        <w:rPr>
          <w:lang w:val="es-ES"/>
        </w:rPr>
        <w:t xml:space="preserve"> normas internacionales no discriminatorias de telecomunicaciones/TIC (Recomendaciones UIT-T)</w:t>
      </w:r>
      <w:r>
        <w:rPr>
          <w:lang w:val="es-ES"/>
        </w:rPr>
        <w:t>,</w:t>
      </w:r>
      <w:r w:rsidRPr="00EE1E1F">
        <w:rPr>
          <w:lang w:val="es-ES"/>
        </w:rPr>
        <w:t xml:space="preserve"> de manera oportuna</w:t>
      </w:r>
      <w:r>
        <w:rPr>
          <w:lang w:val="es-ES"/>
        </w:rPr>
        <w:t>,</w:t>
      </w:r>
      <w:r w:rsidRPr="00EE1E1F">
        <w:rPr>
          <w:lang w:val="es-ES"/>
        </w:rPr>
        <w:t xml:space="preserve"> y fomentar la interoperabilidad y una mejor calidad de funcionamiento de equipos, redes, servicios y aplicaciones</w:t>
      </w:r>
      <w:r>
        <w:rPr>
          <w:lang w:val="es-ES"/>
        </w:rPr>
        <w:t>.</w:t>
      </w:r>
    </w:p>
    <w:p w:rsidR="00740D17" w:rsidRPr="00EE1E1F" w:rsidRDefault="00740D17" w:rsidP="00740D17">
      <w:pPr>
        <w:rPr>
          <w:lang w:val="es-ES"/>
        </w:rPr>
      </w:pPr>
      <w:bookmarkStart w:id="312" w:name="lt_pId334"/>
      <w:r w:rsidRPr="00EE1E1F">
        <w:rPr>
          <w:lang w:val="es-ES"/>
        </w:rPr>
        <w:t>El Objetivo T.1 utiliza el 47,83 por ciento de los recursos previstos para los objetivos del UIT-T, un</w:t>
      </w:r>
      <w:r>
        <w:rPr>
          <w:lang w:val="es-ES"/>
        </w:rPr>
        <w:t> </w:t>
      </w:r>
      <w:r w:rsidRPr="00EE1E1F">
        <w:rPr>
          <w:lang w:val="es-ES"/>
        </w:rPr>
        <w:t>8,16 por ciento de los recursos previstos de la UIT para 2020-2021.</w:t>
      </w:r>
      <w:bookmarkEnd w:id="312"/>
    </w:p>
    <w:p w:rsidR="00740D17" w:rsidRPr="00DE26FA" w:rsidRDefault="00740D17" w:rsidP="003A319E">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Mayor utilización de Recomendaciones UIT-T.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bookmarkStart w:id="313" w:name="lt_pId339"/>
            <w:r w:rsidRPr="00EE1E1F">
              <w:rPr>
                <w:lang w:val="es-ES"/>
              </w:rPr>
              <w:t>Número de visitas del sitio web del UIT-T</w:t>
            </w:r>
            <w:r>
              <w:rPr>
                <w:lang w:val="es-ES"/>
              </w:rPr>
              <w:t>.</w:t>
            </w:r>
          </w:p>
          <w:p w:rsidR="00740D17" w:rsidRPr="00EE1E1F" w:rsidRDefault="00740D17" w:rsidP="00740D17">
            <w:pPr>
              <w:pStyle w:val="Tabletext"/>
              <w:rPr>
                <w:lang w:val="es-ES"/>
              </w:rPr>
            </w:pPr>
            <w:r w:rsidRPr="00EE1E1F">
              <w:rPr>
                <w:lang w:val="es-ES"/>
              </w:rPr>
              <w:t>Número de participantes en las Comisiones de Estudio (incluido Grupos Regionales).</w:t>
            </w:r>
          </w:p>
          <w:p w:rsidR="00740D17" w:rsidRPr="00EE1E1F" w:rsidRDefault="00740D17" w:rsidP="00740D17">
            <w:pPr>
              <w:pStyle w:val="Tabletext"/>
              <w:rPr>
                <w:rFonts w:asciiTheme="minorHAnsi" w:hAnsiTheme="minorHAnsi"/>
                <w:highlight w:val="green"/>
                <w:lang w:val="es-ES"/>
              </w:rPr>
            </w:pPr>
            <w:r w:rsidRPr="00EE1E1F">
              <w:rPr>
                <w:lang w:val="es-ES"/>
              </w:rPr>
              <w:t>Número de descargas de Recomendaciones UIT-T</w:t>
            </w:r>
            <w:bookmarkEnd w:id="313"/>
            <w:r w:rsidRPr="00EE1E1F">
              <w:rPr>
                <w:lang w:val="es-ES"/>
              </w:rPr>
              <w:t>.</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Mejor conformidad con las Recomendaciones</w:t>
            </w:r>
            <w:r>
              <w:rPr>
                <w:lang w:val="es-ES"/>
              </w:rPr>
              <w:t> </w:t>
            </w:r>
            <w:r w:rsidRPr="00EE1E1F">
              <w:rPr>
                <w:lang w:val="es-ES"/>
              </w:rPr>
              <w:t>UIT</w:t>
            </w:r>
            <w:r>
              <w:rPr>
                <w:lang w:val="es-ES"/>
              </w:rPr>
              <w:noBreakHyphen/>
              <w:t>T</w:t>
            </w:r>
            <w:r w:rsidRPr="00EE1E1F">
              <w:rPr>
                <w:lang w:val="es-ES"/>
              </w:rPr>
              <w:t>.</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314" w:name="lt_pId345"/>
            <w:r w:rsidRPr="00EE1E1F">
              <w:rPr>
                <w:lang w:val="es-ES"/>
              </w:rPr>
              <w:t>Número de eventos de pruebas.</w:t>
            </w:r>
          </w:p>
          <w:p w:rsidR="00740D17" w:rsidRPr="00EE1E1F" w:rsidRDefault="00740D17" w:rsidP="00740D17">
            <w:pPr>
              <w:pStyle w:val="Tabletext"/>
              <w:rPr>
                <w:lang w:val="es-ES"/>
              </w:rPr>
            </w:pPr>
            <w:r w:rsidRPr="00EE1E1F">
              <w:rPr>
                <w:lang w:val="es-ES"/>
              </w:rPr>
              <w:t>Número de entradas en la base de datos de conformidad.</w:t>
            </w:r>
          </w:p>
          <w:p w:rsidR="00740D17" w:rsidRPr="00EE1E1F" w:rsidRDefault="00740D17" w:rsidP="00740D17">
            <w:pPr>
              <w:pStyle w:val="Tabletext"/>
              <w:rPr>
                <w:rFonts w:asciiTheme="minorHAnsi" w:hAnsiTheme="minorHAnsi"/>
                <w:highlight w:val="green"/>
                <w:lang w:val="es-ES"/>
              </w:rPr>
            </w:pPr>
            <w:r w:rsidRPr="00EE1E1F">
              <w:rPr>
                <w:lang w:val="es-ES"/>
              </w:rPr>
              <w:t>Número de Recomendaciones en que se describen especificaciones de prueba</w:t>
            </w:r>
            <w:bookmarkEnd w:id="314"/>
            <w:r w:rsidRPr="00EE1E1F">
              <w:rPr>
                <w:lang w:val="es-ES"/>
              </w:rPr>
              <w:t>.</w:t>
            </w:r>
          </w:p>
        </w:tc>
      </w:tr>
      <w:tr w:rsidR="00740D17" w:rsidRPr="00EE1E1F" w:rsidTr="00740D17">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Mejores normas sobre nuevos servicios y tecnologías.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r w:rsidRPr="00EE1E1F">
              <w:rPr>
                <w:lang w:val="es-ES"/>
              </w:rPr>
              <w:t>Número de nuevos ámbitos de trabajo (Cuestiones de Comisiones de Estudio, temas de trabajo y normas resultantes, ya sea en el</w:t>
            </w:r>
            <w:r>
              <w:rPr>
                <w:lang w:val="es-ES"/>
              </w:rPr>
              <w:t> </w:t>
            </w:r>
            <w:r w:rsidRPr="00EE1E1F">
              <w:rPr>
                <w:lang w:val="es-ES"/>
              </w:rPr>
              <w:t>UIT-T o en colaboración con otros grupos).</w:t>
            </w:r>
          </w:p>
        </w:tc>
      </w:tr>
    </w:tbl>
    <w:p w:rsidR="00740D17" w:rsidRPr="00DE26FA" w:rsidRDefault="00740D17" w:rsidP="00740D17">
      <w:pPr>
        <w:pStyle w:val="Headingb"/>
        <w:rPr>
          <w:i/>
          <w:iCs/>
          <w:color w:val="00205C"/>
          <w:lang w:val="es-ES"/>
        </w:rPr>
      </w:pPr>
      <w:r w:rsidRPr="00DE26FA">
        <w:rPr>
          <w:i/>
          <w:iCs/>
          <w:color w:val="00205C"/>
          <w:lang w:val="es-ES"/>
        </w:rPr>
        <w:t>Resumen de los costes previstos</w:t>
      </w:r>
    </w:p>
    <w:p w:rsidR="00740D17" w:rsidRDefault="00740D17" w:rsidP="00740D17">
      <w:pPr>
        <w:pStyle w:val="Figure"/>
        <w:keepNext w:val="0"/>
        <w:keepLines w:val="0"/>
        <w:rPr>
          <w:lang w:val="es-ES"/>
        </w:rPr>
      </w:pPr>
      <w:r w:rsidRPr="00570106">
        <w:rPr>
          <w:noProof/>
          <w:lang w:val="en-GB" w:eastAsia="zh-CN"/>
        </w:rPr>
        <w:drawing>
          <wp:inline distT="0" distB="0" distL="0" distR="0">
            <wp:extent cx="5464175" cy="229679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4175" cy="2296795"/>
                    </a:xfrm>
                    <a:prstGeom prst="rect">
                      <a:avLst/>
                    </a:prstGeom>
                    <a:noFill/>
                    <a:ln>
                      <a:noFill/>
                    </a:ln>
                  </pic:spPr>
                </pic:pic>
              </a:graphicData>
            </a:graphic>
          </wp:inline>
        </w:drawing>
      </w:r>
    </w:p>
    <w:p w:rsidR="00740D17" w:rsidRDefault="00740D17">
      <w:pPr>
        <w:tabs>
          <w:tab w:val="clear" w:pos="1134"/>
          <w:tab w:val="clear" w:pos="1701"/>
          <w:tab w:val="clear" w:pos="2268"/>
          <w:tab w:val="clear" w:pos="2835"/>
        </w:tabs>
        <w:overflowPunct/>
        <w:autoSpaceDE/>
        <w:autoSpaceDN/>
        <w:adjustRightInd/>
        <w:spacing w:before="0"/>
        <w:textAlignment w:val="auto"/>
        <w:rPr>
          <w:lang w:val="es-ES"/>
        </w:rPr>
      </w:pPr>
      <w:r>
        <w:rPr>
          <w:lang w:val="es-ES"/>
        </w:rPr>
        <w:br w:type="page"/>
      </w:r>
    </w:p>
    <w:p w:rsidR="00740D17" w:rsidRPr="00DE26FA" w:rsidRDefault="00740D17" w:rsidP="00740D17">
      <w:pPr>
        <w:pStyle w:val="Heading3"/>
        <w:rPr>
          <w:color w:val="00205C"/>
        </w:rPr>
      </w:pPr>
      <w:bookmarkStart w:id="315" w:name="lt_pId351"/>
      <w:bookmarkStart w:id="316" w:name="_Toc7518637"/>
      <w:bookmarkStart w:id="317" w:name="_Toc7534688"/>
      <w:r w:rsidRPr="00DE26FA">
        <w:rPr>
          <w:color w:val="00205C"/>
        </w:rPr>
        <w:lastRenderedPageBreak/>
        <w:t xml:space="preserve">II.4.2 – T.2 </w:t>
      </w:r>
      <w:bookmarkEnd w:id="315"/>
      <w:r w:rsidRPr="00DE26FA">
        <w:rPr>
          <w:color w:val="00205C"/>
        </w:rPr>
        <w:t>Reducción de la brecha normativa</w:t>
      </w:r>
      <w:bookmarkEnd w:id="316"/>
      <w:bookmarkEnd w:id="317"/>
    </w:p>
    <w:p w:rsidR="00740D17" w:rsidRPr="00DE26FA" w:rsidRDefault="00740D17" w:rsidP="00740D17">
      <w:pPr>
        <w:pStyle w:val="Headingb"/>
        <w:rPr>
          <w:i/>
          <w:iCs/>
          <w:color w:val="00205C"/>
          <w:lang w:val="es-ES"/>
        </w:rPr>
      </w:pPr>
      <w:bookmarkStart w:id="318" w:name="lt_pId352"/>
      <w:r w:rsidRPr="00DE26FA">
        <w:rPr>
          <w:i/>
          <w:iCs/>
          <w:color w:val="00205C"/>
          <w:lang w:val="es-ES"/>
        </w:rPr>
        <w:t>Descripción del objetivo</w:t>
      </w:r>
      <w:bookmarkEnd w:id="318"/>
    </w:p>
    <w:p w:rsidR="00740D17" w:rsidRPr="00EE1E1F" w:rsidRDefault="00740D17" w:rsidP="00740D17">
      <w:pPr>
        <w:snapToGrid w:val="0"/>
        <w:rPr>
          <w:rFonts w:asciiTheme="minorHAnsi" w:hAnsiTheme="minorHAnsi"/>
          <w:lang w:val="es-ES"/>
        </w:rPr>
      </w:pPr>
      <w:r w:rsidRPr="00EE1E1F">
        <w:rPr>
          <w:lang w:val="es-ES"/>
        </w:rPr>
        <w:t>Promover la participación activa de los Miembros y en particular los países en desarrollo, en la definición y adopción de normas internacionales no discriminatorias de telecomunicaciones/TIC (Recomendaciones UIT-T) con miras a reducir la disparidad en materia de normalización</w:t>
      </w:r>
      <w:r>
        <w:rPr>
          <w:lang w:val="es-ES"/>
        </w:rPr>
        <w:t>.</w:t>
      </w:r>
    </w:p>
    <w:p w:rsidR="00740D17" w:rsidRPr="00EE1E1F" w:rsidRDefault="00740D17" w:rsidP="00740D17">
      <w:pPr>
        <w:rPr>
          <w:lang w:val="es-ES"/>
        </w:rPr>
      </w:pPr>
      <w:bookmarkStart w:id="319" w:name="lt_pId354"/>
      <w:r w:rsidRPr="00EE1E1F">
        <w:rPr>
          <w:lang w:val="es-ES"/>
        </w:rPr>
        <w:t>El Objetivo T.2 utiliza el 21,17 por ciento de los recursos previstos para los objetivos del UIT-T, un</w:t>
      </w:r>
      <w:r>
        <w:rPr>
          <w:lang w:val="es-ES"/>
        </w:rPr>
        <w:t> </w:t>
      </w:r>
      <w:r w:rsidRPr="00EE1E1F">
        <w:rPr>
          <w:lang w:val="es-ES"/>
        </w:rPr>
        <w:t>3,61 por ciento de los recursos previstos de la UIT para 2020-2021.</w:t>
      </w:r>
      <w:bookmarkEnd w:id="319"/>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Mayor participación en el proceso de normalización del UIT-T, incluida la asistencia a reuniones, la presentación de contribuciones, la adopción de posiciones de liderazgo y la acogida de reuniones/talleres, especialmente por parte de los países en desarrollo</w:t>
            </w:r>
            <w:r>
              <w:rPr>
                <w:lang w:val="es-ES"/>
              </w:rPr>
              <w: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bookmarkStart w:id="320" w:name="lt_pId359"/>
            <w:r w:rsidRPr="00EE1E1F">
              <w:rPr>
                <w:lang w:val="es-ES"/>
              </w:rPr>
              <w:t>Número de reuniones de CE, reuniones de GT, reuniones del Grupo Regional y talleres celebrados (dentro y fuera de Ginebra).</w:t>
            </w:r>
          </w:p>
          <w:p w:rsidR="00740D17" w:rsidRPr="00EE1E1F" w:rsidRDefault="00740D17" w:rsidP="00740D17">
            <w:pPr>
              <w:pStyle w:val="Tabletext"/>
              <w:rPr>
                <w:lang w:val="es-ES"/>
              </w:rPr>
            </w:pPr>
            <w:r w:rsidRPr="00EE1E1F">
              <w:rPr>
                <w:lang w:val="es-ES"/>
              </w:rPr>
              <w:t>Número de reuniones de Grupo de Relator y número de participantes.</w:t>
            </w:r>
          </w:p>
          <w:p w:rsidR="00740D17" w:rsidRPr="00EE1E1F" w:rsidRDefault="00740D17" w:rsidP="00740D17">
            <w:pPr>
              <w:pStyle w:val="Tabletext"/>
              <w:rPr>
                <w:lang w:val="es-ES"/>
              </w:rPr>
            </w:pPr>
            <w:r w:rsidRPr="00EE1E1F">
              <w:rPr>
                <w:lang w:val="es-ES"/>
              </w:rPr>
              <w:t>Número de reuniones virtuales y número de participantes.</w:t>
            </w:r>
          </w:p>
          <w:p w:rsidR="00740D17" w:rsidRPr="00EE1E1F" w:rsidRDefault="00740D17" w:rsidP="00740D17">
            <w:pPr>
              <w:pStyle w:val="Tabletext"/>
              <w:rPr>
                <w:lang w:val="es-ES"/>
              </w:rPr>
            </w:pPr>
            <w:r w:rsidRPr="00EE1E1F">
              <w:rPr>
                <w:lang w:val="es-ES"/>
              </w:rPr>
              <w:t>Número de contribuciones presentadas por participantes procedentes de PMA, países en desarrollo y países desarrollados (por separado).</w:t>
            </w:r>
          </w:p>
          <w:p w:rsidR="00740D17" w:rsidRPr="00EE1E1F" w:rsidRDefault="00740D17" w:rsidP="00740D17">
            <w:pPr>
              <w:pStyle w:val="Tabletext"/>
              <w:rPr>
                <w:rFonts w:asciiTheme="minorHAnsi" w:hAnsiTheme="minorHAnsi"/>
                <w:highlight w:val="green"/>
                <w:lang w:val="es-ES"/>
              </w:rPr>
            </w:pPr>
            <w:r w:rsidRPr="00EE1E1F">
              <w:rPr>
                <w:lang w:val="es-ES"/>
              </w:rPr>
              <w:t>Porcentaje de puestos de liderazgo (presidencia/vicepresidencia de Comisiones de Estudio, presidenc</w:t>
            </w:r>
            <w:r>
              <w:rPr>
                <w:lang w:val="es-ES"/>
              </w:rPr>
              <w:t>ia de Grupos de Relator, editor</w:t>
            </w:r>
            <w:r w:rsidRPr="00EE1E1F">
              <w:rPr>
                <w:lang w:val="es-ES"/>
              </w:rPr>
              <w:t>) ocupados por países en desarrollo y PMA</w:t>
            </w:r>
            <w:bookmarkEnd w:id="320"/>
            <w:r w:rsidRPr="00EE1E1F">
              <w:rPr>
                <w:lang w:val="es-ES"/>
              </w:rPr>
              <w:t>.</w:t>
            </w:r>
          </w:p>
        </w:tc>
      </w:tr>
      <w:tr w:rsidR="00740D17" w:rsidRPr="00EE1E1F" w:rsidTr="00740D17">
        <w:tc>
          <w:tcPr>
            <w:tcW w:w="4508" w:type="dxa"/>
            <w:tcBorders>
              <w:top w:val="nil"/>
              <w:left w:val="nil"/>
              <w:bottom w:val="nil"/>
              <w:right w:val="dotted" w:sz="4" w:space="0" w:color="4F81BD" w:themeColor="accent1"/>
            </w:tcBorders>
            <w:hideMark/>
          </w:tcPr>
          <w:p w:rsidR="00740D17" w:rsidRPr="000104E6" w:rsidRDefault="00740D17" w:rsidP="00740D17">
            <w:pPr>
              <w:pStyle w:val="Tabletext"/>
            </w:pPr>
            <w:r w:rsidRPr="000104E6">
              <w:t>Aumento del número de Miembros del UIT</w:t>
            </w:r>
            <w:r>
              <w:t>-</w:t>
            </w:r>
            <w:r w:rsidRPr="000104E6">
              <w:t>T, incluidos Miembros de Sector, Asociados e Instituciones Académicas.</w:t>
            </w:r>
          </w:p>
        </w:tc>
        <w:tc>
          <w:tcPr>
            <w:tcW w:w="4508" w:type="dxa"/>
            <w:tcBorders>
              <w:top w:val="nil"/>
              <w:left w:val="dotted" w:sz="4" w:space="0" w:color="4F81BD" w:themeColor="accent1"/>
              <w:bottom w:val="nil"/>
              <w:right w:val="nil"/>
            </w:tcBorders>
            <w:hideMark/>
          </w:tcPr>
          <w:p w:rsidR="00740D17" w:rsidRPr="000104E6" w:rsidRDefault="00740D17" w:rsidP="00740D17">
            <w:pPr>
              <w:pStyle w:val="Tabletext"/>
              <w:rPr>
                <w:highlight w:val="green"/>
              </w:rPr>
            </w:pPr>
            <w:r w:rsidRPr="000104E6">
              <w:t>Número (neto) de Miembros de Sector, Asociados e Instituciones Académicas de países desarrollados y en desarrollo (por separado).</w:t>
            </w:r>
          </w:p>
        </w:tc>
      </w:tr>
    </w:tbl>
    <w:p w:rsidR="00740D17" w:rsidRPr="00DE26FA" w:rsidRDefault="00740D17" w:rsidP="00740D17">
      <w:pPr>
        <w:pStyle w:val="Headingb"/>
        <w:rPr>
          <w:i/>
          <w:iCs/>
          <w:color w:val="00205C"/>
          <w:lang w:val="es-ES"/>
        </w:rPr>
      </w:pPr>
      <w:r w:rsidRPr="00DE26FA">
        <w:rPr>
          <w:i/>
          <w:iCs/>
          <w:color w:val="00205C"/>
          <w:lang w:val="es-ES"/>
        </w:rPr>
        <w:t>Resumen de los costes previstos</w:t>
      </w:r>
    </w:p>
    <w:p w:rsidR="00740D17" w:rsidRPr="00EE1E1F" w:rsidRDefault="00740D17" w:rsidP="00740D17">
      <w:pPr>
        <w:pStyle w:val="Figure"/>
        <w:rPr>
          <w:lang w:val="es-ES"/>
        </w:rPr>
      </w:pPr>
      <w:r w:rsidRPr="00570106">
        <w:rPr>
          <w:noProof/>
          <w:lang w:val="en-GB" w:eastAsia="zh-CN"/>
        </w:rPr>
        <w:drawing>
          <wp:inline distT="0" distB="0" distL="0" distR="0">
            <wp:extent cx="5274310" cy="22967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4310" cy="2296795"/>
                    </a:xfrm>
                    <a:prstGeom prst="rect">
                      <a:avLst/>
                    </a:prstGeom>
                    <a:noFill/>
                    <a:ln>
                      <a:noFill/>
                    </a:ln>
                  </pic:spPr>
                </pic:pic>
              </a:graphicData>
            </a:graphic>
          </wp:inline>
        </w:drawing>
      </w:r>
    </w:p>
    <w:p w:rsidR="00740D17" w:rsidRDefault="00740D17" w:rsidP="00740D17">
      <w:pPr>
        <w:rPr>
          <w:lang w:val="es-ES"/>
        </w:rPr>
      </w:pPr>
      <w:bookmarkStart w:id="321" w:name="lt_pId367"/>
      <w:r>
        <w:rPr>
          <w:lang w:val="es-ES"/>
        </w:rPr>
        <w:br w:type="page"/>
      </w:r>
    </w:p>
    <w:p w:rsidR="00740D17" w:rsidRPr="00DE26FA" w:rsidRDefault="00740D17" w:rsidP="00740D17">
      <w:pPr>
        <w:pStyle w:val="Heading3"/>
        <w:rPr>
          <w:color w:val="00205C"/>
        </w:rPr>
      </w:pPr>
      <w:bookmarkStart w:id="322" w:name="_Toc7518638"/>
      <w:bookmarkStart w:id="323" w:name="_Toc7534689"/>
      <w:r w:rsidRPr="00DE26FA">
        <w:rPr>
          <w:color w:val="00205C"/>
        </w:rPr>
        <w:lastRenderedPageBreak/>
        <w:t xml:space="preserve">II.4.3 – T.3 </w:t>
      </w:r>
      <w:bookmarkEnd w:id="321"/>
      <w:r w:rsidRPr="00DE26FA">
        <w:rPr>
          <w:color w:val="00205C"/>
        </w:rPr>
        <w:t>Recursos de telecomunicaciones</w:t>
      </w:r>
      <w:bookmarkEnd w:id="322"/>
      <w:bookmarkEnd w:id="323"/>
    </w:p>
    <w:p w:rsidR="00740D17" w:rsidRPr="00DE26FA" w:rsidRDefault="00740D17" w:rsidP="00740D17">
      <w:pPr>
        <w:pStyle w:val="Headingb"/>
        <w:rPr>
          <w:i/>
          <w:iCs/>
          <w:color w:val="00205C"/>
          <w:lang w:val="es-ES"/>
        </w:rPr>
      </w:pPr>
      <w:r w:rsidRPr="00DE26FA">
        <w:rPr>
          <w:i/>
          <w:iCs/>
          <w:color w:val="00205C"/>
          <w:lang w:val="es-ES"/>
        </w:rPr>
        <w:t>Descripción del objetivo</w:t>
      </w:r>
    </w:p>
    <w:p w:rsidR="00740D17" w:rsidRPr="00EE1E1F" w:rsidRDefault="00740D17" w:rsidP="00740D17">
      <w:pPr>
        <w:snapToGrid w:val="0"/>
        <w:rPr>
          <w:rFonts w:asciiTheme="minorHAnsi" w:hAnsiTheme="minorHAnsi"/>
          <w:highlight w:val="green"/>
          <w:lang w:val="es-ES"/>
        </w:rPr>
      </w:pPr>
      <w:bookmarkStart w:id="324" w:name="lt_pId369"/>
      <w:r w:rsidRPr="00EE1E1F">
        <w:rPr>
          <w:lang w:val="es-ES"/>
        </w:rPr>
        <w:t xml:space="preserve">Garantizar una atribución y una gestión efectivas de </w:t>
      </w:r>
      <w:r>
        <w:rPr>
          <w:lang w:val="es-ES"/>
        </w:rPr>
        <w:t xml:space="preserve">los </w:t>
      </w:r>
      <w:r w:rsidRPr="00EE1E1F">
        <w:rPr>
          <w:lang w:val="es-ES"/>
        </w:rPr>
        <w:t>recursos de numeración, denominación, direccionamiento e identificación de telecomunicaciones internacionales, de conformidad con las Recomendaciones y los procedimientos del UIT-T</w:t>
      </w:r>
      <w:r>
        <w:rPr>
          <w:lang w:val="es-ES"/>
        </w:rPr>
        <w:t>.</w:t>
      </w:r>
    </w:p>
    <w:p w:rsidR="00740D17" w:rsidRPr="00EE1E1F" w:rsidRDefault="00740D17" w:rsidP="00740D17">
      <w:pPr>
        <w:rPr>
          <w:lang w:val="es-ES"/>
        </w:rPr>
      </w:pPr>
      <w:bookmarkStart w:id="325" w:name="lt_pId371"/>
      <w:bookmarkEnd w:id="324"/>
      <w:r w:rsidRPr="00EE1E1F">
        <w:rPr>
          <w:lang w:val="es-ES"/>
        </w:rPr>
        <w:t>El Objetivo T.3 utiliza un 6,72 por ciento de los recursos previstos para los objetivos del UIT-T, un 1,15 por ciento de los recursos previstos de la UIT para 2020-2021.</w:t>
      </w:r>
      <w:bookmarkEnd w:id="325"/>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nil"/>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nil"/>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Atribución oportuna y precisa de recursos de numeración, denominación, direccionamiento e identificación de telecomunicaciones internacionales, conforme a lo estipulado en las recomendaciones pertinentes</w:t>
            </w:r>
            <w:r>
              <w:rPr>
                <w:lang w:val="es-ES"/>
              </w:rPr>
              <w: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r w:rsidRPr="00EE1E1F">
              <w:rPr>
                <w:lang w:val="es-ES"/>
              </w:rPr>
              <w:t>Número de asignaciones en un per</w:t>
            </w:r>
            <w:r>
              <w:rPr>
                <w:lang w:val="es-ES"/>
              </w:rPr>
              <w:t>i</w:t>
            </w:r>
            <w:r w:rsidRPr="00EE1E1F">
              <w:rPr>
                <w:lang w:val="es-ES"/>
              </w:rPr>
              <w:t>odo de tiempo determinado</w:t>
            </w:r>
            <w:r>
              <w:rPr>
                <w:lang w:val="es-ES"/>
              </w:rPr>
              <w:t>.</w:t>
            </w:r>
          </w:p>
        </w:tc>
      </w:tr>
    </w:tbl>
    <w:p w:rsidR="00740D17" w:rsidRPr="00DE26FA" w:rsidRDefault="00740D17" w:rsidP="00740D17">
      <w:pPr>
        <w:pStyle w:val="Headingb"/>
        <w:rPr>
          <w:i/>
          <w:iCs/>
          <w:color w:val="00205C"/>
          <w:lang w:val="es-ES"/>
        </w:rPr>
      </w:pPr>
      <w:r w:rsidRPr="00DE26FA">
        <w:rPr>
          <w:i/>
          <w:iCs/>
          <w:color w:val="00205C"/>
          <w:lang w:val="es-ES"/>
        </w:rPr>
        <w:t>Resumen de los costes previstos</w:t>
      </w:r>
    </w:p>
    <w:p w:rsidR="00740D17" w:rsidRPr="00EE1E1F" w:rsidRDefault="00740D17" w:rsidP="00740D17">
      <w:pPr>
        <w:pStyle w:val="Figure"/>
        <w:rPr>
          <w:lang w:val="es-ES"/>
        </w:rPr>
      </w:pPr>
      <w:r w:rsidRPr="00570106">
        <w:rPr>
          <w:noProof/>
          <w:lang w:val="en-GB" w:eastAsia="zh-CN"/>
        </w:rPr>
        <w:drawing>
          <wp:inline distT="0" distB="0" distL="0" distR="0">
            <wp:extent cx="5274310" cy="229679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2296795"/>
                    </a:xfrm>
                    <a:prstGeom prst="rect">
                      <a:avLst/>
                    </a:prstGeom>
                    <a:noFill/>
                    <a:ln>
                      <a:noFill/>
                    </a:ln>
                  </pic:spPr>
                </pic:pic>
              </a:graphicData>
            </a:graphic>
          </wp:inline>
        </w:drawing>
      </w:r>
    </w:p>
    <w:p w:rsidR="00740D17" w:rsidRDefault="00740D17" w:rsidP="00740D17">
      <w:pPr>
        <w:rPr>
          <w:lang w:val="es-ES"/>
        </w:rPr>
      </w:pPr>
      <w:bookmarkStart w:id="326" w:name="lt_pId378"/>
      <w:r>
        <w:rPr>
          <w:lang w:val="es-ES"/>
        </w:rPr>
        <w:br w:type="page"/>
      </w:r>
    </w:p>
    <w:p w:rsidR="00740D17" w:rsidRPr="00DE26FA" w:rsidRDefault="00740D17" w:rsidP="00740D17">
      <w:pPr>
        <w:pStyle w:val="Heading3"/>
        <w:rPr>
          <w:color w:val="00205C"/>
        </w:rPr>
      </w:pPr>
      <w:bookmarkStart w:id="327" w:name="_Toc7518639"/>
      <w:bookmarkStart w:id="328" w:name="_Toc7534690"/>
      <w:r w:rsidRPr="00DE26FA">
        <w:rPr>
          <w:color w:val="00205C"/>
        </w:rPr>
        <w:lastRenderedPageBreak/>
        <w:t xml:space="preserve">II.4.4 – T.4 </w:t>
      </w:r>
      <w:bookmarkEnd w:id="326"/>
      <w:r w:rsidRPr="00DE26FA">
        <w:rPr>
          <w:color w:val="00205C"/>
        </w:rPr>
        <w:t>Intercambio de conocimientos</w:t>
      </w:r>
      <w:bookmarkEnd w:id="327"/>
      <w:bookmarkEnd w:id="328"/>
    </w:p>
    <w:p w:rsidR="00740D17" w:rsidRPr="00DE26FA" w:rsidRDefault="00740D17" w:rsidP="00740D17">
      <w:pPr>
        <w:pStyle w:val="Headingb"/>
        <w:rPr>
          <w:i/>
          <w:iCs/>
          <w:color w:val="00205C"/>
          <w:lang w:val="es-ES"/>
        </w:rPr>
      </w:pPr>
      <w:bookmarkStart w:id="329" w:name="lt_pId379"/>
      <w:r w:rsidRPr="00DE26FA">
        <w:rPr>
          <w:i/>
          <w:iCs/>
          <w:color w:val="00205C"/>
          <w:lang w:val="es-ES"/>
        </w:rPr>
        <w:t>Descripción del objetivo</w:t>
      </w:r>
      <w:bookmarkEnd w:id="329"/>
    </w:p>
    <w:p w:rsidR="00740D17" w:rsidRPr="00EE1E1F" w:rsidRDefault="00740D17" w:rsidP="00740D17">
      <w:pPr>
        <w:snapToGrid w:val="0"/>
        <w:rPr>
          <w:rFonts w:asciiTheme="minorHAnsi" w:hAnsiTheme="minorHAnsi"/>
          <w:lang w:val="es-ES"/>
        </w:rPr>
      </w:pPr>
      <w:r w:rsidRPr="00EE1E1F">
        <w:rPr>
          <w:lang w:val="es-ES"/>
        </w:rPr>
        <w:t>Fomentar la adquisición, comprensión y divulgación de conocimientos teóricos y prácticos sobre las actividades de normalización del UIT-T</w:t>
      </w:r>
      <w:r>
        <w:rPr>
          <w:lang w:val="es-ES"/>
        </w:rPr>
        <w:t>.</w:t>
      </w:r>
    </w:p>
    <w:p w:rsidR="00740D17" w:rsidRPr="00EE1E1F" w:rsidRDefault="00740D17" w:rsidP="00740D17">
      <w:pPr>
        <w:rPr>
          <w:lang w:val="es-ES"/>
        </w:rPr>
      </w:pPr>
      <w:bookmarkStart w:id="330" w:name="lt_pId381"/>
      <w:r w:rsidRPr="00EE1E1F">
        <w:rPr>
          <w:lang w:val="es-ES"/>
        </w:rPr>
        <w:t>El Objetivo T.4 utiliza el 20,20 por ciento de los recursos previstos para los objetivos del UIT-T, un 3,44 por ciento de los recursos previstos de la UIT para 2020-2021.</w:t>
      </w:r>
      <w:bookmarkEnd w:id="330"/>
    </w:p>
    <w:p w:rsidR="00740D17" w:rsidRPr="00DE26FA" w:rsidRDefault="00740D17" w:rsidP="00740D17">
      <w:pPr>
        <w:pStyle w:val="Headingb"/>
        <w:spacing w:after="120"/>
        <w:rPr>
          <w:i/>
          <w:iCs/>
          <w:color w:val="00205C"/>
          <w:lang w:val="es-ES"/>
        </w:rPr>
      </w:pPr>
      <w:r w:rsidRPr="00DE26FA">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DE26FA" w:rsidTr="00740D17">
        <w:trPr>
          <w:trHeight w:val="586"/>
        </w:trPr>
        <w:tc>
          <w:tcPr>
            <w:tcW w:w="4508" w:type="dxa"/>
            <w:tcBorders>
              <w:top w:val="nil"/>
              <w:left w:val="nil"/>
              <w:bottom w:val="single" w:sz="12" w:space="0" w:color="4F81BD" w:themeColor="accent1"/>
              <w:right w:val="dotted" w:sz="4" w:space="0" w:color="4F81BD" w:themeColor="accent1"/>
            </w:tcBorders>
            <w:hideMark/>
          </w:tcPr>
          <w:p w:rsidR="00740D17" w:rsidRPr="00DE26FA" w:rsidRDefault="00740D17" w:rsidP="00740D17">
            <w:pPr>
              <w:pStyle w:val="Tablehead"/>
              <w:rPr>
                <w:i/>
                <w:iCs/>
                <w:color w:val="00205C"/>
                <w:lang w:val="es-ES"/>
              </w:rPr>
            </w:pPr>
            <w:r w:rsidRPr="00DE26FA">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DE26FA" w:rsidRDefault="00740D17" w:rsidP="00740D17">
            <w:pPr>
              <w:pStyle w:val="Tablehead"/>
              <w:rPr>
                <w:i/>
                <w:iCs/>
                <w:color w:val="00205C"/>
                <w:lang w:val="es-ES"/>
              </w:rPr>
            </w:pPr>
            <w:r w:rsidRPr="00DE26FA">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Mayor conocimiento de las normas del UIT-T y de prácticas idóneas en la aplicación de las normas del UIT</w:t>
            </w:r>
            <w:r w:rsidRPr="00EE1E1F">
              <w:rPr>
                <w:lang w:val="es-ES"/>
              </w:rPr>
              <w:noBreakHyphen/>
              <w:t>T</w:t>
            </w:r>
            <w:r>
              <w:rPr>
                <w:lang w:val="es-ES"/>
              </w:rPr>
              <w: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cyan"/>
                <w:lang w:val="es-ES"/>
              </w:rPr>
            </w:pPr>
            <w:bookmarkStart w:id="331" w:name="lt_pId386"/>
            <w:r w:rsidRPr="00EE1E1F">
              <w:rPr>
                <w:lang w:val="es-ES"/>
              </w:rPr>
              <w:t>Número de visitas del sitio web del UIT-T; número de participantes en las Comisiones de Estudio (incl. Grupos Reg.); número de descargas de Recomendaciones UIT-T</w:t>
            </w:r>
            <w:bookmarkEnd w:id="331"/>
            <w:r w:rsidRPr="00EE1E1F">
              <w:rPr>
                <w:lang w:val="es-ES"/>
              </w:rPr>
              <w:t>.</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rFonts w:asciiTheme="minorHAnsi" w:hAnsiTheme="minorHAnsi"/>
                <w:lang w:val="es-ES"/>
              </w:rPr>
            </w:pPr>
            <w:r w:rsidRPr="00EE1E1F">
              <w:rPr>
                <w:lang w:val="es-ES"/>
              </w:rPr>
              <w:t>Mayor participación en actividades de normalización del UIT-T y mayor sensibilización sobre la pertinencia de las normas del UIT-T</w:t>
            </w:r>
            <w:r>
              <w:rPr>
                <w:lang w:val="es-ES"/>
              </w:rPr>
              <w:t>.</w:t>
            </w:r>
          </w:p>
        </w:tc>
        <w:tc>
          <w:tcPr>
            <w:tcW w:w="4508" w:type="dxa"/>
            <w:tcBorders>
              <w:top w:val="nil"/>
              <w:left w:val="dotted" w:sz="4" w:space="0" w:color="4F81BD" w:themeColor="accent1"/>
              <w:bottom w:val="nil"/>
              <w:right w:val="nil"/>
            </w:tcBorders>
          </w:tcPr>
          <w:p w:rsidR="00740D17" w:rsidRPr="00EE1E1F" w:rsidRDefault="00740D17" w:rsidP="00740D17">
            <w:pPr>
              <w:pStyle w:val="Tabletext"/>
              <w:rPr>
                <w:lang w:val="es-ES"/>
              </w:rPr>
            </w:pPr>
            <w:r w:rsidRPr="00EE1E1F">
              <w:rPr>
                <w:lang w:val="es-ES"/>
              </w:rPr>
              <w:t>Como el anterior.</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rFonts w:asciiTheme="minorHAnsi" w:hAnsiTheme="minorHAnsi" w:cs="Times New Roman"/>
                <w:lang w:val="es-ES"/>
              </w:rPr>
            </w:pPr>
            <w:r w:rsidRPr="00EE1E1F">
              <w:rPr>
                <w:lang w:val="es-ES"/>
              </w:rPr>
              <w:t>Mayor visibilidad del Sector</w:t>
            </w:r>
            <w:r>
              <w:rPr>
                <w:lang w:val="es-ES"/>
              </w:rPr>
              <w:t>.</w:t>
            </w:r>
          </w:p>
        </w:tc>
        <w:tc>
          <w:tcPr>
            <w:tcW w:w="4508" w:type="dxa"/>
            <w:tcBorders>
              <w:top w:val="nil"/>
              <w:left w:val="dotted" w:sz="4" w:space="0" w:color="4F81BD" w:themeColor="accent1"/>
              <w:bottom w:val="nil"/>
              <w:right w:val="nil"/>
            </w:tcBorders>
            <w:hideMark/>
          </w:tcPr>
          <w:p w:rsidR="00740D17" w:rsidRDefault="00740D17" w:rsidP="00740D17">
            <w:pPr>
              <w:pStyle w:val="Tabletext"/>
              <w:rPr>
                <w:lang w:val="es-ES"/>
              </w:rPr>
            </w:pPr>
            <w:bookmarkStart w:id="332" w:name="lt_pId392"/>
            <w:r w:rsidRPr="00EE1E1F">
              <w:rPr>
                <w:lang w:val="es-ES"/>
              </w:rPr>
              <w:t>Número de reuniones de CE, reuniones de GT, reuniones del Grupo Regional y talleres celebrados (dentro y fuera de Ginebra)</w:t>
            </w:r>
            <w:r>
              <w:rPr>
                <w:lang w:val="es-ES"/>
              </w:rPr>
              <w:t>.</w:t>
            </w:r>
          </w:p>
          <w:p w:rsidR="00740D17" w:rsidRDefault="00740D17" w:rsidP="00740D17">
            <w:pPr>
              <w:pStyle w:val="Tabletext"/>
              <w:rPr>
                <w:lang w:val="es-ES"/>
              </w:rPr>
            </w:pPr>
            <w:r w:rsidRPr="00EE1E1F">
              <w:rPr>
                <w:lang w:val="es-ES"/>
              </w:rPr>
              <w:t>Número de reuniones de Grupo de Relator y número de participantes; número de reuniones virtuales y número de participantes</w:t>
            </w:r>
            <w:r>
              <w:rPr>
                <w:lang w:val="es-ES"/>
              </w:rPr>
              <w:t>.</w:t>
            </w:r>
          </w:p>
          <w:p w:rsidR="00740D17" w:rsidRPr="00EE1E1F" w:rsidRDefault="00740D17" w:rsidP="00740D17">
            <w:pPr>
              <w:pStyle w:val="Tabletext"/>
              <w:rPr>
                <w:lang w:val="es-ES"/>
              </w:rPr>
            </w:pPr>
            <w:r w:rsidRPr="00EE1E1F">
              <w:rPr>
                <w:lang w:val="es-ES"/>
              </w:rPr>
              <w:t>Número de contribuciones presentadas por participantes procedentes de PMA, países en desarrollo y países desarrollados</w:t>
            </w:r>
            <w:r>
              <w:rPr>
                <w:lang w:val="es-ES"/>
              </w:rPr>
              <w:t xml:space="preserve"> </w:t>
            </w:r>
            <w:r w:rsidRPr="00DC1DE5">
              <w:rPr>
                <w:lang w:val="es-ES"/>
              </w:rPr>
              <w:t>(por separado)</w:t>
            </w:r>
            <w:r w:rsidRPr="00EE1E1F">
              <w:rPr>
                <w:lang w:val="es-ES"/>
              </w:rPr>
              <w:t>.</w:t>
            </w:r>
          </w:p>
          <w:p w:rsidR="00740D17" w:rsidRPr="00EE1E1F" w:rsidRDefault="00740D17" w:rsidP="00740D17">
            <w:pPr>
              <w:pStyle w:val="Tabletext"/>
              <w:rPr>
                <w:rFonts w:asciiTheme="minorHAnsi" w:hAnsiTheme="minorHAnsi"/>
                <w:highlight w:val="lightGray"/>
                <w:lang w:val="es-ES"/>
              </w:rPr>
            </w:pPr>
            <w:r w:rsidRPr="00EE1E1F">
              <w:rPr>
                <w:lang w:val="es-ES"/>
              </w:rPr>
              <w:t>Porcentaje de puestos de liderazgo (presidencia/vicepresidencia de Comisiones de Estudio, presidencia de Grupos de Relator, editor, etc.) ocupados por países en desarrollo y PMA</w:t>
            </w:r>
            <w:bookmarkEnd w:id="332"/>
            <w:r w:rsidRPr="00EE1E1F">
              <w:rPr>
                <w:lang w:val="es-ES"/>
              </w:rPr>
              <w:t>.</w:t>
            </w:r>
          </w:p>
        </w:tc>
      </w:tr>
    </w:tbl>
    <w:p w:rsidR="00740D17" w:rsidRDefault="00740D17" w:rsidP="00740D17">
      <w:pPr>
        <w:rPr>
          <w:lang w:val="es-ES"/>
        </w:rPr>
      </w:pPr>
      <w:r>
        <w:rPr>
          <w:lang w:val="es-ES"/>
        </w:rPr>
        <w:br w:type="page"/>
      </w:r>
    </w:p>
    <w:p w:rsidR="00740D17" w:rsidRPr="00DE26FA" w:rsidRDefault="00740D17" w:rsidP="00740D17">
      <w:pPr>
        <w:pStyle w:val="Headingb"/>
        <w:rPr>
          <w:i/>
          <w:iCs/>
          <w:color w:val="00205C"/>
          <w:lang w:val="es-ES"/>
        </w:rPr>
      </w:pPr>
      <w:r w:rsidRPr="00DE26FA">
        <w:rPr>
          <w:i/>
          <w:iCs/>
          <w:color w:val="00205C"/>
          <w:lang w:val="es-ES"/>
        </w:rPr>
        <w:lastRenderedPageBreak/>
        <w:t>Resumen de los costes previstos</w:t>
      </w:r>
    </w:p>
    <w:p w:rsidR="00740D17" w:rsidRPr="00EE1E1F" w:rsidRDefault="00740D17" w:rsidP="00740D17">
      <w:pPr>
        <w:pStyle w:val="Figure"/>
        <w:rPr>
          <w:lang w:val="es-ES"/>
        </w:rPr>
      </w:pPr>
      <w:r w:rsidRPr="00570106">
        <w:rPr>
          <w:noProof/>
          <w:lang w:val="en-GB" w:eastAsia="zh-CN"/>
        </w:rPr>
        <w:drawing>
          <wp:inline distT="0" distB="0" distL="0" distR="0">
            <wp:extent cx="5113020" cy="22967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3020" cy="2296795"/>
                    </a:xfrm>
                    <a:prstGeom prst="rect">
                      <a:avLst/>
                    </a:prstGeom>
                    <a:noFill/>
                    <a:ln>
                      <a:noFill/>
                    </a:ln>
                  </pic:spPr>
                </pic:pic>
              </a:graphicData>
            </a:graphic>
          </wp:inline>
        </w:drawing>
      </w:r>
    </w:p>
    <w:p w:rsidR="00740D17" w:rsidRDefault="00740D17" w:rsidP="00740D17">
      <w:pPr>
        <w:rPr>
          <w:lang w:val="es-ES"/>
        </w:rPr>
      </w:pPr>
      <w:r w:rsidRPr="00EE1E1F">
        <w:rPr>
          <w:lang w:val="es-ES"/>
        </w:rPr>
        <w:br w:type="page"/>
      </w:r>
      <w:bookmarkStart w:id="333" w:name="lt_pId398"/>
    </w:p>
    <w:p w:rsidR="00740D17" w:rsidRPr="0099260B" w:rsidRDefault="00740D17" w:rsidP="00740D17">
      <w:pPr>
        <w:pStyle w:val="Heading3"/>
        <w:rPr>
          <w:color w:val="00205C"/>
        </w:rPr>
      </w:pPr>
      <w:bookmarkStart w:id="334" w:name="_Toc7518640"/>
      <w:bookmarkStart w:id="335" w:name="_Toc7534691"/>
      <w:r w:rsidRPr="0099260B">
        <w:rPr>
          <w:color w:val="00205C"/>
        </w:rPr>
        <w:lastRenderedPageBreak/>
        <w:t xml:space="preserve">II.4.5 – T.5 </w:t>
      </w:r>
      <w:bookmarkEnd w:id="333"/>
      <w:r w:rsidRPr="0099260B">
        <w:rPr>
          <w:color w:val="00205C"/>
        </w:rPr>
        <w:t>Colaboración con organismos de normalización</w:t>
      </w:r>
      <w:bookmarkEnd w:id="334"/>
      <w:bookmarkEnd w:id="335"/>
    </w:p>
    <w:p w:rsidR="00740D17" w:rsidRPr="0099260B" w:rsidRDefault="00740D17" w:rsidP="00740D17">
      <w:pPr>
        <w:pStyle w:val="Headingb"/>
        <w:rPr>
          <w:i/>
          <w:iCs/>
          <w:color w:val="00205C"/>
          <w:lang w:val="es-ES"/>
        </w:rPr>
      </w:pPr>
      <w:r w:rsidRPr="0099260B">
        <w:rPr>
          <w:i/>
          <w:iCs/>
          <w:color w:val="00205C"/>
          <w:lang w:val="es-ES"/>
        </w:rPr>
        <w:t>Descripción del objetivo</w:t>
      </w:r>
    </w:p>
    <w:p w:rsidR="00740D17" w:rsidRPr="00EE1E1F" w:rsidRDefault="00740D17" w:rsidP="00740D17">
      <w:pPr>
        <w:snapToGrid w:val="0"/>
        <w:rPr>
          <w:rFonts w:asciiTheme="minorHAnsi" w:hAnsiTheme="minorHAnsi"/>
          <w:highlight w:val="green"/>
          <w:lang w:val="es-ES"/>
        </w:rPr>
      </w:pPr>
      <w:bookmarkStart w:id="336" w:name="lt_pId400"/>
      <w:r w:rsidRPr="00EE1E1F">
        <w:rPr>
          <w:lang w:val="es-ES"/>
        </w:rPr>
        <w:t>Extender y facilitar la cooperación con organismos de normalización internacionales, regionales y nacionales.</w:t>
      </w:r>
    </w:p>
    <w:p w:rsidR="00740D17" w:rsidRPr="00EE1E1F" w:rsidRDefault="00740D17" w:rsidP="00740D17">
      <w:pPr>
        <w:rPr>
          <w:lang w:val="es-ES"/>
        </w:rPr>
      </w:pPr>
      <w:bookmarkStart w:id="337" w:name="lt_pId401"/>
      <w:bookmarkEnd w:id="336"/>
      <w:r w:rsidRPr="00EE1E1F">
        <w:rPr>
          <w:lang w:val="es-ES"/>
        </w:rPr>
        <w:t>El Objetivo T.5 utiliza el 4,08 por ciento de los recursos previstos para los objetivos del UIT-T, un 0,70 por ciento de los recursos previstos de la UIT para 2020-2021.</w:t>
      </w:r>
      <w:bookmarkEnd w:id="337"/>
    </w:p>
    <w:p w:rsidR="00740D17" w:rsidRPr="0099260B" w:rsidRDefault="00740D17" w:rsidP="00740D17">
      <w:pPr>
        <w:pStyle w:val="Headingb"/>
        <w:spacing w:after="120"/>
        <w:rPr>
          <w:i/>
          <w:iCs/>
          <w:color w:val="00205C"/>
          <w:lang w:val="es-ES"/>
        </w:rPr>
      </w:pPr>
      <w:r w:rsidRPr="0099260B">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99260B" w:rsidTr="00740D17">
        <w:trPr>
          <w:trHeight w:val="586"/>
        </w:trPr>
        <w:tc>
          <w:tcPr>
            <w:tcW w:w="4508" w:type="dxa"/>
            <w:tcBorders>
              <w:top w:val="nil"/>
              <w:left w:val="nil"/>
              <w:bottom w:val="single" w:sz="12" w:space="0" w:color="4F81BD" w:themeColor="accent1"/>
              <w:right w:val="dotted" w:sz="4" w:space="0" w:color="4F81BD" w:themeColor="accent1"/>
            </w:tcBorders>
            <w:hideMark/>
          </w:tcPr>
          <w:p w:rsidR="00740D17" w:rsidRPr="0099260B" w:rsidRDefault="00740D17" w:rsidP="00740D17">
            <w:pPr>
              <w:pStyle w:val="Tablehead"/>
              <w:rPr>
                <w:i/>
                <w:iCs/>
                <w:color w:val="00205C"/>
                <w:lang w:val="es-ES"/>
              </w:rPr>
            </w:pPr>
            <w:r w:rsidRPr="0099260B">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99260B" w:rsidRDefault="00740D17" w:rsidP="00740D17">
            <w:pPr>
              <w:pStyle w:val="Tablehead"/>
              <w:rPr>
                <w:i/>
                <w:iCs/>
                <w:color w:val="00205C"/>
                <w:lang w:val="es-ES"/>
              </w:rPr>
            </w:pPr>
            <w:r w:rsidRPr="0099260B">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7F10CF" w:rsidRDefault="00740D17" w:rsidP="00740D17">
            <w:pPr>
              <w:pStyle w:val="Tabletext"/>
              <w:rPr>
                <w:rFonts w:asciiTheme="minorHAnsi" w:hAnsiTheme="minorHAnsi"/>
                <w:lang w:val="es-ES"/>
              </w:rPr>
            </w:pPr>
            <w:bookmarkStart w:id="338" w:name="lt_pId405"/>
            <w:r w:rsidRPr="007F10CF">
              <w:rPr>
                <w:lang w:val="es-ES"/>
              </w:rPr>
              <w:t>Aumento de las comunicaciones con otras organizaciones de normalización</w:t>
            </w:r>
            <w:bookmarkEnd w:id="338"/>
            <w:r w:rsidRPr="007F10CF">
              <w:rPr>
                <w:lang w:val="es-ES"/>
              </w:rPr>
              <w: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r w:rsidRPr="00EE1E1F">
              <w:rPr>
                <w:lang w:val="es-ES"/>
              </w:rPr>
              <w:t>Número de reuniones/talleres acogidos u organizados junto con otras organizaciones.</w:t>
            </w:r>
          </w:p>
          <w:p w:rsidR="00740D17" w:rsidRPr="00EE1E1F" w:rsidRDefault="00740D17" w:rsidP="00740D17">
            <w:pPr>
              <w:pStyle w:val="Tabletext"/>
              <w:rPr>
                <w:rFonts w:asciiTheme="minorHAnsi" w:hAnsiTheme="minorHAnsi"/>
                <w:highlight w:val="green"/>
                <w:lang w:val="es-ES"/>
              </w:rPr>
            </w:pPr>
            <w:r w:rsidRPr="00EE1E1F">
              <w:rPr>
                <w:lang w:val="es-ES"/>
              </w:rPr>
              <w:t>Número de declaraciones de coordinación.</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7F10CF" w:rsidRDefault="00740D17" w:rsidP="00740D17">
            <w:pPr>
              <w:pStyle w:val="Tabletext"/>
              <w:rPr>
                <w:rFonts w:asciiTheme="minorHAnsi" w:hAnsiTheme="minorHAnsi"/>
                <w:lang w:val="es-ES"/>
              </w:rPr>
            </w:pPr>
            <w:r w:rsidRPr="007F10CF">
              <w:rPr>
                <w:lang w:val="es-ES"/>
              </w:rPr>
              <w:t>Menor número de normas contradictorias.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r w:rsidRPr="00EE1E1F">
              <w:rPr>
                <w:lang w:val="es-ES"/>
              </w:rPr>
              <w:t>Número de normas elaboradas en colaboración con otras organizaciones.</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7F10CF" w:rsidRDefault="00740D17" w:rsidP="00740D17">
            <w:pPr>
              <w:pStyle w:val="Tabletext"/>
              <w:rPr>
                <w:rFonts w:asciiTheme="minorHAnsi" w:hAnsiTheme="minorHAnsi"/>
                <w:highlight w:val="green"/>
                <w:lang w:val="es-ES"/>
              </w:rPr>
            </w:pPr>
            <w:r w:rsidRPr="007F10CF">
              <w:rPr>
                <w:lang w:val="es-ES"/>
              </w:rPr>
              <w:t>Mayor número de Memorandos de Entendimiento/acuerdos de colaboración con otras organizaciones.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bookmarkStart w:id="339" w:name="lt_pId411"/>
            <w:r w:rsidRPr="00EE1E1F">
              <w:rPr>
                <w:lang w:val="es-ES"/>
              </w:rPr>
              <w:t>Número de acuerdos con otras organizacione</w:t>
            </w:r>
            <w:bookmarkEnd w:id="339"/>
            <w:r w:rsidRPr="00EE1E1F">
              <w:rPr>
                <w:lang w:val="es-ES"/>
              </w:rPr>
              <w:t>s.</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7F10CF" w:rsidRDefault="00740D17" w:rsidP="00740D17">
            <w:pPr>
              <w:pStyle w:val="Tabletext"/>
              <w:rPr>
                <w:rFonts w:asciiTheme="minorHAnsi" w:hAnsiTheme="minorHAnsi"/>
                <w:highlight w:val="green"/>
                <w:lang w:val="es-ES"/>
              </w:rPr>
            </w:pPr>
            <w:r w:rsidRPr="007F10CF">
              <w:rPr>
                <w:lang w:val="es-ES"/>
              </w:rPr>
              <w:t>Mayor número de organizaciones calificadas UIT-T A.4, A.5 y A.6.</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bookmarkStart w:id="340" w:name="lt_pId413"/>
            <w:r w:rsidRPr="00EE1E1F">
              <w:rPr>
                <w:lang w:val="es-ES"/>
              </w:rPr>
              <w:t>Número de calificaciones UIT-T A.4, A.5 y A.6</w:t>
            </w:r>
            <w:bookmarkEnd w:id="340"/>
            <w:r w:rsidRPr="00EE1E1F">
              <w:rPr>
                <w:lang w:val="es-ES"/>
              </w:rPr>
              <w:t>.</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7F10CF" w:rsidRDefault="00740D17" w:rsidP="00740D17">
            <w:pPr>
              <w:pStyle w:val="Tabletext"/>
              <w:rPr>
                <w:rFonts w:asciiTheme="minorHAnsi" w:hAnsiTheme="minorHAnsi"/>
                <w:lang w:val="es-ES"/>
              </w:rPr>
            </w:pPr>
            <w:r w:rsidRPr="007F10CF">
              <w:rPr>
                <w:lang w:val="es-ES"/>
              </w:rPr>
              <w:t>Mayor número de talleres/eventos organizados junto con otras organizaciones.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341" w:name="lt_pId415"/>
            <w:r w:rsidRPr="00EE1E1F">
              <w:rPr>
                <w:lang w:val="es-ES"/>
              </w:rPr>
              <w:t>Como el primero.</w:t>
            </w:r>
            <w:bookmarkEnd w:id="341"/>
          </w:p>
        </w:tc>
      </w:tr>
    </w:tbl>
    <w:p w:rsidR="00740D17" w:rsidRPr="0099260B" w:rsidRDefault="00740D17" w:rsidP="00740D17">
      <w:pPr>
        <w:pStyle w:val="Headingb"/>
        <w:rPr>
          <w:i/>
          <w:iCs/>
          <w:color w:val="00205C"/>
          <w:lang w:val="es-ES"/>
        </w:rPr>
      </w:pPr>
      <w:r w:rsidRPr="0099260B">
        <w:rPr>
          <w:i/>
          <w:iCs/>
          <w:color w:val="00205C"/>
          <w:lang w:val="es-ES"/>
        </w:rPr>
        <w:t>Resumen de los costes previstos</w:t>
      </w:r>
    </w:p>
    <w:p w:rsidR="00740D17" w:rsidRDefault="00740D17" w:rsidP="00740D17">
      <w:pPr>
        <w:pStyle w:val="Figure"/>
        <w:rPr>
          <w:lang w:val="es-ES"/>
        </w:rPr>
      </w:pPr>
      <w:r w:rsidRPr="0085305A">
        <w:rPr>
          <w:noProof/>
          <w:lang w:val="en-GB" w:eastAsia="zh-CN"/>
        </w:rPr>
        <w:drawing>
          <wp:inline distT="0" distB="0" distL="0" distR="0">
            <wp:extent cx="5230495" cy="229679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0495" cy="2296795"/>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1239E6" w:rsidRDefault="00740D17" w:rsidP="00740D17">
      <w:pPr>
        <w:pStyle w:val="Heading2"/>
      </w:pPr>
      <w:bookmarkStart w:id="342" w:name="lt_pId417"/>
      <w:bookmarkStart w:id="343" w:name="_Toc7518641"/>
      <w:bookmarkStart w:id="344" w:name="_Toc7533969"/>
      <w:bookmarkStart w:id="345" w:name="_Toc7534692"/>
      <w:r w:rsidRPr="001239E6">
        <w:lastRenderedPageBreak/>
        <w:t>II.5</w:t>
      </w:r>
      <w:bookmarkEnd w:id="342"/>
      <w:r w:rsidRPr="001239E6">
        <w:tab/>
        <w:t>Objetivos del Sector de Desarrollo de las Telecomunicaciones</w:t>
      </w:r>
      <w:bookmarkEnd w:id="343"/>
      <w:bookmarkEnd w:id="344"/>
      <w:bookmarkEnd w:id="345"/>
    </w:p>
    <w:p w:rsidR="00740D17" w:rsidRDefault="00740D17" w:rsidP="00740D17">
      <w:pPr>
        <w:rPr>
          <w:lang w:val="es-ES"/>
        </w:rPr>
      </w:pPr>
      <w:r w:rsidRPr="00EE1E1F">
        <w:rPr>
          <w:lang w:val="es-ES"/>
        </w:rPr>
        <w:t>Se prevén cuatro objetivos del Sector de Desarrollo de las Telecomunicaciones en 2020-2021, que representan el 35,98 por ciento del presupuesto total de la Unión para 2020-2021.</w:t>
      </w:r>
    </w:p>
    <w:p w:rsidR="00740D17" w:rsidRDefault="00740D17" w:rsidP="00740D17">
      <w:pPr>
        <w:pStyle w:val="Figure"/>
        <w:rPr>
          <w:lang w:val="es-ES"/>
        </w:rPr>
      </w:pPr>
      <w:r>
        <w:rPr>
          <w:noProof/>
          <w:lang w:val="en-GB" w:eastAsia="zh-CN"/>
        </w:rPr>
        <w:drawing>
          <wp:inline distT="0" distB="0" distL="0" distR="0">
            <wp:extent cx="5158800" cy="3549600"/>
            <wp:effectExtent l="0" t="0" r="3810" b="0"/>
            <wp:docPr id="15" name="Picture 15" descr="C:\Users\hernandf\AppData\Local\Microsoft\Windows\INetCache\Content.Word\Graf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nandf\AppData\Local\Microsoft\Windows\INetCache\Content.Word\Grafico 1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8800" cy="3549600"/>
                    </a:xfrm>
                    <a:prstGeom prst="rect">
                      <a:avLst/>
                    </a:prstGeom>
                    <a:noFill/>
                    <a:ln>
                      <a:noFill/>
                    </a:ln>
                  </pic:spPr>
                </pic:pic>
              </a:graphicData>
            </a:graphic>
          </wp:inline>
        </w:drawing>
      </w:r>
    </w:p>
    <w:p w:rsidR="00740D17" w:rsidRDefault="00740D17" w:rsidP="00740D17">
      <w:pPr>
        <w:snapToGrid w:val="0"/>
        <w:jc w:val="mediumKashida"/>
        <w:rPr>
          <w:rFonts w:asciiTheme="minorHAnsi" w:hAnsiTheme="minorHAnsi"/>
          <w:szCs w:val="24"/>
          <w:lang w:val="es-ES"/>
        </w:rPr>
      </w:pPr>
    </w:p>
    <w:p w:rsidR="00740D17" w:rsidRPr="00EE1E1F" w:rsidRDefault="00740D17" w:rsidP="00740D17">
      <w:pPr>
        <w:pStyle w:val="Figure"/>
        <w:rPr>
          <w:lang w:val="es-ES"/>
        </w:rPr>
      </w:pPr>
      <w:r>
        <w:rPr>
          <w:noProof/>
          <w:lang w:val="en-GB" w:eastAsia="zh-CN"/>
        </w:rPr>
        <w:drawing>
          <wp:inline distT="0" distB="0" distL="0" distR="0">
            <wp:extent cx="5148000" cy="3621600"/>
            <wp:effectExtent l="0" t="0" r="0" b="0"/>
            <wp:docPr id="16" name="Picture 16" descr="C:\Users\hernandf\AppData\Local\Microsoft\Windows\INetCache\Content.Word\Grafico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nandf\AppData\Local\Microsoft\Windows\INetCache\Content.Word\Grafico 1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8000" cy="3621600"/>
                    </a:xfrm>
                    <a:prstGeom prst="rect">
                      <a:avLst/>
                    </a:prstGeom>
                    <a:noFill/>
                    <a:ln>
                      <a:noFill/>
                    </a:ln>
                  </pic:spPr>
                </pic:pic>
              </a:graphicData>
            </a:graphic>
          </wp:inline>
        </w:drawing>
      </w:r>
    </w:p>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1907" w:h="16834"/>
          <w:pgMar w:top="1417" w:right="1134" w:bottom="1417" w:left="1134" w:header="720" w:footer="720" w:gutter="0"/>
          <w:paperSrc w:first="15" w:other="15"/>
          <w:cols w:space="720"/>
          <w:docGrid w:linePitch="326"/>
        </w:sectPr>
      </w:pPr>
    </w:p>
    <w:p w:rsidR="00740D17" w:rsidRPr="00EE1E1F" w:rsidRDefault="00740D17" w:rsidP="00740D17">
      <w:pPr>
        <w:pStyle w:val="Tabletitle"/>
        <w:rPr>
          <w:lang w:val="es-ES"/>
        </w:rPr>
      </w:pPr>
      <w:bookmarkStart w:id="346" w:name="lt_pId420"/>
      <w:r w:rsidRPr="00EE1E1F">
        <w:rPr>
          <w:lang w:val="es-ES"/>
        </w:rPr>
        <w:lastRenderedPageBreak/>
        <w:t>Cuadro W</w:t>
      </w:r>
      <w:bookmarkEnd w:id="346"/>
    </w:p>
    <w:p w:rsidR="00740D17" w:rsidRPr="00BC57FB" w:rsidRDefault="00740D17" w:rsidP="00740D17">
      <w:pPr>
        <w:pStyle w:val="Tabletitle"/>
        <w:rPr>
          <w:lang w:val="es-ES"/>
        </w:rPr>
      </w:pPr>
      <w:bookmarkStart w:id="347" w:name="lt_pId421"/>
      <w:r w:rsidRPr="00BC57FB">
        <w:rPr>
          <w:lang w:val="es-ES"/>
        </w:rPr>
        <w:t>Objetivos del UIT-D</w:t>
      </w:r>
      <w:r w:rsidRPr="00BC57FB">
        <w:rPr>
          <w:lang w:val="es-ES"/>
        </w:rPr>
        <w:br/>
        <w:t>Costes previstos para 2020-2021</w:t>
      </w:r>
      <w:r w:rsidRPr="00BC57FB">
        <w:rPr>
          <w:lang w:val="es-ES"/>
        </w:rPr>
        <w:br/>
        <w:t>Distribución por componente de coste</w:t>
      </w:r>
    </w:p>
    <w:p w:rsidR="00740D17" w:rsidRDefault="00740D17" w:rsidP="00740D17">
      <w:pPr>
        <w:pStyle w:val="Figure"/>
        <w:rPr>
          <w:lang w:val="es-ES"/>
        </w:rPr>
      </w:pPr>
      <w:r w:rsidRPr="00911C20">
        <w:rPr>
          <w:noProof/>
          <w:lang w:val="en-GB" w:eastAsia="zh-CN"/>
        </w:rPr>
        <w:drawing>
          <wp:inline distT="0" distB="0" distL="0" distR="0">
            <wp:extent cx="7988400" cy="224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88400" cy="2246400"/>
                    </a:xfrm>
                    <a:prstGeom prst="rect">
                      <a:avLst/>
                    </a:prstGeom>
                    <a:noFill/>
                    <a:ln>
                      <a:noFill/>
                    </a:ln>
                  </pic:spPr>
                </pic:pic>
              </a:graphicData>
            </a:graphic>
          </wp:inline>
        </w:drawing>
      </w:r>
    </w:p>
    <w:bookmarkEnd w:id="347"/>
    <w:p w:rsidR="00740D17" w:rsidRPr="00EE1E1F" w:rsidRDefault="00740D17" w:rsidP="00740D17">
      <w:pPr>
        <w:rPr>
          <w:lang w:val="es-ES"/>
        </w:rPr>
      </w:pPr>
    </w:p>
    <w:p w:rsidR="00740D17" w:rsidRPr="00EE1E1F" w:rsidRDefault="00740D17" w:rsidP="00740D17">
      <w:pPr>
        <w:rPr>
          <w:lang w:val="es-ES"/>
        </w:rPr>
        <w:sectPr w:rsidR="00740D17" w:rsidRPr="00EE1E1F" w:rsidSect="00740D17">
          <w:pgSz w:w="16834" w:h="11907" w:orient="landscape"/>
          <w:pgMar w:top="1417" w:right="1134" w:bottom="1417" w:left="1134" w:header="720" w:footer="720" w:gutter="0"/>
          <w:paperSrc w:first="15" w:other="15"/>
          <w:cols w:space="720"/>
          <w:docGrid w:linePitch="326"/>
        </w:sectPr>
      </w:pPr>
    </w:p>
    <w:p w:rsidR="00740D17" w:rsidRPr="0099260B" w:rsidRDefault="00740D17" w:rsidP="00740D17">
      <w:pPr>
        <w:pStyle w:val="Heading3"/>
        <w:rPr>
          <w:color w:val="00205C"/>
        </w:rPr>
      </w:pPr>
      <w:bookmarkStart w:id="348" w:name="lt_pId424"/>
      <w:bookmarkStart w:id="349" w:name="_Toc7518642"/>
      <w:bookmarkStart w:id="350" w:name="_Toc7534693"/>
      <w:r w:rsidRPr="0099260B">
        <w:rPr>
          <w:color w:val="00205C"/>
        </w:rPr>
        <w:lastRenderedPageBreak/>
        <w:t xml:space="preserve">II.5.1 – D.1 </w:t>
      </w:r>
      <w:bookmarkEnd w:id="348"/>
      <w:r w:rsidRPr="0099260B">
        <w:rPr>
          <w:color w:val="00205C"/>
        </w:rPr>
        <w:t>Coordinación</w:t>
      </w:r>
      <w:bookmarkStart w:id="351" w:name="lt_pId425"/>
      <w:bookmarkEnd w:id="349"/>
      <w:bookmarkEnd w:id="350"/>
    </w:p>
    <w:p w:rsidR="00740D17" w:rsidRPr="0099260B" w:rsidRDefault="00740D17" w:rsidP="00740D17">
      <w:pPr>
        <w:pStyle w:val="Headingb"/>
        <w:rPr>
          <w:i/>
          <w:iCs/>
          <w:color w:val="00205C"/>
          <w:lang w:val="es-ES"/>
        </w:rPr>
      </w:pPr>
      <w:r w:rsidRPr="0099260B">
        <w:rPr>
          <w:i/>
          <w:iCs/>
          <w:color w:val="00205C"/>
          <w:lang w:val="es-ES"/>
        </w:rPr>
        <w:t>Descripción del objetivo</w:t>
      </w:r>
      <w:bookmarkEnd w:id="351"/>
    </w:p>
    <w:p w:rsidR="00740D17" w:rsidRPr="00EE1E1F" w:rsidRDefault="00740D17" w:rsidP="00740D17">
      <w:pPr>
        <w:rPr>
          <w:rFonts w:asciiTheme="minorHAnsi" w:hAnsiTheme="minorHAnsi"/>
          <w:lang w:val="es-ES"/>
        </w:rPr>
      </w:pPr>
      <w:r w:rsidRPr="00EE1E1F">
        <w:rPr>
          <w:lang w:val="es-ES"/>
        </w:rPr>
        <w:t>Fomentar la cooperación y el acuerdo internacionales sobre cuestiones de desarrollo de las telecomunicaciones/TIC.</w:t>
      </w:r>
    </w:p>
    <w:p w:rsidR="00740D17" w:rsidRPr="00EE1E1F" w:rsidRDefault="00740D17" w:rsidP="00740D17">
      <w:pPr>
        <w:rPr>
          <w:lang w:val="es-ES"/>
        </w:rPr>
      </w:pPr>
      <w:bookmarkStart w:id="352" w:name="lt_pId427"/>
      <w:r w:rsidRPr="00EE1E1F">
        <w:rPr>
          <w:lang w:val="es-ES"/>
        </w:rPr>
        <w:t>El Objetivo D.1 utiliza el 34,37 por ciento de los recursos previstos para los objetivos del UIT-D, un 12,37 por ciento de los recursos previstos de la UIT para 2020-2021.</w:t>
      </w:r>
      <w:bookmarkEnd w:id="352"/>
    </w:p>
    <w:p w:rsidR="00740D17" w:rsidRPr="0099260B" w:rsidRDefault="00740D17" w:rsidP="00740D17">
      <w:pPr>
        <w:pStyle w:val="Headingb"/>
        <w:spacing w:after="120"/>
        <w:rPr>
          <w:i/>
          <w:iCs/>
          <w:color w:val="00205C"/>
          <w:lang w:val="es-ES"/>
        </w:rPr>
      </w:pPr>
      <w:r w:rsidRPr="0099260B">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99260B" w:rsidTr="00740D17">
        <w:trPr>
          <w:trHeight w:val="586"/>
        </w:trPr>
        <w:tc>
          <w:tcPr>
            <w:tcW w:w="4508" w:type="dxa"/>
            <w:tcBorders>
              <w:top w:val="nil"/>
              <w:left w:val="nil"/>
              <w:bottom w:val="single" w:sz="12" w:space="0" w:color="4F81BD" w:themeColor="accent1"/>
              <w:right w:val="dotted" w:sz="4" w:space="0" w:color="4F81BD" w:themeColor="accent1"/>
            </w:tcBorders>
            <w:hideMark/>
          </w:tcPr>
          <w:p w:rsidR="00740D17" w:rsidRPr="0099260B" w:rsidRDefault="00740D17" w:rsidP="00740D17">
            <w:pPr>
              <w:pStyle w:val="Tablehead"/>
              <w:rPr>
                <w:i/>
                <w:iCs/>
                <w:color w:val="00205C"/>
                <w:lang w:val="es-ES"/>
              </w:rPr>
            </w:pPr>
            <w:r w:rsidRPr="0099260B">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99260B" w:rsidRDefault="00740D17" w:rsidP="00740D17">
            <w:pPr>
              <w:pStyle w:val="Tablehead"/>
              <w:rPr>
                <w:i/>
                <w:iCs/>
                <w:color w:val="00205C"/>
                <w:lang w:val="es-ES"/>
              </w:rPr>
            </w:pPr>
            <w:r w:rsidRPr="0099260B">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Mejora del proceso de examen y mayor nivel de acuerdo sobre el proyecto de contribución del UIT-D al proyecto de Plan Estratégico de la</w:t>
            </w:r>
            <w:r>
              <w:rPr>
                <w:lang w:val="es-ES"/>
              </w:rPr>
              <w:t> </w:t>
            </w:r>
            <w:r w:rsidRPr="00EE1E1F">
              <w:rPr>
                <w:lang w:val="es-ES"/>
              </w:rPr>
              <w:t xml:space="preserve">UIT, la Declaración de la </w:t>
            </w:r>
            <w:r w:rsidR="00773272" w:rsidRPr="00773272">
              <w:rPr>
                <w:lang w:val="es-ES"/>
              </w:rPr>
              <w:t xml:space="preserve">Conferencia Mundial de Desarrollo de las Telecomunicaciones </w:t>
            </w:r>
            <w:r w:rsidR="00773272">
              <w:rPr>
                <w:lang w:val="es-ES"/>
              </w:rPr>
              <w:t>(</w:t>
            </w:r>
            <w:r w:rsidRPr="00EE1E1F">
              <w:rPr>
                <w:lang w:val="es-ES"/>
              </w:rPr>
              <w:t>CMDT</w:t>
            </w:r>
            <w:r w:rsidR="00773272">
              <w:rPr>
                <w:lang w:val="es-ES"/>
              </w:rPr>
              <w:t>)</w:t>
            </w:r>
            <w:r w:rsidRPr="00EE1E1F">
              <w:rPr>
                <w:lang w:val="es-ES"/>
              </w:rPr>
              <w:t xml:space="preserve"> y el Plan de Acción de la CMDT.</w:t>
            </w:r>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Nivel de comprensión de los Miembros y divulgación de los objetivos productos del</w:t>
            </w:r>
            <w:r>
              <w:rPr>
                <w:lang w:val="es-ES"/>
              </w:rPr>
              <w:t> </w:t>
            </w:r>
            <w:r w:rsidRPr="00EE1E1F">
              <w:rPr>
                <w:lang w:val="es-ES"/>
              </w:rPr>
              <w:t>UIT</w:t>
            </w:r>
            <w:r>
              <w:rPr>
                <w:lang w:val="es-ES"/>
              </w:rPr>
              <w:noBreakHyphen/>
            </w:r>
            <w:r w:rsidRPr="00EE1E1F">
              <w:rPr>
                <w:lang w:val="es-ES"/>
              </w:rPr>
              <w:t>D.</w:t>
            </w:r>
          </w:p>
          <w:p w:rsidR="00740D17" w:rsidRPr="00EE1E1F" w:rsidRDefault="00740D17" w:rsidP="00740D17">
            <w:pPr>
              <w:pStyle w:val="Tabletext"/>
              <w:rPr>
                <w:rFonts w:asciiTheme="minorHAnsi" w:hAnsiTheme="minorHAnsi"/>
                <w:lang w:val="es-ES"/>
              </w:rPr>
            </w:pPr>
            <w:r w:rsidRPr="00EE1E1F">
              <w:rPr>
                <w:lang w:val="es-ES"/>
              </w:rPr>
              <w:t>Declaración aprobada – Nivel de apoyo/acuerdo.</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Evaluación de la ejecución del Plan de Acción de la CMDT y del Plan de Acción de la CMSI.</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Indicadores de cooperación regional – Nivel de consenso.</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Mejora del intercambio de conocimientos, del diálogo y las asociaciones entre los Miembros de la UIT sobre cuestiones de telecomunicaciones/TIC.</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r w:rsidRPr="00EE1E1F">
              <w:rPr>
                <w:lang w:val="es-ES"/>
              </w:rPr>
              <w:t>Programas de trabajo emprendidos en respuesta a la Resolución 2 (Rev. Buenos Aires, 2017)</w:t>
            </w:r>
            <w:r>
              <w:rPr>
                <w:lang w:val="es-ES"/>
              </w:rPr>
              <w:t>;</w:t>
            </w:r>
            <w:r w:rsidRPr="00EE1E1F">
              <w:rPr>
                <w:lang w:val="es-ES"/>
              </w:rPr>
              <w:t xml:space="preserve"> trabajos asignados por la CMDT</w:t>
            </w:r>
            <w:r>
              <w:rPr>
                <w:lang w:val="es-ES"/>
              </w:rPr>
              <w:t>;</w:t>
            </w:r>
            <w:r w:rsidRPr="00EE1E1F">
              <w:rPr>
                <w:lang w:val="es-ES"/>
              </w:rPr>
              <w:t xml:space="preserve"> Resoluciones del UIT-D que tratan sobre ámbitos de estudio específicos a través de las Comisiones de Estudio del UIT-D.</w:t>
            </w:r>
          </w:p>
          <w:p w:rsidR="00740D17" w:rsidRPr="00EE1E1F" w:rsidRDefault="00740D17" w:rsidP="00740D17">
            <w:pPr>
              <w:pStyle w:val="Tabletext"/>
              <w:rPr>
                <w:rFonts w:asciiTheme="minorHAnsi" w:hAnsiTheme="minorHAnsi"/>
                <w:highlight w:val="green"/>
                <w:lang w:val="es-ES"/>
              </w:rPr>
            </w:pPr>
            <w:r w:rsidRPr="00EE1E1F">
              <w:rPr>
                <w:lang w:val="es-ES"/>
              </w:rPr>
              <w:t>Reuniones y documentación para las reuniones tratadas de conformidad con la Resolución 1 (y directrices de trabajo) y de conformidad con las decisiones de la CMDT.</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Mejores procesos y ejecución de los proyectos e Iniciativas Regionales de desarrollo de las telecomunicaciones/TIC.</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353" w:name="lt_pId440"/>
            <w:r w:rsidRPr="00EE1E1F">
              <w:rPr>
                <w:lang w:val="es-ES"/>
              </w:rPr>
              <w:t>Mayor utilización de herramientas electrónicas para avanzar los trabajos sobre los programas de trabajo de las Comisiones de Estudio; número de asociaciones formalizadas y recursos movilizados; número de proyectos de desarrollo y proyectos relacionados con Iniciativas Regionales ejecutados por Región.</w:t>
            </w:r>
            <w:bookmarkStart w:id="354" w:name="lt_pId441"/>
            <w:bookmarkEnd w:id="353"/>
          </w:p>
          <w:p w:rsidR="00740D17" w:rsidRPr="00EE1E1F" w:rsidRDefault="00740D17" w:rsidP="00740D17">
            <w:pPr>
              <w:pStyle w:val="Tabletext"/>
              <w:rPr>
                <w:rFonts w:asciiTheme="minorHAnsi" w:hAnsiTheme="minorHAnsi"/>
                <w:highlight w:val="green"/>
                <w:lang w:val="es-ES"/>
              </w:rPr>
            </w:pPr>
            <w:r w:rsidRPr="00EE1E1F">
              <w:rPr>
                <w:lang w:val="es-ES"/>
              </w:rPr>
              <w:t>Número de Estados Miembros que han recibido asistencia de la BDT para ejecutar proyectos relacionados con Iniciativas Regionales.</w:t>
            </w:r>
            <w:bookmarkEnd w:id="354"/>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r w:rsidRPr="00EE1E1F">
              <w:rPr>
                <w:lang w:val="es-ES"/>
              </w:rPr>
              <w:t>Facilitación de los acuerdos de cooperación para programas de desarrollo de las telecomunicaciones/TIC entre los Estados Miembros y entre los Estados Miembros y otras partes interesadas del ecosistema de las TIC a instancias de los Estados Miembros de la UIT involucrados.</w:t>
            </w:r>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355" w:name="lt_pId443"/>
            <w:r w:rsidRPr="00EE1E1F">
              <w:rPr>
                <w:lang w:val="es-ES"/>
              </w:rPr>
              <w:t>Número de alianzas firmadas y recursos movilizados.</w:t>
            </w:r>
          </w:p>
          <w:p w:rsidR="00740D17" w:rsidRPr="00EE1E1F" w:rsidRDefault="00740D17" w:rsidP="00740D17">
            <w:pPr>
              <w:pStyle w:val="Tabletext"/>
              <w:rPr>
                <w:lang w:val="es-ES"/>
              </w:rPr>
            </w:pPr>
            <w:r w:rsidRPr="00EE1E1F">
              <w:rPr>
                <w:lang w:val="es-ES"/>
              </w:rPr>
              <w:t>Número de solicitudes de administraciones a la</w:t>
            </w:r>
            <w:r>
              <w:rPr>
                <w:lang w:val="es-ES"/>
              </w:rPr>
              <w:t> </w:t>
            </w:r>
            <w:r w:rsidRPr="00EE1E1F">
              <w:rPr>
                <w:lang w:val="es-ES"/>
              </w:rPr>
              <w:t>UIT para facilitar acuerdos.</w:t>
            </w:r>
          </w:p>
          <w:p w:rsidR="00740D17" w:rsidRPr="00EE1E1F" w:rsidRDefault="00740D17" w:rsidP="00740D17">
            <w:pPr>
              <w:pStyle w:val="Tabletext"/>
              <w:rPr>
                <w:lang w:val="es-ES"/>
              </w:rPr>
            </w:pPr>
            <w:r w:rsidRPr="00EE1E1F">
              <w:rPr>
                <w:lang w:val="es-ES"/>
              </w:rPr>
              <w:t>Número de acuerdos facilitados por la UIT.</w:t>
            </w:r>
            <w:bookmarkEnd w:id="355"/>
          </w:p>
        </w:tc>
      </w:tr>
    </w:tbl>
    <w:p w:rsidR="00740D17" w:rsidRPr="0099260B" w:rsidRDefault="00740D17" w:rsidP="00740D17">
      <w:pPr>
        <w:pStyle w:val="Headingb"/>
        <w:rPr>
          <w:i/>
          <w:iCs/>
          <w:color w:val="00205C"/>
          <w:lang w:val="es-ES"/>
        </w:rPr>
      </w:pPr>
      <w:r w:rsidRPr="0099260B">
        <w:rPr>
          <w:i/>
          <w:iCs/>
          <w:color w:val="00205C"/>
          <w:lang w:val="es-ES"/>
        </w:rPr>
        <w:lastRenderedPageBreak/>
        <w:t>Resumen de los costes previstos</w:t>
      </w:r>
    </w:p>
    <w:p w:rsidR="00740D17" w:rsidRPr="00EE1E1F" w:rsidRDefault="00740D17" w:rsidP="00740D17">
      <w:pPr>
        <w:pStyle w:val="Figure"/>
        <w:rPr>
          <w:lang w:val="es-ES"/>
        </w:rPr>
      </w:pPr>
      <w:r w:rsidRPr="00911C20">
        <w:rPr>
          <w:noProof/>
          <w:lang w:val="en-GB" w:eastAsia="zh-CN"/>
        </w:rPr>
        <w:drawing>
          <wp:inline distT="0" distB="0" distL="0" distR="0">
            <wp:extent cx="5266690" cy="2296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6690" cy="2296795"/>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99260B" w:rsidRDefault="00740D17" w:rsidP="00740D17">
      <w:pPr>
        <w:pStyle w:val="Heading3"/>
        <w:rPr>
          <w:color w:val="00205C"/>
        </w:rPr>
      </w:pPr>
      <w:bookmarkStart w:id="356" w:name="lt_pId447"/>
      <w:bookmarkStart w:id="357" w:name="_Toc7518643"/>
      <w:bookmarkStart w:id="358" w:name="_Toc7534694"/>
      <w:r w:rsidRPr="0099260B">
        <w:rPr>
          <w:color w:val="00205C"/>
        </w:rPr>
        <w:lastRenderedPageBreak/>
        <w:t>II.5.2 – D.2</w:t>
      </w:r>
      <w:bookmarkEnd w:id="356"/>
      <w:r w:rsidRPr="0099260B">
        <w:rPr>
          <w:color w:val="00205C"/>
        </w:rPr>
        <w:t xml:space="preserve"> Infraestructura de telecomunicaciones/TIC moderna y segura</w:t>
      </w:r>
      <w:bookmarkEnd w:id="357"/>
      <w:bookmarkEnd w:id="358"/>
    </w:p>
    <w:p w:rsidR="00740D17" w:rsidRPr="0099260B" w:rsidRDefault="00740D17" w:rsidP="00740D17">
      <w:pPr>
        <w:pStyle w:val="Headingb"/>
        <w:rPr>
          <w:i/>
          <w:iCs/>
          <w:color w:val="00205C"/>
          <w:lang w:val="es-ES"/>
        </w:rPr>
      </w:pPr>
      <w:bookmarkStart w:id="359" w:name="lt_pId448"/>
      <w:r w:rsidRPr="0099260B">
        <w:rPr>
          <w:i/>
          <w:iCs/>
          <w:color w:val="00205C"/>
          <w:lang w:val="es-ES"/>
        </w:rPr>
        <w:t>Descripción del objetivo</w:t>
      </w:r>
      <w:bookmarkEnd w:id="359"/>
    </w:p>
    <w:p w:rsidR="00740D17" w:rsidRPr="00EE1E1F" w:rsidRDefault="00740D17" w:rsidP="00740D17">
      <w:pPr>
        <w:rPr>
          <w:rFonts w:asciiTheme="minorHAnsi" w:hAnsiTheme="minorHAnsi"/>
          <w:highlight w:val="green"/>
          <w:lang w:val="es-ES"/>
        </w:rPr>
      </w:pPr>
      <w:bookmarkStart w:id="360" w:name="lt_pId449"/>
      <w:r w:rsidRPr="00EE1E1F">
        <w:rPr>
          <w:lang w:val="es-ES"/>
        </w:rPr>
        <w:t>Fomentar el desarrollo de infraestructura y servicios, incluida la instauración de confianza y seguridad en la utilización de las telecomunicaciones/TIC</w:t>
      </w:r>
      <w:r>
        <w:rPr>
          <w:lang w:val="es-ES"/>
        </w:rPr>
        <w:t>.</w:t>
      </w:r>
    </w:p>
    <w:p w:rsidR="00740D17" w:rsidRPr="00EE1E1F" w:rsidRDefault="00740D17" w:rsidP="00740D17">
      <w:pPr>
        <w:rPr>
          <w:lang w:val="es-ES"/>
        </w:rPr>
      </w:pPr>
      <w:bookmarkStart w:id="361" w:name="lt_pId450"/>
      <w:bookmarkEnd w:id="360"/>
      <w:r w:rsidRPr="00EE1E1F">
        <w:rPr>
          <w:lang w:val="es-ES"/>
        </w:rPr>
        <w:t>El Objetivo D.2 utiliza el 19,53 por ciento de los recursos previstos para los objetivos del UIT-D, un 7,03 por ciento de los recursos previstos de la UIT para 2020-2021.</w:t>
      </w:r>
      <w:bookmarkEnd w:id="361"/>
    </w:p>
    <w:p w:rsidR="00740D17" w:rsidRPr="0099260B" w:rsidRDefault="00740D17" w:rsidP="00740D17">
      <w:pPr>
        <w:pStyle w:val="Headingb"/>
        <w:spacing w:after="120"/>
        <w:rPr>
          <w:i/>
          <w:iCs/>
          <w:color w:val="00205C"/>
          <w:lang w:val="es-ES"/>
        </w:rPr>
      </w:pPr>
      <w:r w:rsidRPr="0099260B">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99260B" w:rsidTr="00740D17">
        <w:trPr>
          <w:trHeight w:val="586"/>
        </w:trPr>
        <w:tc>
          <w:tcPr>
            <w:tcW w:w="4508" w:type="dxa"/>
            <w:tcBorders>
              <w:top w:val="nil"/>
              <w:left w:val="nil"/>
              <w:bottom w:val="single" w:sz="12" w:space="0" w:color="4F81BD" w:themeColor="accent1"/>
              <w:right w:val="dotted" w:sz="4" w:space="0" w:color="4F81BD" w:themeColor="accent1"/>
            </w:tcBorders>
            <w:hideMark/>
          </w:tcPr>
          <w:p w:rsidR="00740D17" w:rsidRPr="0099260B" w:rsidRDefault="00740D17" w:rsidP="00740D17">
            <w:pPr>
              <w:pStyle w:val="Tablehead"/>
              <w:rPr>
                <w:i/>
                <w:iCs/>
                <w:color w:val="00205C"/>
                <w:lang w:val="es-ES"/>
              </w:rPr>
            </w:pPr>
            <w:r w:rsidRPr="0099260B">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99260B" w:rsidRDefault="00740D17" w:rsidP="00740D17">
            <w:pPr>
              <w:pStyle w:val="Tablehead"/>
              <w:rPr>
                <w:i/>
                <w:iCs/>
                <w:color w:val="00205C"/>
                <w:lang w:val="es-ES"/>
              </w:rPr>
            </w:pPr>
            <w:r w:rsidRPr="0099260B">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EE1E1F" w:rsidRDefault="00740D17" w:rsidP="00740D17">
            <w:pPr>
              <w:pStyle w:val="Tabletext"/>
              <w:rPr>
                <w:lang w:val="es-ES"/>
              </w:rPr>
            </w:pPr>
            <w:bookmarkStart w:id="362" w:name="lt_pId454"/>
            <w:r w:rsidRPr="00EE1E1F">
              <w:rPr>
                <w:lang w:val="es-ES"/>
              </w:rPr>
              <w:t>Mayor capacidad de los Miembros de la UIT para poner a disposición infraestructuras y servicios de telecomunicaciones/TIC resilientes.</w:t>
            </w:r>
            <w:bookmarkEnd w:id="362"/>
          </w:p>
        </w:tc>
        <w:tc>
          <w:tcPr>
            <w:tcW w:w="4508" w:type="dxa"/>
            <w:tcBorders>
              <w:top w:val="single" w:sz="12" w:space="0" w:color="4F81BD" w:themeColor="accent1"/>
              <w:left w:val="dotted" w:sz="4" w:space="0" w:color="4F81BD" w:themeColor="accent1"/>
              <w:bottom w:val="nil"/>
              <w:right w:val="nil"/>
            </w:tcBorders>
            <w:hideMark/>
          </w:tcPr>
          <w:p w:rsidR="00740D17" w:rsidRPr="00EE1E1F" w:rsidRDefault="00740D17" w:rsidP="00740D17">
            <w:pPr>
              <w:pStyle w:val="Tabletext"/>
              <w:rPr>
                <w:lang w:val="es-ES"/>
              </w:rPr>
            </w:pPr>
            <w:bookmarkStart w:id="363" w:name="lt_pId455"/>
            <w:r w:rsidRPr="00EE1E1F">
              <w:rPr>
                <w:lang w:val="es-ES"/>
              </w:rPr>
              <w:t>Número de Directrices, Manuales, estudios de evaluación y publicaciones finalizadas sobre los temas pertinentes en países en los que la BDT contribuyó a su desarrollo.</w:t>
            </w:r>
          </w:p>
          <w:bookmarkEnd w:id="363"/>
          <w:p w:rsidR="00740D17" w:rsidRPr="00EE1E1F" w:rsidRDefault="00740D17" w:rsidP="00740D17">
            <w:pPr>
              <w:pStyle w:val="Tabletext"/>
              <w:rPr>
                <w:lang w:val="es-ES"/>
              </w:rPr>
            </w:pPr>
            <w:r w:rsidRPr="00EE1E1F">
              <w:rPr>
                <w:lang w:val="es-ES"/>
              </w:rPr>
              <w:t>Número de usuarios/suscriptores que acceden a las herramientas disponibles para los asuntos pertinentes en países en los que la BDT contribuyó a su desarrollo.</w:t>
            </w:r>
          </w:p>
          <w:p w:rsidR="00740D17" w:rsidRPr="00EE1E1F" w:rsidRDefault="00740D17" w:rsidP="00740D17">
            <w:pPr>
              <w:pStyle w:val="Tabletext"/>
              <w:rPr>
                <w:lang w:val="es-ES"/>
              </w:rPr>
            </w:pPr>
            <w:bookmarkStart w:id="364" w:name="lt_pId457"/>
            <w:r w:rsidRPr="00EE1E1F">
              <w:rPr>
                <w:lang w:val="es-ES"/>
              </w:rPr>
              <w:t>Número de expertos que participan en formación, seminarios, talleres y otros asuntos pertinentes y su grado de satisfacción en países en los que la BDT contribuyó a su desarrollo.</w:t>
            </w:r>
            <w:bookmarkEnd w:id="364"/>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bookmarkStart w:id="365" w:name="lt_pId458"/>
            <w:r w:rsidRPr="00EE1E1F">
              <w:rPr>
                <w:lang w:val="es-ES"/>
              </w:rPr>
              <w:t>Fortalecimiento de la capacidad de los Estados Miembros para compartir información, encontrar soluciones y responder de manera efectiva a las ciberamenazas y para desarrollar y poner en práctica estrategias y capacidades nacionales, incluidas actividades de capacitación y fomento de la cooperación nacional, regional e internacional para aumentar el compromiso de los Estados Miembros y los actores pertinentes.</w:t>
            </w:r>
            <w:bookmarkEnd w:id="365"/>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lang w:val="es-ES"/>
              </w:rPr>
            </w:pPr>
            <w:bookmarkStart w:id="366" w:name="lt_pId459"/>
            <w:r w:rsidRPr="00EE1E1F">
              <w:rPr>
                <w:lang w:val="es-ES"/>
              </w:rPr>
              <w:t>Número de estrategias nacionales de ciberseguridad aplicadas en países y a cuyo desarrollo ha contribuido la BDT; número de EIII que la BDT ha contribuido a crear; número de países en los que la BDT ha prestado asistencia técnica y ha mejorado la capacidad y concienciación sobre ciberseguridad; número de ciberataques repelidos por los EIII creados con la ayuda de la BDT</w:t>
            </w:r>
            <w:bookmarkEnd w:id="366"/>
            <w:r w:rsidRPr="00EE1E1F">
              <w:rPr>
                <w:lang w:val="es-ES"/>
              </w:rPr>
              <w:t>.</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EE1E1F" w:rsidRDefault="00740D17" w:rsidP="00740D17">
            <w:pPr>
              <w:pStyle w:val="Tabletext"/>
              <w:rPr>
                <w:lang w:val="es-ES"/>
              </w:rPr>
            </w:pPr>
            <w:bookmarkStart w:id="367" w:name="lt_pId460"/>
            <w:r w:rsidRPr="00EE1E1F">
              <w:rPr>
                <w:lang w:val="es-ES"/>
              </w:rPr>
              <w:t>Reforzar la capacidad de los Estados Miembros para aprovechar las telecomunicaciones/TIC para la reducción y la gestión del riesgo de catástrofe, con el fin de garantizar la disponibilidad de las telecomunicaciones de emergencia y apoyar la cooperación en esta esfera.</w:t>
            </w:r>
            <w:bookmarkEnd w:id="367"/>
          </w:p>
        </w:tc>
        <w:tc>
          <w:tcPr>
            <w:tcW w:w="4508" w:type="dxa"/>
            <w:tcBorders>
              <w:top w:val="nil"/>
              <w:left w:val="dotted" w:sz="4" w:space="0" w:color="4F81BD" w:themeColor="accent1"/>
              <w:bottom w:val="nil"/>
              <w:right w:val="nil"/>
            </w:tcBorders>
            <w:hideMark/>
          </w:tcPr>
          <w:p w:rsidR="00740D17" w:rsidRPr="00EE1E1F" w:rsidRDefault="00740D17" w:rsidP="00740D17">
            <w:pPr>
              <w:pStyle w:val="Tabletext"/>
              <w:rPr>
                <w:rFonts w:asciiTheme="minorHAnsi" w:hAnsiTheme="minorHAnsi"/>
                <w:highlight w:val="green"/>
                <w:lang w:val="es-ES"/>
              </w:rPr>
            </w:pPr>
            <w:bookmarkStart w:id="368" w:name="lt_pId461"/>
            <w:r w:rsidRPr="00EE1E1F">
              <w:rPr>
                <w:lang w:val="es-ES"/>
              </w:rPr>
              <w:t>Número de Estados Miembros que recibieron asistencia de la BDT para ayuda en caso de catástrofe mediante la provisión de equipos y la evaluación de los daños en las infraestructuras tras una catástrofe; número de Estados Miembros que recibieron asistencia de la BDT para el desarrollo e instalación de sistemas de alerta temprana; número de Estados Miembros que reciben asistencia de la BDT para el desarrollo de planes nacionales de comunicaciones de emergencia.</w:t>
            </w:r>
            <w:bookmarkEnd w:id="368"/>
          </w:p>
        </w:tc>
      </w:tr>
    </w:tbl>
    <w:p w:rsidR="00740D17" w:rsidRPr="0099260B" w:rsidRDefault="00740D17" w:rsidP="00740D17">
      <w:pPr>
        <w:pStyle w:val="Headingb"/>
        <w:rPr>
          <w:i/>
          <w:iCs/>
          <w:color w:val="00205C"/>
          <w:lang w:val="es-ES"/>
        </w:rPr>
      </w:pPr>
      <w:r w:rsidRPr="0099260B">
        <w:rPr>
          <w:i/>
          <w:iCs/>
          <w:color w:val="00205C"/>
          <w:lang w:val="es-ES"/>
        </w:rPr>
        <w:lastRenderedPageBreak/>
        <w:t>Resumen de los costes previstos</w:t>
      </w:r>
    </w:p>
    <w:p w:rsidR="00740D17" w:rsidRPr="00EE1E1F" w:rsidRDefault="00740D17" w:rsidP="00740D17">
      <w:pPr>
        <w:pStyle w:val="Figure"/>
        <w:rPr>
          <w:lang w:val="es-ES"/>
        </w:rPr>
      </w:pPr>
      <w:r w:rsidRPr="00911C20">
        <w:rPr>
          <w:noProof/>
          <w:lang w:val="en-GB" w:eastAsia="zh-CN"/>
        </w:rPr>
        <w:drawing>
          <wp:inline distT="0" distB="0" distL="0" distR="0">
            <wp:extent cx="5179060" cy="22967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9060" cy="2296795"/>
                    </a:xfrm>
                    <a:prstGeom prst="rect">
                      <a:avLst/>
                    </a:prstGeom>
                    <a:noFill/>
                    <a:ln>
                      <a:noFill/>
                    </a:ln>
                  </pic:spPr>
                </pic:pic>
              </a:graphicData>
            </a:graphic>
          </wp:inline>
        </w:drawing>
      </w:r>
    </w:p>
    <w:p w:rsidR="00740D17" w:rsidRPr="00EE1E1F" w:rsidRDefault="00740D17" w:rsidP="00740D17">
      <w:pPr>
        <w:rPr>
          <w:lang w:val="es-ES"/>
        </w:rPr>
      </w:pPr>
      <w:r w:rsidRPr="00EE1E1F">
        <w:rPr>
          <w:lang w:val="es-ES"/>
        </w:rPr>
        <w:br w:type="page"/>
      </w:r>
    </w:p>
    <w:p w:rsidR="00740D17" w:rsidRPr="0099260B" w:rsidRDefault="00740D17" w:rsidP="00740D17">
      <w:pPr>
        <w:pStyle w:val="Heading3"/>
        <w:rPr>
          <w:color w:val="00205C"/>
        </w:rPr>
      </w:pPr>
      <w:bookmarkStart w:id="369" w:name="lt_pId463"/>
      <w:bookmarkStart w:id="370" w:name="_Toc7518644"/>
      <w:bookmarkStart w:id="371" w:name="_Toc7534695"/>
      <w:r w:rsidRPr="0099260B">
        <w:rPr>
          <w:color w:val="00205C"/>
        </w:rPr>
        <w:lastRenderedPageBreak/>
        <w:t xml:space="preserve">II.5.3 – D.3 </w:t>
      </w:r>
      <w:bookmarkEnd w:id="369"/>
      <w:r w:rsidRPr="0099260B">
        <w:rPr>
          <w:color w:val="00205C"/>
        </w:rPr>
        <w:t>Entorno habilitador</w:t>
      </w:r>
      <w:bookmarkEnd w:id="370"/>
      <w:bookmarkEnd w:id="371"/>
    </w:p>
    <w:p w:rsidR="00740D17" w:rsidRPr="0099260B" w:rsidRDefault="00740D17" w:rsidP="00740D17">
      <w:pPr>
        <w:pStyle w:val="Headingb"/>
        <w:rPr>
          <w:i/>
          <w:iCs/>
          <w:color w:val="00205C"/>
          <w:lang w:val="es-ES"/>
        </w:rPr>
      </w:pPr>
      <w:bookmarkStart w:id="372" w:name="lt_pId464"/>
      <w:r w:rsidRPr="0099260B">
        <w:rPr>
          <w:i/>
          <w:iCs/>
          <w:color w:val="00205C"/>
          <w:lang w:val="es-ES"/>
        </w:rPr>
        <w:t>Descripción del objetivo</w:t>
      </w:r>
      <w:bookmarkEnd w:id="372"/>
    </w:p>
    <w:p w:rsidR="00740D17" w:rsidRPr="00EE1E1F" w:rsidRDefault="00740D17" w:rsidP="00740D17">
      <w:pPr>
        <w:rPr>
          <w:rFonts w:asciiTheme="minorHAnsi" w:hAnsiTheme="minorHAnsi"/>
          <w:highlight w:val="green"/>
          <w:lang w:val="es-ES"/>
        </w:rPr>
      </w:pPr>
      <w:bookmarkStart w:id="373" w:name="lt_pId465"/>
      <w:r w:rsidRPr="00EE1E1F">
        <w:rPr>
          <w:lang w:val="es-ES"/>
        </w:rPr>
        <w:t>Fomentar un entorno político y reglamentario habilitador que propicie el desarrollo sostenible de las telecomunicaciones/TIC</w:t>
      </w:r>
      <w:bookmarkEnd w:id="373"/>
      <w:r w:rsidRPr="00EE1E1F">
        <w:rPr>
          <w:lang w:val="es-ES"/>
        </w:rPr>
        <w:t>.</w:t>
      </w:r>
    </w:p>
    <w:p w:rsidR="00740D17" w:rsidRPr="00EE1E1F" w:rsidRDefault="00740D17" w:rsidP="00740D17">
      <w:pPr>
        <w:rPr>
          <w:lang w:val="es-ES"/>
        </w:rPr>
      </w:pPr>
      <w:bookmarkStart w:id="374" w:name="lt_pId466"/>
      <w:r w:rsidRPr="00EE1E1F">
        <w:rPr>
          <w:lang w:val="es-ES"/>
        </w:rPr>
        <w:t>El Objetivo D.3 utiliza el 27,60 por ciento de los recursos previstos para los objetivos del UIT-D, un 9,93 por ciento de los recursos previstos de la UIT para 2020-2021.</w:t>
      </w:r>
      <w:bookmarkEnd w:id="374"/>
    </w:p>
    <w:p w:rsidR="00740D17" w:rsidRPr="0099260B" w:rsidRDefault="00740D17" w:rsidP="00740D17">
      <w:pPr>
        <w:pStyle w:val="Headingb"/>
        <w:spacing w:after="120"/>
        <w:rPr>
          <w:i/>
          <w:iCs/>
          <w:color w:val="00205C"/>
          <w:lang w:val="es-ES"/>
        </w:rPr>
      </w:pPr>
      <w:r w:rsidRPr="0099260B">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99260B" w:rsidTr="00740D17">
        <w:trPr>
          <w:trHeight w:val="586"/>
        </w:trPr>
        <w:tc>
          <w:tcPr>
            <w:tcW w:w="4508" w:type="dxa"/>
            <w:tcBorders>
              <w:top w:val="nil"/>
              <w:left w:val="nil"/>
              <w:bottom w:val="single" w:sz="12" w:space="0" w:color="4F81BD" w:themeColor="accent1"/>
              <w:right w:val="dotted" w:sz="4" w:space="0" w:color="4F81BD" w:themeColor="accent1"/>
            </w:tcBorders>
            <w:hideMark/>
          </w:tcPr>
          <w:p w:rsidR="00740D17" w:rsidRPr="0099260B" w:rsidRDefault="00740D17" w:rsidP="00740D17">
            <w:pPr>
              <w:pStyle w:val="Tablehead"/>
              <w:rPr>
                <w:i/>
                <w:iCs/>
                <w:color w:val="00205C"/>
                <w:lang w:val="es-ES"/>
              </w:rPr>
            </w:pPr>
            <w:r w:rsidRPr="0099260B">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99260B" w:rsidRDefault="00740D17" w:rsidP="00740D17">
            <w:pPr>
              <w:pStyle w:val="Tablehead"/>
              <w:rPr>
                <w:i/>
                <w:iCs/>
                <w:color w:val="00205C"/>
                <w:lang w:val="es-ES"/>
              </w:rPr>
            </w:pPr>
            <w:r w:rsidRPr="0099260B">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nil"/>
            </w:tcBorders>
            <w:hideMark/>
          </w:tcPr>
          <w:p w:rsidR="00740D17" w:rsidRPr="00EE1E1F" w:rsidRDefault="00740D17" w:rsidP="00740D17">
            <w:pPr>
              <w:pStyle w:val="Tabletext"/>
              <w:rPr>
                <w:lang w:val="es-ES"/>
              </w:rPr>
            </w:pPr>
            <w:bookmarkStart w:id="375" w:name="lt_pId470"/>
            <w:r w:rsidRPr="00EE1E1F">
              <w:rPr>
                <w:lang w:val="es-ES"/>
              </w:rPr>
              <w:t>Mayor capacidad de los Estados Miembros para mejorar sus marcos políticos, jurídicos y reglamentarios para que sean propicios al desarrollo de las telecomunicaciones/TIC.</w:t>
            </w:r>
            <w:bookmarkEnd w:id="375"/>
          </w:p>
        </w:tc>
        <w:tc>
          <w:tcPr>
            <w:tcW w:w="4508" w:type="dxa"/>
            <w:tcBorders>
              <w:top w:val="single" w:sz="12" w:space="0" w:color="4F81BD" w:themeColor="accent1"/>
              <w:left w:val="nil"/>
              <w:bottom w:val="nil"/>
              <w:right w:val="nil"/>
            </w:tcBorders>
            <w:hideMark/>
          </w:tcPr>
          <w:p w:rsidR="00740D17" w:rsidRPr="00EE1E1F" w:rsidRDefault="00740D17" w:rsidP="00740D17">
            <w:pPr>
              <w:pStyle w:val="Tabletext"/>
              <w:rPr>
                <w:lang w:val="es-ES"/>
              </w:rPr>
            </w:pPr>
            <w:r w:rsidRPr="00EE1E1F">
              <w:rPr>
                <w:lang w:val="es-ES"/>
              </w:rPr>
              <w:t>Distribución oportuna de los cuestionarios anuales a los Estados Miembros (sobre reglamentación, economía y finanzas) y de los datos sobre el Centro de conocimientos de política, reglamentación, economía y finanzas (PREF) y la base de datos ICT Eye.</w:t>
            </w:r>
          </w:p>
        </w:tc>
      </w:tr>
      <w:tr w:rsidR="00740D17" w:rsidRPr="00EE1E1F" w:rsidTr="00740D17">
        <w:trPr>
          <w:trHeight w:val="223"/>
        </w:trPr>
        <w:tc>
          <w:tcPr>
            <w:tcW w:w="4508" w:type="dxa"/>
            <w:tcBorders>
              <w:top w:val="nil"/>
              <w:left w:val="nil"/>
              <w:bottom w:val="nil"/>
              <w:right w:val="nil"/>
            </w:tcBorders>
            <w:hideMark/>
          </w:tcPr>
          <w:p w:rsidR="00740D17" w:rsidRPr="00EE1E1F" w:rsidRDefault="00740D17" w:rsidP="00740D17">
            <w:pPr>
              <w:pStyle w:val="Tabletext"/>
              <w:rPr>
                <w:lang w:val="es-ES"/>
              </w:rPr>
            </w:pPr>
            <w:bookmarkStart w:id="376" w:name="lt_pId472"/>
            <w:r w:rsidRPr="00EE1E1F">
              <w:rPr>
                <w:lang w:val="es-ES"/>
              </w:rPr>
              <w:t>Capacidad reforzada de los Estados Miembros para producir estadísticas de telecomunicaciones/TIC de alta calidad y comparables a escala internacional que reflejen la evolución y las tendencias de las telecomunicaciones/TIC sobre la base de normas y métodos concertados.</w:t>
            </w:r>
            <w:bookmarkEnd w:id="376"/>
          </w:p>
        </w:tc>
        <w:tc>
          <w:tcPr>
            <w:tcW w:w="4508" w:type="dxa"/>
            <w:tcBorders>
              <w:top w:val="nil"/>
              <w:left w:val="nil"/>
              <w:bottom w:val="nil"/>
              <w:right w:val="nil"/>
            </w:tcBorders>
            <w:hideMark/>
          </w:tcPr>
          <w:p w:rsidR="00740D17" w:rsidRPr="00EE1E1F" w:rsidRDefault="00740D17" w:rsidP="00740D17">
            <w:pPr>
              <w:pStyle w:val="Tabletext"/>
              <w:rPr>
                <w:lang w:val="es-ES"/>
              </w:rPr>
            </w:pPr>
            <w:r w:rsidRPr="00EE1E1F">
              <w:rPr>
                <w:lang w:val="es-ES"/>
              </w:rPr>
              <w:t>Número de publicaciones, directrices de prácticas idóneas, recursos en línea y herramientas elaborados y publicados en materia de política y reglamentación de las TIC, así como de economía y finanzas y número de vistas al sitio web y/o descargas de datos reglamentarios y financieros e información sobre la plataforma en línea ICT Eye.</w:t>
            </w:r>
          </w:p>
        </w:tc>
      </w:tr>
      <w:tr w:rsidR="00740D17" w:rsidRPr="00EE1E1F" w:rsidTr="00740D17">
        <w:trPr>
          <w:trHeight w:val="223"/>
        </w:trPr>
        <w:tc>
          <w:tcPr>
            <w:tcW w:w="4508" w:type="dxa"/>
            <w:tcBorders>
              <w:top w:val="nil"/>
              <w:left w:val="nil"/>
              <w:bottom w:val="nil"/>
              <w:right w:val="nil"/>
            </w:tcBorders>
            <w:hideMark/>
          </w:tcPr>
          <w:p w:rsidR="00740D17" w:rsidRPr="00EE1E1F" w:rsidRDefault="00740D17" w:rsidP="00740D17">
            <w:pPr>
              <w:pStyle w:val="Tabletext"/>
              <w:rPr>
                <w:lang w:val="es-ES"/>
              </w:rPr>
            </w:pPr>
            <w:bookmarkStart w:id="377" w:name="lt_pId474"/>
            <w:r w:rsidRPr="00EE1E1F">
              <w:rPr>
                <w:lang w:val="es-ES"/>
              </w:rPr>
              <w:t>Mayor capacidad humana e institucional de los Miembros de la UIT para aprovechar plenamente el potencial de las telecomunicaciones/TIC.</w:t>
            </w:r>
            <w:bookmarkEnd w:id="377"/>
          </w:p>
        </w:tc>
        <w:tc>
          <w:tcPr>
            <w:tcW w:w="4508" w:type="dxa"/>
            <w:tcBorders>
              <w:top w:val="nil"/>
              <w:left w:val="nil"/>
              <w:bottom w:val="nil"/>
              <w:right w:val="nil"/>
            </w:tcBorders>
            <w:hideMark/>
          </w:tcPr>
          <w:p w:rsidR="00740D17" w:rsidRPr="00EE1E1F" w:rsidRDefault="00740D17" w:rsidP="00740D17">
            <w:pPr>
              <w:pStyle w:val="Tabletext"/>
              <w:rPr>
                <w:lang w:val="es-ES"/>
              </w:rPr>
            </w:pPr>
            <w:r w:rsidRPr="00EE1E1F">
              <w:rPr>
                <w:lang w:val="es-ES"/>
              </w:rPr>
              <w:t>Número de participantes en el Simposio Mundial para Organismos Reguladores, en foros y talleres regionales de carácter reglamentario y económico y en diálogos estratégicos sobre temas políticos y reglamentarios de actualidad; porcentaje de participantes satisfechos.</w:t>
            </w:r>
          </w:p>
        </w:tc>
      </w:tr>
      <w:tr w:rsidR="00740D17" w:rsidRPr="00EE1E1F" w:rsidTr="00740D17">
        <w:trPr>
          <w:trHeight w:val="223"/>
        </w:trPr>
        <w:tc>
          <w:tcPr>
            <w:tcW w:w="4508" w:type="dxa"/>
            <w:tcBorders>
              <w:top w:val="nil"/>
              <w:left w:val="nil"/>
              <w:bottom w:val="nil"/>
              <w:right w:val="nil"/>
            </w:tcBorders>
            <w:hideMark/>
          </w:tcPr>
          <w:p w:rsidR="00740D17" w:rsidRPr="00EE1E1F" w:rsidRDefault="00740D17" w:rsidP="00740D17">
            <w:pPr>
              <w:pStyle w:val="Tabletext"/>
              <w:rPr>
                <w:lang w:val="es-ES"/>
              </w:rPr>
            </w:pPr>
            <w:bookmarkStart w:id="378" w:name="lt_pId476"/>
            <w:r w:rsidRPr="00EE1E1F">
              <w:rPr>
                <w:lang w:val="es-ES"/>
              </w:rPr>
              <w:t>Mayor capacidad de los Miembros de la UIT para integrar la innovación de las telecomunicaciones/TIC en los programas nacionales de desarrollo y elaborar estrategias de promoción de iniciativas innovadoras, incluso mediante asociaciones públicas, privadas y público-privadas.</w:t>
            </w:r>
            <w:bookmarkEnd w:id="378"/>
          </w:p>
        </w:tc>
        <w:tc>
          <w:tcPr>
            <w:tcW w:w="4508" w:type="dxa"/>
            <w:tcBorders>
              <w:top w:val="nil"/>
              <w:left w:val="nil"/>
              <w:bottom w:val="nil"/>
              <w:right w:val="nil"/>
            </w:tcBorders>
            <w:hideMark/>
          </w:tcPr>
          <w:p w:rsidR="00740D17" w:rsidRPr="00EE1E1F" w:rsidRDefault="00740D17" w:rsidP="00740D17">
            <w:pPr>
              <w:pStyle w:val="Tabletext"/>
              <w:rPr>
                <w:lang w:val="es-ES"/>
              </w:rPr>
            </w:pPr>
            <w:r w:rsidRPr="00EE1E1F">
              <w:rPr>
                <w:lang w:val="es-ES"/>
              </w:rPr>
              <w:t>Publicación puntual de la base de datos de indicadores de las telecomunicaciones/TIC (WTI) de la UIT.</w:t>
            </w:r>
          </w:p>
        </w:tc>
      </w:tr>
    </w:tbl>
    <w:p w:rsidR="00740D17" w:rsidRPr="0099260B" w:rsidRDefault="00740D17" w:rsidP="00740D17">
      <w:pPr>
        <w:pStyle w:val="Headingb"/>
        <w:rPr>
          <w:i/>
          <w:iCs/>
          <w:color w:val="00205C"/>
          <w:lang w:val="es-ES"/>
        </w:rPr>
      </w:pPr>
      <w:r w:rsidRPr="0099260B">
        <w:rPr>
          <w:i/>
          <w:iCs/>
          <w:color w:val="00205C"/>
          <w:lang w:val="es-ES"/>
        </w:rPr>
        <w:lastRenderedPageBreak/>
        <w:t>Resumen de los costes previstos</w:t>
      </w:r>
    </w:p>
    <w:p w:rsidR="00740D17" w:rsidRPr="00EE1E1F" w:rsidRDefault="00740D17" w:rsidP="00740D17">
      <w:pPr>
        <w:pStyle w:val="Figure"/>
        <w:rPr>
          <w:lang w:val="es-ES"/>
        </w:rPr>
      </w:pPr>
      <w:r w:rsidRPr="00911C20">
        <w:rPr>
          <w:noProof/>
          <w:lang w:val="en-GB" w:eastAsia="zh-CN"/>
        </w:rPr>
        <w:drawing>
          <wp:inline distT="0" distB="0" distL="0" distR="0">
            <wp:extent cx="5201285" cy="2296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1285" cy="2296795"/>
                    </a:xfrm>
                    <a:prstGeom prst="rect">
                      <a:avLst/>
                    </a:prstGeom>
                    <a:noFill/>
                    <a:ln>
                      <a:noFill/>
                    </a:ln>
                  </pic:spPr>
                </pic:pic>
              </a:graphicData>
            </a:graphic>
          </wp:inline>
        </w:drawing>
      </w:r>
    </w:p>
    <w:p w:rsidR="00740D17" w:rsidRDefault="00740D17" w:rsidP="00740D17">
      <w:pPr>
        <w:rPr>
          <w:lang w:val="es-ES"/>
        </w:rPr>
      </w:pPr>
      <w:bookmarkStart w:id="379" w:name="lt_pId479"/>
      <w:r>
        <w:rPr>
          <w:lang w:val="es-ES"/>
        </w:rPr>
        <w:br w:type="page"/>
      </w:r>
    </w:p>
    <w:p w:rsidR="00740D17" w:rsidRPr="0099260B" w:rsidRDefault="00740D17" w:rsidP="00740D17">
      <w:pPr>
        <w:pStyle w:val="Heading3"/>
        <w:rPr>
          <w:color w:val="00205C"/>
        </w:rPr>
      </w:pPr>
      <w:bookmarkStart w:id="380" w:name="_Toc7518645"/>
      <w:bookmarkStart w:id="381" w:name="_Toc7534696"/>
      <w:r w:rsidRPr="0099260B">
        <w:rPr>
          <w:color w:val="00205C"/>
        </w:rPr>
        <w:lastRenderedPageBreak/>
        <w:t xml:space="preserve">II.5.4 – D.4 </w:t>
      </w:r>
      <w:bookmarkEnd w:id="379"/>
      <w:r w:rsidRPr="0099260B">
        <w:rPr>
          <w:color w:val="00205C"/>
        </w:rPr>
        <w:t>Sociedad de la información integradora</w:t>
      </w:r>
      <w:bookmarkEnd w:id="380"/>
      <w:bookmarkEnd w:id="381"/>
    </w:p>
    <w:p w:rsidR="00740D17" w:rsidRPr="0099260B" w:rsidRDefault="00740D17" w:rsidP="00740D17">
      <w:pPr>
        <w:pStyle w:val="Headingb"/>
        <w:rPr>
          <w:i/>
          <w:iCs/>
          <w:color w:val="00205C"/>
          <w:lang w:val="es-ES"/>
        </w:rPr>
      </w:pPr>
      <w:r w:rsidRPr="0099260B">
        <w:rPr>
          <w:i/>
          <w:iCs/>
          <w:color w:val="00205C"/>
          <w:lang w:val="es-ES"/>
        </w:rPr>
        <w:t>Descripción del objetivo</w:t>
      </w:r>
    </w:p>
    <w:p w:rsidR="00740D17" w:rsidRPr="00FD6A51" w:rsidRDefault="00740D17" w:rsidP="00740D17">
      <w:r w:rsidRPr="00EE1E1F">
        <w:rPr>
          <w:lang w:val="es-ES"/>
        </w:rPr>
        <w:t>Fomentar el desarrollo y la utilización de las telecomunicaciones/TIC y aplicaciones a fin de empoderar a las personas y a las sociedades para el desarrollo sostenible.</w:t>
      </w:r>
    </w:p>
    <w:p w:rsidR="00740D17" w:rsidRPr="00EE1E1F" w:rsidRDefault="00740D17" w:rsidP="00740D17">
      <w:pPr>
        <w:rPr>
          <w:lang w:val="es-ES"/>
        </w:rPr>
      </w:pPr>
      <w:bookmarkStart w:id="382" w:name="lt_pId482"/>
      <w:r w:rsidRPr="00EE1E1F">
        <w:rPr>
          <w:lang w:val="es-ES"/>
        </w:rPr>
        <w:t>El Objetivo D.4 utiliza el 18,50 por ciento de los recursos previstos para los objetivos del UIT-D, un 6,66 por ciento de los recursos previstos de la UIT para 2020-2021.</w:t>
      </w:r>
      <w:bookmarkEnd w:id="382"/>
    </w:p>
    <w:p w:rsidR="00740D17" w:rsidRPr="0099260B" w:rsidRDefault="00740D17" w:rsidP="00740D17">
      <w:pPr>
        <w:pStyle w:val="Headingb"/>
        <w:spacing w:after="120"/>
        <w:rPr>
          <w:i/>
          <w:iCs/>
          <w:color w:val="00205C"/>
          <w:lang w:val="es-ES"/>
        </w:rPr>
      </w:pPr>
      <w:r w:rsidRPr="0099260B">
        <w:rPr>
          <w:i/>
          <w:iCs/>
          <w:color w:val="00205C"/>
          <w:lang w:val="es-ES"/>
        </w:rPr>
        <w:t>Descripción de los resultados principales previstos y mediciones</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0D17" w:rsidRPr="0099260B" w:rsidTr="00740D17">
        <w:trPr>
          <w:trHeight w:val="586"/>
          <w:tblHeader/>
        </w:trPr>
        <w:tc>
          <w:tcPr>
            <w:tcW w:w="4508" w:type="dxa"/>
            <w:tcBorders>
              <w:top w:val="nil"/>
              <w:left w:val="nil"/>
              <w:bottom w:val="single" w:sz="12" w:space="0" w:color="4F81BD" w:themeColor="accent1"/>
              <w:right w:val="dotted" w:sz="4" w:space="0" w:color="4F81BD" w:themeColor="accent1"/>
            </w:tcBorders>
            <w:hideMark/>
          </w:tcPr>
          <w:p w:rsidR="00740D17" w:rsidRPr="0099260B" w:rsidRDefault="00740D17" w:rsidP="00740D17">
            <w:pPr>
              <w:pStyle w:val="Tablehead"/>
              <w:rPr>
                <w:i/>
                <w:iCs/>
                <w:color w:val="00205C"/>
                <w:lang w:val="es-ES"/>
              </w:rPr>
            </w:pPr>
            <w:r w:rsidRPr="0099260B">
              <w:rPr>
                <w:i/>
                <w:iCs/>
                <w:color w:val="00205C"/>
                <w:lang w:val="es-ES"/>
              </w:rPr>
              <w:t>Resultados principales</w:t>
            </w:r>
          </w:p>
        </w:tc>
        <w:tc>
          <w:tcPr>
            <w:tcW w:w="4508" w:type="dxa"/>
            <w:tcBorders>
              <w:top w:val="nil"/>
              <w:left w:val="dotted" w:sz="4" w:space="0" w:color="4F81BD" w:themeColor="accent1"/>
              <w:bottom w:val="single" w:sz="12" w:space="0" w:color="4F81BD" w:themeColor="accent1"/>
              <w:right w:val="nil"/>
            </w:tcBorders>
            <w:hideMark/>
          </w:tcPr>
          <w:p w:rsidR="00740D17" w:rsidRPr="0099260B" w:rsidRDefault="00740D17" w:rsidP="00740D17">
            <w:pPr>
              <w:pStyle w:val="Tablehead"/>
              <w:rPr>
                <w:i/>
                <w:iCs/>
                <w:color w:val="00205C"/>
                <w:lang w:val="es-ES"/>
              </w:rPr>
            </w:pPr>
            <w:r w:rsidRPr="0099260B">
              <w:rPr>
                <w:i/>
                <w:iCs/>
                <w:color w:val="00205C"/>
                <w:lang w:val="es-ES"/>
              </w:rPr>
              <w:t>Indicadores de los resultados principales</w:t>
            </w:r>
          </w:p>
        </w:tc>
      </w:tr>
      <w:tr w:rsidR="00740D17" w:rsidRPr="00EE1E1F" w:rsidTr="00740D17">
        <w:trPr>
          <w:trHeight w:val="223"/>
        </w:trPr>
        <w:tc>
          <w:tcPr>
            <w:tcW w:w="4508" w:type="dxa"/>
            <w:tcBorders>
              <w:top w:val="single" w:sz="12" w:space="0" w:color="4F81BD" w:themeColor="accent1"/>
              <w:left w:val="nil"/>
              <w:bottom w:val="nil"/>
              <w:right w:val="dotted" w:sz="4" w:space="0" w:color="4F81BD" w:themeColor="accent1"/>
            </w:tcBorders>
            <w:hideMark/>
          </w:tcPr>
          <w:p w:rsidR="00740D17" w:rsidRPr="001239E6" w:rsidRDefault="00740D17" w:rsidP="00740D17">
            <w:pPr>
              <w:pStyle w:val="Tabletext"/>
            </w:pPr>
            <w:bookmarkStart w:id="383" w:name="lt_pId486"/>
            <w:r w:rsidRPr="001239E6">
              <w:t>Mejora del acceso y la utilización de las telecomunicaciones/TIC en los países menos adelantados (PMA), los pequeños Estados insulares en desarrollo (PEID), los países en desarrollo sin litoral (PDSL) y los países con economías en transición.</w:t>
            </w:r>
            <w:bookmarkEnd w:id="383"/>
          </w:p>
        </w:tc>
        <w:tc>
          <w:tcPr>
            <w:tcW w:w="4508" w:type="dxa"/>
            <w:tcBorders>
              <w:top w:val="single" w:sz="12" w:space="0" w:color="4F81BD" w:themeColor="accent1"/>
              <w:left w:val="dotted" w:sz="4" w:space="0" w:color="4F81BD" w:themeColor="accent1"/>
              <w:bottom w:val="nil"/>
              <w:right w:val="nil"/>
            </w:tcBorders>
            <w:hideMark/>
          </w:tcPr>
          <w:p w:rsidR="00740D17" w:rsidRPr="001239E6" w:rsidRDefault="00740D17" w:rsidP="00740D17">
            <w:pPr>
              <w:pStyle w:val="Tabletext"/>
            </w:pPr>
            <w:r w:rsidRPr="001239E6">
              <w:t>Número de países que han recibido asistencia intensiva tras las acciones de la BDT y han mejorado la conectividad, disponibilidad y asequibilidad de las telecomunicaciones/TIC.</w:t>
            </w:r>
          </w:p>
          <w:p w:rsidR="00740D17" w:rsidRPr="001239E6" w:rsidRDefault="00740D17" w:rsidP="00740D17">
            <w:pPr>
              <w:pStyle w:val="Tabletext"/>
            </w:pPr>
            <w:r w:rsidRPr="001239E6">
              <w:t>Número de países que han recibido asistencia tras las acciones de la BDT, incluyendo el número de becas solicitadas y el número de becas concedidas.</w:t>
            </w:r>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1239E6" w:rsidRDefault="00740D17" w:rsidP="00740D17">
            <w:pPr>
              <w:pStyle w:val="Tabletext"/>
            </w:pPr>
            <w:r w:rsidRPr="001239E6">
              <w:t>Mayor capacidad de los Miembros de la UIT para acelerar el desarrollo socioeconómico aprovechando y utilizando nuevas tecnologías y servicios y aplicaciones de telecomunicaciones/TIC.</w:t>
            </w:r>
          </w:p>
        </w:tc>
        <w:tc>
          <w:tcPr>
            <w:tcW w:w="4508" w:type="dxa"/>
            <w:tcBorders>
              <w:top w:val="nil"/>
              <w:left w:val="dotted" w:sz="4" w:space="0" w:color="4F81BD" w:themeColor="accent1"/>
              <w:bottom w:val="nil"/>
              <w:right w:val="nil"/>
            </w:tcBorders>
            <w:hideMark/>
          </w:tcPr>
          <w:p w:rsidR="00740D17" w:rsidRPr="001239E6" w:rsidRDefault="00740D17" w:rsidP="00740D17">
            <w:pPr>
              <w:pStyle w:val="Tabletext"/>
            </w:pPr>
            <w:bookmarkStart w:id="384" w:name="lt_pId490"/>
            <w:r w:rsidRPr="001239E6">
              <w:t xml:space="preserve">Número de herramientas publicadas y descargadas para la elaboración de estrategias digitales sectoriales nacionales; número de informes publicados sobre prácticas idóneas en materia de telecomunicaciones/TIC para el desarrollo; número de </w:t>
            </w:r>
            <w:r>
              <w:t>eventos/talleres/</w:t>
            </w:r>
            <w:r w:rsidRPr="001239E6">
              <w:t>seminarios sobre telecomunicaciones/TIC celebrados para ayudar a países en desarrollo a superar dificultades a las que hacen frente sus pueblos y sociedades y número de participantes en cada uno de ellos.</w:t>
            </w:r>
            <w:bookmarkEnd w:id="384"/>
          </w:p>
        </w:tc>
      </w:tr>
      <w:tr w:rsidR="00740D17" w:rsidRPr="00EE1E1F" w:rsidTr="00740D17">
        <w:trPr>
          <w:trHeight w:val="223"/>
        </w:trPr>
        <w:tc>
          <w:tcPr>
            <w:tcW w:w="4508" w:type="dxa"/>
            <w:tcBorders>
              <w:top w:val="nil"/>
              <w:left w:val="nil"/>
              <w:bottom w:val="nil"/>
              <w:right w:val="dotted" w:sz="4" w:space="0" w:color="4F81BD" w:themeColor="accent1"/>
            </w:tcBorders>
            <w:hideMark/>
          </w:tcPr>
          <w:p w:rsidR="00740D17" w:rsidRPr="001239E6" w:rsidRDefault="00740D17" w:rsidP="00740D17">
            <w:pPr>
              <w:pStyle w:val="Tabletext"/>
            </w:pPr>
            <w:r w:rsidRPr="001239E6">
              <w:t>Mayor capacidad de los Miembros de la UIT para elaborar estrategias, políticas y prácticas en pro de la inclusión digital, en particular destinadas al empoderamiento de las mujeres y las niñas, las personas con discapacidad y las personas con necesidades especiales.</w:t>
            </w:r>
          </w:p>
        </w:tc>
        <w:tc>
          <w:tcPr>
            <w:tcW w:w="4508" w:type="dxa"/>
            <w:tcBorders>
              <w:top w:val="nil"/>
              <w:left w:val="dotted" w:sz="4" w:space="0" w:color="4F81BD" w:themeColor="accent1"/>
              <w:bottom w:val="nil"/>
              <w:right w:val="nil"/>
            </w:tcBorders>
          </w:tcPr>
          <w:p w:rsidR="00740D17" w:rsidRPr="001239E6" w:rsidRDefault="00740D17" w:rsidP="00740D17">
            <w:pPr>
              <w:pStyle w:val="Tabletext"/>
            </w:pPr>
            <w:r w:rsidRPr="001239E6">
              <w:t>Número de recursos de inclusión digital desarrollados y/o disponibles para los Miembros, incluidas publicaciones, políticas, estrategias, Directrices, buenas prácticas, casos de estudio, material de formación, recursos en línea y número de visitas al sitio web de inclusión digital del UIT-D.</w:t>
            </w:r>
          </w:p>
          <w:p w:rsidR="00740D17" w:rsidRPr="001239E6" w:rsidRDefault="00740D17" w:rsidP="00740D17">
            <w:pPr>
              <w:pStyle w:val="Tabletext"/>
            </w:pPr>
            <w:r w:rsidRPr="001239E6">
              <w:t>Número de Miembros conscientes, formados o aconsejados sobre políticas, estrategias y directrices de inclusión digital.</w:t>
            </w:r>
          </w:p>
        </w:tc>
      </w:tr>
      <w:tr w:rsidR="00740D17" w:rsidRPr="00EE1E1F" w:rsidTr="00740D17">
        <w:trPr>
          <w:cantSplit/>
          <w:trHeight w:val="223"/>
        </w:trPr>
        <w:tc>
          <w:tcPr>
            <w:tcW w:w="4508" w:type="dxa"/>
            <w:tcBorders>
              <w:top w:val="nil"/>
              <w:left w:val="nil"/>
              <w:bottom w:val="nil"/>
              <w:right w:val="dotted" w:sz="4" w:space="0" w:color="4F81BD" w:themeColor="accent1"/>
            </w:tcBorders>
            <w:hideMark/>
          </w:tcPr>
          <w:p w:rsidR="00740D17" w:rsidRPr="001239E6" w:rsidRDefault="00740D17" w:rsidP="00740D17">
            <w:pPr>
              <w:pStyle w:val="Tabletext"/>
            </w:pPr>
            <w:bookmarkStart w:id="385" w:name="lt_pId496"/>
            <w:r w:rsidRPr="001239E6">
              <w:lastRenderedPageBreak/>
              <w:t>Mayor capacidad de los Miembros de la UIT para elaborar estrategias y soluciones de telecomunicaciones/TIC en materia de adaptación al cambio climático y mitigación del mismo y de utilización de energías verdes/renovables.</w:t>
            </w:r>
            <w:bookmarkEnd w:id="385"/>
          </w:p>
        </w:tc>
        <w:tc>
          <w:tcPr>
            <w:tcW w:w="4508" w:type="dxa"/>
            <w:tcBorders>
              <w:top w:val="nil"/>
              <w:left w:val="dotted" w:sz="4" w:space="0" w:color="4F81BD" w:themeColor="accent1"/>
              <w:bottom w:val="nil"/>
              <w:right w:val="nil"/>
            </w:tcBorders>
            <w:hideMark/>
          </w:tcPr>
          <w:p w:rsidR="00740D17" w:rsidRPr="001239E6" w:rsidRDefault="00740D17" w:rsidP="00740D17">
            <w:pPr>
              <w:pStyle w:val="Tabletext"/>
            </w:pPr>
            <w:bookmarkStart w:id="386" w:name="lt_pId497"/>
            <w:r w:rsidRPr="001239E6">
              <w:t>Número de Estados Miembros que han recibido asistencia de la BDT para aumentar la sensibilización al impacto del cambio climático y la utilización de las telecomunicaciones/TIC para mitigar los efectos negativos.</w:t>
            </w:r>
          </w:p>
          <w:p w:rsidR="00740D17" w:rsidRPr="001239E6" w:rsidRDefault="00740D17" w:rsidP="00740D17">
            <w:pPr>
              <w:pStyle w:val="Tabletext"/>
            </w:pPr>
            <w:r w:rsidRPr="001239E6">
              <w:t>Número de Estados Miembros que han recibido asistencia de la BDT para el desarrollo de los marcos políticos y jurídicos relativos a sus estrategias sobre el cambio climático.</w:t>
            </w:r>
          </w:p>
          <w:p w:rsidR="00740D17" w:rsidRPr="001239E6" w:rsidRDefault="00740D17" w:rsidP="00740D17">
            <w:pPr>
              <w:pStyle w:val="Tabletext"/>
            </w:pPr>
            <w:r w:rsidRPr="001239E6">
              <w:t>Número de Estados Miembros que han recibido asistencia de la BDT para el desarrollo de marcos políticos y jurídicos relativos a sus estrategias sobre residuos electrónicos.</w:t>
            </w:r>
            <w:bookmarkEnd w:id="386"/>
          </w:p>
        </w:tc>
      </w:tr>
    </w:tbl>
    <w:p w:rsidR="00740D17" w:rsidRPr="0099260B" w:rsidRDefault="00740D17" w:rsidP="00740D17">
      <w:pPr>
        <w:pStyle w:val="Headingb"/>
        <w:rPr>
          <w:i/>
          <w:iCs/>
          <w:color w:val="00205C"/>
          <w:lang w:val="es-ES"/>
        </w:rPr>
      </w:pPr>
      <w:r w:rsidRPr="0099260B">
        <w:rPr>
          <w:i/>
          <w:iCs/>
          <w:color w:val="00205C"/>
          <w:lang w:val="es-ES"/>
        </w:rPr>
        <w:t>Resumen de los costes previstos</w:t>
      </w:r>
    </w:p>
    <w:p w:rsidR="00E4249A" w:rsidRDefault="00740D17" w:rsidP="00740D17">
      <w:pPr>
        <w:pStyle w:val="Figure"/>
        <w:rPr>
          <w:lang w:val="es-ES"/>
        </w:rPr>
      </w:pPr>
      <w:r w:rsidRPr="00911C20">
        <w:rPr>
          <w:noProof/>
          <w:lang w:val="en-GB" w:eastAsia="zh-CN"/>
        </w:rPr>
        <w:drawing>
          <wp:inline distT="0" distB="0" distL="0" distR="0">
            <wp:extent cx="5179060" cy="22967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9060" cy="2296795"/>
                    </a:xfrm>
                    <a:prstGeom prst="rect">
                      <a:avLst/>
                    </a:prstGeom>
                    <a:noFill/>
                    <a:ln>
                      <a:noFill/>
                    </a:ln>
                  </pic:spPr>
                </pic:pic>
              </a:graphicData>
            </a:graphic>
          </wp:inline>
        </w:drawing>
      </w:r>
    </w:p>
    <w:p w:rsidR="004E0508" w:rsidRDefault="004E0508">
      <w:pPr>
        <w:tabs>
          <w:tab w:val="clear" w:pos="709"/>
          <w:tab w:val="clear" w:pos="1134"/>
          <w:tab w:val="clear" w:pos="1701"/>
          <w:tab w:val="clear" w:pos="2268"/>
          <w:tab w:val="clear" w:pos="2835"/>
        </w:tabs>
        <w:overflowPunct/>
        <w:autoSpaceDE/>
        <w:autoSpaceDN/>
        <w:adjustRightInd/>
        <w:spacing w:before="0"/>
        <w:textAlignment w:val="auto"/>
        <w:rPr>
          <w:lang w:val="es-ES"/>
        </w:rPr>
        <w:sectPr w:rsidR="004E0508" w:rsidSect="00740D17">
          <w:pgSz w:w="11907" w:h="16834"/>
          <w:pgMar w:top="1417" w:right="1134" w:bottom="1417" w:left="1134" w:header="720" w:footer="720" w:gutter="0"/>
          <w:paperSrc w:first="15" w:other="15"/>
          <w:cols w:space="720"/>
          <w:docGrid w:linePitch="326"/>
        </w:sectPr>
      </w:pPr>
    </w:p>
    <w:p w:rsidR="00E4249A" w:rsidRDefault="00E4249A">
      <w:pPr>
        <w:tabs>
          <w:tab w:val="clear" w:pos="709"/>
          <w:tab w:val="clear" w:pos="1134"/>
          <w:tab w:val="clear" w:pos="1701"/>
          <w:tab w:val="clear" w:pos="2268"/>
          <w:tab w:val="clear" w:pos="2835"/>
        </w:tabs>
        <w:overflowPunct/>
        <w:autoSpaceDE/>
        <w:autoSpaceDN/>
        <w:adjustRightInd/>
        <w:spacing w:before="0"/>
        <w:textAlignment w:val="auto"/>
        <w:rPr>
          <w:lang w:val="es-ES"/>
        </w:rPr>
      </w:pPr>
    </w:p>
    <w:p w:rsidR="00740D17" w:rsidRPr="00EE1E1F" w:rsidRDefault="00740D17" w:rsidP="00740D17">
      <w:pPr>
        <w:pStyle w:val="Figure"/>
        <w:rPr>
          <w:lang w:val="es-ES"/>
        </w:rPr>
      </w:pPr>
    </w:p>
    <w:p w:rsidR="000A005E" w:rsidRDefault="000A005E" w:rsidP="00716543"/>
    <w:p w:rsidR="000A005E" w:rsidRDefault="000A005E" w:rsidP="000A005E">
      <w:pPr>
        <w:sectPr w:rsidR="000A005E" w:rsidSect="00740D17">
          <w:headerReference w:type="default" r:id="rId88"/>
          <w:pgSz w:w="11907" w:h="16834"/>
          <w:pgMar w:top="1417" w:right="1134" w:bottom="1417" w:left="1134" w:header="720" w:footer="720" w:gutter="0"/>
          <w:paperSrc w:first="15" w:other="15"/>
          <w:cols w:space="720"/>
          <w:docGrid w:linePitch="326"/>
        </w:sectPr>
      </w:pPr>
    </w:p>
    <w:p w:rsidR="004E0508" w:rsidRDefault="004E0508" w:rsidP="00E4249A">
      <w:pPr>
        <w:pStyle w:val="Title4"/>
        <w:rPr>
          <w:sz w:val="56"/>
          <w:szCs w:val="56"/>
          <w:lang w:val="es-ES"/>
        </w:rPr>
      </w:pPr>
      <w:bookmarkStart w:id="387" w:name="_III_Presupuesto_financiero"/>
      <w:bookmarkStart w:id="388" w:name="prep_fin"/>
      <w:bookmarkEnd w:id="387"/>
    </w:p>
    <w:p w:rsidR="00E4249A" w:rsidRPr="000E0F4D" w:rsidRDefault="00E4249A" w:rsidP="00E4249A">
      <w:pPr>
        <w:pStyle w:val="Title4"/>
        <w:rPr>
          <w:sz w:val="56"/>
          <w:szCs w:val="56"/>
          <w:lang w:val="es-ES"/>
        </w:rPr>
      </w:pPr>
      <w:r w:rsidRPr="000E0F4D">
        <w:rPr>
          <w:sz w:val="56"/>
          <w:szCs w:val="56"/>
          <w:lang w:val="es-ES"/>
        </w:rPr>
        <w:t xml:space="preserve">PROYECTO DE </w:t>
      </w:r>
      <w:r w:rsidRPr="000E0F4D">
        <w:rPr>
          <w:sz w:val="56"/>
          <w:szCs w:val="56"/>
          <w:lang w:val="es-ES"/>
        </w:rPr>
        <w:br/>
        <w:t>PRESUPUESTO</w:t>
      </w:r>
    </w:p>
    <w:p w:rsidR="00E4249A" w:rsidRPr="000E0F4D" w:rsidRDefault="00E4249A" w:rsidP="00E4249A">
      <w:pPr>
        <w:pStyle w:val="Title4"/>
        <w:rPr>
          <w:sz w:val="40"/>
          <w:szCs w:val="40"/>
          <w:lang w:val="es-ES"/>
        </w:rPr>
      </w:pPr>
      <w:r w:rsidRPr="000E0F4D">
        <w:rPr>
          <w:sz w:val="40"/>
          <w:szCs w:val="40"/>
          <w:lang w:val="es-ES"/>
        </w:rPr>
        <w:t>2020-2021</w:t>
      </w:r>
    </w:p>
    <w:p w:rsidR="00E4249A" w:rsidRPr="00E4249A" w:rsidRDefault="00E4249A" w:rsidP="00E4249A">
      <w:pPr>
        <w:tabs>
          <w:tab w:val="clear" w:pos="1134"/>
          <w:tab w:val="left" w:pos="1560"/>
        </w:tabs>
        <w:spacing w:before="4000"/>
        <w:rPr>
          <w:color w:val="A6A6A6" w:themeColor="background1" w:themeShade="A6"/>
          <w:sz w:val="28"/>
          <w:szCs w:val="28"/>
          <w:lang w:val="es-ES"/>
        </w:rPr>
      </w:pPr>
      <w:r w:rsidRPr="00E4249A">
        <w:rPr>
          <w:color w:val="A6A6A6" w:themeColor="background1" w:themeShade="A6"/>
          <w:sz w:val="28"/>
          <w:szCs w:val="28"/>
          <w:lang w:val="es-ES"/>
        </w:rPr>
        <w:t>Parte I</w:t>
      </w:r>
      <w:r w:rsidRPr="00E4249A">
        <w:rPr>
          <w:color w:val="A6A6A6" w:themeColor="background1" w:themeShade="A6"/>
          <w:sz w:val="28"/>
          <w:szCs w:val="28"/>
          <w:lang w:val="es-ES"/>
        </w:rPr>
        <w:tab/>
        <w:t>Síntesis</w:t>
      </w:r>
    </w:p>
    <w:p w:rsidR="00E4249A" w:rsidRPr="000E0F4D" w:rsidRDefault="00E4249A" w:rsidP="00E4249A">
      <w:pPr>
        <w:tabs>
          <w:tab w:val="clear" w:pos="1134"/>
          <w:tab w:val="left" w:pos="1560"/>
        </w:tabs>
        <w:spacing w:before="360"/>
        <w:rPr>
          <w:color w:val="A6A6A6" w:themeColor="background1" w:themeShade="A6"/>
          <w:sz w:val="28"/>
          <w:szCs w:val="28"/>
          <w:lang w:val="es-ES"/>
        </w:rPr>
      </w:pPr>
      <w:r w:rsidRPr="000E0F4D">
        <w:rPr>
          <w:color w:val="A6A6A6" w:themeColor="background1" w:themeShade="A6"/>
          <w:sz w:val="28"/>
          <w:szCs w:val="28"/>
          <w:lang w:val="es-ES"/>
        </w:rPr>
        <w:t>Parte II</w:t>
      </w:r>
      <w:r w:rsidRPr="000E0F4D">
        <w:rPr>
          <w:color w:val="A6A6A6" w:themeColor="background1" w:themeShade="A6"/>
          <w:sz w:val="28"/>
          <w:szCs w:val="28"/>
          <w:lang w:val="es-ES"/>
        </w:rPr>
        <w:tab/>
        <w:t>Presupuesto basado en resultados para 2020-2021</w:t>
      </w:r>
    </w:p>
    <w:p w:rsidR="00E4249A" w:rsidRPr="00E4249A" w:rsidRDefault="00E4249A" w:rsidP="00E4249A">
      <w:pPr>
        <w:tabs>
          <w:tab w:val="clear" w:pos="1134"/>
          <w:tab w:val="left" w:pos="1560"/>
        </w:tabs>
        <w:spacing w:before="360"/>
        <w:rPr>
          <w:b/>
          <w:bCs/>
          <w:sz w:val="36"/>
          <w:szCs w:val="36"/>
          <w:lang w:val="es-ES"/>
        </w:rPr>
      </w:pPr>
      <w:r w:rsidRPr="00E4249A">
        <w:rPr>
          <w:b/>
          <w:bCs/>
          <w:sz w:val="36"/>
          <w:szCs w:val="36"/>
          <w:lang w:val="es-ES"/>
        </w:rPr>
        <w:t>Parte III</w:t>
      </w:r>
      <w:r w:rsidRPr="00E4249A">
        <w:rPr>
          <w:b/>
          <w:bCs/>
          <w:sz w:val="36"/>
          <w:szCs w:val="36"/>
          <w:lang w:val="es-ES"/>
        </w:rPr>
        <w:tab/>
        <w:t>Presupuesto financiero consolidado para 2020-2021</w:t>
      </w:r>
    </w:p>
    <w:p w:rsidR="00E4249A" w:rsidRPr="00026E09" w:rsidRDefault="00E4249A" w:rsidP="00E4249A">
      <w:pPr>
        <w:tabs>
          <w:tab w:val="clear" w:pos="1134"/>
          <w:tab w:val="left" w:pos="1560"/>
        </w:tabs>
        <w:spacing w:before="360"/>
        <w:rPr>
          <w:color w:val="A6A6A6" w:themeColor="background1" w:themeShade="A6"/>
          <w:sz w:val="28"/>
          <w:szCs w:val="28"/>
          <w:lang w:val="es-ES"/>
        </w:rPr>
      </w:pPr>
      <w:r w:rsidRPr="00026E09">
        <w:rPr>
          <w:color w:val="A6A6A6" w:themeColor="background1" w:themeShade="A6"/>
          <w:sz w:val="28"/>
          <w:szCs w:val="28"/>
          <w:lang w:val="es-ES"/>
        </w:rPr>
        <w:t>Parte IV</w:t>
      </w:r>
      <w:r w:rsidRPr="00026E09">
        <w:rPr>
          <w:color w:val="A6A6A6" w:themeColor="background1" w:themeShade="A6"/>
          <w:sz w:val="28"/>
          <w:szCs w:val="28"/>
          <w:lang w:val="es-ES"/>
        </w:rPr>
        <w:tab/>
        <w:t>Anexos</w:t>
      </w:r>
    </w:p>
    <w:p w:rsidR="0084630F" w:rsidRDefault="0084630F" w:rsidP="00C70877"/>
    <w:bookmarkEnd w:id="388"/>
    <w:p w:rsidR="0084630F" w:rsidRDefault="0084630F">
      <w:pPr>
        <w:tabs>
          <w:tab w:val="clear" w:pos="1134"/>
          <w:tab w:val="clear" w:pos="1701"/>
          <w:tab w:val="clear" w:pos="2268"/>
          <w:tab w:val="clear" w:pos="2835"/>
        </w:tabs>
        <w:overflowPunct/>
        <w:autoSpaceDE/>
        <w:autoSpaceDN/>
        <w:adjustRightInd/>
        <w:spacing w:before="0"/>
        <w:textAlignment w:val="auto"/>
      </w:pPr>
    </w:p>
    <w:p w:rsidR="00C70877" w:rsidRDefault="00C70877" w:rsidP="00C70877">
      <w:pPr>
        <w:sectPr w:rsidR="00C70877" w:rsidSect="00C70877">
          <w:headerReference w:type="default" r:id="rId89"/>
          <w:footerReference w:type="default" r:id="rId90"/>
          <w:footerReference w:type="first" r:id="rId91"/>
          <w:type w:val="oddPage"/>
          <w:pgSz w:w="11907" w:h="16834"/>
          <w:pgMar w:top="1417" w:right="1134" w:bottom="1417" w:left="1134" w:header="720" w:footer="720" w:gutter="0"/>
          <w:paperSrc w:first="15" w:other="15"/>
          <w:cols w:space="720"/>
          <w:docGrid w:linePitch="326"/>
        </w:sectPr>
      </w:pPr>
    </w:p>
    <w:p w:rsidR="0084630F" w:rsidRPr="00201F51" w:rsidRDefault="0084630F" w:rsidP="00C70877">
      <w:pPr>
        <w:pStyle w:val="Heading1"/>
        <w:spacing w:after="720"/>
        <w:rPr>
          <w:color w:val="00205C"/>
        </w:rPr>
      </w:pPr>
      <w:bookmarkStart w:id="389" w:name="_Parte_III_–"/>
      <w:bookmarkStart w:id="390" w:name="_Toc7524808"/>
      <w:bookmarkStart w:id="391" w:name="_Toc7524842"/>
      <w:bookmarkStart w:id="392" w:name="Parte_III"/>
      <w:bookmarkEnd w:id="389"/>
      <w:r w:rsidRPr="00201F51">
        <w:rPr>
          <w:color w:val="00205C"/>
        </w:rPr>
        <w:lastRenderedPageBreak/>
        <w:t>Parte III – Presupuesto financiero consolidado para 2020-2021</w:t>
      </w:r>
      <w:bookmarkEnd w:id="390"/>
      <w:bookmarkEnd w:id="391"/>
      <w:bookmarkEnd w:id="392"/>
    </w:p>
    <w:p w:rsidR="0084630F" w:rsidRPr="00E9426C" w:rsidRDefault="004E0508">
      <w:pPr>
        <w:pStyle w:val="TOC1"/>
        <w:rPr>
          <w:rFonts w:asciiTheme="minorHAnsi" w:eastAsiaTheme="minorEastAsia" w:hAnsiTheme="minorHAnsi" w:cstheme="minorBidi"/>
          <w:noProof/>
          <w:sz w:val="22"/>
          <w:szCs w:val="22"/>
          <w:lang w:val="es-ES" w:eastAsia="zh-CN"/>
        </w:rPr>
      </w:pPr>
      <w:hyperlink w:anchor="_PROYECTO_DE_RESOLUCIÓN" w:history="1">
        <w:r w:rsidR="0084630F" w:rsidRPr="00C70877">
          <w:t>Proyecto de Resolución</w:t>
        </w:r>
        <w:r w:rsidR="0084630F" w:rsidRPr="00C70877">
          <w:rPr>
            <w:webHidden/>
          </w:rPr>
          <w:tab/>
        </w:r>
        <w:r w:rsidR="00E15C8A" w:rsidRPr="00C70877">
          <w:rPr>
            <w:webHidden/>
          </w:rPr>
          <w:t>67</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1" w:history="1">
        <w:r w:rsidR="0084630F" w:rsidRPr="00C70877">
          <w:rPr>
            <w:lang w:val="es-ES" w:eastAsia="zh-CN"/>
          </w:rPr>
          <w:t>Cuadro 1 – Gastos previstos por Sector</w:t>
        </w:r>
        <w:r w:rsidR="0084630F" w:rsidRPr="00C70877">
          <w:rPr>
            <w:webHidden/>
          </w:rPr>
          <w:tab/>
        </w:r>
        <w:r w:rsidR="00E9426C" w:rsidRPr="00C70877">
          <w:rPr>
            <w:webHidden/>
            <w:lang w:val="es-ES"/>
          </w:rPr>
          <w:t>69</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2" w:history="1">
        <w:r w:rsidR="0084630F" w:rsidRPr="00C70877">
          <w:rPr>
            <w:lang w:val="es-ES" w:eastAsia="zh-CN"/>
          </w:rPr>
          <w:t>Cuadro 2 – Ingresos previstos por procedencia</w:t>
        </w:r>
        <w:r w:rsidR="0084630F" w:rsidRPr="00C70877">
          <w:rPr>
            <w:webHidden/>
          </w:rPr>
          <w:tab/>
        </w:r>
        <w:r w:rsidR="00E9426C" w:rsidRPr="00C70877">
          <w:rPr>
            <w:webHidden/>
          </w:rPr>
          <w:t>70</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3" w:history="1">
        <w:r w:rsidR="0084630F" w:rsidRPr="00C70877">
          <w:t>Cuadros 3 y 4 – Secretaría General</w:t>
        </w:r>
        <w:r w:rsidR="0084630F" w:rsidRPr="00C70877">
          <w:rPr>
            <w:webHidden/>
          </w:rPr>
          <w:tab/>
        </w:r>
        <w:r w:rsidR="00E9426C" w:rsidRPr="00C70877">
          <w:rPr>
            <w:webHidden/>
          </w:rPr>
          <w:t>71</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5" w:history="1">
        <w:r w:rsidR="0084630F" w:rsidRPr="00C70877">
          <w:t>Cuadros 5 y 6 – Sector de Radiocomunicaciones</w:t>
        </w:r>
        <w:r w:rsidR="0084630F" w:rsidRPr="00C70877">
          <w:rPr>
            <w:webHidden/>
          </w:rPr>
          <w:tab/>
        </w:r>
        <w:r w:rsidR="00E9426C" w:rsidRPr="00C70877">
          <w:rPr>
            <w:webHidden/>
          </w:rPr>
          <w:t>73</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7" w:history="1">
        <w:r w:rsidR="0084630F" w:rsidRPr="00C70877">
          <w:t>Cuadros 7 y 8 – Sector de Normalización de las Telecomunicaciones</w:t>
        </w:r>
        <w:r w:rsidR="0084630F" w:rsidRPr="00C70877">
          <w:rPr>
            <w:webHidden/>
          </w:rPr>
          <w:tab/>
        </w:r>
        <w:r w:rsidR="00E9426C" w:rsidRPr="00C70877">
          <w:rPr>
            <w:webHidden/>
          </w:rPr>
          <w:t>75</w:t>
        </w:r>
      </w:hyperlink>
    </w:p>
    <w:p w:rsidR="0084630F" w:rsidRPr="00E9426C" w:rsidRDefault="004E0508" w:rsidP="00E9426C">
      <w:pPr>
        <w:pStyle w:val="TOC1"/>
        <w:rPr>
          <w:rFonts w:asciiTheme="minorHAnsi" w:eastAsiaTheme="minorEastAsia" w:hAnsiTheme="minorHAnsi" w:cstheme="minorBidi"/>
          <w:noProof/>
          <w:sz w:val="22"/>
          <w:szCs w:val="22"/>
          <w:lang w:eastAsia="zh-CN"/>
        </w:rPr>
      </w:pPr>
      <w:hyperlink w:anchor="Cuadro_9" w:history="1">
        <w:r w:rsidR="0084630F" w:rsidRPr="00C70877">
          <w:t>Cuadros 9 y 10 – Sector de Desarrollo de las Telecomunicaciones</w:t>
        </w:r>
        <w:r w:rsidR="0084630F" w:rsidRPr="00C70877">
          <w:rPr>
            <w:webHidden/>
          </w:rPr>
          <w:tab/>
        </w:r>
        <w:r w:rsidR="00E9426C" w:rsidRPr="00C70877">
          <w:rPr>
            <w:webHidden/>
          </w:rPr>
          <w:t>77</w:t>
        </w:r>
      </w:hyperlink>
    </w:p>
    <w:p w:rsidR="0084630F" w:rsidRPr="00E9426C" w:rsidRDefault="004E0508" w:rsidP="00E9426C">
      <w:pPr>
        <w:pStyle w:val="TOC1"/>
        <w:rPr>
          <w:rFonts w:asciiTheme="minorHAnsi" w:eastAsiaTheme="minorEastAsia" w:hAnsiTheme="minorHAnsi" w:cstheme="minorBidi"/>
          <w:noProof/>
          <w:sz w:val="22"/>
          <w:szCs w:val="22"/>
          <w:lang w:val="es-ES" w:eastAsia="zh-CN"/>
        </w:rPr>
      </w:pPr>
      <w:hyperlink w:anchor="Cuadro_11" w:history="1">
        <w:r w:rsidR="0084630F" w:rsidRPr="00C70877">
          <w:t>Cuadro 11 – Oficinas Regionales y de Zona de la UIT</w:t>
        </w:r>
        <w:r w:rsidR="0084630F" w:rsidRPr="00C70877">
          <w:rPr>
            <w:webHidden/>
          </w:rPr>
          <w:tab/>
        </w:r>
        <w:r w:rsidR="00E9426C" w:rsidRPr="00C70877">
          <w:rPr>
            <w:webHidden/>
          </w:rPr>
          <w:t>79</w:t>
        </w:r>
      </w:hyperlink>
    </w:p>
    <w:p w:rsidR="0084630F" w:rsidRPr="00EF1726" w:rsidRDefault="004E0508" w:rsidP="00E9426C">
      <w:pPr>
        <w:pStyle w:val="TOC1"/>
        <w:rPr>
          <w:rFonts w:asciiTheme="minorHAnsi" w:eastAsiaTheme="minorEastAsia" w:hAnsiTheme="minorHAnsi" w:cstheme="minorBidi"/>
          <w:noProof/>
          <w:sz w:val="22"/>
          <w:szCs w:val="22"/>
          <w:lang w:val="es-ES" w:eastAsia="zh-CN"/>
        </w:rPr>
      </w:pPr>
      <w:hyperlink w:anchor="Cuadro_12" w:history="1">
        <w:r w:rsidR="0084630F" w:rsidRPr="00C70877">
          <w:t>Cuadro 12 – Gastos de capital</w:t>
        </w:r>
        <w:r w:rsidR="0084630F" w:rsidRPr="00C70877">
          <w:rPr>
            <w:webHidden/>
          </w:rPr>
          <w:tab/>
        </w:r>
        <w:r w:rsidR="00E9426C" w:rsidRPr="00C70877">
          <w:rPr>
            <w:webHidden/>
          </w:rPr>
          <w:t>80</w:t>
        </w:r>
      </w:hyperlink>
    </w:p>
    <w:p w:rsidR="0084630F" w:rsidRDefault="0084630F" w:rsidP="00C70877">
      <w:r>
        <w:br w:type="page"/>
      </w:r>
    </w:p>
    <w:p w:rsidR="0084630F" w:rsidRPr="00CE636F" w:rsidRDefault="0084630F" w:rsidP="00C70877">
      <w:pPr>
        <w:pStyle w:val="Heading1"/>
        <w:jc w:val="center"/>
      </w:pPr>
      <w:bookmarkStart w:id="393" w:name="_PROYECTO_DE_RESOLUCIÓN"/>
      <w:bookmarkStart w:id="394" w:name="_Toc7524843"/>
      <w:bookmarkStart w:id="395" w:name="_Toc7526687"/>
      <w:bookmarkStart w:id="396" w:name="_Toc7526830"/>
      <w:bookmarkStart w:id="397" w:name="_Toc7526883"/>
      <w:bookmarkEnd w:id="393"/>
      <w:r w:rsidRPr="00CE636F">
        <w:lastRenderedPageBreak/>
        <w:t>PROYECTO DE RESOLUCIÓN</w:t>
      </w:r>
      <w:bookmarkEnd w:id="394"/>
      <w:bookmarkEnd w:id="395"/>
      <w:bookmarkEnd w:id="396"/>
      <w:bookmarkEnd w:id="397"/>
    </w:p>
    <w:p w:rsidR="0084630F" w:rsidRDefault="0084630F" w:rsidP="00C70877">
      <w:pPr>
        <w:pStyle w:val="Title1"/>
      </w:pPr>
      <w:r>
        <w:t xml:space="preserve">PRESUPUESTO BIENAL </w:t>
      </w:r>
      <w:r>
        <w:br/>
        <w:t>DE LA UNIÓN INTERNACIONAL DE TELECOMUNICACIONES</w:t>
      </w:r>
      <w:r>
        <w:br/>
        <w:t>PARA 2020-2021</w:t>
      </w:r>
    </w:p>
    <w:p w:rsidR="0084630F" w:rsidRDefault="0084630F" w:rsidP="00C70877">
      <w:pPr>
        <w:pStyle w:val="Normalaftertitle"/>
      </w:pPr>
      <w:r>
        <w:t>El Consejo,</w:t>
      </w:r>
    </w:p>
    <w:p w:rsidR="0084630F" w:rsidRDefault="0084630F" w:rsidP="00C70877">
      <w:pPr>
        <w:pStyle w:val="Call"/>
      </w:pPr>
      <w:r>
        <w:t>considerando</w:t>
      </w:r>
    </w:p>
    <w:p w:rsidR="0084630F" w:rsidRDefault="0084630F" w:rsidP="00C70877">
      <w:r>
        <w:t>las disposiciones del Convenio de la Unión Internacional de Telecomunicaciones,</w:t>
      </w:r>
    </w:p>
    <w:p w:rsidR="0084630F" w:rsidRDefault="0084630F" w:rsidP="00C70877">
      <w:pPr>
        <w:pStyle w:val="Call"/>
      </w:pPr>
      <w:r>
        <w:t>teniendo presente</w:t>
      </w:r>
    </w:p>
    <w:p w:rsidR="0084630F" w:rsidRDefault="0084630F" w:rsidP="00C70877">
      <w:r w:rsidRPr="00A92586">
        <w:rPr>
          <w:i/>
          <w:iCs/>
        </w:rPr>
        <w:t>a)</w:t>
      </w:r>
      <w:r>
        <w:tab/>
        <w:t>lo dispuesto en la Decisión 5 (Rev. Dubái, 2018) de la Conferencia de Plenipotenciarios sobre los ingresos y gastos de la Unión para el periodo 2020-2023, en la que se estipula que el importe de la unidad contributiva no deberá rebasar 318 000 CHF en 2020-2021;</w:t>
      </w:r>
    </w:p>
    <w:p w:rsidR="0084630F" w:rsidRDefault="0084630F" w:rsidP="00C70877">
      <w:r w:rsidRPr="00A92586">
        <w:rPr>
          <w:i/>
          <w:iCs/>
        </w:rPr>
        <w:t>b)</w:t>
      </w:r>
      <w:r>
        <w:tab/>
        <w:t>las disposiciones del Artículo 11 del Reglamento Financiero y las Reglas Financieras de la Unión, relativo a transferencias de consignaciones presupuestarias,</w:t>
      </w:r>
    </w:p>
    <w:p w:rsidR="0084630F" w:rsidRDefault="0084630F" w:rsidP="00C70877">
      <w:pPr>
        <w:pStyle w:val="Call"/>
      </w:pPr>
      <w:r>
        <w:t>resuelve aprobar</w:t>
      </w:r>
    </w:p>
    <w:p w:rsidR="0084630F" w:rsidRDefault="0084630F" w:rsidP="00C70877">
      <w:r>
        <w:t>el presupuesto bienal de la Unión para 2020-2021, que asciende a [166 956 000] CHF para 2020 y a [164 013 000] CHF para 2021 o [330 969 000] CHF para el bienio 2020-2021, desglosado como sigue:</w:t>
      </w:r>
    </w:p>
    <w:p w:rsidR="0084630F" w:rsidRDefault="0084630F" w:rsidP="00C70877">
      <w:pPr>
        <w:pStyle w:val="Figure"/>
      </w:pPr>
      <w:r w:rsidRPr="00A92586">
        <w:rPr>
          <w:noProof/>
          <w:lang w:val="en-GB" w:eastAsia="zh-CN"/>
        </w:rPr>
        <w:drawing>
          <wp:inline distT="0" distB="0" distL="0" distR="0">
            <wp:extent cx="5274310" cy="22675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4310" cy="2267585"/>
                    </a:xfrm>
                    <a:prstGeom prst="rect">
                      <a:avLst/>
                    </a:prstGeom>
                    <a:noFill/>
                    <a:ln>
                      <a:noFill/>
                    </a:ln>
                  </pic:spPr>
                </pic:pic>
              </a:graphicData>
            </a:graphic>
          </wp:inline>
        </w:drawing>
      </w:r>
    </w:p>
    <w:p w:rsidR="0084630F" w:rsidRDefault="0084630F" w:rsidP="00C70877">
      <w:pPr>
        <w:pStyle w:val="Call"/>
      </w:pPr>
      <w:r>
        <w:t>resuelve además</w:t>
      </w:r>
    </w:p>
    <w:p w:rsidR="0084630F" w:rsidRDefault="0084630F" w:rsidP="00C70877">
      <w:r>
        <w:t>1</w:t>
      </w:r>
      <w:r>
        <w:tab/>
        <w:t>fijar el importe de la unidad contributiva anual para 2020 y 2021 en [318 000] CHF, basándose en la clase de contribución elegida por los Estados Miembros con arreglo al número 160 de la Constitución y al número 468 del Convenio de la Unión Internacional de Telecomunicaciones, o sea en base a un total de [343 11/16] unidades;</w:t>
      </w:r>
    </w:p>
    <w:p w:rsidR="0084630F" w:rsidRDefault="0084630F" w:rsidP="0084630F">
      <w:r>
        <w:br w:type="page"/>
      </w:r>
    </w:p>
    <w:p w:rsidR="0084630F" w:rsidRDefault="0084630F" w:rsidP="00C70877">
      <w:r>
        <w:lastRenderedPageBreak/>
        <w:t>2</w:t>
      </w:r>
      <w:r>
        <w:tab/>
        <w:t>establecer en [63 600] CHF el valor anual de la unidad contributiva para 2020 y 2021, destinada a sufragar los gastos de las reuniones del Sector de Radiocomunicaciones (UIT-R), el Sector de Normalización de las Telecomunicaciones (UIT-T) y el Sector de Desarrollo de las Telecomunicaciones (UIT-D), importe abonable por los Miembros de Sector de conformidad con el número 480 del Convenio de la Unión Internacional de Telecomunicaciones;</w:t>
      </w:r>
    </w:p>
    <w:p w:rsidR="0084630F" w:rsidRDefault="0084630F" w:rsidP="00C70877">
      <w:r>
        <w:t>3</w:t>
      </w:r>
      <w:r>
        <w:tab/>
        <w:t>fijar la contribución financiera de los Asociados en las cantidades siguientes:</w:t>
      </w:r>
    </w:p>
    <w:p w:rsidR="0084630F" w:rsidRDefault="0084630F" w:rsidP="00C70877">
      <w:pPr>
        <w:pStyle w:val="enumlev1"/>
      </w:pPr>
      <w:r>
        <w:t>a)</w:t>
      </w:r>
      <w:r>
        <w:tab/>
        <w:t>[10 600] CHF para los Asociados que participen en las actividades del UIT-T y el UIT-R;</w:t>
      </w:r>
    </w:p>
    <w:p w:rsidR="0084630F" w:rsidRDefault="0084630F" w:rsidP="00C70877">
      <w:pPr>
        <w:pStyle w:val="enumlev1"/>
      </w:pPr>
      <w:r>
        <w:t>b)</w:t>
      </w:r>
      <w:r>
        <w:tab/>
        <w:t>[3 975] CHF para los Asociados que participen en las actividades del UIT-D;</w:t>
      </w:r>
    </w:p>
    <w:p w:rsidR="0084630F" w:rsidRDefault="0084630F" w:rsidP="00C70877">
      <w:pPr>
        <w:pStyle w:val="enumlev1"/>
      </w:pPr>
      <w:r>
        <w:t>c)</w:t>
      </w:r>
      <w:r>
        <w:tab/>
        <w:t>[1 987,50] CHF para los Asociados de países en desarrollo que participen en las actividades del UIT-D;</w:t>
      </w:r>
    </w:p>
    <w:p w:rsidR="0084630F" w:rsidRDefault="0084630F" w:rsidP="00C70877">
      <w:r>
        <w:t>4</w:t>
      </w:r>
      <w:r>
        <w:tab/>
        <w:t>fijar el canon anual para las Instituciones Académicas, las universidades y sus organismos de investigación asociados en las cantidades siguientes:</w:t>
      </w:r>
    </w:p>
    <w:p w:rsidR="0084630F" w:rsidRDefault="0084630F" w:rsidP="00C70877">
      <w:pPr>
        <w:pStyle w:val="enumlev1"/>
      </w:pPr>
      <w:r>
        <w:t>a)</w:t>
      </w:r>
      <w:r>
        <w:tab/>
        <w:t>[3 975] CHF para organizaciones de países desarrollados que participan en los trabajos de los tres Sectores;</w:t>
      </w:r>
    </w:p>
    <w:p w:rsidR="0084630F" w:rsidRDefault="0084630F" w:rsidP="00C70877">
      <w:pPr>
        <w:pStyle w:val="enumlev1"/>
      </w:pPr>
      <w:r>
        <w:t>b)</w:t>
      </w:r>
      <w:r>
        <w:tab/>
        <w:t>[1 987,50] CHF para organizaciones de países en desarrollo que participan en los trabajos de los tres Sectores;</w:t>
      </w:r>
    </w:p>
    <w:p w:rsidR="0084630F" w:rsidRDefault="0084630F" w:rsidP="00C70877">
      <w:r>
        <w:t>5</w:t>
      </w:r>
      <w:r>
        <w:tab/>
        <w:t>autorizar al Secretario General a ajustar las consignaciones de las partidas de gastos a) y b) siguientes, de conformidad con las modificaciones resultantes de la utilización de la Cuenta de Provisión, y siempre que ésta se mantenga al nivel prescrito en la Decisión 5 (Rev. Dubái, 2018):</w:t>
      </w:r>
    </w:p>
    <w:p w:rsidR="0084630F" w:rsidRDefault="0084630F" w:rsidP="00C70877">
      <w:pPr>
        <w:pStyle w:val="enumlev1"/>
      </w:pPr>
      <w:r>
        <w:t>a)</w:t>
      </w:r>
      <w:r>
        <w:tab/>
        <w:t>aumentos de las escalas de sueldos, las contribuciones para pensiones y subsidios, incluidos los ajustes por lugar de destino, aplicables en Ginebra, establecidos por el Régimen común de las Naciones Unidas;</w:t>
      </w:r>
    </w:p>
    <w:p w:rsidR="0084630F" w:rsidRDefault="0084630F" w:rsidP="00C70877">
      <w:pPr>
        <w:pStyle w:val="enumlev1"/>
      </w:pPr>
      <w:r>
        <w:t>b)</w:t>
      </w:r>
      <w:r>
        <w:tab/>
        <w:t>las fluctuaciones del tipo de cambio entre el franco suizo y el dólar de EE.UU. en la medida en que dicho tipo afecte a los costes del personal al que se aplican las escalas de las Naciones Unidas;</w:t>
      </w:r>
    </w:p>
    <w:p w:rsidR="0084630F" w:rsidRDefault="0084630F" w:rsidP="00C70877">
      <w:pPr>
        <w:pStyle w:val="enumlev1"/>
      </w:pPr>
      <w:r>
        <w:t>c)</w:t>
      </w:r>
      <w:r>
        <w:tab/>
        <w:t xml:space="preserve">conceder al Secretario General, para el bienio 2020-2021, con respecto a la </w:t>
      </w:r>
      <w:r w:rsidRPr="00BF3519">
        <w:rPr>
          <w:i/>
          <w:iCs/>
        </w:rPr>
        <w:t>Regla 6.1</w:t>
      </w:r>
      <w:r>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rsidR="0084630F" w:rsidRDefault="0084630F" w:rsidP="00C70877">
      <w:r>
        <w:t>6</w:t>
      </w:r>
      <w:r>
        <w:tab/>
        <w:t>autorizar que, en caso necesario, se equilibren las cuentas de 2020-2021 con excedentes de ingresos;</w:t>
      </w:r>
    </w:p>
    <w:p w:rsidR="0084630F" w:rsidRDefault="0084630F" w:rsidP="00C70877">
      <w:r>
        <w:t>7</w:t>
      </w:r>
      <w:r>
        <w:tab/>
        <w:t>encargar al Secretario General que en enero de 2020 transfiera 1 000 000 CHF de la Cuenta de Provisión al fondo ASHI para cubrir el pasivo a largo plazo no financiado.</w:t>
      </w:r>
    </w:p>
    <w:p w:rsidR="0084630F" w:rsidRDefault="0084630F" w:rsidP="00C70877">
      <w:pPr>
        <w:spacing w:before="960"/>
      </w:pPr>
      <w:r w:rsidRPr="00A92586">
        <w:rPr>
          <w:b/>
          <w:bCs/>
        </w:rPr>
        <w:t>Anexos</w:t>
      </w:r>
      <w:r>
        <w:t>: Cuadros 1-12</w:t>
      </w:r>
    </w:p>
    <w:p w:rsidR="0084630F" w:rsidRDefault="0084630F" w:rsidP="00C70877"/>
    <w:p w:rsidR="0084630F" w:rsidRDefault="0084630F" w:rsidP="00C70877">
      <w:pPr>
        <w:sectPr w:rsidR="0084630F" w:rsidSect="00C70877">
          <w:headerReference w:type="first" r:id="rId93"/>
          <w:pgSz w:w="11907" w:h="16834"/>
          <w:pgMar w:top="1418" w:right="1134" w:bottom="1418" w:left="1134" w:header="720" w:footer="720" w:gutter="0"/>
          <w:paperSrc w:first="15" w:other="15"/>
          <w:cols w:space="720"/>
          <w:titlePg/>
        </w:sectPr>
      </w:pPr>
    </w:p>
    <w:p w:rsidR="0084630F" w:rsidRPr="00A92586" w:rsidRDefault="0084630F" w:rsidP="00C70877">
      <w:pPr>
        <w:pStyle w:val="Figure"/>
      </w:pPr>
      <w:bookmarkStart w:id="398" w:name="Cuadro_1"/>
      <w:r w:rsidRPr="00A14372">
        <w:rPr>
          <w:noProof/>
          <w:lang w:val="en-GB" w:eastAsia="zh-CN"/>
        </w:rPr>
        <w:lastRenderedPageBreak/>
        <w:drawing>
          <wp:inline distT="0" distB="0" distL="0" distR="0">
            <wp:extent cx="6781165" cy="275082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81165" cy="2750820"/>
                    </a:xfrm>
                    <a:prstGeom prst="rect">
                      <a:avLst/>
                    </a:prstGeom>
                    <a:noFill/>
                    <a:ln>
                      <a:noFill/>
                    </a:ln>
                  </pic:spPr>
                </pic:pic>
              </a:graphicData>
            </a:graphic>
          </wp:inline>
        </w:drawing>
      </w:r>
      <w:bookmarkEnd w:id="398"/>
    </w:p>
    <w:p w:rsidR="0084630F" w:rsidRDefault="0084630F">
      <w:pPr>
        <w:tabs>
          <w:tab w:val="clear" w:pos="1134"/>
          <w:tab w:val="clear" w:pos="1701"/>
          <w:tab w:val="clear" w:pos="2268"/>
          <w:tab w:val="clear" w:pos="2835"/>
        </w:tabs>
        <w:overflowPunct/>
        <w:autoSpaceDE/>
        <w:autoSpaceDN/>
        <w:adjustRightInd/>
        <w:spacing w:before="0"/>
        <w:textAlignment w:val="auto"/>
      </w:pPr>
      <w:r>
        <w:br w:type="page"/>
      </w:r>
    </w:p>
    <w:p w:rsidR="0084630F" w:rsidRDefault="0084630F" w:rsidP="00C70877">
      <w:pPr>
        <w:pStyle w:val="Figure"/>
        <w:keepNext w:val="0"/>
        <w:keepLines w:val="0"/>
      </w:pPr>
      <w:bookmarkStart w:id="399" w:name="Cuadro_2"/>
      <w:r w:rsidRPr="00A14372">
        <w:rPr>
          <w:noProof/>
          <w:lang w:val="en-GB" w:eastAsia="zh-CN"/>
        </w:rPr>
        <w:lastRenderedPageBreak/>
        <w:drawing>
          <wp:inline distT="0" distB="0" distL="0" distR="0">
            <wp:extent cx="6717600" cy="59688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17600" cy="5968800"/>
                    </a:xfrm>
                    <a:prstGeom prst="rect">
                      <a:avLst/>
                    </a:prstGeom>
                    <a:noFill/>
                    <a:ln>
                      <a:noFill/>
                    </a:ln>
                  </pic:spPr>
                </pic:pic>
              </a:graphicData>
            </a:graphic>
          </wp:inline>
        </w:drawing>
      </w:r>
      <w:bookmarkEnd w:id="399"/>
    </w:p>
    <w:p w:rsidR="0084630F" w:rsidRPr="00895F0F" w:rsidRDefault="0084630F" w:rsidP="00C70877">
      <w:pPr>
        <w:pStyle w:val="Figure"/>
      </w:pPr>
      <w:bookmarkStart w:id="400" w:name="Cuadro_3"/>
      <w:r w:rsidRPr="00895F0F">
        <w:rPr>
          <w:noProof/>
          <w:lang w:val="en-GB" w:eastAsia="zh-CN"/>
        </w:rPr>
        <w:lastRenderedPageBreak/>
        <w:drawing>
          <wp:inline distT="0" distB="0" distL="0" distR="0">
            <wp:extent cx="8503200" cy="5036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03200" cy="5036400"/>
                    </a:xfrm>
                    <a:prstGeom prst="rect">
                      <a:avLst/>
                    </a:prstGeom>
                    <a:noFill/>
                    <a:ln>
                      <a:noFill/>
                    </a:ln>
                  </pic:spPr>
                </pic:pic>
              </a:graphicData>
            </a:graphic>
          </wp:inline>
        </w:drawing>
      </w:r>
      <w:bookmarkEnd w:id="400"/>
    </w:p>
    <w:p w:rsidR="0084630F" w:rsidRPr="00AF66AA" w:rsidRDefault="0084630F" w:rsidP="00C70877">
      <w:pPr>
        <w:pStyle w:val="Figure"/>
      </w:pPr>
      <w:r w:rsidRPr="00AF66AA">
        <w:rPr>
          <w:noProof/>
          <w:lang w:val="en-GB" w:eastAsia="zh-CN"/>
        </w:rPr>
        <w:lastRenderedPageBreak/>
        <w:drawing>
          <wp:inline distT="0" distB="0" distL="0" distR="0">
            <wp:extent cx="8528400" cy="57204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28400" cy="5720400"/>
                    </a:xfrm>
                    <a:prstGeom prst="rect">
                      <a:avLst/>
                    </a:prstGeom>
                    <a:noFill/>
                    <a:ln>
                      <a:noFill/>
                    </a:ln>
                  </pic:spPr>
                </pic:pic>
              </a:graphicData>
            </a:graphic>
          </wp:inline>
        </w:drawing>
      </w:r>
    </w:p>
    <w:p w:rsidR="0084630F" w:rsidRDefault="0084630F" w:rsidP="00C70877">
      <w:r>
        <w:br w:type="page"/>
      </w:r>
    </w:p>
    <w:p w:rsidR="0084630F" w:rsidRDefault="0084630F" w:rsidP="00C70877">
      <w:pPr>
        <w:pStyle w:val="Figure"/>
      </w:pPr>
      <w:bookmarkStart w:id="401" w:name="Cuadro_5"/>
      <w:r w:rsidRPr="00AC4B35">
        <w:rPr>
          <w:noProof/>
          <w:lang w:val="en-GB" w:eastAsia="zh-CN"/>
        </w:rPr>
        <w:lastRenderedPageBreak/>
        <w:drawing>
          <wp:inline distT="0" distB="0" distL="0" distR="0">
            <wp:extent cx="7841615" cy="494538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841615" cy="4945380"/>
                    </a:xfrm>
                    <a:prstGeom prst="rect">
                      <a:avLst/>
                    </a:prstGeom>
                    <a:noFill/>
                    <a:ln>
                      <a:noFill/>
                    </a:ln>
                  </pic:spPr>
                </pic:pic>
              </a:graphicData>
            </a:graphic>
          </wp:inline>
        </w:drawing>
      </w:r>
      <w:bookmarkEnd w:id="401"/>
    </w:p>
    <w:p w:rsidR="0084630F" w:rsidRDefault="0084630F" w:rsidP="00C70877">
      <w:r>
        <w:br w:type="page"/>
      </w:r>
    </w:p>
    <w:p w:rsidR="0084630F" w:rsidRPr="005C66CB" w:rsidRDefault="0084630F" w:rsidP="00C70877">
      <w:pPr>
        <w:pStyle w:val="Figure"/>
      </w:pPr>
      <w:r w:rsidRPr="005C66CB">
        <w:rPr>
          <w:noProof/>
          <w:lang w:val="en-GB" w:eastAsia="zh-CN"/>
        </w:rPr>
        <w:lastRenderedPageBreak/>
        <w:drawing>
          <wp:inline distT="0" distB="0" distL="0" distR="0">
            <wp:extent cx="8888730" cy="5796077"/>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88730" cy="5796077"/>
                    </a:xfrm>
                    <a:prstGeom prst="rect">
                      <a:avLst/>
                    </a:prstGeom>
                    <a:noFill/>
                    <a:ln>
                      <a:noFill/>
                    </a:ln>
                  </pic:spPr>
                </pic:pic>
              </a:graphicData>
            </a:graphic>
          </wp:inline>
        </w:drawing>
      </w:r>
    </w:p>
    <w:p w:rsidR="0084630F" w:rsidRDefault="0084630F" w:rsidP="00C70877">
      <w:r>
        <w:br w:type="page"/>
      </w:r>
    </w:p>
    <w:p w:rsidR="0084630F" w:rsidRPr="00A92586" w:rsidRDefault="0084630F" w:rsidP="00C70877">
      <w:pPr>
        <w:pStyle w:val="Figure"/>
      </w:pPr>
      <w:bookmarkStart w:id="402" w:name="Cuadro_7"/>
      <w:r w:rsidRPr="00BB036C">
        <w:rPr>
          <w:noProof/>
          <w:lang w:val="en-GB" w:eastAsia="zh-CN"/>
        </w:rPr>
        <w:lastRenderedPageBreak/>
        <w:drawing>
          <wp:inline distT="0" distB="0" distL="0" distR="0">
            <wp:extent cx="8522335" cy="4594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22335" cy="4594225"/>
                    </a:xfrm>
                    <a:prstGeom prst="rect">
                      <a:avLst/>
                    </a:prstGeom>
                    <a:noFill/>
                    <a:ln>
                      <a:noFill/>
                    </a:ln>
                  </pic:spPr>
                </pic:pic>
              </a:graphicData>
            </a:graphic>
          </wp:inline>
        </w:drawing>
      </w:r>
      <w:bookmarkEnd w:id="402"/>
    </w:p>
    <w:p w:rsidR="0084630F" w:rsidRDefault="0084630F">
      <w:pPr>
        <w:tabs>
          <w:tab w:val="clear" w:pos="1134"/>
          <w:tab w:val="clear" w:pos="1701"/>
          <w:tab w:val="clear" w:pos="2268"/>
          <w:tab w:val="clear" w:pos="2835"/>
        </w:tabs>
        <w:overflowPunct/>
        <w:autoSpaceDE/>
        <w:autoSpaceDN/>
        <w:adjustRightInd/>
        <w:spacing w:before="0"/>
        <w:textAlignment w:val="auto"/>
      </w:pPr>
      <w:r>
        <w:br w:type="page"/>
      </w:r>
    </w:p>
    <w:p w:rsidR="0084630F" w:rsidRPr="00A92586" w:rsidRDefault="0084630F" w:rsidP="00C70877">
      <w:pPr>
        <w:pStyle w:val="Figure"/>
      </w:pPr>
      <w:r w:rsidRPr="00BB036C">
        <w:rPr>
          <w:noProof/>
          <w:lang w:val="en-GB" w:eastAsia="zh-CN"/>
        </w:rPr>
        <w:lastRenderedPageBreak/>
        <w:drawing>
          <wp:inline distT="0" distB="0" distL="0" distR="0">
            <wp:extent cx="8636400" cy="5778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36400" cy="5778000"/>
                    </a:xfrm>
                    <a:prstGeom prst="rect">
                      <a:avLst/>
                    </a:prstGeom>
                    <a:noFill/>
                    <a:ln>
                      <a:noFill/>
                    </a:ln>
                  </pic:spPr>
                </pic:pic>
              </a:graphicData>
            </a:graphic>
          </wp:inline>
        </w:drawing>
      </w:r>
    </w:p>
    <w:p w:rsidR="0084630F" w:rsidRDefault="0084630F">
      <w:pPr>
        <w:tabs>
          <w:tab w:val="clear" w:pos="1134"/>
          <w:tab w:val="clear" w:pos="1701"/>
          <w:tab w:val="clear" w:pos="2268"/>
          <w:tab w:val="clear" w:pos="2835"/>
        </w:tabs>
        <w:overflowPunct/>
        <w:autoSpaceDE/>
        <w:autoSpaceDN/>
        <w:adjustRightInd/>
        <w:spacing w:before="0"/>
        <w:textAlignment w:val="auto"/>
      </w:pPr>
      <w:r>
        <w:br w:type="page"/>
      </w:r>
    </w:p>
    <w:p w:rsidR="0084630F" w:rsidRPr="00A92586" w:rsidRDefault="0084630F" w:rsidP="00C70877">
      <w:pPr>
        <w:pStyle w:val="Figure"/>
      </w:pPr>
      <w:bookmarkStart w:id="403" w:name="Cuadro_9"/>
      <w:r w:rsidRPr="00BB036C">
        <w:rPr>
          <w:noProof/>
          <w:lang w:val="en-GB" w:eastAsia="zh-CN"/>
        </w:rPr>
        <w:lastRenderedPageBreak/>
        <w:drawing>
          <wp:inline distT="0" distB="0" distL="0" distR="0">
            <wp:extent cx="8207375" cy="4308475"/>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07375" cy="4308475"/>
                    </a:xfrm>
                    <a:prstGeom prst="rect">
                      <a:avLst/>
                    </a:prstGeom>
                    <a:noFill/>
                    <a:ln>
                      <a:noFill/>
                    </a:ln>
                  </pic:spPr>
                </pic:pic>
              </a:graphicData>
            </a:graphic>
          </wp:inline>
        </w:drawing>
      </w:r>
      <w:bookmarkEnd w:id="403"/>
    </w:p>
    <w:p w:rsidR="0084630F" w:rsidRDefault="0084630F" w:rsidP="00C70877">
      <w:r>
        <w:br w:type="page"/>
      </w:r>
    </w:p>
    <w:p w:rsidR="0084630F" w:rsidRDefault="0084630F" w:rsidP="00C70877">
      <w:pPr>
        <w:pStyle w:val="Figure"/>
      </w:pPr>
      <w:r w:rsidRPr="00AB3D74">
        <w:rPr>
          <w:noProof/>
          <w:lang w:val="en-GB" w:eastAsia="zh-CN"/>
        </w:rPr>
        <w:lastRenderedPageBreak/>
        <w:drawing>
          <wp:inline distT="0" distB="0" distL="0" distR="0">
            <wp:extent cx="8492400" cy="573840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92400" cy="5738400"/>
                    </a:xfrm>
                    <a:prstGeom prst="rect">
                      <a:avLst/>
                    </a:prstGeom>
                    <a:noFill/>
                    <a:ln>
                      <a:noFill/>
                    </a:ln>
                  </pic:spPr>
                </pic:pic>
              </a:graphicData>
            </a:graphic>
          </wp:inline>
        </w:drawing>
      </w:r>
    </w:p>
    <w:p w:rsidR="0084630F" w:rsidRDefault="0084630F" w:rsidP="00C70877">
      <w:r>
        <w:br w:type="page"/>
      </w:r>
    </w:p>
    <w:p w:rsidR="0084630F" w:rsidRPr="00CE77F1" w:rsidRDefault="0084630F" w:rsidP="00C70877">
      <w:pPr>
        <w:pStyle w:val="Figure"/>
      </w:pPr>
      <w:bookmarkStart w:id="404" w:name="Cuadro_11"/>
      <w:r w:rsidRPr="00CE77F1">
        <w:rPr>
          <w:noProof/>
          <w:lang w:val="en-GB" w:eastAsia="zh-CN"/>
        </w:rPr>
        <w:lastRenderedPageBreak/>
        <w:drawing>
          <wp:inline distT="0" distB="0" distL="0" distR="0">
            <wp:extent cx="6829200" cy="54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29200" cy="5414400"/>
                    </a:xfrm>
                    <a:prstGeom prst="rect">
                      <a:avLst/>
                    </a:prstGeom>
                    <a:noFill/>
                    <a:ln>
                      <a:noFill/>
                    </a:ln>
                  </pic:spPr>
                </pic:pic>
              </a:graphicData>
            </a:graphic>
          </wp:inline>
        </w:drawing>
      </w:r>
      <w:bookmarkEnd w:id="404"/>
    </w:p>
    <w:p w:rsidR="0084630F" w:rsidRDefault="0084630F">
      <w:pPr>
        <w:tabs>
          <w:tab w:val="clear" w:pos="1134"/>
          <w:tab w:val="clear" w:pos="1701"/>
          <w:tab w:val="clear" w:pos="2268"/>
          <w:tab w:val="clear" w:pos="2835"/>
        </w:tabs>
        <w:overflowPunct/>
        <w:autoSpaceDE/>
        <w:autoSpaceDN/>
        <w:adjustRightInd/>
        <w:spacing w:before="0"/>
        <w:textAlignment w:val="auto"/>
      </w:pPr>
      <w:r>
        <w:br w:type="page"/>
      </w:r>
    </w:p>
    <w:p w:rsidR="0084630F" w:rsidRPr="00A92586" w:rsidRDefault="0084630F" w:rsidP="00C70877">
      <w:pPr>
        <w:pStyle w:val="Figure"/>
      </w:pPr>
      <w:bookmarkStart w:id="405" w:name="Cuadro_12"/>
      <w:r w:rsidRPr="00AB3D74">
        <w:rPr>
          <w:noProof/>
          <w:lang w:val="en-GB" w:eastAsia="zh-CN"/>
        </w:rPr>
        <w:lastRenderedPageBreak/>
        <w:drawing>
          <wp:inline distT="0" distB="0" distL="0" distR="0">
            <wp:extent cx="6758940" cy="337248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8940" cy="3372485"/>
                    </a:xfrm>
                    <a:prstGeom prst="rect">
                      <a:avLst/>
                    </a:prstGeom>
                    <a:noFill/>
                    <a:ln>
                      <a:noFill/>
                    </a:ln>
                  </pic:spPr>
                </pic:pic>
              </a:graphicData>
            </a:graphic>
          </wp:inline>
        </w:drawing>
      </w:r>
      <w:bookmarkEnd w:id="405"/>
    </w:p>
    <w:p w:rsidR="0084630F" w:rsidRDefault="0084630F" w:rsidP="00716543"/>
    <w:p w:rsidR="0084630F" w:rsidRDefault="0084630F" w:rsidP="0084630F">
      <w:pPr>
        <w:sectPr w:rsidR="0084630F" w:rsidSect="00C70877">
          <w:pgSz w:w="16834" w:h="11907" w:orient="landscape"/>
          <w:pgMar w:top="1134" w:right="1418" w:bottom="1134" w:left="1418" w:header="720" w:footer="720" w:gutter="0"/>
          <w:paperSrc w:first="15" w:other="15"/>
          <w:cols w:space="720"/>
          <w:titlePg/>
          <w:docGrid w:linePitch="326"/>
        </w:sectPr>
      </w:pPr>
    </w:p>
    <w:p w:rsidR="004E0508" w:rsidRDefault="004E0508" w:rsidP="00E4249A">
      <w:pPr>
        <w:pStyle w:val="Title4"/>
        <w:rPr>
          <w:sz w:val="56"/>
          <w:szCs w:val="56"/>
          <w:lang w:val="es-ES"/>
        </w:rPr>
      </w:pPr>
      <w:bookmarkStart w:id="406" w:name="IV_Anexos"/>
    </w:p>
    <w:p w:rsidR="00E4249A" w:rsidRPr="000E0F4D" w:rsidRDefault="00E4249A" w:rsidP="00E4249A">
      <w:pPr>
        <w:pStyle w:val="Title4"/>
        <w:rPr>
          <w:sz w:val="56"/>
          <w:szCs w:val="56"/>
          <w:lang w:val="es-ES"/>
        </w:rPr>
      </w:pPr>
      <w:r w:rsidRPr="000E0F4D">
        <w:rPr>
          <w:sz w:val="56"/>
          <w:szCs w:val="56"/>
          <w:lang w:val="es-ES"/>
        </w:rPr>
        <w:t xml:space="preserve">PROYECTO DE </w:t>
      </w:r>
      <w:r w:rsidRPr="000E0F4D">
        <w:rPr>
          <w:sz w:val="56"/>
          <w:szCs w:val="56"/>
          <w:lang w:val="es-ES"/>
        </w:rPr>
        <w:br/>
        <w:t>PRESUPUESTO</w:t>
      </w:r>
    </w:p>
    <w:p w:rsidR="00E4249A" w:rsidRPr="000E0F4D" w:rsidRDefault="00E4249A" w:rsidP="00E4249A">
      <w:pPr>
        <w:pStyle w:val="Title4"/>
        <w:rPr>
          <w:sz w:val="40"/>
          <w:szCs w:val="40"/>
          <w:lang w:val="es-ES"/>
        </w:rPr>
      </w:pPr>
      <w:r w:rsidRPr="000E0F4D">
        <w:rPr>
          <w:sz w:val="40"/>
          <w:szCs w:val="40"/>
          <w:lang w:val="es-ES"/>
        </w:rPr>
        <w:t>2020-2021</w:t>
      </w:r>
    </w:p>
    <w:p w:rsidR="00E4249A" w:rsidRPr="00E4249A" w:rsidRDefault="00E4249A" w:rsidP="00E4249A">
      <w:pPr>
        <w:tabs>
          <w:tab w:val="clear" w:pos="1134"/>
          <w:tab w:val="left" w:pos="1560"/>
        </w:tabs>
        <w:spacing w:before="4000"/>
        <w:rPr>
          <w:color w:val="A6A6A6" w:themeColor="background1" w:themeShade="A6"/>
          <w:sz w:val="28"/>
          <w:szCs w:val="28"/>
          <w:lang w:val="es-ES"/>
        </w:rPr>
      </w:pPr>
      <w:r w:rsidRPr="00E4249A">
        <w:rPr>
          <w:color w:val="A6A6A6" w:themeColor="background1" w:themeShade="A6"/>
          <w:sz w:val="28"/>
          <w:szCs w:val="28"/>
          <w:lang w:val="es-ES"/>
        </w:rPr>
        <w:t>Parte I</w:t>
      </w:r>
      <w:r w:rsidRPr="00E4249A">
        <w:rPr>
          <w:color w:val="A6A6A6" w:themeColor="background1" w:themeShade="A6"/>
          <w:sz w:val="28"/>
          <w:szCs w:val="28"/>
          <w:lang w:val="es-ES"/>
        </w:rPr>
        <w:tab/>
        <w:t>Síntesis</w:t>
      </w:r>
    </w:p>
    <w:p w:rsidR="00E4249A" w:rsidRPr="000E0F4D" w:rsidRDefault="00E4249A" w:rsidP="00E4249A">
      <w:pPr>
        <w:tabs>
          <w:tab w:val="clear" w:pos="1134"/>
          <w:tab w:val="left" w:pos="1560"/>
        </w:tabs>
        <w:spacing w:before="360"/>
        <w:rPr>
          <w:color w:val="A6A6A6" w:themeColor="background1" w:themeShade="A6"/>
          <w:sz w:val="28"/>
          <w:szCs w:val="28"/>
          <w:lang w:val="es-ES"/>
        </w:rPr>
      </w:pPr>
      <w:r w:rsidRPr="000E0F4D">
        <w:rPr>
          <w:color w:val="A6A6A6" w:themeColor="background1" w:themeShade="A6"/>
          <w:sz w:val="28"/>
          <w:szCs w:val="28"/>
          <w:lang w:val="es-ES"/>
        </w:rPr>
        <w:t>Parte II</w:t>
      </w:r>
      <w:r w:rsidRPr="000E0F4D">
        <w:rPr>
          <w:color w:val="A6A6A6" w:themeColor="background1" w:themeShade="A6"/>
          <w:sz w:val="28"/>
          <w:szCs w:val="28"/>
          <w:lang w:val="es-ES"/>
        </w:rPr>
        <w:tab/>
        <w:t>Presupuesto basado en resultados para 2020-2021</w:t>
      </w:r>
    </w:p>
    <w:p w:rsidR="00E4249A" w:rsidRPr="00E4249A" w:rsidRDefault="00E4249A" w:rsidP="00E4249A">
      <w:pPr>
        <w:tabs>
          <w:tab w:val="clear" w:pos="1134"/>
          <w:tab w:val="left" w:pos="1560"/>
        </w:tabs>
        <w:spacing w:before="360"/>
        <w:rPr>
          <w:color w:val="A6A6A6" w:themeColor="background1" w:themeShade="A6"/>
          <w:sz w:val="28"/>
          <w:szCs w:val="28"/>
          <w:lang w:val="es-ES"/>
        </w:rPr>
      </w:pPr>
      <w:r w:rsidRPr="00E4249A">
        <w:rPr>
          <w:color w:val="A6A6A6" w:themeColor="background1" w:themeShade="A6"/>
          <w:sz w:val="28"/>
          <w:szCs w:val="28"/>
          <w:lang w:val="es-ES"/>
        </w:rPr>
        <w:t>Parte III</w:t>
      </w:r>
      <w:r w:rsidRPr="00E4249A">
        <w:rPr>
          <w:color w:val="A6A6A6" w:themeColor="background1" w:themeShade="A6"/>
          <w:sz w:val="28"/>
          <w:szCs w:val="28"/>
          <w:lang w:val="es-ES"/>
        </w:rPr>
        <w:tab/>
        <w:t>Presupuesto financiero consolidado para 2020-2021</w:t>
      </w:r>
    </w:p>
    <w:p w:rsidR="00E4249A" w:rsidRPr="00E4249A" w:rsidRDefault="00E4249A" w:rsidP="00E4249A">
      <w:pPr>
        <w:tabs>
          <w:tab w:val="clear" w:pos="1134"/>
          <w:tab w:val="left" w:pos="1560"/>
        </w:tabs>
        <w:spacing w:before="360"/>
        <w:rPr>
          <w:b/>
          <w:bCs/>
          <w:sz w:val="36"/>
          <w:szCs w:val="36"/>
          <w:lang w:val="es-ES"/>
        </w:rPr>
      </w:pPr>
      <w:r w:rsidRPr="00E4249A">
        <w:rPr>
          <w:b/>
          <w:bCs/>
          <w:sz w:val="36"/>
          <w:szCs w:val="36"/>
          <w:lang w:val="es-ES"/>
        </w:rPr>
        <w:t>Parte IV</w:t>
      </w:r>
      <w:r w:rsidRPr="00E4249A">
        <w:rPr>
          <w:b/>
          <w:bCs/>
          <w:sz w:val="36"/>
          <w:szCs w:val="36"/>
          <w:lang w:val="es-ES"/>
        </w:rPr>
        <w:tab/>
        <w:t>Anexos</w:t>
      </w:r>
    </w:p>
    <w:p w:rsidR="00C70877" w:rsidRPr="00E4249A" w:rsidRDefault="00C70877" w:rsidP="00E4249A">
      <w:pPr>
        <w:tabs>
          <w:tab w:val="clear" w:pos="1134"/>
          <w:tab w:val="left" w:pos="1560"/>
        </w:tabs>
        <w:spacing w:before="360"/>
        <w:rPr>
          <w:b/>
          <w:bCs/>
          <w:sz w:val="36"/>
          <w:szCs w:val="36"/>
          <w:lang w:val="es-ES"/>
        </w:rPr>
      </w:pPr>
    </w:p>
    <w:bookmarkEnd w:id="406"/>
    <w:p w:rsidR="00E3376B" w:rsidRDefault="00E3376B" w:rsidP="00C70877">
      <w:pPr>
        <w:tabs>
          <w:tab w:val="left" w:pos="2546"/>
        </w:tabs>
        <w:rPr>
          <w:szCs w:val="24"/>
          <w:highlight w:val="yellow"/>
          <w:lang w:val="es-ES"/>
        </w:rPr>
      </w:pPr>
    </w:p>
    <w:p w:rsidR="00E3376B" w:rsidRPr="00BC6C73" w:rsidRDefault="00E3376B" w:rsidP="00C70877">
      <w:pPr>
        <w:rPr>
          <w:szCs w:val="24"/>
          <w:highlight w:val="yellow"/>
          <w:lang w:val="es-ES"/>
        </w:rPr>
        <w:sectPr w:rsidR="00E3376B" w:rsidRPr="00BC6C73" w:rsidSect="00C70877">
          <w:headerReference w:type="default" r:id="rId106"/>
          <w:footerReference w:type="default" r:id="rId107"/>
          <w:footerReference w:type="first" r:id="rId108"/>
          <w:pgSz w:w="11907" w:h="16834"/>
          <w:pgMar w:top="1418" w:right="1134" w:bottom="1418" w:left="1134" w:header="720" w:footer="720" w:gutter="0"/>
          <w:paperSrc w:first="15" w:other="15"/>
          <w:cols w:space="720"/>
          <w:titlePg/>
          <w:docGrid w:linePitch="326"/>
        </w:sectPr>
      </w:pPr>
    </w:p>
    <w:p w:rsidR="00E3376B" w:rsidRPr="00201F51" w:rsidRDefault="00E3376B" w:rsidP="00C70877">
      <w:pPr>
        <w:pStyle w:val="Heading1"/>
        <w:spacing w:after="720"/>
        <w:rPr>
          <w:color w:val="00205C"/>
        </w:rPr>
      </w:pPr>
      <w:bookmarkStart w:id="407" w:name="_Parte_IV_–"/>
      <w:bookmarkStart w:id="408" w:name="_Toc7516771"/>
      <w:bookmarkEnd w:id="407"/>
      <w:r w:rsidRPr="00201F51">
        <w:rPr>
          <w:color w:val="00205C"/>
        </w:rPr>
        <w:lastRenderedPageBreak/>
        <w:t>Parte IV – Anexos</w:t>
      </w:r>
      <w:bookmarkEnd w:id="408"/>
    </w:p>
    <w:p w:rsidR="00E3376B" w:rsidRPr="009F101E" w:rsidRDefault="004E0508" w:rsidP="009E14EA">
      <w:pPr>
        <w:pStyle w:val="TOC1"/>
        <w:rPr>
          <w:rFonts w:asciiTheme="minorHAnsi" w:eastAsiaTheme="minorEastAsia" w:hAnsiTheme="minorHAnsi" w:cstheme="minorBidi"/>
          <w:noProof/>
          <w:sz w:val="22"/>
          <w:szCs w:val="22"/>
          <w:lang w:val="es-ES" w:eastAsia="zh-CN"/>
        </w:rPr>
      </w:pPr>
      <w:hyperlink w:anchor="IV_Anexos" w:history="1">
        <w:r w:rsidR="00E3376B" w:rsidRPr="00747BA9">
          <w:t>IV</w:t>
        </w:r>
        <w:r w:rsidR="009E14EA" w:rsidRPr="00747BA9">
          <w:tab/>
        </w:r>
        <w:r w:rsidR="00E3376B" w:rsidRPr="00747BA9">
          <w:t>Anexos</w:t>
        </w:r>
        <w:r w:rsidR="00E3376B" w:rsidRPr="00747BA9">
          <w:rPr>
            <w:webHidden/>
          </w:rPr>
          <w:tab/>
        </w:r>
        <w:r w:rsidR="00E15C8A" w:rsidRPr="00747BA9">
          <w:rPr>
            <w:webHidden/>
          </w:rPr>
          <w:t>81</w:t>
        </w:r>
      </w:hyperlink>
    </w:p>
    <w:p w:rsidR="00E3376B" w:rsidRPr="009F101E" w:rsidRDefault="004E0508" w:rsidP="009F101E">
      <w:pPr>
        <w:pStyle w:val="TOC1"/>
        <w:rPr>
          <w:rFonts w:asciiTheme="minorHAnsi" w:eastAsiaTheme="minorEastAsia" w:hAnsiTheme="minorHAnsi" w:cstheme="minorBidi"/>
          <w:noProof/>
          <w:sz w:val="22"/>
          <w:szCs w:val="22"/>
          <w:lang w:val="es-ES" w:eastAsia="zh-CN"/>
        </w:rPr>
      </w:pPr>
      <w:hyperlink w:anchor="ANEXO_A" w:history="1">
        <w:r w:rsidR="00E3376B" w:rsidRPr="00747BA9">
          <w:t>IV.1</w:t>
        </w:r>
        <w:r w:rsidR="00E3376B" w:rsidRPr="00747BA9">
          <w:rPr>
            <w:rFonts w:eastAsiaTheme="minorEastAsia"/>
            <w:lang w:val="es-ES"/>
          </w:rPr>
          <w:tab/>
        </w:r>
        <w:r w:rsidR="00E3376B" w:rsidRPr="00747BA9">
          <w:t>Anexo A – Puestos presupuestados por grado</w:t>
        </w:r>
        <w:r w:rsidR="00E3376B" w:rsidRPr="00747BA9">
          <w:rPr>
            <w:webHidden/>
          </w:rPr>
          <w:tab/>
        </w:r>
        <w:r w:rsidR="009F101E" w:rsidRPr="00747BA9">
          <w:rPr>
            <w:webHidden/>
          </w:rPr>
          <w:t>83</w:t>
        </w:r>
      </w:hyperlink>
    </w:p>
    <w:p w:rsidR="00E3376B" w:rsidRPr="009F101E" w:rsidRDefault="004E0508" w:rsidP="009F101E">
      <w:pPr>
        <w:pStyle w:val="TOC1"/>
        <w:rPr>
          <w:rFonts w:asciiTheme="minorHAnsi" w:eastAsiaTheme="minorEastAsia" w:hAnsiTheme="minorHAnsi" w:cstheme="minorBidi"/>
          <w:noProof/>
          <w:sz w:val="22"/>
          <w:szCs w:val="22"/>
          <w:lang w:val="es-ES" w:eastAsia="zh-CN"/>
        </w:rPr>
      </w:pPr>
      <w:hyperlink w:anchor="ANEXO_B" w:history="1">
        <w:r w:rsidR="00E3376B" w:rsidRPr="00747BA9">
          <w:t>IV.2</w:t>
        </w:r>
        <w:r w:rsidR="00E3376B" w:rsidRPr="00747BA9">
          <w:rPr>
            <w:rFonts w:eastAsiaTheme="minorEastAsia"/>
            <w:lang w:val="es-ES" w:eastAsia="zh-CN"/>
          </w:rPr>
          <w:tab/>
        </w:r>
        <w:r w:rsidR="00E3376B" w:rsidRPr="00747BA9">
          <w:t>Anexo B – Volúmenes de documentación</w:t>
        </w:r>
        <w:r w:rsidR="00E3376B" w:rsidRPr="00747BA9">
          <w:rPr>
            <w:webHidden/>
          </w:rPr>
          <w:tab/>
        </w:r>
        <w:r w:rsidR="009F101E" w:rsidRPr="00747BA9">
          <w:rPr>
            <w:webHidden/>
          </w:rPr>
          <w:t>84</w:t>
        </w:r>
      </w:hyperlink>
    </w:p>
    <w:p w:rsidR="00E3376B" w:rsidRPr="009F101E" w:rsidRDefault="004E0508" w:rsidP="009F101E">
      <w:pPr>
        <w:pStyle w:val="TOC1"/>
        <w:rPr>
          <w:rFonts w:asciiTheme="minorHAnsi" w:eastAsiaTheme="minorEastAsia" w:hAnsiTheme="minorHAnsi" w:cstheme="minorBidi"/>
          <w:noProof/>
          <w:sz w:val="22"/>
          <w:szCs w:val="22"/>
          <w:lang w:val="es-ES" w:eastAsia="zh-CN"/>
        </w:rPr>
      </w:pPr>
      <w:hyperlink w:anchor="ANEXO_C" w:history="1">
        <w:r w:rsidR="00E3376B" w:rsidRPr="00747BA9">
          <w:t>IV.3</w:t>
        </w:r>
        <w:r w:rsidR="00E3376B" w:rsidRPr="00747BA9">
          <w:rPr>
            <w:rFonts w:eastAsiaTheme="minorEastAsia"/>
            <w:lang w:val="es-ES" w:eastAsia="zh-CN"/>
          </w:rPr>
          <w:tab/>
        </w:r>
        <w:r w:rsidR="00E3376B" w:rsidRPr="00747BA9">
          <w:t>Anexo C – Atribución de recursos por Producto</w:t>
        </w:r>
        <w:r w:rsidR="00E3376B" w:rsidRPr="00747BA9">
          <w:rPr>
            <w:webHidden/>
          </w:rPr>
          <w:tab/>
        </w:r>
        <w:r w:rsidR="009F101E" w:rsidRPr="00747BA9">
          <w:rPr>
            <w:webHidden/>
          </w:rPr>
          <w:t>85</w:t>
        </w:r>
      </w:hyperlink>
    </w:p>
    <w:p w:rsidR="00E3376B" w:rsidRPr="009F101E" w:rsidRDefault="004E0508" w:rsidP="009F101E">
      <w:pPr>
        <w:pStyle w:val="TOC1"/>
        <w:rPr>
          <w:rFonts w:asciiTheme="minorHAnsi" w:eastAsiaTheme="minorEastAsia" w:hAnsiTheme="minorHAnsi" w:cstheme="minorBidi"/>
          <w:noProof/>
          <w:sz w:val="22"/>
          <w:szCs w:val="22"/>
          <w:lang w:val="es-ES" w:eastAsia="zh-CN"/>
        </w:rPr>
      </w:pPr>
      <w:hyperlink w:anchor="ANEXO_D" w:history="1">
        <w:r w:rsidR="00E3376B" w:rsidRPr="00747BA9">
          <w:t>IV.4</w:t>
        </w:r>
        <w:r w:rsidR="00E3376B" w:rsidRPr="00747BA9">
          <w:rPr>
            <w:rFonts w:eastAsiaTheme="minorEastAsia"/>
            <w:lang w:val="es-ES" w:eastAsia="zh-CN"/>
          </w:rPr>
          <w:tab/>
        </w:r>
        <w:r w:rsidR="00E3376B" w:rsidRPr="00747BA9">
          <w:t>Anexo D – Atribución de recursos por Objetivo de Desarrollo Sostenible (ODS)</w:t>
        </w:r>
        <w:r w:rsidR="00E3376B" w:rsidRPr="00747BA9">
          <w:rPr>
            <w:webHidden/>
          </w:rPr>
          <w:tab/>
        </w:r>
        <w:r w:rsidR="009F101E" w:rsidRPr="00747BA9">
          <w:rPr>
            <w:webHidden/>
          </w:rPr>
          <w:t>89</w:t>
        </w:r>
      </w:hyperlink>
    </w:p>
    <w:p w:rsidR="00E3376B" w:rsidRPr="00BC6C73" w:rsidRDefault="00E3376B" w:rsidP="00C70877">
      <w:pPr>
        <w:rPr>
          <w:szCs w:val="24"/>
          <w:highlight w:val="yellow"/>
        </w:rPr>
      </w:pPr>
    </w:p>
    <w:p w:rsidR="00E3376B" w:rsidRDefault="00E3376B" w:rsidP="00EA4308">
      <w:pPr>
        <w:rPr>
          <w:highlight w:val="yellow"/>
          <w:lang w:val="es-ES"/>
        </w:rPr>
        <w:sectPr w:rsidR="00E3376B" w:rsidSect="00C70877">
          <w:headerReference w:type="first" r:id="rId109"/>
          <w:pgSz w:w="11907" w:h="16834"/>
          <w:pgMar w:top="1418" w:right="1134" w:bottom="1418" w:left="1134" w:header="720" w:footer="720" w:gutter="0"/>
          <w:paperSrc w:first="15" w:other="15"/>
          <w:pgNumType w:start="82"/>
          <w:cols w:space="720"/>
          <w:titlePg/>
          <w:docGrid w:linePitch="299"/>
        </w:sectPr>
      </w:pPr>
    </w:p>
    <w:p w:rsidR="00E3376B" w:rsidRPr="00550F64" w:rsidRDefault="00E3376B" w:rsidP="00C70877">
      <w:pPr>
        <w:pStyle w:val="Figure"/>
      </w:pPr>
      <w:bookmarkStart w:id="409" w:name="ANEXO_A"/>
      <w:r w:rsidRPr="00550F64">
        <w:rPr>
          <w:noProof/>
          <w:lang w:val="en-GB" w:eastAsia="zh-CN"/>
        </w:rPr>
        <w:lastRenderedPageBreak/>
        <w:drawing>
          <wp:inline distT="0" distB="0" distL="0" distR="0">
            <wp:extent cx="8888730" cy="5044941"/>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88730" cy="5044941"/>
                    </a:xfrm>
                    <a:prstGeom prst="rect">
                      <a:avLst/>
                    </a:prstGeom>
                    <a:noFill/>
                    <a:ln>
                      <a:noFill/>
                    </a:ln>
                  </pic:spPr>
                </pic:pic>
              </a:graphicData>
            </a:graphic>
          </wp:inline>
        </w:drawing>
      </w:r>
      <w:bookmarkEnd w:id="409"/>
    </w:p>
    <w:p w:rsidR="00E3376B" w:rsidRDefault="00E3376B" w:rsidP="00C70877">
      <w:pPr>
        <w:rPr>
          <w:lang w:val="es-ES"/>
        </w:rPr>
      </w:pPr>
      <w:r w:rsidRPr="00BC6C73">
        <w:rPr>
          <w:lang w:val="es-ES"/>
        </w:rPr>
        <w:br w:type="page"/>
      </w:r>
    </w:p>
    <w:p w:rsidR="00E3376B" w:rsidRPr="00BC6C73" w:rsidRDefault="00E3376B" w:rsidP="00C70877">
      <w:pPr>
        <w:pStyle w:val="Figure"/>
      </w:pPr>
      <w:bookmarkStart w:id="410" w:name="ANEXO_B"/>
      <w:r w:rsidRPr="00F503D2">
        <w:rPr>
          <w:noProof/>
          <w:lang w:val="en-GB" w:eastAsia="zh-CN"/>
        </w:rPr>
        <w:lastRenderedPageBreak/>
        <w:drawing>
          <wp:inline distT="0" distB="0" distL="0" distR="0">
            <wp:extent cx="8312400" cy="582840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312400" cy="5828400"/>
                    </a:xfrm>
                    <a:prstGeom prst="rect">
                      <a:avLst/>
                    </a:prstGeom>
                    <a:noFill/>
                    <a:ln>
                      <a:noFill/>
                    </a:ln>
                  </pic:spPr>
                </pic:pic>
              </a:graphicData>
            </a:graphic>
          </wp:inline>
        </w:drawing>
      </w:r>
      <w:bookmarkEnd w:id="410"/>
    </w:p>
    <w:p w:rsidR="00E3376B" w:rsidRPr="00F503D2" w:rsidRDefault="00E3376B" w:rsidP="00C70877">
      <w:pPr>
        <w:rPr>
          <w:lang w:val="es-ES"/>
        </w:rPr>
      </w:pPr>
    </w:p>
    <w:p w:rsidR="00E3376B" w:rsidRPr="00F503D2" w:rsidRDefault="00E3376B" w:rsidP="00C70877">
      <w:pPr>
        <w:rPr>
          <w:lang w:val="es-ES"/>
        </w:rPr>
        <w:sectPr w:rsidR="00E3376B" w:rsidRPr="00F503D2" w:rsidSect="00C70877">
          <w:headerReference w:type="default" r:id="rId112"/>
          <w:headerReference w:type="first" r:id="rId113"/>
          <w:pgSz w:w="16834" w:h="11907" w:orient="landscape"/>
          <w:pgMar w:top="1134" w:right="1418" w:bottom="1134" w:left="1418" w:header="720" w:footer="720" w:gutter="0"/>
          <w:paperSrc w:first="15" w:other="15"/>
          <w:cols w:space="720"/>
          <w:titlePg/>
          <w:docGrid w:linePitch="299"/>
        </w:sectPr>
      </w:pPr>
    </w:p>
    <w:p w:rsidR="00E81E2D" w:rsidRPr="00E81E2D" w:rsidRDefault="00E4249A" w:rsidP="00E81E2D">
      <w:pPr>
        <w:pStyle w:val="Figure"/>
      </w:pPr>
      <w:bookmarkStart w:id="411" w:name="ANEXO_C"/>
      <w:r>
        <w:rPr>
          <w:noProof/>
          <w:lang w:val="en-GB" w:eastAsia="zh-CN"/>
        </w:rPr>
        <w:lastRenderedPageBreak/>
        <w:t>h</w:t>
      </w:r>
      <w:r w:rsidR="00E81E2D" w:rsidRPr="00E81E2D">
        <w:rPr>
          <w:noProof/>
          <w:lang w:val="en-GB" w:eastAsia="zh-CN"/>
        </w:rPr>
        <w:drawing>
          <wp:inline distT="0" distB="0" distL="0" distR="0">
            <wp:extent cx="5976000" cy="85608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6000" cy="8560800"/>
                    </a:xfrm>
                    <a:prstGeom prst="rect">
                      <a:avLst/>
                    </a:prstGeom>
                    <a:noFill/>
                    <a:ln>
                      <a:noFill/>
                    </a:ln>
                  </pic:spPr>
                </pic:pic>
              </a:graphicData>
            </a:graphic>
          </wp:inline>
        </w:drawing>
      </w:r>
      <w:bookmarkEnd w:id="411"/>
    </w:p>
    <w:p w:rsidR="00E47A19" w:rsidRPr="00E47A19" w:rsidRDefault="00E47A19" w:rsidP="00E47A19">
      <w:pPr>
        <w:pStyle w:val="Figure"/>
      </w:pPr>
      <w:r w:rsidRPr="00E47A19">
        <w:rPr>
          <w:noProof/>
          <w:lang w:val="en-GB" w:eastAsia="zh-CN"/>
        </w:rPr>
        <w:lastRenderedPageBreak/>
        <w:drawing>
          <wp:inline distT="0" distB="0" distL="0" distR="0">
            <wp:extent cx="6120765" cy="476377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765" cy="4763779"/>
                    </a:xfrm>
                    <a:prstGeom prst="rect">
                      <a:avLst/>
                    </a:prstGeom>
                    <a:noFill/>
                    <a:ln>
                      <a:noFill/>
                    </a:ln>
                  </pic:spPr>
                </pic:pic>
              </a:graphicData>
            </a:graphic>
          </wp:inline>
        </w:drawing>
      </w:r>
    </w:p>
    <w:p w:rsidR="00E3376B" w:rsidRPr="00F503D2" w:rsidRDefault="00E3376B" w:rsidP="00C70877">
      <w:pPr>
        <w:rPr>
          <w:lang w:val="es-ES"/>
        </w:rPr>
      </w:pPr>
      <w:r w:rsidRPr="00F503D2">
        <w:rPr>
          <w:lang w:val="es-ES"/>
        </w:rPr>
        <w:br w:type="page"/>
      </w:r>
    </w:p>
    <w:p w:rsidR="00E47A19" w:rsidRPr="00E47A19" w:rsidRDefault="00E47A19" w:rsidP="00E47A19">
      <w:pPr>
        <w:pStyle w:val="Figure"/>
      </w:pPr>
      <w:r w:rsidRPr="00E47A19">
        <w:rPr>
          <w:noProof/>
          <w:lang w:val="en-GB" w:eastAsia="zh-CN"/>
        </w:rPr>
        <w:lastRenderedPageBreak/>
        <w:drawing>
          <wp:inline distT="0" distB="0" distL="0" distR="0">
            <wp:extent cx="6120765" cy="618900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765" cy="6189001"/>
                    </a:xfrm>
                    <a:prstGeom prst="rect">
                      <a:avLst/>
                    </a:prstGeom>
                    <a:noFill/>
                    <a:ln>
                      <a:noFill/>
                    </a:ln>
                  </pic:spPr>
                </pic:pic>
              </a:graphicData>
            </a:graphic>
          </wp:inline>
        </w:drawing>
      </w:r>
    </w:p>
    <w:p w:rsidR="00E3376B" w:rsidRPr="00F503D2" w:rsidRDefault="00E3376B">
      <w:pPr>
        <w:rPr>
          <w:lang w:val="es-ES"/>
        </w:rPr>
      </w:pPr>
      <w:r w:rsidRPr="00F503D2">
        <w:rPr>
          <w:lang w:val="es-ES"/>
        </w:rPr>
        <w:br w:type="page"/>
      </w:r>
    </w:p>
    <w:p w:rsidR="00E47A19" w:rsidRPr="00E47A19" w:rsidRDefault="00E47A19" w:rsidP="00E47A19">
      <w:pPr>
        <w:pStyle w:val="Figure"/>
      </w:pPr>
      <w:r w:rsidRPr="00E47A19">
        <w:rPr>
          <w:noProof/>
          <w:lang w:val="en-GB" w:eastAsia="zh-CN"/>
        </w:rPr>
        <w:lastRenderedPageBreak/>
        <w:drawing>
          <wp:inline distT="0" distB="0" distL="0" distR="0">
            <wp:extent cx="6120765" cy="786078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765" cy="7860782"/>
                    </a:xfrm>
                    <a:prstGeom prst="rect">
                      <a:avLst/>
                    </a:prstGeom>
                    <a:noFill/>
                    <a:ln>
                      <a:noFill/>
                    </a:ln>
                  </pic:spPr>
                </pic:pic>
              </a:graphicData>
            </a:graphic>
          </wp:inline>
        </w:drawing>
      </w:r>
    </w:p>
    <w:p w:rsidR="00E3376B" w:rsidRDefault="00E3376B" w:rsidP="00C70877">
      <w:pPr>
        <w:rPr>
          <w:lang w:val="es-ES"/>
        </w:rPr>
      </w:pPr>
      <w:r w:rsidRPr="00F503D2">
        <w:rPr>
          <w:lang w:val="es-ES"/>
        </w:rPr>
        <w:br w:type="page"/>
      </w:r>
    </w:p>
    <w:p w:rsidR="00E47A19" w:rsidRPr="00E47A19" w:rsidRDefault="00E47A19" w:rsidP="00E47A19">
      <w:pPr>
        <w:pStyle w:val="Figure"/>
      </w:pPr>
      <w:bookmarkStart w:id="412" w:name="ANEXO_D"/>
      <w:r w:rsidRPr="00E47A19">
        <w:rPr>
          <w:noProof/>
          <w:lang w:val="en-GB" w:eastAsia="zh-CN"/>
        </w:rPr>
        <w:lastRenderedPageBreak/>
        <w:drawing>
          <wp:inline distT="0" distB="0" distL="0" distR="0">
            <wp:extent cx="6120765" cy="550309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765" cy="5503090"/>
                    </a:xfrm>
                    <a:prstGeom prst="rect">
                      <a:avLst/>
                    </a:prstGeom>
                    <a:noFill/>
                    <a:ln>
                      <a:noFill/>
                    </a:ln>
                  </pic:spPr>
                </pic:pic>
              </a:graphicData>
            </a:graphic>
          </wp:inline>
        </w:drawing>
      </w:r>
      <w:bookmarkEnd w:id="412"/>
    </w:p>
    <w:p w:rsidR="00E3376B" w:rsidRDefault="00E3376B" w:rsidP="001E3556"/>
    <w:p w:rsidR="00E3376B" w:rsidRPr="00F503D2" w:rsidRDefault="00E3376B">
      <w:pPr>
        <w:jc w:val="center"/>
        <w:rPr>
          <w:lang w:val="es-ES"/>
        </w:rPr>
      </w:pPr>
      <w:r w:rsidRPr="00F503D2">
        <w:rPr>
          <w:lang w:val="es-ES"/>
        </w:rPr>
        <w:t>______________</w:t>
      </w:r>
    </w:p>
    <w:sectPr w:rsidR="00E3376B" w:rsidRPr="00F503D2" w:rsidSect="00C70877">
      <w:pgSz w:w="11907" w:h="16834"/>
      <w:pgMar w:top="1418" w:right="1134" w:bottom="1418" w:left="1134" w:header="720" w:footer="720" w:gutter="0"/>
      <w:paperSrc w:first="15" w:other="15"/>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F4D" w:rsidRDefault="000E0F4D">
      <w:r>
        <w:separator/>
      </w:r>
    </w:p>
  </w:endnote>
  <w:endnote w:type="continuationSeparator" w:id="0">
    <w:p w:rsidR="000E0F4D" w:rsidRDefault="000E0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16543">
    <w:pPr>
      <w:spacing w:after="120"/>
      <w:jc w:val="center"/>
    </w:pPr>
    <w:r>
      <w:t xml:space="preserve">• </w:t>
    </w:r>
    <w:hyperlink r:id="rId1" w:history="1">
      <w:r>
        <w:rPr>
          <w:rStyle w:val="Hyperlink"/>
        </w:rPr>
        <w:t>http://www.itu.int/council</w:t>
      </w:r>
    </w:hyperlink>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3D655E" w:rsidRDefault="000E0F4D" w:rsidP="00E4249A">
    <w:pPr>
      <w:pStyle w:val="Footer"/>
      <w:rPr>
        <w:lang w:val="fr-CH"/>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3D655E" w:rsidRDefault="000E0F4D" w:rsidP="00C70877">
    <w:pPr>
      <w:pStyle w:val="Footer"/>
      <w:rPr>
        <w:lang w:val="fr-C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49A" w:rsidRPr="00716543" w:rsidRDefault="00E4249A" w:rsidP="00716543">
    <w:pPr>
      <w:pStyle w:val="Footer"/>
      <w:rPr>
        <w:lang w:val="fr-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49A" w:rsidRPr="00E4249A" w:rsidRDefault="00E4249A" w:rsidP="00E424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170B38" w:rsidRDefault="000E0F4D" w:rsidP="00514A3E">
    <w:pPr>
      <w:pStyle w:val="Footer"/>
      <w:rPr>
        <w:lang w:val="fr-CH"/>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716543" w:rsidRDefault="000E0F4D" w:rsidP="00716543">
    <w:pPr>
      <w:pStyle w:val="Footer"/>
      <w:rPr>
        <w:lang w:val="fr-CH"/>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3D655E" w:rsidRDefault="000E0F4D" w:rsidP="00740D17">
    <w:pPr>
      <w:pStyle w:val="Footer"/>
      <w:rPr>
        <w:lang w:val="fr-CH"/>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953F30" w:rsidRDefault="000E0F4D" w:rsidP="00953F30">
    <w:pPr>
      <w:pStyle w:val="Footer"/>
      <w:rPr>
        <w:lang w:val="fr-CH"/>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3D655E" w:rsidRDefault="000E0F4D" w:rsidP="00C70877">
    <w:pPr>
      <w:pStyle w:val="Footer"/>
      <w:rPr>
        <w:lang w:val="fr-CH"/>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Pr="003D655E" w:rsidRDefault="000E0F4D" w:rsidP="00C70877">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F4D" w:rsidRDefault="000E0F4D">
      <w:r>
        <w:t>____________________</w:t>
      </w:r>
    </w:p>
  </w:footnote>
  <w:footnote w:type="continuationSeparator" w:id="0">
    <w:p w:rsidR="000E0F4D" w:rsidRDefault="000E0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40D17">
    <w:pPr>
      <w:pStyle w:val="Header"/>
    </w:pPr>
    <w:r>
      <w:fldChar w:fldCharType="begin"/>
    </w:r>
    <w:r>
      <w:instrText>PAGE</w:instrText>
    </w:r>
    <w:r>
      <w:fldChar w:fldCharType="separate"/>
    </w:r>
    <w:r w:rsidR="004E0508">
      <w:rPr>
        <w:noProof/>
      </w:rPr>
      <w:t>7</w:t>
    </w:r>
    <w:r>
      <w:rPr>
        <w:noProof/>
      </w:rPr>
      <w:fldChar w:fldCharType="end"/>
    </w:r>
  </w:p>
  <w:p w:rsidR="000E0F4D" w:rsidRDefault="000E0F4D" w:rsidP="00740D17">
    <w:pPr>
      <w:pStyle w:val="Header"/>
    </w:pPr>
    <w:r>
      <w:t>C19/15-S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657F0">
    <w:pPr>
      <w:pStyle w:val="Header"/>
    </w:pPr>
    <w:r>
      <w:fldChar w:fldCharType="begin"/>
    </w:r>
    <w:r>
      <w:instrText>PAGE</w:instrText>
    </w:r>
    <w:r>
      <w:fldChar w:fldCharType="separate"/>
    </w:r>
    <w:r>
      <w:rPr>
        <w:noProof/>
      </w:rPr>
      <w:t>4</w:t>
    </w:r>
    <w:r>
      <w:rPr>
        <w:noProof/>
      </w:rPr>
      <w:fldChar w:fldCharType="end"/>
    </w:r>
  </w:p>
  <w:p w:rsidR="000E0F4D" w:rsidRDefault="000E0F4D" w:rsidP="00C70877">
    <w:pPr>
      <w:pStyle w:val="Header"/>
    </w:pPr>
    <w:r>
      <w:t>C19/15-S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C70877">
    <w:pPr>
      <w:pStyle w:val="Header"/>
    </w:pPr>
    <w:r>
      <w:fldChar w:fldCharType="begin"/>
    </w:r>
    <w:r>
      <w:instrText>PAGE</w:instrText>
    </w:r>
    <w:r>
      <w:fldChar w:fldCharType="separate"/>
    </w:r>
    <w:r w:rsidR="004E0508">
      <w:rPr>
        <w:noProof/>
      </w:rPr>
      <w:t>82</w:t>
    </w:r>
    <w:r>
      <w:rPr>
        <w:noProof/>
      </w:rPr>
      <w:fldChar w:fldCharType="end"/>
    </w:r>
  </w:p>
  <w:p w:rsidR="000E0F4D" w:rsidRDefault="000E0F4D" w:rsidP="00C70877">
    <w:pPr>
      <w:pStyle w:val="Header"/>
    </w:pPr>
    <w:r>
      <w:t>C19/15-S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657F0">
    <w:pPr>
      <w:pStyle w:val="Header"/>
    </w:pPr>
    <w:r>
      <w:fldChar w:fldCharType="begin"/>
    </w:r>
    <w:r>
      <w:instrText>PAGE</w:instrText>
    </w:r>
    <w:r>
      <w:fldChar w:fldCharType="separate"/>
    </w:r>
    <w:r w:rsidR="004E0508">
      <w:rPr>
        <w:noProof/>
      </w:rPr>
      <w:t>89</w:t>
    </w:r>
    <w:r>
      <w:rPr>
        <w:noProof/>
      </w:rPr>
      <w:fldChar w:fldCharType="end"/>
    </w:r>
  </w:p>
  <w:p w:rsidR="000E0F4D" w:rsidRDefault="000E0F4D" w:rsidP="00C70877">
    <w:pPr>
      <w:pStyle w:val="Header"/>
    </w:pPr>
    <w:r>
      <w:t>C19/15-S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C70877">
    <w:pPr>
      <w:pStyle w:val="Header"/>
    </w:pPr>
    <w:r>
      <w:fldChar w:fldCharType="begin"/>
    </w:r>
    <w:r>
      <w:instrText>PAGE</w:instrText>
    </w:r>
    <w:r>
      <w:fldChar w:fldCharType="separate"/>
    </w:r>
    <w:r w:rsidR="004E0508">
      <w:rPr>
        <w:noProof/>
      </w:rPr>
      <w:t>85</w:t>
    </w:r>
    <w:r>
      <w:rPr>
        <w:noProof/>
      </w:rPr>
      <w:fldChar w:fldCharType="end"/>
    </w:r>
  </w:p>
  <w:p w:rsidR="000E0F4D" w:rsidRDefault="000E0F4D" w:rsidP="00C70877">
    <w:pPr>
      <w:pStyle w:val="Header"/>
    </w:pPr>
    <w:r>
      <w:t>C19/15-S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657F0">
    <w:pPr>
      <w:pStyle w:val="Header"/>
    </w:pPr>
    <w:r>
      <w:fldChar w:fldCharType="begin"/>
    </w:r>
    <w:r>
      <w:instrText>PAGE</w:instrText>
    </w:r>
    <w:r>
      <w:fldChar w:fldCharType="separate"/>
    </w:r>
    <w:r w:rsidR="004E0508">
      <w:rPr>
        <w:noProof/>
      </w:rPr>
      <w:t>21</w:t>
    </w:r>
    <w:r>
      <w:rPr>
        <w:noProof/>
      </w:rPr>
      <w:fldChar w:fldCharType="end"/>
    </w:r>
  </w:p>
  <w:p w:rsidR="000E0F4D" w:rsidRDefault="000E0F4D" w:rsidP="00226EEB">
    <w:pPr>
      <w:pStyle w:val="Header"/>
    </w:pPr>
    <w:r>
      <w:t>C19/15-S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716543">
    <w:pPr>
      <w:pStyle w:val="Header"/>
    </w:pPr>
    <w:r>
      <w:fldChar w:fldCharType="begin"/>
    </w:r>
    <w:r>
      <w:instrText>PAGE</w:instrText>
    </w:r>
    <w:r>
      <w:fldChar w:fldCharType="separate"/>
    </w:r>
    <w:r w:rsidR="004E0508">
      <w:rPr>
        <w:noProof/>
      </w:rPr>
      <w:t>8</w:t>
    </w:r>
    <w:r>
      <w:rPr>
        <w:noProof/>
      </w:rPr>
      <w:fldChar w:fldCharType="end"/>
    </w:r>
  </w:p>
  <w:p w:rsidR="000E0F4D" w:rsidRDefault="000E0F4D" w:rsidP="00716543">
    <w:pPr>
      <w:pStyle w:val="Header"/>
    </w:pPr>
    <w:r>
      <w:t>C19/15-S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508" w:rsidRPr="004E0508" w:rsidRDefault="004E0508" w:rsidP="004E05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953F30">
    <w:pPr>
      <w:pStyle w:val="Header"/>
    </w:pPr>
    <w:r>
      <w:fldChar w:fldCharType="begin"/>
    </w:r>
    <w:r>
      <w:instrText>PAGE</w:instrText>
    </w:r>
    <w:r>
      <w:fldChar w:fldCharType="separate"/>
    </w:r>
    <w:r w:rsidR="004E0508">
      <w:rPr>
        <w:noProof/>
      </w:rPr>
      <w:t>63</w:t>
    </w:r>
    <w:r>
      <w:rPr>
        <w:noProof/>
      </w:rPr>
      <w:fldChar w:fldCharType="end"/>
    </w:r>
  </w:p>
  <w:p w:rsidR="000E0F4D" w:rsidRPr="00953F30" w:rsidRDefault="000E0F4D" w:rsidP="00953F30">
    <w:pPr>
      <w:pStyle w:val="Header"/>
    </w:pPr>
    <w:r>
      <w:t>C19/15-S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508" w:rsidRDefault="004E0508" w:rsidP="004E0508">
    <w:pPr>
      <w:pStyle w:val="Header"/>
    </w:pPr>
    <w:r>
      <w:fldChar w:fldCharType="begin"/>
    </w:r>
    <w:r>
      <w:instrText>PAGE</w:instrText>
    </w:r>
    <w:r>
      <w:fldChar w:fldCharType="separate"/>
    </w:r>
    <w:r>
      <w:rPr>
        <w:noProof/>
      </w:rPr>
      <w:t>23</w:t>
    </w:r>
    <w:r>
      <w:rPr>
        <w:noProof/>
      </w:rPr>
      <w:fldChar w:fldCharType="end"/>
    </w:r>
  </w:p>
  <w:p w:rsidR="004E0508" w:rsidRPr="00953F30" w:rsidRDefault="004E0508" w:rsidP="004E0508">
    <w:pPr>
      <w:pStyle w:val="Header"/>
    </w:pPr>
    <w:r>
      <w:t>C19/15-S</w:t>
    </w:r>
  </w:p>
  <w:p w:rsidR="004E0508" w:rsidRPr="004E0508" w:rsidRDefault="004E0508" w:rsidP="004E05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508" w:rsidRPr="004E0508" w:rsidRDefault="004E0508" w:rsidP="004E050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953F30">
    <w:pPr>
      <w:pStyle w:val="Header"/>
    </w:pPr>
    <w:r>
      <w:fldChar w:fldCharType="begin"/>
    </w:r>
    <w:r>
      <w:instrText>PAGE</w:instrText>
    </w:r>
    <w:r>
      <w:fldChar w:fldCharType="separate"/>
    </w:r>
    <w:r w:rsidR="004E0508">
      <w:rPr>
        <w:noProof/>
      </w:rPr>
      <w:t>80</w:t>
    </w:r>
    <w:r>
      <w:rPr>
        <w:noProof/>
      </w:rPr>
      <w:fldChar w:fldCharType="end"/>
    </w:r>
  </w:p>
  <w:p w:rsidR="000E0F4D" w:rsidRPr="00953F30" w:rsidRDefault="000E0F4D" w:rsidP="00953F30">
    <w:pPr>
      <w:pStyle w:val="Header"/>
    </w:pPr>
    <w:r>
      <w:t>C19/15-S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4D" w:rsidRDefault="000E0F4D" w:rsidP="00953F30">
    <w:pPr>
      <w:pStyle w:val="Header"/>
    </w:pPr>
    <w:r>
      <w:fldChar w:fldCharType="begin"/>
    </w:r>
    <w:r>
      <w:instrText>PAGE</w:instrText>
    </w:r>
    <w:r>
      <w:fldChar w:fldCharType="separate"/>
    </w:r>
    <w:r w:rsidR="004E0508">
      <w:rPr>
        <w:noProof/>
      </w:rPr>
      <w:t>81</w:t>
    </w:r>
    <w:r>
      <w:rPr>
        <w:noProof/>
      </w:rPr>
      <w:fldChar w:fldCharType="end"/>
    </w:r>
  </w:p>
  <w:p w:rsidR="000E0F4D" w:rsidRPr="00953F30" w:rsidRDefault="000E0F4D" w:rsidP="00953F30">
    <w:pPr>
      <w:pStyle w:val="Header"/>
    </w:pPr>
    <w:r>
      <w:t>C19/15-S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CFF"/>
    <w:multiLevelType w:val="hybridMultilevel"/>
    <w:tmpl w:val="1CB4A968"/>
    <w:lvl w:ilvl="0" w:tplc="56F2E636">
      <w:start w:val="5"/>
      <w:numFmt w:val="bullet"/>
      <w:lvlText w:val="-"/>
      <w:lvlJc w:val="left"/>
      <w:pPr>
        <w:ind w:left="720" w:hanging="360"/>
      </w:pPr>
      <w:rPr>
        <w:rFonts w:ascii="Calibri" w:eastAsia="Times New Roman" w:hAnsi="Calibri" w:cs="Times New Roman" w:hint="default"/>
      </w:rPr>
    </w:lvl>
    <w:lvl w:ilvl="1" w:tplc="59CEA0E0" w:tentative="1">
      <w:start w:val="1"/>
      <w:numFmt w:val="bullet"/>
      <w:lvlText w:val="o"/>
      <w:lvlJc w:val="left"/>
      <w:pPr>
        <w:ind w:left="1440" w:hanging="360"/>
      </w:pPr>
      <w:rPr>
        <w:rFonts w:ascii="Courier New" w:hAnsi="Courier New" w:cs="Courier New" w:hint="default"/>
      </w:rPr>
    </w:lvl>
    <w:lvl w:ilvl="2" w:tplc="2D903D48" w:tentative="1">
      <w:start w:val="1"/>
      <w:numFmt w:val="bullet"/>
      <w:lvlText w:val=""/>
      <w:lvlJc w:val="left"/>
      <w:pPr>
        <w:ind w:left="2160" w:hanging="360"/>
      </w:pPr>
      <w:rPr>
        <w:rFonts w:ascii="Wingdings" w:hAnsi="Wingdings" w:hint="default"/>
      </w:rPr>
    </w:lvl>
    <w:lvl w:ilvl="3" w:tplc="3C96AF08" w:tentative="1">
      <w:start w:val="1"/>
      <w:numFmt w:val="bullet"/>
      <w:lvlText w:val=""/>
      <w:lvlJc w:val="left"/>
      <w:pPr>
        <w:ind w:left="2880" w:hanging="360"/>
      </w:pPr>
      <w:rPr>
        <w:rFonts w:ascii="Symbol" w:hAnsi="Symbol" w:hint="default"/>
      </w:rPr>
    </w:lvl>
    <w:lvl w:ilvl="4" w:tplc="5B32E576" w:tentative="1">
      <w:start w:val="1"/>
      <w:numFmt w:val="bullet"/>
      <w:lvlText w:val="o"/>
      <w:lvlJc w:val="left"/>
      <w:pPr>
        <w:ind w:left="3600" w:hanging="360"/>
      </w:pPr>
      <w:rPr>
        <w:rFonts w:ascii="Courier New" w:hAnsi="Courier New" w:cs="Courier New" w:hint="default"/>
      </w:rPr>
    </w:lvl>
    <w:lvl w:ilvl="5" w:tplc="5E347808" w:tentative="1">
      <w:start w:val="1"/>
      <w:numFmt w:val="bullet"/>
      <w:lvlText w:val=""/>
      <w:lvlJc w:val="left"/>
      <w:pPr>
        <w:ind w:left="4320" w:hanging="360"/>
      </w:pPr>
      <w:rPr>
        <w:rFonts w:ascii="Wingdings" w:hAnsi="Wingdings" w:hint="default"/>
      </w:rPr>
    </w:lvl>
    <w:lvl w:ilvl="6" w:tplc="2FF88ABE" w:tentative="1">
      <w:start w:val="1"/>
      <w:numFmt w:val="bullet"/>
      <w:lvlText w:val=""/>
      <w:lvlJc w:val="left"/>
      <w:pPr>
        <w:ind w:left="5040" w:hanging="360"/>
      </w:pPr>
      <w:rPr>
        <w:rFonts w:ascii="Symbol" w:hAnsi="Symbol" w:hint="default"/>
      </w:rPr>
    </w:lvl>
    <w:lvl w:ilvl="7" w:tplc="310AAD54" w:tentative="1">
      <w:start w:val="1"/>
      <w:numFmt w:val="bullet"/>
      <w:lvlText w:val="o"/>
      <w:lvlJc w:val="left"/>
      <w:pPr>
        <w:ind w:left="5760" w:hanging="360"/>
      </w:pPr>
      <w:rPr>
        <w:rFonts w:ascii="Courier New" w:hAnsi="Courier New" w:cs="Courier New" w:hint="default"/>
      </w:rPr>
    </w:lvl>
    <w:lvl w:ilvl="8" w:tplc="178CD2CC" w:tentative="1">
      <w:start w:val="1"/>
      <w:numFmt w:val="bullet"/>
      <w:lvlText w:val=""/>
      <w:lvlJc w:val="left"/>
      <w:pPr>
        <w:ind w:left="6480" w:hanging="360"/>
      </w:pPr>
      <w:rPr>
        <w:rFonts w:ascii="Wingdings" w:hAnsi="Wingdings" w:hint="default"/>
      </w:rPr>
    </w:lvl>
  </w:abstractNum>
  <w:abstractNum w:abstractNumId="1" w15:restartNumberingAfterBreak="0">
    <w:nsid w:val="12ED32E4"/>
    <w:multiLevelType w:val="hybridMultilevel"/>
    <w:tmpl w:val="26E8EF1E"/>
    <w:lvl w:ilvl="0" w:tplc="3DF08B64">
      <w:start w:val="1"/>
      <w:numFmt w:val="bullet"/>
      <w:lvlText w:val=""/>
      <w:lvlJc w:val="left"/>
      <w:pPr>
        <w:ind w:left="1080" w:hanging="360"/>
      </w:pPr>
      <w:rPr>
        <w:rFonts w:ascii="Wingdings" w:hAnsi="Wingdings" w:hint="default"/>
      </w:rPr>
    </w:lvl>
    <w:lvl w:ilvl="1" w:tplc="04FECEEC" w:tentative="1">
      <w:start w:val="1"/>
      <w:numFmt w:val="bullet"/>
      <w:lvlText w:val="o"/>
      <w:lvlJc w:val="left"/>
      <w:pPr>
        <w:ind w:left="1800" w:hanging="360"/>
      </w:pPr>
      <w:rPr>
        <w:rFonts w:ascii="Courier New" w:hAnsi="Courier New" w:cs="Courier New" w:hint="default"/>
      </w:rPr>
    </w:lvl>
    <w:lvl w:ilvl="2" w:tplc="C26AE91A" w:tentative="1">
      <w:start w:val="1"/>
      <w:numFmt w:val="bullet"/>
      <w:lvlText w:val=""/>
      <w:lvlJc w:val="left"/>
      <w:pPr>
        <w:ind w:left="2520" w:hanging="360"/>
      </w:pPr>
      <w:rPr>
        <w:rFonts w:ascii="Wingdings" w:hAnsi="Wingdings" w:hint="default"/>
      </w:rPr>
    </w:lvl>
    <w:lvl w:ilvl="3" w:tplc="2DA468D6" w:tentative="1">
      <w:start w:val="1"/>
      <w:numFmt w:val="bullet"/>
      <w:lvlText w:val=""/>
      <w:lvlJc w:val="left"/>
      <w:pPr>
        <w:ind w:left="3240" w:hanging="360"/>
      </w:pPr>
      <w:rPr>
        <w:rFonts w:ascii="Symbol" w:hAnsi="Symbol" w:hint="default"/>
      </w:rPr>
    </w:lvl>
    <w:lvl w:ilvl="4" w:tplc="6512FA1E" w:tentative="1">
      <w:start w:val="1"/>
      <w:numFmt w:val="bullet"/>
      <w:lvlText w:val="o"/>
      <w:lvlJc w:val="left"/>
      <w:pPr>
        <w:ind w:left="3960" w:hanging="360"/>
      </w:pPr>
      <w:rPr>
        <w:rFonts w:ascii="Courier New" w:hAnsi="Courier New" w:cs="Courier New" w:hint="default"/>
      </w:rPr>
    </w:lvl>
    <w:lvl w:ilvl="5" w:tplc="E1E0D15E" w:tentative="1">
      <w:start w:val="1"/>
      <w:numFmt w:val="bullet"/>
      <w:lvlText w:val=""/>
      <w:lvlJc w:val="left"/>
      <w:pPr>
        <w:ind w:left="4680" w:hanging="360"/>
      </w:pPr>
      <w:rPr>
        <w:rFonts w:ascii="Wingdings" w:hAnsi="Wingdings" w:hint="default"/>
      </w:rPr>
    </w:lvl>
    <w:lvl w:ilvl="6" w:tplc="AAD421C8" w:tentative="1">
      <w:start w:val="1"/>
      <w:numFmt w:val="bullet"/>
      <w:lvlText w:val=""/>
      <w:lvlJc w:val="left"/>
      <w:pPr>
        <w:ind w:left="5400" w:hanging="360"/>
      </w:pPr>
      <w:rPr>
        <w:rFonts w:ascii="Symbol" w:hAnsi="Symbol" w:hint="default"/>
      </w:rPr>
    </w:lvl>
    <w:lvl w:ilvl="7" w:tplc="6B4E2DAA" w:tentative="1">
      <w:start w:val="1"/>
      <w:numFmt w:val="bullet"/>
      <w:lvlText w:val="o"/>
      <w:lvlJc w:val="left"/>
      <w:pPr>
        <w:ind w:left="6120" w:hanging="360"/>
      </w:pPr>
      <w:rPr>
        <w:rFonts w:ascii="Courier New" w:hAnsi="Courier New" w:cs="Courier New" w:hint="default"/>
      </w:rPr>
    </w:lvl>
    <w:lvl w:ilvl="8" w:tplc="441A27E4" w:tentative="1">
      <w:start w:val="1"/>
      <w:numFmt w:val="bullet"/>
      <w:lvlText w:val=""/>
      <w:lvlJc w:val="left"/>
      <w:pPr>
        <w:ind w:left="6840" w:hanging="360"/>
      </w:pPr>
      <w:rPr>
        <w:rFonts w:ascii="Wingdings" w:hAnsi="Wingdings" w:hint="default"/>
      </w:rPr>
    </w:lvl>
  </w:abstractNum>
  <w:abstractNum w:abstractNumId="2" w15:restartNumberingAfterBreak="0">
    <w:nsid w:val="2CB83D37"/>
    <w:multiLevelType w:val="hybridMultilevel"/>
    <w:tmpl w:val="3C805C5C"/>
    <w:lvl w:ilvl="0" w:tplc="DB26E9F4">
      <w:start w:val="1"/>
      <w:numFmt w:val="bullet"/>
      <w:lvlText w:val=""/>
      <w:lvlJc w:val="left"/>
      <w:pPr>
        <w:ind w:left="720" w:hanging="360"/>
      </w:pPr>
      <w:rPr>
        <w:rFonts w:ascii="Wingdings" w:hAnsi="Wingdings" w:hint="default"/>
      </w:rPr>
    </w:lvl>
    <w:lvl w:ilvl="1" w:tplc="F496A36E" w:tentative="1">
      <w:start w:val="1"/>
      <w:numFmt w:val="bullet"/>
      <w:lvlText w:val="o"/>
      <w:lvlJc w:val="left"/>
      <w:pPr>
        <w:ind w:left="1440" w:hanging="360"/>
      </w:pPr>
      <w:rPr>
        <w:rFonts w:ascii="Courier New" w:hAnsi="Courier New" w:cs="Courier New" w:hint="default"/>
      </w:rPr>
    </w:lvl>
    <w:lvl w:ilvl="2" w:tplc="4D3A20B4" w:tentative="1">
      <w:start w:val="1"/>
      <w:numFmt w:val="bullet"/>
      <w:lvlText w:val=""/>
      <w:lvlJc w:val="left"/>
      <w:pPr>
        <w:ind w:left="2160" w:hanging="360"/>
      </w:pPr>
      <w:rPr>
        <w:rFonts w:ascii="Wingdings" w:hAnsi="Wingdings" w:hint="default"/>
      </w:rPr>
    </w:lvl>
    <w:lvl w:ilvl="3" w:tplc="DCEE29B6" w:tentative="1">
      <w:start w:val="1"/>
      <w:numFmt w:val="bullet"/>
      <w:lvlText w:val=""/>
      <w:lvlJc w:val="left"/>
      <w:pPr>
        <w:ind w:left="2880" w:hanging="360"/>
      </w:pPr>
      <w:rPr>
        <w:rFonts w:ascii="Symbol" w:hAnsi="Symbol" w:hint="default"/>
      </w:rPr>
    </w:lvl>
    <w:lvl w:ilvl="4" w:tplc="8BD4C5D8" w:tentative="1">
      <w:start w:val="1"/>
      <w:numFmt w:val="bullet"/>
      <w:lvlText w:val="o"/>
      <w:lvlJc w:val="left"/>
      <w:pPr>
        <w:ind w:left="3600" w:hanging="360"/>
      </w:pPr>
      <w:rPr>
        <w:rFonts w:ascii="Courier New" w:hAnsi="Courier New" w:cs="Courier New" w:hint="default"/>
      </w:rPr>
    </w:lvl>
    <w:lvl w:ilvl="5" w:tplc="654EF5E8" w:tentative="1">
      <w:start w:val="1"/>
      <w:numFmt w:val="bullet"/>
      <w:lvlText w:val=""/>
      <w:lvlJc w:val="left"/>
      <w:pPr>
        <w:ind w:left="4320" w:hanging="360"/>
      </w:pPr>
      <w:rPr>
        <w:rFonts w:ascii="Wingdings" w:hAnsi="Wingdings" w:hint="default"/>
      </w:rPr>
    </w:lvl>
    <w:lvl w:ilvl="6" w:tplc="4D4E2538" w:tentative="1">
      <w:start w:val="1"/>
      <w:numFmt w:val="bullet"/>
      <w:lvlText w:val=""/>
      <w:lvlJc w:val="left"/>
      <w:pPr>
        <w:ind w:left="5040" w:hanging="360"/>
      </w:pPr>
      <w:rPr>
        <w:rFonts w:ascii="Symbol" w:hAnsi="Symbol" w:hint="default"/>
      </w:rPr>
    </w:lvl>
    <w:lvl w:ilvl="7" w:tplc="1F1E4ADC" w:tentative="1">
      <w:start w:val="1"/>
      <w:numFmt w:val="bullet"/>
      <w:lvlText w:val="o"/>
      <w:lvlJc w:val="left"/>
      <w:pPr>
        <w:ind w:left="5760" w:hanging="360"/>
      </w:pPr>
      <w:rPr>
        <w:rFonts w:ascii="Courier New" w:hAnsi="Courier New" w:cs="Courier New" w:hint="default"/>
      </w:rPr>
    </w:lvl>
    <w:lvl w:ilvl="8" w:tplc="4EC07BB2"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F82"/>
    <w:rsid w:val="00010D8D"/>
    <w:rsid w:val="00026E09"/>
    <w:rsid w:val="00031A00"/>
    <w:rsid w:val="0004542F"/>
    <w:rsid w:val="00093EEB"/>
    <w:rsid w:val="000A005E"/>
    <w:rsid w:val="000B0D00"/>
    <w:rsid w:val="000B7C15"/>
    <w:rsid w:val="000D1D0F"/>
    <w:rsid w:val="000D5CF4"/>
    <w:rsid w:val="000E0F4D"/>
    <w:rsid w:val="000F5290"/>
    <w:rsid w:val="0010165C"/>
    <w:rsid w:val="00146BFB"/>
    <w:rsid w:val="00162387"/>
    <w:rsid w:val="00170B38"/>
    <w:rsid w:val="001B2741"/>
    <w:rsid w:val="001D33D9"/>
    <w:rsid w:val="001E3556"/>
    <w:rsid w:val="001F14A2"/>
    <w:rsid w:val="00201F51"/>
    <w:rsid w:val="0021267D"/>
    <w:rsid w:val="00226EEB"/>
    <w:rsid w:val="002772FA"/>
    <w:rsid w:val="002801AA"/>
    <w:rsid w:val="002B56CE"/>
    <w:rsid w:val="002C4676"/>
    <w:rsid w:val="002C70B0"/>
    <w:rsid w:val="002D48E0"/>
    <w:rsid w:val="002F3CC4"/>
    <w:rsid w:val="003018AC"/>
    <w:rsid w:val="003866B6"/>
    <w:rsid w:val="003A319E"/>
    <w:rsid w:val="003D655E"/>
    <w:rsid w:val="00486645"/>
    <w:rsid w:val="004D2240"/>
    <w:rsid w:val="004E0508"/>
    <w:rsid w:val="00513630"/>
    <w:rsid w:val="00514A3E"/>
    <w:rsid w:val="00525434"/>
    <w:rsid w:val="00560125"/>
    <w:rsid w:val="00585553"/>
    <w:rsid w:val="005B34D9"/>
    <w:rsid w:val="005C437E"/>
    <w:rsid w:val="005D0CCF"/>
    <w:rsid w:val="005F3BCB"/>
    <w:rsid w:val="005F410F"/>
    <w:rsid w:val="0060149A"/>
    <w:rsid w:val="00601924"/>
    <w:rsid w:val="00604F9F"/>
    <w:rsid w:val="00605C14"/>
    <w:rsid w:val="006447EA"/>
    <w:rsid w:val="0064731F"/>
    <w:rsid w:val="00661491"/>
    <w:rsid w:val="006710F6"/>
    <w:rsid w:val="006C1B56"/>
    <w:rsid w:val="006D4761"/>
    <w:rsid w:val="00716543"/>
    <w:rsid w:val="00726872"/>
    <w:rsid w:val="00740D17"/>
    <w:rsid w:val="00747BA9"/>
    <w:rsid w:val="00760F1C"/>
    <w:rsid w:val="007657F0"/>
    <w:rsid w:val="0077252D"/>
    <w:rsid w:val="00773272"/>
    <w:rsid w:val="007A295F"/>
    <w:rsid w:val="007E1F82"/>
    <w:rsid w:val="007E36E8"/>
    <w:rsid w:val="007E5DD3"/>
    <w:rsid w:val="007F350B"/>
    <w:rsid w:val="00820BE4"/>
    <w:rsid w:val="008451E8"/>
    <w:rsid w:val="0084630F"/>
    <w:rsid w:val="008C62A9"/>
    <w:rsid w:val="00913B9C"/>
    <w:rsid w:val="00953F30"/>
    <w:rsid w:val="00956E77"/>
    <w:rsid w:val="009732E7"/>
    <w:rsid w:val="0099260B"/>
    <w:rsid w:val="009E14EA"/>
    <w:rsid w:val="009E407A"/>
    <w:rsid w:val="009F101E"/>
    <w:rsid w:val="009F4811"/>
    <w:rsid w:val="00A05C10"/>
    <w:rsid w:val="00A14F87"/>
    <w:rsid w:val="00A3444B"/>
    <w:rsid w:val="00A44ECC"/>
    <w:rsid w:val="00AA390C"/>
    <w:rsid w:val="00AB350B"/>
    <w:rsid w:val="00AF17BC"/>
    <w:rsid w:val="00B0200A"/>
    <w:rsid w:val="00B23061"/>
    <w:rsid w:val="00B4631F"/>
    <w:rsid w:val="00B574DB"/>
    <w:rsid w:val="00B826C2"/>
    <w:rsid w:val="00B8298E"/>
    <w:rsid w:val="00B871A0"/>
    <w:rsid w:val="00BA2E0C"/>
    <w:rsid w:val="00BC6A1D"/>
    <w:rsid w:val="00BD0723"/>
    <w:rsid w:val="00BD2518"/>
    <w:rsid w:val="00BF1D1C"/>
    <w:rsid w:val="00C20C59"/>
    <w:rsid w:val="00C2727F"/>
    <w:rsid w:val="00C55B1F"/>
    <w:rsid w:val="00C70877"/>
    <w:rsid w:val="00C73E27"/>
    <w:rsid w:val="00C847B9"/>
    <w:rsid w:val="00CF1A67"/>
    <w:rsid w:val="00CF3803"/>
    <w:rsid w:val="00D2750E"/>
    <w:rsid w:val="00D54712"/>
    <w:rsid w:val="00D62446"/>
    <w:rsid w:val="00DA4EA2"/>
    <w:rsid w:val="00DC3D3E"/>
    <w:rsid w:val="00DE26FA"/>
    <w:rsid w:val="00DE2C90"/>
    <w:rsid w:val="00DE3B24"/>
    <w:rsid w:val="00E06947"/>
    <w:rsid w:val="00E15C8A"/>
    <w:rsid w:val="00E3376B"/>
    <w:rsid w:val="00E3592D"/>
    <w:rsid w:val="00E4249A"/>
    <w:rsid w:val="00E47A19"/>
    <w:rsid w:val="00E47C1A"/>
    <w:rsid w:val="00E63362"/>
    <w:rsid w:val="00E76EE9"/>
    <w:rsid w:val="00E819BB"/>
    <w:rsid w:val="00E81E2D"/>
    <w:rsid w:val="00E92DE8"/>
    <w:rsid w:val="00E9426C"/>
    <w:rsid w:val="00EA4308"/>
    <w:rsid w:val="00EB1212"/>
    <w:rsid w:val="00ED65AB"/>
    <w:rsid w:val="00EE01D3"/>
    <w:rsid w:val="00EF1726"/>
    <w:rsid w:val="00F12850"/>
    <w:rsid w:val="00F33BF4"/>
    <w:rsid w:val="00F3746F"/>
    <w:rsid w:val="00F44EFE"/>
    <w:rsid w:val="00F7105E"/>
    <w:rsid w:val="00F75F57"/>
    <w:rsid w:val="00F82FEE"/>
    <w:rsid w:val="00FB1DA9"/>
    <w:rsid w:val="00FD5222"/>
    <w:rsid w:val="00FD57D3"/>
    <w:rsid w:val="00FE23B3"/>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8ED86CD6-EFC3-4872-A865-15EDE117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543"/>
    <w:pPr>
      <w:tabs>
        <w:tab w:val="left" w:pos="709"/>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716543"/>
    <w:pPr>
      <w:keepNext/>
      <w:keepLines/>
      <w:spacing w:before="480"/>
      <w:ind w:left="567" w:hanging="567"/>
      <w:outlineLvl w:val="0"/>
    </w:pPr>
    <w:rPr>
      <w:b/>
      <w:sz w:val="28"/>
    </w:rPr>
  </w:style>
  <w:style w:type="paragraph" w:styleId="Heading2">
    <w:name w:val="heading 2"/>
    <w:basedOn w:val="Heading1"/>
    <w:next w:val="Normal"/>
    <w:qFormat/>
    <w:rsid w:val="00716543"/>
    <w:pPr>
      <w:spacing w:before="320"/>
      <w:ind w:left="709" w:hanging="709"/>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543"/>
    <w:rPr>
      <w:rFonts w:ascii="Calibri" w:hAnsi="Calibri"/>
      <w:b/>
      <w:sz w:val="28"/>
      <w:lang w:val="es-ES_tradnl" w:eastAsia="en-US"/>
    </w:rPr>
  </w:style>
  <w:style w:type="paragraph" w:styleId="TOC8">
    <w:name w:val="toc 8"/>
    <w:basedOn w:val="TOC4"/>
    <w:rsid w:val="006710F6"/>
  </w:style>
  <w:style w:type="paragraph" w:styleId="TOC4">
    <w:name w:val="toc 4"/>
    <w:basedOn w:val="Normal"/>
    <w:next w:val="Normal"/>
    <w:rsid w:val="000B0D00"/>
    <w:pPr>
      <w:tabs>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1134"/>
        <w:tab w:val="clear" w:pos="1701"/>
        <w:tab w:val="clear" w:pos="2268"/>
        <w:tab w:val="clear" w:pos="2835"/>
        <w:tab w:val="left" w:pos="5954"/>
        <w:tab w:val="right" w:pos="9639"/>
      </w:tabs>
      <w:spacing w:before="0"/>
    </w:pPr>
    <w:rPr>
      <w:caps/>
      <w:noProof/>
      <w:sz w:val="16"/>
    </w:rPr>
  </w:style>
  <w:style w:type="character" w:customStyle="1" w:styleId="FooterChar">
    <w:name w:val="Footer Char"/>
    <w:basedOn w:val="DefaultParagraphFont"/>
    <w:link w:val="Footer"/>
    <w:rsid w:val="00716543"/>
    <w:rPr>
      <w:rFonts w:ascii="Calibri" w:hAnsi="Calibri"/>
      <w:caps/>
      <w:noProof/>
      <w:sz w:val="16"/>
      <w:lang w:val="es-ES_tradnl" w:eastAsia="en-US"/>
    </w:rPr>
  </w:style>
  <w:style w:type="paragraph" w:styleId="Header">
    <w:name w:val="header"/>
    <w:aliases w:val="encabezad,encabezado,he"/>
    <w:basedOn w:val="Normal"/>
    <w:link w:val="HeaderChar"/>
    <w:rsid w:val="000B0D00"/>
    <w:pPr>
      <w:tabs>
        <w:tab w:val="clear" w:pos="1134"/>
        <w:tab w:val="clear" w:pos="1701"/>
        <w:tab w:val="clear" w:pos="2268"/>
        <w:tab w:val="clear" w:pos="2835"/>
      </w:tabs>
      <w:spacing w:before="0"/>
      <w:jc w:val="center"/>
    </w:pPr>
    <w:rPr>
      <w:sz w:val="18"/>
    </w:rPr>
  </w:style>
  <w:style w:type="character" w:customStyle="1" w:styleId="HeaderChar">
    <w:name w:val="Header Char"/>
    <w:aliases w:val="encabezad Char,encabezado Char,he Char"/>
    <w:basedOn w:val="DefaultParagraphFont"/>
    <w:link w:val="Header"/>
    <w:uiPriority w:val="99"/>
    <w:rsid w:val="00716543"/>
    <w:rPr>
      <w:rFonts w:ascii="Calibri" w:hAnsi="Calibri"/>
      <w:sz w:val="18"/>
      <w:lang w:val="es-ES_tradnl" w:eastAsia="en-US"/>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ref">
    <w:name w:val="Annex_ref"/>
    <w:basedOn w:val="Normal"/>
    <w:next w:val="Annextitle"/>
    <w:rsid w:val="000B0D00"/>
    <w:pPr>
      <w:jc w:val="center"/>
    </w:pPr>
    <w:rPr>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ref">
    <w:name w:val="Appendix_ref"/>
    <w:basedOn w:val="Annexref"/>
    <w:next w:val="Appendixtitle"/>
    <w:rsid w:val="000B0D00"/>
  </w:style>
  <w:style w:type="paragraph" w:customStyle="1" w:styleId="Appendixtitle">
    <w:name w:val="Appendix_title"/>
    <w:basedOn w:val="Annextitle"/>
    <w:next w:val="Normal"/>
    <w:rsid w:val="000B0D00"/>
  </w:style>
  <w:style w:type="paragraph" w:customStyle="1" w:styleId="enumlev1">
    <w:name w:val="enumlev1"/>
    <w:basedOn w:val="Normal"/>
    <w:rsid w:val="00716543"/>
    <w:pPr>
      <w:spacing w:before="86"/>
      <w:ind w:left="709" w:hanging="709"/>
    </w:pPr>
  </w:style>
  <w:style w:type="paragraph" w:customStyle="1" w:styleId="enumlev2">
    <w:name w:val="enumlev2"/>
    <w:basedOn w:val="enumlev1"/>
    <w:rsid w:val="00716543"/>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styleId="ListParagraph">
    <w:name w:val="List Paragraph"/>
    <w:basedOn w:val="Normal"/>
    <w:uiPriority w:val="34"/>
    <w:qFormat/>
    <w:rsid w:val="00740D17"/>
    <w:pPr>
      <w:tabs>
        <w:tab w:val="clear" w:pos="1134"/>
        <w:tab w:val="clear" w:pos="1701"/>
        <w:tab w:val="clear" w:pos="2268"/>
        <w:tab w:val="clear" w:pos="2835"/>
      </w:tabs>
      <w:overflowPunct/>
      <w:autoSpaceDE/>
      <w:autoSpaceDN/>
      <w:adjustRightInd/>
      <w:spacing w:before="0"/>
      <w:ind w:left="720"/>
      <w:contextualSpacing/>
      <w:jc w:val="both"/>
      <w:textAlignment w:val="auto"/>
    </w:pPr>
    <w:rPr>
      <w:rFonts w:ascii="Gill Sans MT" w:hAnsi="Gill Sans MT"/>
      <w:szCs w:val="24"/>
      <w:lang w:val="en-US"/>
    </w:rPr>
  </w:style>
  <w:style w:type="table" w:customStyle="1" w:styleId="GridTable1Light-Accent51">
    <w:name w:val="Grid Table 1 Light - Accent 51"/>
    <w:basedOn w:val="TableNormal"/>
    <w:uiPriority w:val="46"/>
    <w:rsid w:val="00740D17"/>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740D17"/>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40D17"/>
    <w:rPr>
      <w:rFonts w:ascii="Calibri" w:hAnsi="Calibri"/>
      <w:lang w:val="es-ES_tradnl" w:eastAsia="en-US"/>
    </w:rPr>
  </w:style>
  <w:style w:type="paragraph" w:styleId="EndnoteText">
    <w:name w:val="endnote text"/>
    <w:basedOn w:val="Normal"/>
    <w:link w:val="EndnoteTextChar"/>
    <w:semiHidden/>
    <w:unhideWhenUsed/>
    <w:rsid w:val="00740D17"/>
    <w:pPr>
      <w:spacing w:before="0"/>
    </w:pPr>
    <w:rPr>
      <w:sz w:val="20"/>
    </w:rPr>
  </w:style>
  <w:style w:type="paragraph" w:customStyle="1" w:styleId="Heading2LatinBodyCalibri">
    <w:name w:val="Heading 2 + (Latin) +Body (Calibri)"/>
    <w:aliases w:val="Not Bold,Dark Blue"/>
    <w:basedOn w:val="Heading1"/>
    <w:rsid w:val="00740D17"/>
    <w:pPr>
      <w:pBdr>
        <w:right w:val="single" w:sz="4" w:space="0" w:color="auto"/>
      </w:pBdr>
    </w:pPr>
    <w:rPr>
      <w:color w:val="002060"/>
      <w:sz w:val="24"/>
      <w:lang w:val="en-GB"/>
    </w:rPr>
  </w:style>
  <w:style w:type="paragraph" w:customStyle="1" w:styleId="H">
    <w:name w:val="H"/>
    <w:basedOn w:val="Normal"/>
    <w:rsid w:val="00740D17"/>
    <w:pPr>
      <w:snapToGrid w:val="0"/>
      <w:jc w:val="mediumKashida"/>
    </w:pPr>
    <w:rPr>
      <w:rFonts w:asciiTheme="minorHAnsi" w:hAnsiTheme="minorHAnsi"/>
      <w:b/>
      <w:bCs/>
      <w:sz w:val="28"/>
      <w:szCs w:val="28"/>
    </w:rPr>
  </w:style>
  <w:style w:type="character" w:customStyle="1" w:styleId="BalloonTextChar">
    <w:name w:val="Balloon Text Char"/>
    <w:basedOn w:val="DefaultParagraphFont"/>
    <w:link w:val="BalloonText"/>
    <w:semiHidden/>
    <w:rsid w:val="00740D17"/>
    <w:rPr>
      <w:rFonts w:ascii="Segoe UI" w:hAnsi="Segoe UI" w:cs="Segoe UI"/>
      <w:sz w:val="18"/>
      <w:szCs w:val="18"/>
      <w:lang w:val="es-ES_tradnl" w:eastAsia="en-US"/>
    </w:rPr>
  </w:style>
  <w:style w:type="paragraph" w:styleId="BalloonText">
    <w:name w:val="Balloon Text"/>
    <w:basedOn w:val="Normal"/>
    <w:link w:val="BalloonTextChar"/>
    <w:semiHidden/>
    <w:unhideWhenUsed/>
    <w:rsid w:val="00740D17"/>
    <w:pPr>
      <w:spacing w:before="0"/>
    </w:pPr>
    <w:rPr>
      <w:rFonts w:ascii="Segoe UI" w:hAnsi="Segoe UI" w:cs="Segoe UI"/>
      <w:sz w:val="18"/>
      <w:szCs w:val="18"/>
    </w:rPr>
  </w:style>
  <w:style w:type="paragraph" w:styleId="Revision">
    <w:name w:val="Revision"/>
    <w:hidden/>
    <w:uiPriority w:val="99"/>
    <w:semiHidden/>
    <w:rsid w:val="00CF3803"/>
    <w:rPr>
      <w:rFonts w:ascii="Calibri" w:hAnsi="Calibri"/>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80.emf"/><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header" Target="header4.xml"/><Relationship Id="rId63" Type="http://schemas.openxmlformats.org/officeDocument/2006/relationships/image" Target="media/image37.emf"/><Relationship Id="rId68" Type="http://schemas.openxmlformats.org/officeDocument/2006/relationships/image" Target="media/image42.png"/><Relationship Id="rId84" Type="http://schemas.openxmlformats.org/officeDocument/2006/relationships/image" Target="media/image58.emf"/><Relationship Id="rId89" Type="http://schemas.openxmlformats.org/officeDocument/2006/relationships/header" Target="header8.xml"/><Relationship Id="rId112" Type="http://schemas.openxmlformats.org/officeDocument/2006/relationships/header" Target="header12.xml"/><Relationship Id="rId16" Type="http://schemas.openxmlformats.org/officeDocument/2006/relationships/footer" Target="footer1.xml"/><Relationship Id="rId107" Type="http://schemas.openxmlformats.org/officeDocument/2006/relationships/footer" Target="footer10.xml"/><Relationship Id="rId11" Type="http://schemas.openxmlformats.org/officeDocument/2006/relationships/hyperlink" Target="https://www.itu.int/en/council/2019/Documents/basic-texts/Convention-S.pdf"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3.xml"/><Relationship Id="rId53" Type="http://schemas.openxmlformats.org/officeDocument/2006/relationships/image" Target="media/image27.emf"/><Relationship Id="rId58" Type="http://schemas.openxmlformats.org/officeDocument/2006/relationships/image" Target="media/image32.png"/><Relationship Id="rId66" Type="http://schemas.openxmlformats.org/officeDocument/2006/relationships/image" Target="media/image40.emf"/><Relationship Id="rId74" Type="http://schemas.openxmlformats.org/officeDocument/2006/relationships/image" Target="media/image48.png"/><Relationship Id="rId79" Type="http://schemas.openxmlformats.org/officeDocument/2006/relationships/image" Target="media/image53.emf"/><Relationship Id="rId87" Type="http://schemas.openxmlformats.org/officeDocument/2006/relationships/image" Target="media/image61.emf"/><Relationship Id="rId102" Type="http://schemas.openxmlformats.org/officeDocument/2006/relationships/image" Target="media/image71.emf"/><Relationship Id="rId110" Type="http://schemas.openxmlformats.org/officeDocument/2006/relationships/image" Target="media/image75.emf"/><Relationship Id="rId115" Type="http://schemas.openxmlformats.org/officeDocument/2006/relationships/image" Target="media/image78.emf"/><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6.png"/><Relationship Id="rId90" Type="http://schemas.openxmlformats.org/officeDocument/2006/relationships/footer" Target="footer8.xml"/><Relationship Id="rId95" Type="http://schemas.openxmlformats.org/officeDocument/2006/relationships/image" Target="media/image64.emf"/><Relationship Id="rId19" Type="http://schemas.openxmlformats.org/officeDocument/2006/relationships/image" Target="media/image2.png"/><Relationship Id="rId14" Type="http://schemas.openxmlformats.org/officeDocument/2006/relationships/hyperlink" Target="https://www.itu.int/en/council/Documents/basic-texts/RES-151-S.pdf"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eader" Target="header2.xml"/><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100" Type="http://schemas.openxmlformats.org/officeDocument/2006/relationships/image" Target="media/image69.emf"/><Relationship Id="rId105" Type="http://schemas.openxmlformats.org/officeDocument/2006/relationships/image" Target="media/image74.emf"/><Relationship Id="rId113" Type="http://schemas.openxmlformats.org/officeDocument/2006/relationships/header" Target="header13.xml"/><Relationship Id="rId118" Type="http://schemas.openxmlformats.org/officeDocument/2006/relationships/image" Target="media/image81.emf"/><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image" Target="media/image46.em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header" Target="header9.xml"/><Relationship Id="rId98"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hyperlink" Target="https://www.itu.int/en/council/Documents/basic-texts/DEC-005-S.pdf" TargetMode="Externa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footer" Target="footer5.xml"/><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image" Target="media/image72.emf"/><Relationship Id="rId108" Type="http://schemas.openxmlformats.org/officeDocument/2006/relationships/footer" Target="footer11.xml"/><Relationship Id="rId116" Type="http://schemas.openxmlformats.org/officeDocument/2006/relationships/image" Target="media/image79.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header" Target="header7.xml"/><Relationship Id="rId91" Type="http://schemas.openxmlformats.org/officeDocument/2006/relationships/footer" Target="footer9.xml"/><Relationship Id="rId96" Type="http://schemas.openxmlformats.org/officeDocument/2006/relationships/image" Target="media/image65.emf"/><Relationship Id="rId111"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header" Target="header5.xml"/><Relationship Id="rId57" Type="http://schemas.openxmlformats.org/officeDocument/2006/relationships/image" Target="media/image31.png"/><Relationship Id="rId106" Type="http://schemas.openxmlformats.org/officeDocument/2006/relationships/header" Target="header10.xml"/><Relationship Id="rId114" Type="http://schemas.openxmlformats.org/officeDocument/2006/relationships/image" Target="media/image77.emf"/><Relationship Id="rId119" Type="http://schemas.openxmlformats.org/officeDocument/2006/relationships/fontTable" Target="fontTable.xml"/><Relationship Id="rId10" Type="http://schemas.openxmlformats.org/officeDocument/2006/relationships/hyperlink" Target="https://www.itu.int/en/council/2019/Documents/basic-texts/Convention-S.pdf" TargetMode="External"/><Relationship Id="rId31" Type="http://schemas.openxmlformats.org/officeDocument/2006/relationships/image" Target="media/image14.emf"/><Relationship Id="rId44" Type="http://schemas.openxmlformats.org/officeDocument/2006/relationships/footer" Target="footer4.xml"/><Relationship Id="rId52" Type="http://schemas.openxmlformats.org/officeDocument/2006/relationships/footer" Target="footer7.xml"/><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png"/><Relationship Id="rId78" Type="http://schemas.openxmlformats.org/officeDocument/2006/relationships/image" Target="media/image52.emf"/><Relationship Id="rId81" Type="http://schemas.openxmlformats.org/officeDocument/2006/relationships/image" Target="media/image55.png"/><Relationship Id="rId86" Type="http://schemas.openxmlformats.org/officeDocument/2006/relationships/image" Target="media/image60.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yperlink" Target="https://www.itu.int/en/council/2019/Documents/basic-texts/Constitution-S.pdf" TargetMode="External"/><Relationship Id="rId13" Type="http://schemas.openxmlformats.org/officeDocument/2006/relationships/hyperlink" Target="https://www.itu.int/en/council/Documents/basic-texts/RES-071-S.pdf" TargetMode="External"/><Relationship Id="rId18" Type="http://schemas.openxmlformats.org/officeDocument/2006/relationships/footer" Target="footer3.xml"/><Relationship Id="rId39" Type="http://schemas.openxmlformats.org/officeDocument/2006/relationships/image" Target="media/image22.emf"/><Relationship Id="rId109" Type="http://schemas.openxmlformats.org/officeDocument/2006/relationships/header" Target="header11.xml"/><Relationship Id="rId34" Type="http://schemas.openxmlformats.org/officeDocument/2006/relationships/image" Target="media/image17.emf"/><Relationship Id="rId50" Type="http://schemas.openxmlformats.org/officeDocument/2006/relationships/footer" Target="footer6.xml"/><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dozas\AppData\Roaming\Microsoft\Templates\POOL%20S%20-%20ITU\PS_C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93424-9631-4636-ADE3-F6BF990C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PS_C19</Template>
  <TotalTime>19</TotalTime>
  <Pages>89</Pages>
  <Words>9081</Words>
  <Characters>55487</Characters>
  <Application>Microsoft Office Word</Application>
  <DocSecurity>0</DocSecurity>
  <Lines>462</Lines>
  <Paragraphs>128</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64440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presupuesto</dc:title>
  <dc:subject>Consejo 2018</dc:subject>
  <dc:creator>Spanish1</dc:creator>
  <cp:keywords>C2019, C19</cp:keywords>
  <dc:description/>
  <cp:lastModifiedBy>Janin, Patricia</cp:lastModifiedBy>
  <cp:revision>5</cp:revision>
  <cp:lastPrinted>2019-04-30T12:39:00Z</cp:lastPrinted>
  <dcterms:created xsi:type="dcterms:W3CDTF">2019-05-07T12:31:00Z</dcterms:created>
  <dcterms:modified xsi:type="dcterms:W3CDTF">2019-05-08T08:16:00Z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