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215ECDB1" w14:textId="77777777" w:rsidTr="00464B6C">
        <w:trPr>
          <w:cantSplit/>
        </w:trPr>
        <w:tc>
          <w:tcPr>
            <w:tcW w:w="6911" w:type="dxa"/>
          </w:tcPr>
          <w:p w14:paraId="51C578BE" w14:textId="77777777"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14:paraId="1FB5ED56" w14:textId="77777777"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2B0A02AE" wp14:editId="3A15863B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1233BB4E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D05C3C9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134D09B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DBEF00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5A54F83" w14:textId="77777777" w:rsidR="002A2188" w:rsidRPr="00813E5E" w:rsidRDefault="002A2188" w:rsidP="009D3B9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1E84CEE" w14:textId="77777777" w:rsidR="002A2188" w:rsidRPr="00813E5E" w:rsidRDefault="002A2188" w:rsidP="009D3B9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0806DFC3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B6C90BD" w14:textId="182BDD29" w:rsidR="002A2188" w:rsidRPr="00E85629" w:rsidRDefault="00D04E39" w:rsidP="00A451E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A451E2">
              <w:rPr>
                <w:b/>
              </w:rPr>
              <w:t>ADM 19</w:t>
            </w:r>
          </w:p>
        </w:tc>
        <w:tc>
          <w:tcPr>
            <w:tcW w:w="3120" w:type="dxa"/>
          </w:tcPr>
          <w:p w14:paraId="3EF99646" w14:textId="65D0360C" w:rsidR="002A2188" w:rsidRPr="00E85629" w:rsidRDefault="002A2188" w:rsidP="00A451E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>
              <w:rPr>
                <w:b/>
              </w:rPr>
              <w:t>/</w:t>
            </w:r>
            <w:r w:rsidR="00A451E2">
              <w:rPr>
                <w:b/>
              </w:rPr>
              <w:t>10</w:t>
            </w:r>
            <w:r>
              <w:rPr>
                <w:b/>
              </w:rPr>
              <w:t>-E</w:t>
            </w:r>
          </w:p>
        </w:tc>
      </w:tr>
      <w:tr w:rsidR="002A2188" w:rsidRPr="00813E5E" w14:paraId="26882A56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0AC2F7A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74A2D9BD" w14:textId="042F04BF" w:rsidR="002A2188" w:rsidRPr="00E85629" w:rsidRDefault="00D724CE" w:rsidP="00623A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0E0A38">
              <w:rPr>
                <w:b/>
              </w:rPr>
              <w:t>8</w:t>
            </w:r>
            <w:r>
              <w:rPr>
                <w:b/>
              </w:rPr>
              <w:t xml:space="preserve"> April</w:t>
            </w:r>
            <w:r w:rsidR="002A2188">
              <w:rPr>
                <w:b/>
              </w:rPr>
              <w:t xml:space="preserve"> 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14:paraId="19F8019C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50CCF6B0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220A8C9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1113C885" w14:textId="77777777" w:rsidTr="00464B6C">
        <w:trPr>
          <w:cantSplit/>
        </w:trPr>
        <w:tc>
          <w:tcPr>
            <w:tcW w:w="10031" w:type="dxa"/>
            <w:gridSpan w:val="2"/>
          </w:tcPr>
          <w:p w14:paraId="5A62884D" w14:textId="77777777" w:rsidR="002A2188" w:rsidRPr="00813E5E" w:rsidRDefault="00D04E39" w:rsidP="00464B6C">
            <w:pPr>
              <w:pStyle w:val="Source"/>
            </w:pPr>
            <w:bookmarkStart w:id="6" w:name="dsource" w:colFirst="0" w:colLast="0"/>
            <w:bookmarkEnd w:id="5"/>
            <w:r w:rsidRPr="00D04E39">
              <w:t>Report by the Secretary-General</w:t>
            </w:r>
          </w:p>
        </w:tc>
      </w:tr>
      <w:tr w:rsidR="002A2188" w:rsidRPr="00813E5E" w14:paraId="07EDF000" w14:textId="77777777" w:rsidTr="00464B6C">
        <w:trPr>
          <w:cantSplit/>
        </w:trPr>
        <w:tc>
          <w:tcPr>
            <w:tcW w:w="10031" w:type="dxa"/>
            <w:gridSpan w:val="2"/>
          </w:tcPr>
          <w:p w14:paraId="3F0041ED" w14:textId="7A3B5AD2" w:rsidR="002A2188" w:rsidRPr="00813E5E" w:rsidRDefault="0041303B" w:rsidP="00AE2D82">
            <w:pPr>
              <w:pStyle w:val="Title1"/>
            </w:pPr>
            <w:bookmarkStart w:id="7" w:name="dtitle1" w:colFirst="0" w:colLast="0"/>
            <w:bookmarkEnd w:id="6"/>
            <w:r w:rsidRPr="0041303B">
              <w:t>I</w:t>
            </w:r>
            <w:r>
              <w:t>MPLEMENTATION OF RESOLUTION 131</w:t>
            </w:r>
            <w:r w:rsidR="006832C5">
              <w:t xml:space="preserve"> </w:t>
            </w:r>
            <w:r>
              <w:t>(rev. dubai,</w:t>
            </w:r>
            <w:r w:rsidR="004F342B">
              <w:t xml:space="preserve"> </w:t>
            </w:r>
            <w:r>
              <w:t>2018) –</w:t>
            </w:r>
            <w:r w:rsidR="000F6278">
              <w:t xml:space="preserve"> </w:t>
            </w:r>
            <w:r>
              <w:t>MEASURING INFORMATION AND COMMUNICATION TECHNOLOGIES TO BUILD AN INTEGRATING AND INCLUSIVE INFORMATION SOCIETY</w:t>
            </w:r>
          </w:p>
        </w:tc>
      </w:tr>
      <w:bookmarkEnd w:id="7"/>
    </w:tbl>
    <w:p w14:paraId="4E1CEDBE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5345BE74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95F46" w14:textId="77777777" w:rsidR="002A2188" w:rsidRPr="00202F9D" w:rsidRDefault="002A2188" w:rsidP="00202F9D">
            <w:pPr>
              <w:pStyle w:val="Headingb"/>
              <w:spacing w:before="120" w:after="120"/>
              <w:jc w:val="both"/>
              <w:rPr>
                <w:szCs w:val="24"/>
              </w:rPr>
            </w:pPr>
            <w:r w:rsidRPr="00202F9D">
              <w:rPr>
                <w:szCs w:val="24"/>
              </w:rPr>
              <w:t>Summary</w:t>
            </w:r>
          </w:p>
          <w:p w14:paraId="1C28E4B0" w14:textId="2788A063" w:rsidR="002A2188" w:rsidRPr="00202F9D" w:rsidRDefault="00FD026A" w:rsidP="00202F9D">
            <w:pPr>
              <w:spacing w:after="120"/>
              <w:jc w:val="both"/>
              <w:rPr>
                <w:szCs w:val="24"/>
              </w:rPr>
            </w:pPr>
            <w:r w:rsidRPr="00202F9D">
              <w:rPr>
                <w:szCs w:val="24"/>
              </w:rPr>
              <w:t xml:space="preserve">ITU develops international definitions, standards and methodologies to measure the information society and </w:t>
            </w:r>
            <w:r w:rsidR="0064546B" w:rsidRPr="00202F9D">
              <w:rPr>
                <w:szCs w:val="24"/>
              </w:rPr>
              <w:t xml:space="preserve">digital </w:t>
            </w:r>
            <w:r w:rsidRPr="00202F9D">
              <w:rPr>
                <w:szCs w:val="24"/>
              </w:rPr>
              <w:t xml:space="preserve">economy in close cooperation with other regional and international organizations and through its thematic Expert Groups. Data are collected from Member States, disseminated through the ITU World Telecommunication/ICT Indicators (WTI) database and analysed in the </w:t>
            </w:r>
            <w:r w:rsidRPr="00202F9D">
              <w:rPr>
                <w:i/>
                <w:szCs w:val="24"/>
              </w:rPr>
              <w:t>Measuring the Information Society Report</w:t>
            </w:r>
            <w:r w:rsidRPr="00202F9D">
              <w:rPr>
                <w:szCs w:val="24"/>
              </w:rPr>
              <w:t xml:space="preserve">. Training workshops are conducted to build capacity for data collection in Member States. This document reports on the implementation of Resolution 131 (Rev. Dubai, 2018) on </w:t>
            </w:r>
            <w:r w:rsidRPr="00202F9D">
              <w:rPr>
                <w:i/>
                <w:iCs/>
                <w:szCs w:val="24"/>
              </w:rPr>
              <w:t>Measuring information and communication technologies to build an integrating and inclusive information society</w:t>
            </w:r>
            <w:r w:rsidRPr="00202F9D">
              <w:rPr>
                <w:szCs w:val="24"/>
              </w:rPr>
              <w:t xml:space="preserve"> during the year 2018. In addition, the document examines the necessary human and financial resources required to conduct ITU</w:t>
            </w:r>
            <w:r w:rsidR="00991188" w:rsidRPr="00202F9D">
              <w:rPr>
                <w:szCs w:val="24"/>
              </w:rPr>
              <w:t>’</w:t>
            </w:r>
            <w:r w:rsidRPr="00202F9D">
              <w:rPr>
                <w:szCs w:val="24"/>
              </w:rPr>
              <w:t>s work in gathering, producing and publishing meaningful data, information, statistics and reports.</w:t>
            </w:r>
          </w:p>
          <w:p w14:paraId="67D9E8C3" w14:textId="77777777" w:rsidR="002A2188" w:rsidRPr="00202F9D" w:rsidRDefault="002A2188" w:rsidP="00202F9D">
            <w:pPr>
              <w:pStyle w:val="Headingb"/>
              <w:spacing w:before="120" w:after="120"/>
              <w:jc w:val="both"/>
              <w:rPr>
                <w:szCs w:val="24"/>
              </w:rPr>
            </w:pPr>
            <w:r w:rsidRPr="00202F9D">
              <w:rPr>
                <w:szCs w:val="24"/>
              </w:rPr>
              <w:t>Action required</w:t>
            </w:r>
          </w:p>
          <w:p w14:paraId="2DC35CDA" w14:textId="3E406DFD" w:rsidR="002A2188" w:rsidRPr="00202F9D" w:rsidRDefault="00991188" w:rsidP="00202F9D">
            <w:pPr>
              <w:snapToGrid w:val="0"/>
              <w:spacing w:after="120"/>
              <w:jc w:val="both"/>
              <w:rPr>
                <w:color w:val="000000" w:themeColor="text1"/>
                <w:szCs w:val="24"/>
              </w:rPr>
            </w:pPr>
            <w:r w:rsidRPr="00202F9D">
              <w:rPr>
                <w:color w:val="000000" w:themeColor="text1"/>
                <w:szCs w:val="24"/>
              </w:rPr>
              <w:t xml:space="preserve">The </w:t>
            </w:r>
            <w:r w:rsidR="00FD026A" w:rsidRPr="00202F9D">
              <w:rPr>
                <w:color w:val="000000" w:themeColor="text1"/>
                <w:szCs w:val="24"/>
              </w:rPr>
              <w:t xml:space="preserve">Council is invited to </w:t>
            </w:r>
            <w:r w:rsidR="00FD026A" w:rsidRPr="00202F9D">
              <w:rPr>
                <w:b/>
                <w:bCs/>
                <w:color w:val="000000" w:themeColor="text1"/>
                <w:szCs w:val="24"/>
              </w:rPr>
              <w:t>take note</w:t>
            </w:r>
            <w:r w:rsidR="00FD026A" w:rsidRPr="00202F9D">
              <w:rPr>
                <w:color w:val="000000" w:themeColor="text1"/>
                <w:szCs w:val="24"/>
              </w:rPr>
              <w:t xml:space="preserve"> of this report and </w:t>
            </w:r>
            <w:r w:rsidR="00FD026A" w:rsidRPr="00202F9D">
              <w:rPr>
                <w:b/>
                <w:bCs/>
                <w:color w:val="000000" w:themeColor="text1"/>
                <w:szCs w:val="24"/>
              </w:rPr>
              <w:t xml:space="preserve">make decisions </w:t>
            </w:r>
            <w:r w:rsidR="00FD026A" w:rsidRPr="00202F9D">
              <w:rPr>
                <w:color w:val="000000" w:themeColor="text1"/>
                <w:szCs w:val="24"/>
              </w:rPr>
              <w:t>as deemed necessary.</w:t>
            </w:r>
          </w:p>
          <w:p w14:paraId="3ACDF322" w14:textId="77777777" w:rsidR="002A2188" w:rsidRPr="00202F9D" w:rsidRDefault="002A2188" w:rsidP="00202F9D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202F9D">
              <w:rPr>
                <w:rFonts w:ascii="Calibri" w:hAnsi="Calibri"/>
                <w:caps w:val="0"/>
                <w:szCs w:val="24"/>
              </w:rPr>
              <w:t>____________</w:t>
            </w:r>
          </w:p>
          <w:p w14:paraId="09F53453" w14:textId="77777777" w:rsidR="002A2188" w:rsidRPr="00202F9D" w:rsidRDefault="002A2188" w:rsidP="00202F9D">
            <w:pPr>
              <w:pStyle w:val="Headingb"/>
              <w:spacing w:before="120" w:after="120"/>
              <w:jc w:val="both"/>
              <w:rPr>
                <w:szCs w:val="24"/>
              </w:rPr>
            </w:pPr>
            <w:r w:rsidRPr="00202F9D">
              <w:rPr>
                <w:szCs w:val="24"/>
              </w:rPr>
              <w:t>References</w:t>
            </w:r>
          </w:p>
          <w:p w14:paraId="1EE506E2" w14:textId="5C45D8A3" w:rsidR="002A2188" w:rsidRPr="00FD026A" w:rsidRDefault="00B833DF" w:rsidP="00202F9D">
            <w:pPr>
              <w:spacing w:after="120"/>
              <w:jc w:val="both"/>
              <w:rPr>
                <w:color w:val="0000FF"/>
                <w:u w:val="single"/>
              </w:rPr>
            </w:pPr>
            <w:hyperlink r:id="rId9" w:history="1">
              <w:r w:rsidR="00FD026A" w:rsidRPr="00B833DF">
                <w:rPr>
                  <w:rStyle w:val="Hyperlink"/>
                  <w:szCs w:val="24"/>
                </w:rPr>
                <w:t>Resolution 131</w:t>
              </w:r>
            </w:hyperlink>
            <w:bookmarkStart w:id="8" w:name="_GoBack"/>
            <w:bookmarkEnd w:id="8"/>
            <w:r w:rsidR="00FD026A" w:rsidRPr="00202F9D">
              <w:rPr>
                <w:szCs w:val="24"/>
              </w:rPr>
              <w:t xml:space="preserve"> (Rev. Dubai, 2018); Council documents </w:t>
            </w:r>
            <w:hyperlink r:id="rId10" w:history="1">
              <w:r w:rsidR="00FD026A" w:rsidRPr="00202F9D">
                <w:rPr>
                  <w:rStyle w:val="Hyperlink"/>
                  <w:szCs w:val="24"/>
                </w:rPr>
                <w:t>C18/96</w:t>
              </w:r>
            </w:hyperlink>
            <w:r w:rsidR="00FD026A" w:rsidRPr="00202F9D">
              <w:rPr>
                <w:szCs w:val="24"/>
              </w:rPr>
              <w:t xml:space="preserve">, </w:t>
            </w:r>
            <w:hyperlink r:id="rId11" w:history="1">
              <w:r w:rsidR="00FD026A" w:rsidRPr="00202F9D">
                <w:rPr>
                  <w:rStyle w:val="Hyperlink"/>
                  <w:szCs w:val="24"/>
                </w:rPr>
                <w:t>C18/105</w:t>
              </w:r>
            </w:hyperlink>
            <w:r w:rsidR="00AE2D82" w:rsidRPr="00202F9D">
              <w:rPr>
                <w:rStyle w:val="Hyperlink"/>
                <w:color w:val="auto"/>
                <w:szCs w:val="24"/>
                <w:u w:val="none"/>
              </w:rPr>
              <w:t xml:space="preserve">; </w:t>
            </w:r>
            <w:hyperlink r:id="rId12" w:history="1">
              <w:r w:rsidR="00AE2D82" w:rsidRPr="00202F9D">
                <w:rPr>
                  <w:rStyle w:val="Hyperlink"/>
                  <w:szCs w:val="24"/>
                </w:rPr>
                <w:t>WTDC</w:t>
              </w:r>
              <w:r w:rsidR="00D724CE" w:rsidRPr="00202F9D">
                <w:rPr>
                  <w:rStyle w:val="Hyperlink"/>
                  <w:szCs w:val="24"/>
                </w:rPr>
                <w:noBreakHyphen/>
              </w:r>
              <w:r w:rsidR="00AE2D82" w:rsidRPr="00202F9D">
                <w:rPr>
                  <w:rStyle w:val="Hyperlink"/>
                  <w:szCs w:val="24"/>
                </w:rPr>
                <w:t>17 Resolution 8</w:t>
              </w:r>
            </w:hyperlink>
          </w:p>
        </w:tc>
      </w:tr>
    </w:tbl>
    <w:p w14:paraId="135407B8" w14:textId="77777777" w:rsidR="002A2188" w:rsidRDefault="002A2188" w:rsidP="002A21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9" w:name="dstart"/>
      <w:bookmarkStart w:id="10" w:name="dbreak"/>
      <w:bookmarkEnd w:id="9"/>
      <w:bookmarkEnd w:id="10"/>
      <w:r>
        <w:br w:type="page"/>
      </w:r>
    </w:p>
    <w:p w14:paraId="19B8E674" w14:textId="1C21501D" w:rsidR="00FD026A" w:rsidRPr="00224583" w:rsidRDefault="00FD026A" w:rsidP="004F342B">
      <w:pPr>
        <w:snapToGrid w:val="0"/>
        <w:spacing w:before="360" w:after="120"/>
        <w:jc w:val="both"/>
      </w:pPr>
      <w:r>
        <w:lastRenderedPageBreak/>
        <w:t>T</w:t>
      </w:r>
      <w:r w:rsidRPr="00224583">
        <w:t xml:space="preserve">his report </w:t>
      </w:r>
      <w:r w:rsidR="00AE2D82">
        <w:t>examines the necessary human and financial resources required to conduct ITU</w:t>
      </w:r>
      <w:r w:rsidR="00991188">
        <w:t>’</w:t>
      </w:r>
      <w:r w:rsidR="00AE2D82">
        <w:t xml:space="preserve">s work in gathering, producing and publishing meaningful data, information, statistics and reports. It also presents an analysis of the impact </w:t>
      </w:r>
      <w:r w:rsidR="006F7765">
        <w:t xml:space="preserve">resulting from amendments of </w:t>
      </w:r>
      <w:r w:rsidR="00991188">
        <w:t xml:space="preserve">Resolution </w:t>
      </w:r>
      <w:r>
        <w:t>131 (R</w:t>
      </w:r>
      <w:r w:rsidRPr="00224583">
        <w:t>ev.</w:t>
      </w:r>
      <w:r>
        <w:t> </w:t>
      </w:r>
      <w:r w:rsidRPr="007E2C59">
        <w:t>Dubai</w:t>
      </w:r>
      <w:r w:rsidRPr="00654ABB">
        <w:t>, 2018</w:t>
      </w:r>
      <w:r w:rsidRPr="00224583">
        <w:t xml:space="preserve">) </w:t>
      </w:r>
      <w:r w:rsidR="006F7765">
        <w:t>by the ITU Plenipotentiary Conference.</w:t>
      </w:r>
    </w:p>
    <w:p w14:paraId="656DA3FD" w14:textId="77777777" w:rsidR="00FD026A" w:rsidRPr="00224583" w:rsidRDefault="00FD026A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</w:pPr>
      <w:r w:rsidRPr="00224583">
        <w:rPr>
          <w:b/>
          <w:bCs/>
        </w:rPr>
        <w:t>1.</w:t>
      </w:r>
      <w:r w:rsidRPr="00224583">
        <w:rPr>
          <w:b/>
          <w:bCs/>
        </w:rPr>
        <w:tab/>
      </w:r>
      <w:r w:rsidR="006F7765">
        <w:rPr>
          <w:b/>
          <w:bCs/>
        </w:rPr>
        <w:t>Backgroun</w:t>
      </w:r>
      <w:r w:rsidR="00EF4958">
        <w:rPr>
          <w:b/>
          <w:bCs/>
        </w:rPr>
        <w:t>d</w:t>
      </w:r>
    </w:p>
    <w:p w14:paraId="3A39156D" w14:textId="4FC59404" w:rsidR="00A027EA" w:rsidRDefault="00D724CE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1.1</w:t>
      </w:r>
      <w:r>
        <w:tab/>
      </w:r>
      <w:r w:rsidR="006F7765">
        <w:t>ITU organizes annually t</w:t>
      </w:r>
      <w:r w:rsidR="00EF78A6">
        <w:t xml:space="preserve">he </w:t>
      </w:r>
      <w:hyperlink r:id="rId13" w:history="1">
        <w:r w:rsidR="00EF78A6" w:rsidRPr="00EF78A6">
          <w:rPr>
            <w:rStyle w:val="Hyperlink"/>
          </w:rPr>
          <w:t>World Telecommunication/ICT Indicators Symposium</w:t>
        </w:r>
      </w:hyperlink>
      <w:r w:rsidR="00EF78A6" w:rsidRPr="00EF78A6">
        <w:t xml:space="preserve"> </w:t>
      </w:r>
      <w:r w:rsidR="00EF78A6">
        <w:t>(</w:t>
      </w:r>
      <w:r w:rsidR="00FD026A" w:rsidRPr="00224583">
        <w:t>WTIS</w:t>
      </w:r>
      <w:r w:rsidR="00EF78A6">
        <w:t>)</w:t>
      </w:r>
      <w:r w:rsidR="00FD026A">
        <w:t>,</w:t>
      </w:r>
      <w:r w:rsidR="00FD026A" w:rsidRPr="00224583">
        <w:t xml:space="preserve"> </w:t>
      </w:r>
      <w:r w:rsidR="006F7765">
        <w:t xml:space="preserve">which is </w:t>
      </w:r>
      <w:r w:rsidR="00FD026A" w:rsidRPr="00224583">
        <w:t>the main global forum for telecommunication and information society measurements</w:t>
      </w:r>
      <w:r w:rsidR="006F7765">
        <w:t>. ITU work on data and statistics is carried out though the Expert Group</w:t>
      </w:r>
      <w:r w:rsidR="00A027EA">
        <w:t>s</w:t>
      </w:r>
      <w:r w:rsidR="006F7765">
        <w:t xml:space="preserve"> on Telecommunication/ICT Indicators (EGTI) </w:t>
      </w:r>
      <w:r w:rsidR="00EF4958">
        <w:t>and the</w:t>
      </w:r>
      <w:r w:rsidR="006F7765">
        <w:t xml:space="preserve"> Expert Group on ICT Household Indicators (EGH)</w:t>
      </w:r>
      <w:r w:rsidR="00991188">
        <w:t>.</w:t>
      </w:r>
      <w:r w:rsidR="006F7765">
        <w:rPr>
          <w:rStyle w:val="FootnoteReference"/>
        </w:rPr>
        <w:footnoteReference w:id="1"/>
      </w:r>
      <w:r w:rsidR="00EF4958">
        <w:t xml:space="preserve"> </w:t>
      </w:r>
      <w:r w:rsidR="00A027EA">
        <w:t xml:space="preserve">Since 2009, ITU publishes the Measuring Information Report. </w:t>
      </w:r>
      <w:r w:rsidR="00A027EA" w:rsidRPr="00224583">
        <w:t>The</w:t>
      </w:r>
      <w:r w:rsidR="00A027EA">
        <w:t xml:space="preserve"> Report</w:t>
      </w:r>
      <w:r w:rsidR="00A027EA" w:rsidRPr="00224583">
        <w:t xml:space="preserve"> featur</w:t>
      </w:r>
      <w:r w:rsidR="00A027EA">
        <w:t>es</w:t>
      </w:r>
      <w:r w:rsidR="00A027EA" w:rsidRPr="00224583">
        <w:t xml:space="preserve"> key </w:t>
      </w:r>
      <w:r w:rsidR="00A027EA">
        <w:t>telecommunication/</w:t>
      </w:r>
      <w:r w:rsidR="00A027EA" w:rsidRPr="00224583">
        <w:t xml:space="preserve">ICT data and benchmarking tools to </w:t>
      </w:r>
      <w:r w:rsidR="00A027EA">
        <w:t>measure the information society,</w:t>
      </w:r>
      <w:r w:rsidR="00A027EA" w:rsidRPr="00224583">
        <w:t xml:space="preserve"> presents a quantitative analysis of the information society</w:t>
      </w:r>
      <w:r w:rsidR="00A027EA">
        <w:t>,</w:t>
      </w:r>
      <w:r w:rsidR="00A027EA" w:rsidRPr="00224583">
        <w:t xml:space="preserve"> and highlights new and emerging trends and measurement issues.</w:t>
      </w:r>
      <w:r w:rsidR="00A027EA">
        <w:t xml:space="preserve"> The report also reports on the ICT Development Index (IDI) currently calculated on the basis of 14 indicators, revised from 11 indicators in 2017 by the Extra-ordinary session of the EGTI and EGH.</w:t>
      </w:r>
    </w:p>
    <w:p w14:paraId="3AF7BB62" w14:textId="27CFCB70" w:rsidR="00A027EA" w:rsidRDefault="00D724CE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</w:pPr>
      <w:r>
        <w:rPr>
          <w:spacing w:val="2"/>
        </w:rPr>
        <w:t>1.2</w:t>
      </w:r>
      <w:r>
        <w:rPr>
          <w:spacing w:val="2"/>
        </w:rPr>
        <w:tab/>
      </w:r>
      <w:r w:rsidR="00A027EA" w:rsidRPr="000F6278">
        <w:rPr>
          <w:spacing w:val="2"/>
        </w:rPr>
        <w:t xml:space="preserve">ITU actively </w:t>
      </w:r>
      <w:hyperlink r:id="rId14" w:history="1">
        <w:r w:rsidR="00A027EA" w:rsidRPr="000F6278">
          <w:rPr>
            <w:rStyle w:val="Hyperlink"/>
            <w:spacing w:val="2"/>
          </w:rPr>
          <w:t>cooperates with international bodies</w:t>
        </w:r>
      </w:hyperlink>
      <w:r w:rsidR="00A027EA" w:rsidRPr="000F6278">
        <w:rPr>
          <w:spacing w:val="2"/>
        </w:rPr>
        <w:t xml:space="preserve"> on statistical issues</w:t>
      </w:r>
      <w:r w:rsidR="000F6278">
        <w:t>.</w:t>
      </w:r>
    </w:p>
    <w:p w14:paraId="4CDC6EB3" w14:textId="0374B6E2" w:rsidR="00FD026A" w:rsidRDefault="00C74278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</w:pPr>
      <w:r>
        <w:rPr>
          <w:b/>
          <w:bCs/>
        </w:rPr>
        <w:t>2.</w:t>
      </w:r>
      <w:r w:rsidR="00FD026A" w:rsidRPr="00224583">
        <w:rPr>
          <w:b/>
          <w:bCs/>
        </w:rPr>
        <w:tab/>
      </w:r>
      <w:r w:rsidR="004A6A7B">
        <w:rPr>
          <w:b/>
          <w:bCs/>
        </w:rPr>
        <w:t xml:space="preserve">Examination of </w:t>
      </w:r>
      <w:r w:rsidR="00FD026A">
        <w:rPr>
          <w:b/>
          <w:bCs/>
        </w:rPr>
        <w:t xml:space="preserve">revisions </w:t>
      </w:r>
      <w:r w:rsidR="004A6A7B">
        <w:rPr>
          <w:b/>
          <w:bCs/>
        </w:rPr>
        <w:t>to Resolution 131 by ITU Plenipotentiary Conference (PP</w:t>
      </w:r>
      <w:r w:rsidR="00FD026A">
        <w:rPr>
          <w:b/>
          <w:bCs/>
        </w:rPr>
        <w:t>-18</w:t>
      </w:r>
      <w:r w:rsidR="004A6A7B">
        <w:rPr>
          <w:b/>
          <w:bCs/>
        </w:rPr>
        <w:t>)</w:t>
      </w:r>
    </w:p>
    <w:p w14:paraId="3F8FA989" w14:textId="544A9572" w:rsidR="004A6A7B" w:rsidRDefault="004A6A7B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</w:pPr>
      <w:r>
        <w:t>A number of revisions to Resolution 131 were adopted at PP-18 that have an impact on the functioning and resource requirem</w:t>
      </w:r>
      <w:r w:rsidR="00AC1BA5">
        <w:t>ent of the statistics division</w:t>
      </w:r>
      <w:r w:rsidR="00E96BB7">
        <w:t>.</w:t>
      </w:r>
    </w:p>
    <w:p w14:paraId="33F63DA6" w14:textId="77777777" w:rsidR="00FD026A" w:rsidRPr="00224583" w:rsidRDefault="00C74278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Assessment of </w:t>
      </w:r>
      <w:r w:rsidR="00FD026A">
        <w:rPr>
          <w:b/>
          <w:bCs/>
        </w:rPr>
        <w:t>r</w:t>
      </w:r>
      <w:r w:rsidR="00FD026A" w:rsidRPr="00224583">
        <w:rPr>
          <w:b/>
          <w:bCs/>
        </w:rPr>
        <w:t xml:space="preserve">esourcing related to </w:t>
      </w:r>
      <w:r>
        <w:rPr>
          <w:b/>
          <w:bCs/>
        </w:rPr>
        <w:t xml:space="preserve">ITU work on data and </w:t>
      </w:r>
      <w:r w:rsidR="00FD026A">
        <w:rPr>
          <w:b/>
          <w:bCs/>
        </w:rPr>
        <w:t>s</w:t>
      </w:r>
      <w:r w:rsidR="00FD026A" w:rsidRPr="00224583">
        <w:rPr>
          <w:b/>
          <w:bCs/>
        </w:rPr>
        <w:t>tatistics</w:t>
      </w:r>
    </w:p>
    <w:p w14:paraId="08A7C793" w14:textId="335287CB" w:rsidR="00FD026A" w:rsidRDefault="00C74278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3</w:t>
      </w:r>
      <w:r w:rsidR="00FD026A">
        <w:t>.1</w:t>
      </w:r>
      <w:r w:rsidR="00FD026A">
        <w:tab/>
        <w:t xml:space="preserve">Resolution 131 </w:t>
      </w:r>
      <w:r w:rsidR="00FD026A" w:rsidRPr="00654ABB">
        <w:t>instructs the Secretary-General</w:t>
      </w:r>
      <w:r w:rsidR="00FD026A">
        <w:t xml:space="preserve"> </w:t>
      </w:r>
      <w:r w:rsidR="00FD026A" w:rsidRPr="00654ABB">
        <w:t>to examine the necessary human and financial resources required to conduct ITU</w:t>
      </w:r>
      <w:r w:rsidR="00991188">
        <w:t>’</w:t>
      </w:r>
      <w:r w:rsidR="00FD026A" w:rsidRPr="00654ABB">
        <w:t>s work in gathering, producing and publishing meaningful data, information, statistics and reports, and inform the Council of the results of this study</w:t>
      </w:r>
      <w:r w:rsidR="00FD026A">
        <w:t>.</w:t>
      </w:r>
    </w:p>
    <w:p w14:paraId="62935D26" w14:textId="134A63FE" w:rsidR="00820959" w:rsidRDefault="00820959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3.</w:t>
      </w:r>
      <w:r w:rsidR="0026021E">
        <w:t>2</w:t>
      </w:r>
      <w:r>
        <w:tab/>
      </w:r>
      <w:r w:rsidRPr="00224583">
        <w:t xml:space="preserve">Currently, the ITU ICT Data and Statistics Division consists of </w:t>
      </w:r>
      <w:r>
        <w:t>five professionals and two</w:t>
      </w:r>
      <w:r w:rsidRPr="00224583">
        <w:t xml:space="preserve"> administrative staff</w:t>
      </w:r>
      <w:r w:rsidR="0076330D">
        <w:t xml:space="preserve"> (including one statistical assistant)</w:t>
      </w:r>
      <w:r w:rsidRPr="00224583">
        <w:t xml:space="preserve">, </w:t>
      </w:r>
      <w:r>
        <w:t>responsible for</w:t>
      </w:r>
      <w:r w:rsidRPr="00224583">
        <w:t xml:space="preserve"> data collection, verification</w:t>
      </w:r>
      <w:r>
        <w:t xml:space="preserve"> and entry;</w:t>
      </w:r>
      <w:r w:rsidRPr="00224583">
        <w:t xml:space="preserve"> </w:t>
      </w:r>
      <w:r>
        <w:t xml:space="preserve">design, formatting and </w:t>
      </w:r>
      <w:r w:rsidRPr="00224583">
        <w:t>dissemination</w:t>
      </w:r>
      <w:r>
        <w:t xml:space="preserve"> across a variety of media;</w:t>
      </w:r>
      <w:r w:rsidRPr="00224583">
        <w:t xml:space="preserve"> analysis</w:t>
      </w:r>
      <w:r>
        <w:t xml:space="preserve"> of trends;</w:t>
      </w:r>
      <w:r w:rsidRPr="00224583">
        <w:t xml:space="preserve"> delivery of training</w:t>
      </w:r>
      <w:r>
        <w:t>,</w:t>
      </w:r>
      <w:r w:rsidRPr="00224583">
        <w:t xml:space="preserve"> and international statistical</w:t>
      </w:r>
      <w:r>
        <w:t xml:space="preserve"> coordination and cooperation. </w:t>
      </w:r>
      <w:r w:rsidRPr="00224583">
        <w:t xml:space="preserve">The low staffing of the ITU Statistics team and low budgetary allocation to its activities </w:t>
      </w:r>
      <w:r>
        <w:t>is</w:t>
      </w:r>
      <w:r w:rsidRPr="00224583">
        <w:t xml:space="preserve"> a challenge </w:t>
      </w:r>
      <w:r>
        <w:t>not only in</w:t>
      </w:r>
      <w:r w:rsidRPr="00224583">
        <w:t xml:space="preserve"> implementing this resolution</w:t>
      </w:r>
      <w:r>
        <w:t xml:space="preserve"> but also </w:t>
      </w:r>
      <w:r w:rsidR="00863757">
        <w:t xml:space="preserve">in </w:t>
      </w:r>
      <w:r>
        <w:t>carrying out its regular work</w:t>
      </w:r>
      <w:r w:rsidRPr="00224583">
        <w:t xml:space="preserve">. </w:t>
      </w:r>
    </w:p>
    <w:p w14:paraId="6DD210BA" w14:textId="4DCF409F" w:rsidR="003B1591" w:rsidRDefault="00C74278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/>
        <w:jc w:val="both"/>
        <w:textAlignment w:val="auto"/>
      </w:pPr>
      <w:r>
        <w:t>3.</w:t>
      </w:r>
      <w:r w:rsidR="0026021E">
        <w:t>3</w:t>
      </w:r>
      <w:r w:rsidR="00FD026A">
        <w:tab/>
        <w:t>ITU work on ICT statistics is often compared with that of other international organizations</w:t>
      </w:r>
      <w:r w:rsidR="00820959">
        <w:t xml:space="preserve">. </w:t>
      </w:r>
      <w:r w:rsidR="00792557">
        <w:t>However,</w:t>
      </w:r>
      <w:r w:rsidR="00820959">
        <w:t xml:space="preserve"> </w:t>
      </w:r>
      <w:r w:rsidR="00FD026A">
        <w:t xml:space="preserve">the resources allocated by those organizations differ from resources available in ITU for similar activities. </w:t>
      </w:r>
      <w:r w:rsidR="00820959">
        <w:t>ITU statistical work is relatively under</w:t>
      </w:r>
      <w:r w:rsidR="0076330D">
        <w:t>-</w:t>
      </w:r>
      <w:r w:rsidR="00820959">
        <w:t xml:space="preserve">staffed compared to the </w:t>
      </w:r>
      <w:r w:rsidR="00FD026A" w:rsidRPr="00224583">
        <w:t>human resources allocated to statistical activities in other international organizations</w:t>
      </w:r>
      <w:r w:rsidR="00820959">
        <w:t>:</w:t>
      </w:r>
      <w:r w:rsidR="00FD026A" w:rsidRPr="0022458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555"/>
        <w:gridCol w:w="991"/>
        <w:gridCol w:w="1129"/>
      </w:tblGrid>
      <w:tr w:rsidR="003B1591" w:rsidRPr="003B1591" w14:paraId="50257EF7" w14:textId="77777777" w:rsidTr="00AD6402">
        <w:tc>
          <w:tcPr>
            <w:tcW w:w="5954" w:type="dxa"/>
            <w:shd w:val="clear" w:color="auto" w:fill="auto"/>
            <w:hideMark/>
          </w:tcPr>
          <w:p w14:paraId="50E24B2D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b/>
                <w:bCs/>
                <w:color w:val="000000"/>
                <w:szCs w:val="24"/>
                <w:lang w:val="en-US"/>
              </w:rPr>
              <w:lastRenderedPageBreak/>
              <w:t>Organization</w:t>
            </w:r>
          </w:p>
        </w:tc>
        <w:tc>
          <w:tcPr>
            <w:tcW w:w="1555" w:type="dxa"/>
            <w:shd w:val="clear" w:color="auto" w:fill="auto"/>
            <w:hideMark/>
          </w:tcPr>
          <w:p w14:paraId="146AE2CE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b/>
                <w:bCs/>
                <w:color w:val="000000"/>
                <w:szCs w:val="24"/>
                <w:lang w:val="en-US"/>
              </w:rPr>
              <w:t>Number of staff responsible for statistics</w:t>
            </w:r>
          </w:p>
        </w:tc>
        <w:tc>
          <w:tcPr>
            <w:tcW w:w="991" w:type="dxa"/>
            <w:shd w:val="clear" w:color="auto" w:fill="auto"/>
            <w:hideMark/>
          </w:tcPr>
          <w:p w14:paraId="638BAA10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b/>
                <w:bCs/>
                <w:color w:val="000000"/>
                <w:szCs w:val="24"/>
                <w:lang w:val="en-US"/>
              </w:rPr>
              <w:t>Total staff</w:t>
            </w:r>
          </w:p>
        </w:tc>
        <w:tc>
          <w:tcPr>
            <w:tcW w:w="1129" w:type="dxa"/>
            <w:shd w:val="clear" w:color="auto" w:fill="auto"/>
            <w:hideMark/>
          </w:tcPr>
          <w:p w14:paraId="00080E9E" w14:textId="53863E78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b/>
                <w:bCs/>
                <w:color w:val="000000"/>
                <w:szCs w:val="24"/>
                <w:lang w:val="en-US"/>
              </w:rPr>
              <w:t>Statistic</w:t>
            </w:r>
            <w:r>
              <w:rPr>
                <w:rFonts w:cs="Calibri"/>
                <w:b/>
                <w:bCs/>
                <w:color w:val="000000"/>
                <w:szCs w:val="24"/>
                <w:lang w:val="en-US"/>
              </w:rPr>
              <w:t xml:space="preserve">s </w:t>
            </w:r>
            <w:r w:rsidRPr="003B1591">
              <w:rPr>
                <w:rFonts w:cs="Calibri"/>
                <w:b/>
                <w:bCs/>
                <w:color w:val="000000"/>
                <w:szCs w:val="24"/>
                <w:lang w:val="en-US"/>
              </w:rPr>
              <w:t>staff as % of total</w:t>
            </w:r>
          </w:p>
        </w:tc>
      </w:tr>
      <w:tr w:rsidR="003B1591" w:rsidRPr="003B1591" w14:paraId="5669B362" w14:textId="77777777" w:rsidTr="00AD6402">
        <w:tc>
          <w:tcPr>
            <w:tcW w:w="5954" w:type="dxa"/>
            <w:shd w:val="clear" w:color="auto" w:fill="auto"/>
            <w:hideMark/>
          </w:tcPr>
          <w:p w14:paraId="4984B315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International Monetary Fund (IMF)</w:t>
            </w:r>
          </w:p>
        </w:tc>
        <w:tc>
          <w:tcPr>
            <w:tcW w:w="1555" w:type="dxa"/>
            <w:shd w:val="clear" w:color="auto" w:fill="auto"/>
            <w:hideMark/>
          </w:tcPr>
          <w:p w14:paraId="02D6FC95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190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0CA48C57" w14:textId="299EF813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 xml:space="preserve"> 2,400 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FA89F88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7.9%</w:t>
            </w:r>
          </w:p>
        </w:tc>
      </w:tr>
      <w:tr w:rsidR="003B1591" w:rsidRPr="003B1591" w14:paraId="6CBC63AD" w14:textId="77777777" w:rsidTr="00AD6402">
        <w:tc>
          <w:tcPr>
            <w:tcW w:w="5954" w:type="dxa"/>
            <w:shd w:val="clear" w:color="auto" w:fill="auto"/>
            <w:hideMark/>
          </w:tcPr>
          <w:p w14:paraId="4AACC62D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Food and Agriculture Organization (FAO)</w:t>
            </w:r>
          </w:p>
        </w:tc>
        <w:tc>
          <w:tcPr>
            <w:tcW w:w="1555" w:type="dxa"/>
            <w:shd w:val="clear" w:color="auto" w:fill="auto"/>
            <w:hideMark/>
          </w:tcPr>
          <w:p w14:paraId="613B8B5B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100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445E0830" w14:textId="0A42138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 xml:space="preserve">3,317 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666CE304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3.0%</w:t>
            </w:r>
          </w:p>
        </w:tc>
      </w:tr>
      <w:tr w:rsidR="003B1591" w:rsidRPr="003B1591" w14:paraId="5983E212" w14:textId="77777777" w:rsidTr="00AD6402">
        <w:tc>
          <w:tcPr>
            <w:tcW w:w="5954" w:type="dxa"/>
            <w:shd w:val="clear" w:color="auto" w:fill="auto"/>
            <w:hideMark/>
          </w:tcPr>
          <w:p w14:paraId="1C443859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World Health Organization (WHO)</w:t>
            </w:r>
          </w:p>
        </w:tc>
        <w:tc>
          <w:tcPr>
            <w:tcW w:w="1555" w:type="dxa"/>
            <w:shd w:val="clear" w:color="auto" w:fill="auto"/>
            <w:hideMark/>
          </w:tcPr>
          <w:p w14:paraId="003277FE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100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2B31ED98" w14:textId="4F22E100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 xml:space="preserve">5,541 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5749B0A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1.8%</w:t>
            </w:r>
          </w:p>
        </w:tc>
      </w:tr>
      <w:tr w:rsidR="003B1591" w:rsidRPr="003B1591" w14:paraId="1823752A" w14:textId="77777777" w:rsidTr="00AD6402">
        <w:tc>
          <w:tcPr>
            <w:tcW w:w="5954" w:type="dxa"/>
            <w:shd w:val="clear" w:color="auto" w:fill="auto"/>
            <w:hideMark/>
          </w:tcPr>
          <w:p w14:paraId="44515E16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Organization for Economic Co-operation and Development (OECD)</w:t>
            </w:r>
          </w:p>
        </w:tc>
        <w:tc>
          <w:tcPr>
            <w:tcW w:w="1555" w:type="dxa"/>
            <w:shd w:val="clear" w:color="auto" w:fill="auto"/>
            <w:hideMark/>
          </w:tcPr>
          <w:p w14:paraId="00934CF6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85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2DFC1A1D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 xml:space="preserve">    2,500 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B828C79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3.4%</w:t>
            </w:r>
          </w:p>
        </w:tc>
      </w:tr>
      <w:tr w:rsidR="003B1591" w:rsidRPr="003B1591" w14:paraId="77DE32F4" w14:textId="77777777" w:rsidTr="00AD6402">
        <w:tc>
          <w:tcPr>
            <w:tcW w:w="5954" w:type="dxa"/>
            <w:shd w:val="clear" w:color="auto" w:fill="auto"/>
            <w:hideMark/>
          </w:tcPr>
          <w:p w14:paraId="1E5DC551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United Nations Educational, Scientific and Cultural Organization (UNESCO) Institute for Statistics (UIS)</w:t>
            </w:r>
          </w:p>
        </w:tc>
        <w:tc>
          <w:tcPr>
            <w:tcW w:w="1555" w:type="dxa"/>
            <w:shd w:val="clear" w:color="auto" w:fill="auto"/>
            <w:hideMark/>
          </w:tcPr>
          <w:p w14:paraId="0E676EF3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70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31180E6F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 xml:space="preserve">    2,051 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02EE8DF9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3.4%</w:t>
            </w:r>
          </w:p>
        </w:tc>
      </w:tr>
      <w:tr w:rsidR="003B1591" w:rsidRPr="003B1591" w14:paraId="1227ABCB" w14:textId="77777777" w:rsidTr="00AD6402">
        <w:tc>
          <w:tcPr>
            <w:tcW w:w="5954" w:type="dxa"/>
            <w:shd w:val="clear" w:color="auto" w:fill="auto"/>
            <w:hideMark/>
          </w:tcPr>
          <w:p w14:paraId="04FD27FB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 xml:space="preserve">International </w:t>
            </w:r>
            <w:proofErr w:type="spellStart"/>
            <w:r w:rsidRPr="003B1591">
              <w:rPr>
                <w:rFonts w:cs="Calibri"/>
                <w:color w:val="000000"/>
                <w:szCs w:val="24"/>
                <w:lang w:val="en-US"/>
              </w:rPr>
              <w:t>Labour</w:t>
            </w:r>
            <w:proofErr w:type="spellEnd"/>
            <w:r w:rsidRPr="003B1591">
              <w:rPr>
                <w:rFonts w:cs="Calibri"/>
                <w:color w:val="000000"/>
                <w:szCs w:val="24"/>
                <w:lang w:val="en-US"/>
              </w:rPr>
              <w:t xml:space="preserve"> Organization (ILO)</w:t>
            </w:r>
          </w:p>
        </w:tc>
        <w:tc>
          <w:tcPr>
            <w:tcW w:w="1555" w:type="dxa"/>
            <w:shd w:val="clear" w:color="auto" w:fill="auto"/>
            <w:hideMark/>
          </w:tcPr>
          <w:p w14:paraId="7EF37211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28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5C6BE49E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 xml:space="preserve">    2,337 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322E77B6" w14:textId="77777777" w:rsidR="003B1591" w:rsidRPr="003B1591" w:rsidRDefault="003B1591" w:rsidP="00202F9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1.2%</w:t>
            </w:r>
          </w:p>
        </w:tc>
      </w:tr>
      <w:tr w:rsidR="003B1591" w:rsidRPr="003B1591" w14:paraId="03029863" w14:textId="77777777" w:rsidTr="00AD6402">
        <w:tc>
          <w:tcPr>
            <w:tcW w:w="5954" w:type="dxa"/>
            <w:shd w:val="clear" w:color="auto" w:fill="auto"/>
            <w:hideMark/>
          </w:tcPr>
          <w:p w14:paraId="699E6738" w14:textId="77777777" w:rsidR="003B1591" w:rsidRPr="003B1591" w:rsidRDefault="003B1591" w:rsidP="003B1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 xml:space="preserve">World Trade Organization (WTO) </w:t>
            </w:r>
          </w:p>
        </w:tc>
        <w:tc>
          <w:tcPr>
            <w:tcW w:w="1555" w:type="dxa"/>
            <w:shd w:val="clear" w:color="auto" w:fill="auto"/>
            <w:hideMark/>
          </w:tcPr>
          <w:p w14:paraId="7CEAB8D7" w14:textId="77777777" w:rsidR="003B1591" w:rsidRPr="003B1591" w:rsidRDefault="003B1591" w:rsidP="003B1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53C206B7" w14:textId="77777777" w:rsidR="003B1591" w:rsidRPr="003B1591" w:rsidRDefault="003B1591" w:rsidP="003B1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625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55888900" w14:textId="77777777" w:rsidR="003B1591" w:rsidRPr="003B1591" w:rsidRDefault="003B1591" w:rsidP="00AD64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3.7%</w:t>
            </w:r>
          </w:p>
        </w:tc>
      </w:tr>
      <w:tr w:rsidR="003B1591" w:rsidRPr="003B1591" w14:paraId="288700E5" w14:textId="77777777" w:rsidTr="00AD6402">
        <w:tc>
          <w:tcPr>
            <w:tcW w:w="5954" w:type="dxa"/>
            <w:shd w:val="clear" w:color="auto" w:fill="auto"/>
            <w:hideMark/>
          </w:tcPr>
          <w:p w14:paraId="02F09515" w14:textId="77777777" w:rsidR="003B1591" w:rsidRPr="003B1591" w:rsidRDefault="003B1591" w:rsidP="003B1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United Nations Conference on Trade and Development (UNCTAD)</w:t>
            </w:r>
          </w:p>
        </w:tc>
        <w:tc>
          <w:tcPr>
            <w:tcW w:w="1555" w:type="dxa"/>
            <w:shd w:val="clear" w:color="auto" w:fill="auto"/>
            <w:hideMark/>
          </w:tcPr>
          <w:p w14:paraId="6294093D" w14:textId="77777777" w:rsidR="003B1591" w:rsidRPr="003B1591" w:rsidRDefault="003B1591" w:rsidP="003B1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6433555B" w14:textId="77777777" w:rsidR="003B1591" w:rsidRPr="003B1591" w:rsidRDefault="003B1591" w:rsidP="003B1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470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205E7FFE" w14:textId="77777777" w:rsidR="003B1591" w:rsidRPr="003B1591" w:rsidRDefault="003B1591" w:rsidP="00AD64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 w:rsidRPr="003B1591">
              <w:rPr>
                <w:rFonts w:cs="Calibri"/>
                <w:color w:val="000000"/>
                <w:szCs w:val="24"/>
                <w:lang w:val="en-US"/>
              </w:rPr>
              <w:t>4.3%</w:t>
            </w:r>
          </w:p>
        </w:tc>
      </w:tr>
      <w:tr w:rsidR="003B1591" w:rsidRPr="003B1591" w14:paraId="6B4AF93E" w14:textId="77777777" w:rsidTr="00AD6402">
        <w:tc>
          <w:tcPr>
            <w:tcW w:w="5954" w:type="dxa"/>
            <w:shd w:val="clear" w:color="auto" w:fill="auto"/>
            <w:hideMark/>
          </w:tcPr>
          <w:p w14:paraId="76FF48B5" w14:textId="77777777" w:rsidR="003B1591" w:rsidRPr="00AD6402" w:rsidRDefault="003B1591" w:rsidP="003B1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1F497D" w:themeColor="text2"/>
                <w:szCs w:val="24"/>
                <w:lang w:val="en-US"/>
              </w:rPr>
            </w:pPr>
            <w:r w:rsidRPr="00AD6402">
              <w:rPr>
                <w:rFonts w:cs="Calibri"/>
                <w:b/>
                <w:bCs/>
                <w:color w:val="1F497D" w:themeColor="text2"/>
                <w:szCs w:val="24"/>
                <w:lang w:val="en-US"/>
              </w:rPr>
              <w:t>International Telecommunication Union (ITU)</w:t>
            </w:r>
          </w:p>
        </w:tc>
        <w:tc>
          <w:tcPr>
            <w:tcW w:w="1555" w:type="dxa"/>
            <w:shd w:val="clear" w:color="auto" w:fill="auto"/>
            <w:hideMark/>
          </w:tcPr>
          <w:p w14:paraId="3A954D5A" w14:textId="77777777" w:rsidR="003B1591" w:rsidRPr="00AD6402" w:rsidRDefault="003B1591" w:rsidP="003B1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1F497D" w:themeColor="text2"/>
                <w:szCs w:val="24"/>
                <w:lang w:val="en-US"/>
              </w:rPr>
            </w:pPr>
            <w:r w:rsidRPr="00AD6402">
              <w:rPr>
                <w:rFonts w:cs="Calibri"/>
                <w:b/>
                <w:bCs/>
                <w:color w:val="1F497D" w:themeColor="text2"/>
                <w:szCs w:val="24"/>
                <w:lang w:val="en-US"/>
              </w:rPr>
              <w:t>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0CC54A71" w14:textId="77777777" w:rsidR="003B1591" w:rsidRPr="00AD6402" w:rsidRDefault="003B1591" w:rsidP="003B159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color w:val="1F497D" w:themeColor="text2"/>
                <w:szCs w:val="24"/>
                <w:lang w:val="en-US"/>
              </w:rPr>
            </w:pPr>
            <w:r w:rsidRPr="00AD6402">
              <w:rPr>
                <w:rFonts w:cs="Calibri"/>
                <w:b/>
                <w:color w:val="1F497D" w:themeColor="text2"/>
                <w:szCs w:val="24"/>
                <w:lang w:val="en-US"/>
              </w:rPr>
              <w:t>749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07C5953D" w14:textId="77777777" w:rsidR="003B1591" w:rsidRPr="00AD6402" w:rsidRDefault="003B1591" w:rsidP="00AD64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color w:val="1F497D" w:themeColor="text2"/>
                <w:szCs w:val="24"/>
                <w:lang w:val="en-US"/>
              </w:rPr>
            </w:pPr>
            <w:r w:rsidRPr="00AD6402">
              <w:rPr>
                <w:rFonts w:cs="Calibri"/>
                <w:b/>
                <w:color w:val="1F497D" w:themeColor="text2"/>
                <w:szCs w:val="24"/>
                <w:lang w:val="en-US"/>
              </w:rPr>
              <w:t>0.9%</w:t>
            </w:r>
          </w:p>
        </w:tc>
      </w:tr>
    </w:tbl>
    <w:p w14:paraId="2404C234" w14:textId="208BFF72" w:rsidR="003B1591" w:rsidRPr="00B833DF" w:rsidRDefault="003B1591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0"/>
          <w:lang w:val="fr-CH"/>
        </w:rPr>
      </w:pPr>
      <w:r w:rsidRPr="00B833DF">
        <w:rPr>
          <w:rFonts w:cs="Calibri"/>
          <w:color w:val="000000"/>
          <w:sz w:val="20"/>
          <w:lang w:val="fr-CH"/>
        </w:rPr>
        <w:t xml:space="preserve">Sources: </w:t>
      </w:r>
      <w:r w:rsidR="00202F9D" w:rsidRPr="00B833DF">
        <w:rPr>
          <w:rFonts w:cs="Calibri"/>
          <w:color w:val="000000"/>
          <w:sz w:val="20"/>
          <w:lang w:val="fr-CH"/>
        </w:rPr>
        <w:br/>
      </w:r>
      <w:hyperlink r:id="rId15" w:history="1">
        <w:r w:rsidR="00202F9D" w:rsidRPr="00B833DF">
          <w:rPr>
            <w:rStyle w:val="Hyperlink"/>
            <w:rFonts w:cs="Calibri"/>
            <w:sz w:val="20"/>
            <w:lang w:val="fr-CH"/>
          </w:rPr>
          <w:t>https://unstats.un.org/unsd/accsub-public/members.htm</w:t>
        </w:r>
      </w:hyperlink>
      <w:r w:rsidRPr="00B833DF">
        <w:rPr>
          <w:rFonts w:cs="Calibri"/>
          <w:color w:val="000000"/>
          <w:sz w:val="20"/>
          <w:lang w:val="fr-CH"/>
        </w:rPr>
        <w:t xml:space="preserve">, </w:t>
      </w:r>
      <w:r w:rsidR="00202F9D" w:rsidRPr="00B833DF">
        <w:rPr>
          <w:rFonts w:cs="Calibri"/>
          <w:color w:val="000000"/>
          <w:sz w:val="20"/>
          <w:lang w:val="fr-CH"/>
        </w:rPr>
        <w:br/>
      </w:r>
      <w:hyperlink r:id="rId16" w:history="1">
        <w:r w:rsidR="00202F9D" w:rsidRPr="00B833DF">
          <w:rPr>
            <w:rStyle w:val="Hyperlink"/>
            <w:rFonts w:cs="Calibri"/>
            <w:sz w:val="20"/>
            <w:lang w:val="fr-CH"/>
          </w:rPr>
          <w:t>https://www.unsystem.org/content/total-staff-organization</w:t>
        </w:r>
      </w:hyperlink>
      <w:r w:rsidRPr="00B833DF">
        <w:rPr>
          <w:rFonts w:cs="Calibri"/>
          <w:color w:val="000000"/>
          <w:sz w:val="20"/>
          <w:lang w:val="fr-CH"/>
        </w:rPr>
        <w:t xml:space="preserve">, </w:t>
      </w:r>
      <w:r w:rsidR="00202F9D" w:rsidRPr="00B833DF">
        <w:rPr>
          <w:rFonts w:cs="Calibri"/>
          <w:color w:val="000000"/>
          <w:sz w:val="20"/>
          <w:lang w:val="fr-CH"/>
        </w:rPr>
        <w:br/>
      </w:r>
      <w:hyperlink r:id="rId17" w:history="1">
        <w:r w:rsidR="00202F9D" w:rsidRPr="00B833DF">
          <w:rPr>
            <w:rStyle w:val="Hyperlink"/>
            <w:rFonts w:cs="Calibri"/>
            <w:sz w:val="20"/>
            <w:lang w:val="fr-CH"/>
          </w:rPr>
          <w:t>http://www.worldbank.org/en/news/infographic/2015/10/27/where-is-staff-from</w:t>
        </w:r>
      </w:hyperlink>
      <w:r w:rsidRPr="00B833DF">
        <w:rPr>
          <w:rFonts w:cs="Calibri"/>
          <w:color w:val="000000"/>
          <w:sz w:val="20"/>
          <w:lang w:val="fr-CH"/>
        </w:rPr>
        <w:t xml:space="preserve">, </w:t>
      </w:r>
      <w:hyperlink r:id="rId18" w:history="1">
        <w:r w:rsidR="00202F9D" w:rsidRPr="00B833DF">
          <w:rPr>
            <w:rStyle w:val="Hyperlink"/>
            <w:rFonts w:cs="Calibri"/>
            <w:sz w:val="20"/>
            <w:lang w:val="fr-CH"/>
          </w:rPr>
          <w:t>https://www.wto.org/english/thewto_e/secre_e/intro_e.htm</w:t>
        </w:r>
      </w:hyperlink>
      <w:r w:rsidRPr="00B833DF">
        <w:rPr>
          <w:rFonts w:cs="Calibri"/>
          <w:color w:val="000000"/>
          <w:sz w:val="20"/>
          <w:lang w:val="fr-CH"/>
        </w:rPr>
        <w:t xml:space="preserve">, </w:t>
      </w:r>
      <w:hyperlink r:id="rId19" w:history="1">
        <w:r w:rsidR="00202F9D" w:rsidRPr="00B833DF">
          <w:rPr>
            <w:rStyle w:val="Hyperlink"/>
            <w:rFonts w:cs="Calibri"/>
            <w:sz w:val="20"/>
            <w:lang w:val="fr-CH"/>
          </w:rPr>
          <w:t>https://unctad.org/en/PublicationsLibrary/osgciomisc2017_en.pdf?user=17</w:t>
        </w:r>
      </w:hyperlink>
      <w:r w:rsidRPr="00B833DF">
        <w:rPr>
          <w:rFonts w:cs="Calibri"/>
          <w:color w:val="000000"/>
          <w:sz w:val="20"/>
          <w:lang w:val="fr-CH"/>
        </w:rPr>
        <w:t xml:space="preserve">, </w:t>
      </w:r>
      <w:hyperlink r:id="rId20" w:history="1">
        <w:r w:rsidR="00202F9D" w:rsidRPr="00B833DF">
          <w:rPr>
            <w:rStyle w:val="Hyperlink"/>
            <w:rFonts w:cs="Calibri"/>
            <w:sz w:val="20"/>
            <w:lang w:val="fr-CH"/>
          </w:rPr>
          <w:t>http://www.oecd.org/about/whodoeswhat/</w:t>
        </w:r>
      </w:hyperlink>
      <w:r w:rsidRPr="00B833DF">
        <w:rPr>
          <w:rFonts w:cs="Calibri"/>
          <w:color w:val="000000"/>
          <w:sz w:val="20"/>
          <w:lang w:val="fr-CH"/>
        </w:rPr>
        <w:t xml:space="preserve">, </w:t>
      </w:r>
      <w:hyperlink r:id="rId21" w:history="1">
        <w:r w:rsidR="00202F9D" w:rsidRPr="00B833DF">
          <w:rPr>
            <w:rStyle w:val="Hyperlink"/>
            <w:rFonts w:cs="Calibri"/>
            <w:sz w:val="20"/>
            <w:lang w:val="fr-CH"/>
          </w:rPr>
          <w:t>https://www.imf.org/external/about/staff.htm</w:t>
        </w:r>
      </w:hyperlink>
    </w:p>
    <w:p w14:paraId="754B54D7" w14:textId="77777777" w:rsidR="00FD026A" w:rsidRPr="00224583" w:rsidRDefault="00343C33" w:rsidP="00202F9D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</w:pPr>
      <w:r>
        <w:rPr>
          <w:b/>
          <w:bCs/>
        </w:rPr>
        <w:t>4</w:t>
      </w:r>
      <w:r w:rsidR="00C74278">
        <w:rPr>
          <w:b/>
          <w:bCs/>
        </w:rPr>
        <w:t>.</w:t>
      </w:r>
      <w:r w:rsidR="00FD026A" w:rsidRPr="00224583">
        <w:rPr>
          <w:b/>
          <w:bCs/>
        </w:rPr>
        <w:tab/>
        <w:t>Recommendations</w:t>
      </w:r>
      <w:r w:rsidR="00C74278">
        <w:rPr>
          <w:b/>
          <w:bCs/>
        </w:rPr>
        <w:t xml:space="preserve"> based on resource requirement assessment</w:t>
      </w:r>
    </w:p>
    <w:p w14:paraId="18287AAD" w14:textId="24D1FF16" w:rsidR="00E517F5" w:rsidRPr="00224583" w:rsidRDefault="00343C33" w:rsidP="00202F9D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4</w:t>
      </w:r>
      <w:r w:rsidR="00FD026A" w:rsidRPr="00224583">
        <w:t>.1</w:t>
      </w:r>
      <w:r w:rsidR="00FD026A" w:rsidRPr="00224583">
        <w:tab/>
      </w:r>
      <w:r w:rsidR="00E517F5" w:rsidRPr="00224583">
        <w:t xml:space="preserve">The successful implementation of a statistical program is heavily dependent on strong IT support. There is </w:t>
      </w:r>
      <w:r w:rsidR="00E517F5">
        <w:t xml:space="preserve">an urgent </w:t>
      </w:r>
      <w:r w:rsidR="00E517F5" w:rsidRPr="00224583">
        <w:t xml:space="preserve">need for </w:t>
      </w:r>
      <w:r w:rsidR="00E517F5">
        <w:t>a dedicated</w:t>
      </w:r>
      <w:r w:rsidR="00E517F5" w:rsidRPr="00224583">
        <w:t xml:space="preserve"> IT </w:t>
      </w:r>
      <w:r w:rsidR="00E517F5">
        <w:t>professional</w:t>
      </w:r>
      <w:r w:rsidR="00E517F5" w:rsidRPr="00224583">
        <w:t xml:space="preserve"> to support data visualization</w:t>
      </w:r>
      <w:r w:rsidR="00863757">
        <w:t>,</w:t>
      </w:r>
      <w:r w:rsidR="00863757" w:rsidRPr="00224583">
        <w:t xml:space="preserve"> </w:t>
      </w:r>
      <w:r w:rsidR="00E517F5" w:rsidRPr="00224583">
        <w:t xml:space="preserve">introduction and maintenance of IT-related tools </w:t>
      </w:r>
      <w:r w:rsidR="00E517F5">
        <w:t>(</w:t>
      </w:r>
      <w:r w:rsidR="00E517F5" w:rsidRPr="00224583">
        <w:t xml:space="preserve">e.g. </w:t>
      </w:r>
      <w:r w:rsidR="00863757">
        <w:t xml:space="preserve">the </w:t>
      </w:r>
      <w:r w:rsidR="00E517F5">
        <w:t xml:space="preserve">new </w:t>
      </w:r>
      <w:r w:rsidR="00E517F5" w:rsidRPr="00224583">
        <w:t>ICT Eye</w:t>
      </w:r>
      <w:r w:rsidR="00E517F5">
        <w:t xml:space="preserve"> tool) and management of the statistical database</w:t>
      </w:r>
      <w:r w:rsidR="00E517F5" w:rsidRPr="00224583">
        <w:t>.</w:t>
      </w:r>
    </w:p>
    <w:p w14:paraId="441FE25C" w14:textId="027B6803" w:rsidR="00E517F5" w:rsidRDefault="000F6278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4.2</w:t>
      </w:r>
      <w:r>
        <w:tab/>
      </w:r>
      <w:r w:rsidR="00E517F5">
        <w:t xml:space="preserve">There is also an urgent need for a statistical assistant for dispatching and processing data questionnaires from countries, including follow up, verification and data entry. </w:t>
      </w:r>
    </w:p>
    <w:p w14:paraId="747F9E6A" w14:textId="77BF73CE" w:rsidR="00E517F5" w:rsidRDefault="00E517F5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4.3</w:t>
      </w:r>
      <w:r>
        <w:tab/>
      </w:r>
      <w:r w:rsidRPr="00224583">
        <w:t xml:space="preserve">Big Data is </w:t>
      </w:r>
      <w:r>
        <w:t>emerging as a complement to</w:t>
      </w:r>
      <w:r w:rsidRPr="00224583">
        <w:t xml:space="preserve"> official statistics</w:t>
      </w:r>
      <w:r>
        <w:t>.</w:t>
      </w:r>
      <w:r>
        <w:rPr>
          <w:rStyle w:val="FootnoteReference"/>
        </w:rPr>
        <w:footnoteReference w:id="2"/>
      </w:r>
      <w:r>
        <w:t xml:space="preserve"> Many developing c</w:t>
      </w:r>
      <w:r w:rsidRPr="00224583">
        <w:t xml:space="preserve">ountries have </w:t>
      </w:r>
      <w:r>
        <w:t xml:space="preserve">limited </w:t>
      </w:r>
      <w:r w:rsidRPr="00224583">
        <w:t xml:space="preserve">financial, technical and human resources to utilize </w:t>
      </w:r>
      <w:r>
        <w:t>B</w:t>
      </w:r>
      <w:r w:rsidRPr="00224583">
        <w:t xml:space="preserve">ig </w:t>
      </w:r>
      <w:r>
        <w:t>D</w:t>
      </w:r>
      <w:r w:rsidRPr="00224583">
        <w:t xml:space="preserve">ata. There is a threat of a new digital divide between countries </w:t>
      </w:r>
      <w:r>
        <w:t>using B</w:t>
      </w:r>
      <w:r w:rsidRPr="00224583">
        <w:t xml:space="preserve">ig </w:t>
      </w:r>
      <w:r>
        <w:t>D</w:t>
      </w:r>
      <w:r w:rsidRPr="00224583">
        <w:t>ata</w:t>
      </w:r>
      <w:r>
        <w:t xml:space="preserve"> for official statistics and those that cannot with serious consequences for the breadth, timeliness and relevance of statistical data</w:t>
      </w:r>
      <w:r w:rsidRPr="00224583">
        <w:t xml:space="preserve">. ITU can </w:t>
      </w:r>
      <w:r>
        <w:t>reduce</w:t>
      </w:r>
      <w:r w:rsidRPr="00224583">
        <w:t xml:space="preserve"> this risk </w:t>
      </w:r>
      <w:r>
        <w:t>in several ways. One is developing its own expertise in the area including pilots using Big Data to supplement data collection activities. Another is participating in initiatives such as the GSMA</w:t>
      </w:r>
      <w:r w:rsidR="00991188">
        <w:t>’</w:t>
      </w:r>
      <w:r>
        <w:t>s Big Data for Social Good and the UN</w:t>
      </w:r>
      <w:r w:rsidR="00991188">
        <w:t>’</w:t>
      </w:r>
      <w:r>
        <w:t>s Big Data for Sustainable Development. The expertise gained will support capacity building in countries for enhancing their ICT statistics using Big Data techniques</w:t>
      </w:r>
      <w:r w:rsidR="00202F9D">
        <w:t>.</w:t>
      </w:r>
    </w:p>
    <w:p w14:paraId="7394226D" w14:textId="7812C1A6" w:rsidR="00FD026A" w:rsidRDefault="00E517F5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lastRenderedPageBreak/>
        <w:t>4.4</w:t>
      </w:r>
      <w:r>
        <w:tab/>
      </w:r>
      <w:r w:rsidR="00FD026A" w:rsidRPr="00224583">
        <w:t xml:space="preserve">There is need for </w:t>
      </w:r>
      <w:r w:rsidR="0076330D">
        <w:t>one</w:t>
      </w:r>
      <w:r w:rsidR="006C1372">
        <w:t xml:space="preserve"> additional</w:t>
      </w:r>
      <w:r w:rsidR="00FD026A" w:rsidRPr="00224583">
        <w:t xml:space="preserve"> statistician </w:t>
      </w:r>
      <w:r w:rsidR="006C1372">
        <w:t xml:space="preserve">to </w:t>
      </w:r>
      <w:r w:rsidR="00F66AE5">
        <w:t>collect, verify, compile</w:t>
      </w:r>
      <w:r w:rsidR="00792557">
        <w:t>,</w:t>
      </w:r>
      <w:r w:rsidR="00FD026A" w:rsidRPr="00224583">
        <w:t xml:space="preserve"> </w:t>
      </w:r>
      <w:r w:rsidR="00F66AE5">
        <w:t>and</w:t>
      </w:r>
      <w:r w:rsidR="00F66AE5" w:rsidRPr="00224583">
        <w:t xml:space="preserve"> </w:t>
      </w:r>
      <w:r w:rsidR="00FD026A" w:rsidRPr="00224583">
        <w:t>ensure data quality for both supply-side</w:t>
      </w:r>
      <w:r w:rsidR="00820959">
        <w:t xml:space="preserve"> (administrative)</w:t>
      </w:r>
      <w:r w:rsidR="00FD026A" w:rsidRPr="00224583">
        <w:t xml:space="preserve"> and demand-side </w:t>
      </w:r>
      <w:r w:rsidR="00820959">
        <w:t xml:space="preserve">(survey) </w:t>
      </w:r>
      <w:r w:rsidR="00FD026A" w:rsidRPr="00224583">
        <w:t>indicators.</w:t>
      </w:r>
      <w:r w:rsidR="00FD026A">
        <w:t xml:space="preserve"> This will strengthen the capacity for ITU to </w:t>
      </w:r>
      <w:r w:rsidR="00343C33">
        <w:t xml:space="preserve">fully implement PP-18 resolution 131, and WTDC-17 resolution </w:t>
      </w:r>
      <w:r w:rsidR="00863757">
        <w:t>8.</w:t>
      </w:r>
    </w:p>
    <w:p w14:paraId="4A5E5745" w14:textId="0C560B30" w:rsidR="00FD026A" w:rsidRPr="00224583" w:rsidRDefault="00343C33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>
        <w:t>4</w:t>
      </w:r>
      <w:r w:rsidR="00FD026A">
        <w:t>.</w:t>
      </w:r>
      <w:r w:rsidR="00E517F5">
        <w:t>5</w:t>
      </w:r>
      <w:r w:rsidR="00FD026A">
        <w:tab/>
      </w:r>
      <w:r w:rsidR="003B1591">
        <w:t>In summary, t</w:t>
      </w:r>
      <w:r w:rsidR="003B1591" w:rsidRPr="00224583">
        <w:t xml:space="preserve">he </w:t>
      </w:r>
      <w:r w:rsidR="00FD026A" w:rsidRPr="00224583">
        <w:t xml:space="preserve">following additional staff </w:t>
      </w:r>
      <w:r w:rsidR="003B1591">
        <w:t xml:space="preserve">are required to support PP Resolution 131 and improve statistical capacity in </w:t>
      </w:r>
      <w:r w:rsidR="00FD026A" w:rsidRPr="00224583">
        <w:t>ITU:</w:t>
      </w:r>
    </w:p>
    <w:p w14:paraId="1057BCAA" w14:textId="749936D2" w:rsidR="00E517F5" w:rsidRPr="005E14A4" w:rsidRDefault="00E517F5" w:rsidP="004F342B">
      <w:pPr>
        <w:pStyle w:val="ListParagraph"/>
        <w:numPr>
          <w:ilvl w:val="0"/>
          <w:numId w:val="8"/>
        </w:numPr>
        <w:snapToGrid w:val="0"/>
        <w:spacing w:after="20"/>
        <w:ind w:left="1134" w:hanging="425"/>
        <w:jc w:val="both"/>
        <w:rPr>
          <w:szCs w:val="24"/>
        </w:rPr>
      </w:pPr>
      <w:r>
        <w:rPr>
          <w:sz w:val="24"/>
          <w:szCs w:val="24"/>
        </w:rPr>
        <w:t>1</w:t>
      </w:r>
      <w:r w:rsidRPr="005E14A4">
        <w:rPr>
          <w:sz w:val="24"/>
          <w:szCs w:val="24"/>
        </w:rPr>
        <w:t xml:space="preserve"> IT specialist to develop</w:t>
      </w:r>
      <w:r>
        <w:rPr>
          <w:sz w:val="24"/>
          <w:szCs w:val="24"/>
        </w:rPr>
        <w:t xml:space="preserve"> and </w:t>
      </w:r>
      <w:r w:rsidRPr="005E14A4">
        <w:rPr>
          <w:sz w:val="24"/>
          <w:szCs w:val="24"/>
        </w:rPr>
        <w:t xml:space="preserve">support </w:t>
      </w:r>
      <w:r>
        <w:rPr>
          <w:sz w:val="24"/>
          <w:szCs w:val="24"/>
        </w:rPr>
        <w:t xml:space="preserve">automated </w:t>
      </w:r>
      <w:r w:rsidRPr="005E14A4">
        <w:rPr>
          <w:sz w:val="24"/>
          <w:szCs w:val="24"/>
        </w:rPr>
        <w:t xml:space="preserve">data </w:t>
      </w:r>
      <w:r>
        <w:rPr>
          <w:sz w:val="24"/>
          <w:szCs w:val="24"/>
        </w:rPr>
        <w:t xml:space="preserve">collection, entry and dissemination; database management; </w:t>
      </w:r>
      <w:r w:rsidRPr="005E14A4">
        <w:rPr>
          <w:sz w:val="24"/>
          <w:szCs w:val="24"/>
        </w:rPr>
        <w:t>and visualization tools at P3</w:t>
      </w:r>
      <w:r w:rsidR="00863757">
        <w:rPr>
          <w:sz w:val="24"/>
          <w:szCs w:val="24"/>
        </w:rPr>
        <w:t xml:space="preserve"> level</w:t>
      </w:r>
      <w:r w:rsidRPr="005E14A4">
        <w:rPr>
          <w:sz w:val="24"/>
          <w:szCs w:val="24"/>
        </w:rPr>
        <w:t>.</w:t>
      </w:r>
    </w:p>
    <w:p w14:paraId="469B34D6" w14:textId="34D900EA" w:rsidR="00E517F5" w:rsidRPr="005E14A4" w:rsidRDefault="00E517F5" w:rsidP="004F342B">
      <w:pPr>
        <w:pStyle w:val="ListParagraph"/>
        <w:numPr>
          <w:ilvl w:val="0"/>
          <w:numId w:val="8"/>
        </w:numPr>
        <w:snapToGrid w:val="0"/>
        <w:spacing w:after="2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1 statistical assistant at G5 level</w:t>
      </w:r>
      <w:r w:rsidR="00863757">
        <w:rPr>
          <w:sz w:val="24"/>
          <w:szCs w:val="24"/>
        </w:rPr>
        <w:t>.</w:t>
      </w:r>
    </w:p>
    <w:p w14:paraId="597C4B0B" w14:textId="48AFFB2A" w:rsidR="00E517F5" w:rsidRPr="00AD6402" w:rsidRDefault="00E517F5" w:rsidP="004F342B">
      <w:pPr>
        <w:pStyle w:val="ListParagraph"/>
        <w:numPr>
          <w:ilvl w:val="0"/>
          <w:numId w:val="8"/>
        </w:numPr>
        <w:snapToGrid w:val="0"/>
        <w:spacing w:after="2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E14A4">
        <w:rPr>
          <w:sz w:val="24"/>
          <w:szCs w:val="24"/>
        </w:rPr>
        <w:t xml:space="preserve"> data scientist (for big data analytics, machine learning, artificial intelligence, etc.) at P4</w:t>
      </w:r>
      <w:r w:rsidR="00863757">
        <w:rPr>
          <w:sz w:val="24"/>
          <w:szCs w:val="24"/>
        </w:rPr>
        <w:t xml:space="preserve"> level</w:t>
      </w:r>
      <w:r w:rsidRPr="005E14A4">
        <w:rPr>
          <w:sz w:val="24"/>
          <w:szCs w:val="24"/>
        </w:rPr>
        <w:t>.</w:t>
      </w:r>
    </w:p>
    <w:p w14:paraId="50B7793A" w14:textId="0404D6C5" w:rsidR="00E517F5" w:rsidRDefault="00AE4872" w:rsidP="004F342B">
      <w:pPr>
        <w:pStyle w:val="ListParagraph"/>
        <w:numPr>
          <w:ilvl w:val="0"/>
          <w:numId w:val="8"/>
        </w:numPr>
        <w:snapToGrid w:val="0"/>
        <w:spacing w:after="2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E14A4">
        <w:rPr>
          <w:sz w:val="24"/>
          <w:szCs w:val="24"/>
        </w:rPr>
        <w:t xml:space="preserve"> </w:t>
      </w:r>
      <w:r w:rsidR="00FD026A" w:rsidRPr="005E14A4">
        <w:rPr>
          <w:sz w:val="24"/>
          <w:szCs w:val="24"/>
        </w:rPr>
        <w:t>statistician at P3</w:t>
      </w:r>
      <w:r w:rsidR="0076330D">
        <w:rPr>
          <w:sz w:val="24"/>
          <w:szCs w:val="24"/>
        </w:rPr>
        <w:t xml:space="preserve"> level</w:t>
      </w:r>
      <w:r w:rsidR="00863757">
        <w:rPr>
          <w:sz w:val="24"/>
          <w:szCs w:val="24"/>
        </w:rPr>
        <w:t>.</w:t>
      </w:r>
    </w:p>
    <w:p w14:paraId="2EAD8D48" w14:textId="184B3137" w:rsidR="00FD026A" w:rsidRDefault="00343C33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</w:pPr>
      <w:r>
        <w:t>4</w:t>
      </w:r>
      <w:r w:rsidR="00FD026A">
        <w:t>.</w:t>
      </w:r>
      <w:r w:rsidR="00E517F5">
        <w:t>5.1</w:t>
      </w:r>
      <w:r w:rsidR="00FD026A">
        <w:tab/>
        <w:t xml:space="preserve">The following table provides costing for the additional resources required to augment current staffing levels. 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1984"/>
      </w:tblGrid>
      <w:tr w:rsidR="00FD026A" w14:paraId="014683E1" w14:textId="77777777" w:rsidTr="00AE73FA">
        <w:trPr>
          <w:trHeight w:val="288"/>
        </w:trPr>
        <w:tc>
          <w:tcPr>
            <w:tcW w:w="5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1C5D7" w14:textId="77777777" w:rsidR="00FD026A" w:rsidRPr="007E2C59" w:rsidRDefault="00FD026A" w:rsidP="00AE73FA"/>
        </w:tc>
        <w:tc>
          <w:tcPr>
            <w:tcW w:w="354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FBC45" w14:textId="76133A5D" w:rsidR="00FD026A" w:rsidRDefault="00FD026A" w:rsidP="00AE73FA">
            <w:pPr>
              <w:jc w:val="center"/>
              <w:rPr>
                <w:b/>
                <w:bCs/>
                <w:i/>
                <w:iCs/>
                <w:color w:val="44546A"/>
              </w:rPr>
            </w:pPr>
            <w:r>
              <w:rPr>
                <w:b/>
                <w:bCs/>
                <w:i/>
                <w:iCs/>
                <w:color w:val="44546A"/>
              </w:rPr>
              <w:t>CHF (</w:t>
            </w:r>
            <w:r w:rsidR="00991188">
              <w:rPr>
                <w:b/>
                <w:bCs/>
                <w:i/>
                <w:iCs/>
                <w:color w:val="44546A"/>
              </w:rPr>
              <w:t>‘</w:t>
            </w:r>
            <w:r>
              <w:rPr>
                <w:b/>
                <w:bCs/>
                <w:i/>
                <w:iCs/>
                <w:color w:val="44546A"/>
              </w:rPr>
              <w:t>000)</w:t>
            </w:r>
          </w:p>
        </w:tc>
      </w:tr>
      <w:tr w:rsidR="00FD026A" w14:paraId="42491992" w14:textId="77777777" w:rsidTr="00AE73FA">
        <w:trPr>
          <w:trHeight w:val="288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DF5EE" w14:textId="77777777" w:rsidR="00FD026A" w:rsidRDefault="00FD026A" w:rsidP="004F342B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05EDD" w14:textId="77777777" w:rsidR="00FD026A" w:rsidRDefault="00FD026A" w:rsidP="004F342B">
            <w:pPr>
              <w:spacing w:before="100"/>
              <w:jc w:val="right"/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Annual cost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41A7D" w14:textId="77777777" w:rsidR="00FD026A" w:rsidRDefault="00FD026A" w:rsidP="004F342B">
            <w:pPr>
              <w:spacing w:before="100"/>
              <w:jc w:val="right"/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2020-2023 costs</w:t>
            </w:r>
          </w:p>
        </w:tc>
      </w:tr>
      <w:tr w:rsidR="00FD026A" w14:paraId="3E21D3C5" w14:textId="77777777" w:rsidTr="00AD6402"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6C458" w14:textId="6A79B8EB" w:rsidR="00FD026A" w:rsidRDefault="00AE4872" w:rsidP="004F342B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FD026A">
              <w:rPr>
                <w:color w:val="000000"/>
              </w:rPr>
              <w:t>statistician at P3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71054" w14:textId="60C581CB" w:rsidR="00FD026A" w:rsidRDefault="00923926" w:rsidP="004F342B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A2E5F" w14:textId="1411383E" w:rsidR="00FD026A" w:rsidRDefault="00923926" w:rsidP="004F342B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 w:rsidR="00AE4872" w14:paraId="161040C6" w14:textId="77777777" w:rsidTr="00AD6402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1998B" w14:textId="017DCB62" w:rsidR="00AE4872" w:rsidDel="00AE4872" w:rsidRDefault="00AE4872" w:rsidP="004F342B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1 statistical assistant</w:t>
            </w:r>
            <w:r w:rsidR="00410168">
              <w:rPr>
                <w:color w:val="000000"/>
              </w:rPr>
              <w:t xml:space="preserve"> G5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C243D" w14:textId="73A760C9" w:rsidR="00AE4872" w:rsidRPr="009D3B9C" w:rsidRDefault="00923926" w:rsidP="004F342B">
            <w:pPr>
              <w:spacing w:before="100"/>
              <w:jc w:val="right"/>
              <w:rPr>
                <w:color w:val="000000"/>
              </w:rPr>
            </w:pPr>
            <w:r w:rsidRPr="009D3B9C">
              <w:rPr>
                <w:color w:val="000000"/>
              </w:rPr>
              <w:t>101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72196" w14:textId="7738FD0C" w:rsidR="00AE4872" w:rsidRPr="009D3B9C" w:rsidRDefault="00923926" w:rsidP="004F342B">
            <w:pPr>
              <w:spacing w:before="100"/>
              <w:jc w:val="right"/>
              <w:rPr>
                <w:color w:val="000000"/>
              </w:rPr>
            </w:pPr>
            <w:r w:rsidRPr="009D3B9C">
              <w:rPr>
                <w:color w:val="000000"/>
              </w:rPr>
              <w:t>404</w:t>
            </w:r>
          </w:p>
        </w:tc>
      </w:tr>
      <w:tr w:rsidR="00FD026A" w14:paraId="2B97A3C8" w14:textId="77777777" w:rsidTr="00AD6402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5FD91" w14:textId="21282A77" w:rsidR="00FD026A" w:rsidRDefault="00AE4872" w:rsidP="004F342B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FD026A">
              <w:rPr>
                <w:color w:val="000000"/>
              </w:rPr>
              <w:t>data scientist at P4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D64B6" w14:textId="6050A347" w:rsidR="00FD026A" w:rsidRDefault="00923926" w:rsidP="004F342B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D8D6E" w14:textId="36945D7C" w:rsidR="00FD026A" w:rsidRDefault="00923926" w:rsidP="004F342B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</w:tr>
      <w:tr w:rsidR="00FD026A" w14:paraId="6992CE40" w14:textId="77777777" w:rsidTr="00AD6402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2FBEE" w14:textId="4FF3151B" w:rsidR="00FD026A" w:rsidRDefault="00AE4872" w:rsidP="004F342B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FD026A">
              <w:rPr>
                <w:color w:val="000000"/>
              </w:rPr>
              <w:t xml:space="preserve">IT specialist </w:t>
            </w:r>
            <w:r w:rsidR="009D140D">
              <w:rPr>
                <w:color w:val="000000"/>
              </w:rPr>
              <w:t>at P3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7D638" w14:textId="74D33FD3" w:rsidR="00FD026A" w:rsidRDefault="00923926" w:rsidP="004F342B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1E675" w14:textId="6744836D" w:rsidR="00FD026A" w:rsidRDefault="00923926" w:rsidP="004F342B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 w:rsidR="00FD026A" w14:paraId="0C02E8D4" w14:textId="77777777" w:rsidTr="00AE73FA">
        <w:trPr>
          <w:trHeight w:val="28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C1945" w14:textId="77777777" w:rsidR="00FD026A" w:rsidRDefault="00FD026A" w:rsidP="004F342B">
            <w:pPr>
              <w:spacing w:before="100"/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25E09" w14:textId="7A678031" w:rsidR="00FD026A" w:rsidRDefault="00FB3B49" w:rsidP="004F342B">
            <w:pPr>
              <w:spacing w:before="100"/>
              <w:jc w:val="right"/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E3D50" w14:textId="206F4CB4" w:rsidR="00FD026A" w:rsidRDefault="00FB3B49" w:rsidP="004F342B">
            <w:pPr>
              <w:spacing w:before="100"/>
              <w:jc w:val="right"/>
              <w:rPr>
                <w:b/>
                <w:bCs/>
                <w:color w:val="44546A"/>
              </w:rPr>
            </w:pPr>
            <w:r>
              <w:rPr>
                <w:b/>
                <w:bCs/>
                <w:color w:val="44546A"/>
              </w:rPr>
              <w:t>2088</w:t>
            </w:r>
          </w:p>
        </w:tc>
      </w:tr>
    </w:tbl>
    <w:p w14:paraId="4A749546" w14:textId="69F1B1C8" w:rsidR="00E96BB7" w:rsidRPr="00E96BB7" w:rsidRDefault="00E96BB7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jc w:val="both"/>
      </w:pPr>
      <w:r>
        <w:t>4.5.2</w:t>
      </w:r>
      <w:r>
        <w:tab/>
      </w:r>
      <w:r w:rsidRPr="00E96BB7">
        <w:t>These figures were not included in the draft budget for 2020-2021</w:t>
      </w:r>
      <w:r>
        <w:t>.</w:t>
      </w:r>
    </w:p>
    <w:p w14:paraId="3EBE9DEC" w14:textId="77777777" w:rsidR="00FD026A" w:rsidRPr="008F6646" w:rsidRDefault="00343C33" w:rsidP="00202F9D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</w:pPr>
      <w:r>
        <w:rPr>
          <w:b/>
          <w:bCs/>
        </w:rPr>
        <w:t>5</w:t>
      </w:r>
      <w:r w:rsidR="00FD026A" w:rsidRPr="008F6646">
        <w:rPr>
          <w:b/>
          <w:bCs/>
        </w:rPr>
        <w:t>.</w:t>
      </w:r>
      <w:r w:rsidR="00FD026A" w:rsidRPr="008F6646">
        <w:rPr>
          <w:b/>
          <w:bCs/>
        </w:rPr>
        <w:tab/>
        <w:t>Conclusion</w:t>
      </w:r>
    </w:p>
    <w:p w14:paraId="31BD34A9" w14:textId="1EF30902" w:rsidR="00FD026A" w:rsidRDefault="00FD026A" w:rsidP="00202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As countries work towards the attainment of the Sustainable Development Goals (SDGs) by 2030, measurement of the Information Society </w:t>
      </w:r>
      <w:r w:rsidR="004659A9">
        <w:rPr>
          <w:color w:val="000000" w:themeColor="text1"/>
        </w:rPr>
        <w:t xml:space="preserve">and Digital Economy </w:t>
      </w:r>
      <w:r>
        <w:rPr>
          <w:color w:val="000000" w:themeColor="text1"/>
        </w:rPr>
        <w:t xml:space="preserve">is of critical importance </w:t>
      </w:r>
      <w:r w:rsidR="004659A9">
        <w:rPr>
          <w:color w:val="000000" w:themeColor="text1"/>
        </w:rPr>
        <w:t xml:space="preserve">given the catalytic role </w:t>
      </w:r>
      <w:r>
        <w:rPr>
          <w:color w:val="000000" w:themeColor="text1"/>
        </w:rPr>
        <w:t xml:space="preserve">ICTs play in the </w:t>
      </w:r>
      <w:r w:rsidR="004659A9">
        <w:rPr>
          <w:color w:val="000000" w:themeColor="text1"/>
        </w:rPr>
        <w:t xml:space="preserve">social and economic </w:t>
      </w:r>
      <w:r>
        <w:rPr>
          <w:color w:val="000000" w:themeColor="text1"/>
        </w:rPr>
        <w:t>development of countries. ITU</w:t>
      </w:r>
      <w:r w:rsidR="00991188">
        <w:rPr>
          <w:color w:val="000000" w:themeColor="text1"/>
        </w:rPr>
        <w:t>’</w:t>
      </w:r>
      <w:r>
        <w:rPr>
          <w:color w:val="000000" w:themeColor="text1"/>
        </w:rPr>
        <w:t xml:space="preserve">s work on ICT indicators </w:t>
      </w:r>
      <w:r w:rsidR="001841D6">
        <w:rPr>
          <w:color w:val="000000" w:themeColor="text1"/>
        </w:rPr>
        <w:t>requires</w:t>
      </w:r>
      <w:r>
        <w:rPr>
          <w:color w:val="000000" w:themeColor="text1"/>
        </w:rPr>
        <w:t xml:space="preserve"> continuous improvement in terms of data collection, analysis, and reporting in order for it to </w:t>
      </w:r>
      <w:r w:rsidR="004659A9">
        <w:rPr>
          <w:color w:val="000000" w:themeColor="text1"/>
        </w:rPr>
        <w:t>remain valuable</w:t>
      </w:r>
      <w:r>
        <w:rPr>
          <w:color w:val="000000" w:themeColor="text1"/>
        </w:rPr>
        <w:t xml:space="preserve"> to countries</w:t>
      </w:r>
      <w:r w:rsidR="00D8166D">
        <w:rPr>
          <w:color w:val="000000" w:themeColor="text1"/>
        </w:rPr>
        <w:t xml:space="preserve"> as well as the</w:t>
      </w:r>
      <w:r>
        <w:rPr>
          <w:color w:val="000000" w:themeColor="text1"/>
        </w:rPr>
        <w:t xml:space="preserve"> private sector</w:t>
      </w:r>
      <w:r w:rsidR="004659A9">
        <w:rPr>
          <w:color w:val="000000" w:themeColor="text1"/>
        </w:rPr>
        <w:t>, other international agencies and the research community</w:t>
      </w:r>
      <w:r>
        <w:rPr>
          <w:color w:val="000000" w:themeColor="text1"/>
        </w:rPr>
        <w:t>.</w:t>
      </w:r>
    </w:p>
    <w:p w14:paraId="429A0DA3" w14:textId="77777777" w:rsidR="00FD026A" w:rsidRPr="004377DA" w:rsidRDefault="00FD026A" w:rsidP="00202F9D">
      <w:pPr>
        <w:spacing w:before="840"/>
        <w:jc w:val="center"/>
        <w:rPr>
          <w:sz w:val="16"/>
          <w:szCs w:val="16"/>
        </w:rPr>
      </w:pPr>
      <w:r w:rsidRPr="004377DA">
        <w:rPr>
          <w:sz w:val="16"/>
          <w:szCs w:val="16"/>
        </w:rPr>
        <w:t>___________________</w:t>
      </w:r>
    </w:p>
    <w:sectPr w:rsidR="00FD026A" w:rsidRPr="004377DA" w:rsidSect="004D1851">
      <w:head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AB54B" w14:textId="77777777" w:rsidR="007A512B" w:rsidRDefault="007A512B">
      <w:r>
        <w:separator/>
      </w:r>
    </w:p>
  </w:endnote>
  <w:endnote w:type="continuationSeparator" w:id="0">
    <w:p w14:paraId="4D8B321D" w14:textId="77777777" w:rsidR="007A512B" w:rsidRDefault="007A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656B0" w14:textId="77777777" w:rsidR="00322D0D" w:rsidRPr="009D3B9C" w:rsidRDefault="00322D0D">
    <w:pPr>
      <w:spacing w:after="120"/>
      <w:jc w:val="center"/>
    </w:pPr>
    <w:r w:rsidRPr="009D3B9C">
      <w:t xml:space="preserve">• </w:t>
    </w:r>
    <w:hyperlink r:id="rId1" w:history="1">
      <w:r w:rsidRPr="009D3B9C">
        <w:rPr>
          <w:rStyle w:val="Hyperlink"/>
        </w:rPr>
        <w:t>http://www.itu.int/council</w:t>
      </w:r>
    </w:hyperlink>
    <w:r w:rsidRPr="009D3B9C">
      <w:t xml:space="preserve"> •</w:t>
    </w:r>
  </w:p>
  <w:p w14:paraId="21E88B1C" w14:textId="5591AD97" w:rsidR="00322D0D" w:rsidRPr="009D3B9C" w:rsidRDefault="00FA4575" w:rsidP="00FA4575">
    <w:pPr>
      <w:pStyle w:val="Footer"/>
      <w:rPr>
        <w:color w:val="D9D9D9" w:themeColor="background1" w:themeShade="D9"/>
      </w:rPr>
    </w:pPr>
    <w:r w:rsidRPr="009D3B9C">
      <w:rPr>
        <w:color w:val="D9D9D9" w:themeColor="background1" w:themeShade="D9"/>
      </w:rPr>
      <w:fldChar w:fldCharType="begin"/>
    </w:r>
    <w:r w:rsidRPr="009D3B9C">
      <w:rPr>
        <w:color w:val="D9D9D9" w:themeColor="background1" w:themeShade="D9"/>
      </w:rPr>
      <w:instrText xml:space="preserve"> FILENAME \p  \* MERGEFORMAT </w:instrText>
    </w:r>
    <w:r w:rsidRPr="009D3B9C">
      <w:rPr>
        <w:color w:val="D9D9D9" w:themeColor="background1" w:themeShade="D9"/>
      </w:rPr>
      <w:fldChar w:fldCharType="separate"/>
    </w:r>
    <w:r w:rsidR="001859E0" w:rsidRPr="009D3B9C">
      <w:rPr>
        <w:color w:val="D9D9D9" w:themeColor="background1" w:themeShade="D9"/>
      </w:rPr>
      <w:t>Document1</w:t>
    </w:r>
    <w:r w:rsidRPr="009D3B9C">
      <w:rPr>
        <w:color w:val="D9D9D9" w:themeColor="background1" w:themeShade="D9"/>
      </w:rPr>
      <w:fldChar w:fldCharType="end"/>
    </w:r>
    <w:r w:rsidR="00322D0D" w:rsidRPr="009D3B9C">
      <w:rPr>
        <w:color w:val="D9D9D9" w:themeColor="background1" w:themeShade="D9"/>
      </w:rPr>
      <w:tab/>
    </w:r>
    <w:r w:rsidRPr="009D3B9C">
      <w:rPr>
        <w:color w:val="D9D9D9" w:themeColor="background1" w:themeShade="D9"/>
      </w:rPr>
      <w:tab/>
    </w:r>
    <w:r w:rsidR="009D3B9C" w:rsidRPr="009D3B9C">
      <w:rPr>
        <w:color w:val="D9D9D9" w:themeColor="background1" w:themeShade="D9"/>
      </w:rPr>
      <w:fldChar w:fldCharType="begin"/>
    </w:r>
    <w:r w:rsidR="009D3B9C" w:rsidRPr="009D3B9C">
      <w:rPr>
        <w:color w:val="D9D9D9" w:themeColor="background1" w:themeShade="D9"/>
      </w:rPr>
      <w:instrText xml:space="preserve"> DATE   \* MERGEFORMAT </w:instrText>
    </w:r>
    <w:r w:rsidR="009D3B9C" w:rsidRPr="009D3B9C">
      <w:rPr>
        <w:color w:val="D9D9D9" w:themeColor="background1" w:themeShade="D9"/>
      </w:rPr>
      <w:fldChar w:fldCharType="separate"/>
    </w:r>
    <w:r w:rsidR="00B833DF">
      <w:rPr>
        <w:color w:val="D9D9D9" w:themeColor="background1" w:themeShade="D9"/>
      </w:rPr>
      <w:t>10/05/2019</w:t>
    </w:r>
    <w:r w:rsidR="009D3B9C" w:rsidRPr="009D3B9C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6010C" w14:textId="77777777" w:rsidR="007A512B" w:rsidRDefault="007A512B">
      <w:r>
        <w:t>____________________</w:t>
      </w:r>
    </w:p>
  </w:footnote>
  <w:footnote w:type="continuationSeparator" w:id="0">
    <w:p w14:paraId="4A32D38D" w14:textId="77777777" w:rsidR="007A512B" w:rsidRDefault="007A512B">
      <w:r>
        <w:continuationSeparator/>
      </w:r>
    </w:p>
  </w:footnote>
  <w:footnote w:id="1">
    <w:p w14:paraId="09CB1650" w14:textId="0AB0DD93" w:rsidR="006F7765" w:rsidRPr="006F7765" w:rsidRDefault="006F7765" w:rsidP="00202F9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D3B9C">
        <w:tab/>
      </w:r>
      <w:hyperlink r:id="rId1" w:history="1">
        <w:r w:rsidRPr="009D3B9C">
          <w:rPr>
            <w:rStyle w:val="Hyperlink"/>
            <w:sz w:val="20"/>
          </w:rPr>
          <w:t>https://www.itu.int/en/ITU-D/Statistics/Pages/events/egh2018/default.aspx</w:t>
        </w:r>
      </w:hyperlink>
      <w:r w:rsidRPr="009D3B9C">
        <w:rPr>
          <w:sz w:val="20"/>
        </w:rPr>
        <w:t xml:space="preserve">; and </w:t>
      </w:r>
      <w:r w:rsidR="00202F9D">
        <w:rPr>
          <w:sz w:val="20"/>
        </w:rPr>
        <w:br/>
      </w:r>
      <w:hyperlink r:id="rId2" w:history="1">
        <w:r w:rsidRPr="009D3B9C">
          <w:rPr>
            <w:rStyle w:val="Hyperlink"/>
            <w:sz w:val="20"/>
          </w:rPr>
          <w:t>https://www.itu.int/en/ITU-D/Statistics/Pages/events/egti2018/default.aspx</w:t>
        </w:r>
      </w:hyperlink>
    </w:p>
  </w:footnote>
  <w:footnote w:id="2">
    <w:p w14:paraId="567871C0" w14:textId="27E618A8" w:rsidR="00E517F5" w:rsidRPr="001B5B79" w:rsidRDefault="00E517F5" w:rsidP="00202F9D">
      <w:pPr>
        <w:pStyle w:val="FootnoteText"/>
        <w:spacing w:before="6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0F6278">
        <w:tab/>
      </w:r>
      <w:r w:rsidR="000F6278" w:rsidRPr="000F6278">
        <w:rPr>
          <w:sz w:val="20"/>
        </w:rPr>
        <w:t xml:space="preserve">ITU launched a pilot big data projects in six countries seeking to explore the possibility of getting big data to complement current statistical data sources. For more details: </w:t>
      </w:r>
      <w:r w:rsidR="00202F9D">
        <w:rPr>
          <w:sz w:val="20"/>
        </w:rPr>
        <w:br/>
      </w:r>
      <w:hyperlink r:id="rId3" w:history="1">
        <w:r w:rsidR="000F6278" w:rsidRPr="00416169">
          <w:rPr>
            <w:rStyle w:val="Hyperlink"/>
            <w:sz w:val="20"/>
          </w:rPr>
          <w:t>https://www.itu.int/en/ITU-D/Statistics/Documents/events/wtis2016/BigData_Tiru.pdf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D7154" w14:textId="4472A31F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B833DF">
      <w:rPr>
        <w:noProof/>
      </w:rPr>
      <w:t>4</w:t>
    </w:r>
    <w:r>
      <w:rPr>
        <w:noProof/>
      </w:rPr>
      <w:fldChar w:fldCharType="end"/>
    </w:r>
  </w:p>
  <w:p w14:paraId="2CE17184" w14:textId="19D2B94D" w:rsidR="00322D0D" w:rsidRPr="00623AE3" w:rsidRDefault="00FA4575" w:rsidP="009D3B9C">
    <w:pPr>
      <w:pStyle w:val="Header"/>
      <w:rPr>
        <w:bCs/>
      </w:rPr>
    </w:pPr>
    <w:r w:rsidRPr="009D3B9C">
      <w:rPr>
        <w:bCs/>
      </w:rPr>
      <w:t>C19</w:t>
    </w:r>
    <w:r w:rsidR="00623AE3" w:rsidRPr="009D3B9C">
      <w:rPr>
        <w:bCs/>
      </w:rPr>
      <w:t>/</w:t>
    </w:r>
    <w:r w:rsidR="009D3B9C" w:rsidRPr="009D3B9C">
      <w:rPr>
        <w:bCs/>
      </w:rPr>
      <w:t>10</w:t>
    </w:r>
    <w:r w:rsidR="00623AE3" w:rsidRPr="009D3B9C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10903"/>
    <w:multiLevelType w:val="hybridMultilevel"/>
    <w:tmpl w:val="C5B667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DD30E6"/>
    <w:multiLevelType w:val="hybridMultilevel"/>
    <w:tmpl w:val="7B96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63A4"/>
    <w:multiLevelType w:val="hybridMultilevel"/>
    <w:tmpl w:val="8368B894"/>
    <w:lvl w:ilvl="0" w:tplc="36F003F8">
      <w:numFmt w:val="bullet"/>
      <w:lvlText w:val="•"/>
      <w:lvlJc w:val="left"/>
      <w:pPr>
        <w:ind w:left="-480" w:hanging="435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4" w15:restartNumberingAfterBreak="0">
    <w:nsid w:val="0D105D66"/>
    <w:multiLevelType w:val="hybridMultilevel"/>
    <w:tmpl w:val="60865D68"/>
    <w:lvl w:ilvl="0" w:tplc="B61E1928">
      <w:start w:val="9"/>
      <w:numFmt w:val="bullet"/>
      <w:lvlText w:val="-"/>
      <w:lvlJc w:val="left"/>
      <w:pPr>
        <w:ind w:left="320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5" w15:restartNumberingAfterBreak="0">
    <w:nsid w:val="2CBB3094"/>
    <w:multiLevelType w:val="multilevel"/>
    <w:tmpl w:val="60865D68"/>
    <w:lvl w:ilvl="0">
      <w:start w:val="9"/>
      <w:numFmt w:val="bullet"/>
      <w:lvlText w:val="-"/>
      <w:lvlJc w:val="left"/>
      <w:pPr>
        <w:ind w:left="3204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" w15:restartNumberingAfterBreak="0">
    <w:nsid w:val="498A0616"/>
    <w:multiLevelType w:val="hybridMultilevel"/>
    <w:tmpl w:val="8B5E3F6C"/>
    <w:lvl w:ilvl="0" w:tplc="D95088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3B1"/>
    <w:multiLevelType w:val="hybridMultilevel"/>
    <w:tmpl w:val="4F66751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6977BFD"/>
    <w:multiLevelType w:val="hybridMultilevel"/>
    <w:tmpl w:val="D11E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3988"/>
    <w:multiLevelType w:val="multilevel"/>
    <w:tmpl w:val="8368B894"/>
    <w:lvl w:ilvl="0">
      <w:numFmt w:val="bullet"/>
      <w:lvlText w:val="•"/>
      <w:lvlJc w:val="left"/>
      <w:pPr>
        <w:ind w:left="-480" w:hanging="435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223FE"/>
    <w:rsid w:val="00032405"/>
    <w:rsid w:val="00062A3E"/>
    <w:rsid w:val="00063016"/>
    <w:rsid w:val="00066795"/>
    <w:rsid w:val="00070830"/>
    <w:rsid w:val="00076AF6"/>
    <w:rsid w:val="00085CF2"/>
    <w:rsid w:val="000A7C4D"/>
    <w:rsid w:val="000A7F7E"/>
    <w:rsid w:val="000B1705"/>
    <w:rsid w:val="000D75B2"/>
    <w:rsid w:val="000E0A38"/>
    <w:rsid w:val="000E311A"/>
    <w:rsid w:val="000E564E"/>
    <w:rsid w:val="000F6278"/>
    <w:rsid w:val="00105BFE"/>
    <w:rsid w:val="001121F5"/>
    <w:rsid w:val="00120016"/>
    <w:rsid w:val="001400DC"/>
    <w:rsid w:val="00140CE1"/>
    <w:rsid w:val="00152D3C"/>
    <w:rsid w:val="001540E6"/>
    <w:rsid w:val="00154D72"/>
    <w:rsid w:val="0017539C"/>
    <w:rsid w:val="00175AC2"/>
    <w:rsid w:val="0017609F"/>
    <w:rsid w:val="001841D6"/>
    <w:rsid w:val="001859E0"/>
    <w:rsid w:val="001C628E"/>
    <w:rsid w:val="001E0F7B"/>
    <w:rsid w:val="00202F9D"/>
    <w:rsid w:val="002119FD"/>
    <w:rsid w:val="002130E0"/>
    <w:rsid w:val="002201AF"/>
    <w:rsid w:val="00235C2B"/>
    <w:rsid w:val="0026021E"/>
    <w:rsid w:val="00264425"/>
    <w:rsid w:val="00265875"/>
    <w:rsid w:val="0027303B"/>
    <w:rsid w:val="0028109B"/>
    <w:rsid w:val="00286E51"/>
    <w:rsid w:val="002A2188"/>
    <w:rsid w:val="002B1F58"/>
    <w:rsid w:val="002C1C7A"/>
    <w:rsid w:val="0030160F"/>
    <w:rsid w:val="00322D0D"/>
    <w:rsid w:val="00325F38"/>
    <w:rsid w:val="00333183"/>
    <w:rsid w:val="00343C33"/>
    <w:rsid w:val="00355F0D"/>
    <w:rsid w:val="00365610"/>
    <w:rsid w:val="003942D4"/>
    <w:rsid w:val="003958A8"/>
    <w:rsid w:val="003A3F10"/>
    <w:rsid w:val="003B1591"/>
    <w:rsid w:val="003C2533"/>
    <w:rsid w:val="003E4CD1"/>
    <w:rsid w:val="0040435A"/>
    <w:rsid w:val="00410168"/>
    <w:rsid w:val="0041303B"/>
    <w:rsid w:val="00416A24"/>
    <w:rsid w:val="00424D27"/>
    <w:rsid w:val="00431D9E"/>
    <w:rsid w:val="00433CE8"/>
    <w:rsid w:val="00434A5C"/>
    <w:rsid w:val="004544D9"/>
    <w:rsid w:val="004659A9"/>
    <w:rsid w:val="004713BF"/>
    <w:rsid w:val="00490E72"/>
    <w:rsid w:val="00491157"/>
    <w:rsid w:val="004921C8"/>
    <w:rsid w:val="004A6A7B"/>
    <w:rsid w:val="004D001A"/>
    <w:rsid w:val="004D1851"/>
    <w:rsid w:val="004D599D"/>
    <w:rsid w:val="004E2EA5"/>
    <w:rsid w:val="004E3AEB"/>
    <w:rsid w:val="004F342B"/>
    <w:rsid w:val="0050223C"/>
    <w:rsid w:val="00504974"/>
    <w:rsid w:val="005209DC"/>
    <w:rsid w:val="005243FF"/>
    <w:rsid w:val="00564FBC"/>
    <w:rsid w:val="0056562C"/>
    <w:rsid w:val="00582442"/>
    <w:rsid w:val="005D5918"/>
    <w:rsid w:val="005E03C5"/>
    <w:rsid w:val="005E14A4"/>
    <w:rsid w:val="005E591F"/>
    <w:rsid w:val="005F3269"/>
    <w:rsid w:val="00623AE3"/>
    <w:rsid w:val="00626128"/>
    <w:rsid w:val="0064546B"/>
    <w:rsid w:val="0064737F"/>
    <w:rsid w:val="006535F1"/>
    <w:rsid w:val="0065557D"/>
    <w:rsid w:val="00662984"/>
    <w:rsid w:val="006716BB"/>
    <w:rsid w:val="006832C5"/>
    <w:rsid w:val="006A5801"/>
    <w:rsid w:val="006B6680"/>
    <w:rsid w:val="006B6DCC"/>
    <w:rsid w:val="006C1372"/>
    <w:rsid w:val="006F7765"/>
    <w:rsid w:val="00702DEF"/>
    <w:rsid w:val="00706861"/>
    <w:rsid w:val="00735391"/>
    <w:rsid w:val="007367D8"/>
    <w:rsid w:val="0075051B"/>
    <w:rsid w:val="0076330D"/>
    <w:rsid w:val="00792557"/>
    <w:rsid w:val="00793188"/>
    <w:rsid w:val="00794D34"/>
    <w:rsid w:val="007A2B08"/>
    <w:rsid w:val="007A512B"/>
    <w:rsid w:val="00807402"/>
    <w:rsid w:val="00813E5E"/>
    <w:rsid w:val="00820959"/>
    <w:rsid w:val="0083581B"/>
    <w:rsid w:val="00863757"/>
    <w:rsid w:val="00864AFF"/>
    <w:rsid w:val="008B4A6A"/>
    <w:rsid w:val="008C5B56"/>
    <w:rsid w:val="008C7E27"/>
    <w:rsid w:val="008E3D14"/>
    <w:rsid w:val="008F3D52"/>
    <w:rsid w:val="009173EF"/>
    <w:rsid w:val="009229D9"/>
    <w:rsid w:val="00923926"/>
    <w:rsid w:val="00932906"/>
    <w:rsid w:val="00947480"/>
    <w:rsid w:val="009617C3"/>
    <w:rsid w:val="00961B0B"/>
    <w:rsid w:val="009859C9"/>
    <w:rsid w:val="00991188"/>
    <w:rsid w:val="009B38C3"/>
    <w:rsid w:val="009D140D"/>
    <w:rsid w:val="009D3B9C"/>
    <w:rsid w:val="009E17BD"/>
    <w:rsid w:val="009E485A"/>
    <w:rsid w:val="00A027EA"/>
    <w:rsid w:val="00A04CEC"/>
    <w:rsid w:val="00A15904"/>
    <w:rsid w:val="00A27F92"/>
    <w:rsid w:val="00A32257"/>
    <w:rsid w:val="00A36D20"/>
    <w:rsid w:val="00A451E2"/>
    <w:rsid w:val="00A55622"/>
    <w:rsid w:val="00A83502"/>
    <w:rsid w:val="00A94E75"/>
    <w:rsid w:val="00AC1BA5"/>
    <w:rsid w:val="00AC2749"/>
    <w:rsid w:val="00AD15B3"/>
    <w:rsid w:val="00AD6402"/>
    <w:rsid w:val="00AE2D82"/>
    <w:rsid w:val="00AE34B6"/>
    <w:rsid w:val="00AE4872"/>
    <w:rsid w:val="00AF6E49"/>
    <w:rsid w:val="00B04A67"/>
    <w:rsid w:val="00B0583C"/>
    <w:rsid w:val="00B366D5"/>
    <w:rsid w:val="00B40A81"/>
    <w:rsid w:val="00B44910"/>
    <w:rsid w:val="00B57C5E"/>
    <w:rsid w:val="00B72267"/>
    <w:rsid w:val="00B76EB6"/>
    <w:rsid w:val="00B7737B"/>
    <w:rsid w:val="00B80A6B"/>
    <w:rsid w:val="00B824C8"/>
    <w:rsid w:val="00B833DF"/>
    <w:rsid w:val="00B92606"/>
    <w:rsid w:val="00BA6A35"/>
    <w:rsid w:val="00BC1CE6"/>
    <w:rsid w:val="00BC251A"/>
    <w:rsid w:val="00BD032B"/>
    <w:rsid w:val="00BD0FC9"/>
    <w:rsid w:val="00BE2640"/>
    <w:rsid w:val="00C01189"/>
    <w:rsid w:val="00C3243D"/>
    <w:rsid w:val="00C374DE"/>
    <w:rsid w:val="00C47AD4"/>
    <w:rsid w:val="00C52D81"/>
    <w:rsid w:val="00C55198"/>
    <w:rsid w:val="00C74278"/>
    <w:rsid w:val="00C81136"/>
    <w:rsid w:val="00C84B0C"/>
    <w:rsid w:val="00C96253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474C7"/>
    <w:rsid w:val="00D65041"/>
    <w:rsid w:val="00D724CE"/>
    <w:rsid w:val="00D8166D"/>
    <w:rsid w:val="00D8249A"/>
    <w:rsid w:val="00D947D8"/>
    <w:rsid w:val="00DA0577"/>
    <w:rsid w:val="00DB384B"/>
    <w:rsid w:val="00E10E80"/>
    <w:rsid w:val="00E124F0"/>
    <w:rsid w:val="00E352B5"/>
    <w:rsid w:val="00E517F5"/>
    <w:rsid w:val="00E60F04"/>
    <w:rsid w:val="00E854E4"/>
    <w:rsid w:val="00E96BB7"/>
    <w:rsid w:val="00EA3F03"/>
    <w:rsid w:val="00EB0D6F"/>
    <w:rsid w:val="00EB2232"/>
    <w:rsid w:val="00EC5337"/>
    <w:rsid w:val="00ED77A7"/>
    <w:rsid w:val="00EF4958"/>
    <w:rsid w:val="00EF78A6"/>
    <w:rsid w:val="00F13CAC"/>
    <w:rsid w:val="00F2150A"/>
    <w:rsid w:val="00F21AFA"/>
    <w:rsid w:val="00F231D8"/>
    <w:rsid w:val="00F46C5F"/>
    <w:rsid w:val="00F66AE5"/>
    <w:rsid w:val="00F74F27"/>
    <w:rsid w:val="00F93471"/>
    <w:rsid w:val="00F93A1A"/>
    <w:rsid w:val="00F94A63"/>
    <w:rsid w:val="00FA1C28"/>
    <w:rsid w:val="00FA4575"/>
    <w:rsid w:val="00FA6314"/>
    <w:rsid w:val="00FB3B49"/>
    <w:rsid w:val="00FB52C6"/>
    <w:rsid w:val="00FB7596"/>
    <w:rsid w:val="00FD026A"/>
    <w:rsid w:val="00FE1364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F78415A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FD026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026A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FD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26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F74F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4F2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4F2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4F27"/>
    <w:rPr>
      <w:rFonts w:ascii="Calibri" w:hAnsi="Calibr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140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Statistics/Pages/events/wtis2018/default.aspx" TargetMode="External"/><Relationship Id="rId18" Type="http://schemas.openxmlformats.org/officeDocument/2006/relationships/hyperlink" Target="https://www.wto.org/english/thewto_e/secre_e/intro_e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mf.org/external/about/staff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Conferences/WTDC/WTDC17/Documents/WTDC17_final_report_en.pdf" TargetMode="External"/><Relationship Id="rId17" Type="http://schemas.openxmlformats.org/officeDocument/2006/relationships/hyperlink" Target="http://www.worldbank.org/en/news/infographic/2015/10/27/where-is-staff-fr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nsystem.org/content/total-staff-organization" TargetMode="External"/><Relationship Id="rId20" Type="http://schemas.openxmlformats.org/officeDocument/2006/relationships/hyperlink" Target="http://www.oecd.org/about/whodoeswha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05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nstats.un.org/unsd/accsub-public/members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8-CL-C-0096/en" TargetMode="External"/><Relationship Id="rId19" Type="http://schemas.openxmlformats.org/officeDocument/2006/relationships/hyperlink" Target="https://unctad.org/en/PublicationsLibrary/osgciomisc2017_en.pdf?user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31-E.pdf" TargetMode="External"/><Relationship Id="rId14" Type="http://schemas.openxmlformats.org/officeDocument/2006/relationships/hyperlink" Target="https://www.itu.int/en/ITU-D/Statistics/Pages/intlcoop/default.asp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Statistics/Documents/events/wtis2016/BigData_Tiru.pdf" TargetMode="External"/><Relationship Id="rId2" Type="http://schemas.openxmlformats.org/officeDocument/2006/relationships/hyperlink" Target="https://www.itu.int/en/ITU-D/Statistics/Pages/events/egti2018/default.aspx" TargetMode="External"/><Relationship Id="rId1" Type="http://schemas.openxmlformats.org/officeDocument/2006/relationships/hyperlink" Target="https://www.itu.int/en/ITU-D/Statistics/Pages/events/egh2018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8E22-D493-4282-B163-CF03B3AF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8257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Resolution 131 (Rev. Dubai, 2018) – Measuring ICTs to build an integrating and inclusive information society</vt:lpstr>
    </vt:vector>
  </TitlesOfParts>
  <Manager>General Secretariat - Pool</Manager>
  <Company>International Telecommunication Union (ITU)</Company>
  <LinksUpToDate>false</LinksUpToDate>
  <CharactersWithSpaces>9395</CharactersWithSpaces>
  <SharedDoc>false</SharedDoc>
  <HyperlinkBase/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Resolution 131 (Rev. Dubai, 2018) – Measuring ICTs to build an integrating and inclusive information society</dc:title>
  <dc:subject>Council 2019</dc:subject>
  <dc:creator>Brouard, Ricarda</dc:creator>
  <cp:keywords>C2019, C19</cp:keywords>
  <dc:description/>
  <cp:lastModifiedBy>Brouard, Ricarda</cp:lastModifiedBy>
  <cp:revision>2</cp:revision>
  <cp:lastPrinted>2000-07-18T13:30:00Z</cp:lastPrinted>
  <dcterms:created xsi:type="dcterms:W3CDTF">2019-05-10T14:03:00Z</dcterms:created>
  <dcterms:modified xsi:type="dcterms:W3CDTF">2019-05-10T14:03:00Z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