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ال‍مجلس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val="en-GB"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C27D3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C27D3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11038C" w:rsidRPr="00290728" w:rsidTr="00C27D38">
        <w:trPr>
          <w:cantSplit/>
        </w:trPr>
        <w:tc>
          <w:tcPr>
            <w:tcW w:w="6620" w:type="dxa"/>
          </w:tcPr>
          <w:p w:rsidR="0011038C" w:rsidRPr="005A3170" w:rsidRDefault="0011038C" w:rsidP="00452BFF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 xml:space="preserve">بند جدول الأعمال: </w:t>
            </w:r>
            <w:r w:rsidRPr="00764620">
              <w:rPr>
                <w:b/>
              </w:rPr>
              <w:t>ADM</w:t>
            </w:r>
            <w:r w:rsidR="00452BFF">
              <w:rPr>
                <w:b/>
              </w:rPr>
              <w:t> </w:t>
            </w:r>
            <w:r w:rsidRPr="00764620">
              <w:rPr>
                <w:b/>
              </w:rPr>
              <w:t>1</w:t>
            </w:r>
          </w:p>
        </w:tc>
        <w:tc>
          <w:tcPr>
            <w:tcW w:w="3052" w:type="dxa"/>
            <w:vAlign w:val="center"/>
          </w:tcPr>
          <w:p w:rsidR="0011038C" w:rsidRPr="00290728" w:rsidRDefault="0011038C" w:rsidP="0011038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11038C" w:rsidRPr="00290728" w:rsidTr="00C27D38">
        <w:trPr>
          <w:cantSplit/>
        </w:trPr>
        <w:tc>
          <w:tcPr>
            <w:tcW w:w="6620" w:type="dxa"/>
          </w:tcPr>
          <w:p w:rsidR="0011038C" w:rsidRPr="00290728" w:rsidRDefault="0011038C" w:rsidP="0011038C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11038C" w:rsidRPr="00CC6AB4" w:rsidRDefault="0011038C" w:rsidP="0011038C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CC6AB4">
              <w:rPr>
                <w:b/>
                <w:bCs/>
                <w:lang w:bidi="ar-SY"/>
              </w:rPr>
              <w:t>1</w:t>
            </w:r>
            <w:r w:rsidRPr="00CC6AB4">
              <w:rPr>
                <w:rFonts w:hint="cs"/>
                <w:b/>
                <w:bCs/>
                <w:rtl/>
                <w:lang w:bidi="ar-EG"/>
              </w:rPr>
              <w:t xml:space="preserve"> أبريل </w:t>
            </w:r>
            <w:r w:rsidRPr="00CC6AB4">
              <w:rPr>
                <w:b/>
                <w:bCs/>
                <w:lang w:bidi="ar-SY"/>
              </w:rPr>
              <w:t>2019</w:t>
            </w:r>
          </w:p>
        </w:tc>
      </w:tr>
      <w:tr w:rsidR="0011038C" w:rsidRPr="00290728" w:rsidTr="00C27D38">
        <w:trPr>
          <w:cantSplit/>
        </w:trPr>
        <w:tc>
          <w:tcPr>
            <w:tcW w:w="6620" w:type="dxa"/>
          </w:tcPr>
          <w:p w:rsidR="0011038C" w:rsidRPr="0069200F" w:rsidRDefault="0011038C" w:rsidP="0011038C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11038C" w:rsidRPr="00290728" w:rsidRDefault="0011038C" w:rsidP="0011038C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>
              <w:rPr>
                <w:b/>
                <w:bCs/>
                <w:rtl/>
                <w:lang w:bidi="ar-EG"/>
              </w:rPr>
              <w:t>الأصل: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بالإنكليزية</w:t>
            </w:r>
          </w:p>
        </w:tc>
      </w:tr>
      <w:tr w:rsidR="0011038C" w:rsidRPr="00290728" w:rsidTr="00C27D38">
        <w:trPr>
          <w:cantSplit/>
        </w:trPr>
        <w:tc>
          <w:tcPr>
            <w:tcW w:w="9672" w:type="dxa"/>
            <w:gridSpan w:val="2"/>
          </w:tcPr>
          <w:p w:rsidR="0011038C" w:rsidRPr="00290728" w:rsidRDefault="0011038C" w:rsidP="0011038C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</w:rPr>
              <w:t>تقرير من الأمين العام</w:t>
            </w:r>
          </w:p>
        </w:tc>
      </w:tr>
      <w:tr w:rsidR="0011038C" w:rsidRPr="00290728" w:rsidTr="00C27D38">
        <w:trPr>
          <w:cantSplit/>
        </w:trPr>
        <w:tc>
          <w:tcPr>
            <w:tcW w:w="9672" w:type="dxa"/>
            <w:gridSpan w:val="2"/>
          </w:tcPr>
          <w:p w:rsidR="0011038C" w:rsidRPr="00383829" w:rsidRDefault="0011038C" w:rsidP="0011038C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الاستعراض السنوي للإيرادات والنفقات</w:t>
            </w:r>
          </w:p>
        </w:tc>
      </w:tr>
      <w:tr w:rsidR="00A6683B" w:rsidRPr="00290728" w:rsidTr="00C27D38">
        <w:trPr>
          <w:cantSplit/>
        </w:trPr>
        <w:tc>
          <w:tcPr>
            <w:tcW w:w="9672" w:type="dxa"/>
            <w:gridSpan w:val="2"/>
          </w:tcPr>
          <w:p w:rsidR="00A6683B" w:rsidRPr="00383829" w:rsidRDefault="00A6683B" w:rsidP="00383829">
            <w:pPr>
              <w:pStyle w:val="Title2"/>
              <w:framePr w:hSpace="0" w:wrap="auto" w:yAlign="inline"/>
              <w:rPr>
                <w:rtl/>
                <w:lang w:bidi="ar-EG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11038C" w:rsidTr="00C27D38">
        <w:trPr>
          <w:jc w:val="center"/>
        </w:trPr>
        <w:tc>
          <w:tcPr>
            <w:tcW w:w="8080" w:type="dxa"/>
          </w:tcPr>
          <w:p w:rsidR="0011038C" w:rsidRPr="00290728" w:rsidRDefault="0011038C" w:rsidP="00C27D3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ملخص</w:t>
            </w:r>
          </w:p>
          <w:p w:rsidR="0011038C" w:rsidRDefault="0011038C" w:rsidP="00C27D38">
            <w:pPr>
              <w:rPr>
                <w:rtl/>
                <w:lang w:bidi="ar-SY"/>
              </w:rPr>
            </w:pPr>
            <w:r w:rsidRPr="000E6042">
              <w:rPr>
                <w:rtl/>
                <w:lang w:bidi="ar-EG"/>
              </w:rPr>
              <w:t xml:space="preserve">تقدم هذه الوثيقة </w:t>
            </w:r>
            <w:r w:rsidRPr="000E6042">
              <w:rPr>
                <w:rFonts w:hint="cs"/>
                <w:rtl/>
                <w:lang w:bidi="ar-EG"/>
              </w:rPr>
              <w:t>العناصر الرئيسية</w:t>
            </w:r>
            <w:r w:rsidRPr="000E6042">
              <w:rPr>
                <w:rtl/>
                <w:lang w:bidi="ar-EG"/>
              </w:rPr>
              <w:t xml:space="preserve"> لتنفيذ ميزانية </w:t>
            </w:r>
            <w:r>
              <w:rPr>
                <w:lang w:bidi="ar-SY"/>
              </w:rPr>
              <w:t>2019-2018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0E6042">
              <w:rPr>
                <w:rFonts w:hint="cs"/>
                <w:rtl/>
                <w:lang w:bidi="ar-EG"/>
              </w:rPr>
              <w:t>عملاً بأحكام ا</w:t>
            </w:r>
            <w:r w:rsidRPr="000E6042">
              <w:rPr>
                <w:rtl/>
                <w:lang w:bidi="ar-EG"/>
              </w:rPr>
              <w:t>لرقم </w:t>
            </w:r>
            <w:r w:rsidRPr="000E6042">
              <w:rPr>
                <w:lang w:bidi="ar-SY"/>
              </w:rPr>
              <w:t>73</w:t>
            </w:r>
            <w:r w:rsidRPr="000E6042">
              <w:rPr>
                <w:rtl/>
                <w:lang w:bidi="ar-EG"/>
              </w:rPr>
              <w:t xml:space="preserve"> من اتفاقية الاتحاد، </w:t>
            </w:r>
            <w:r>
              <w:rPr>
                <w:rtl/>
                <w:lang w:bidi="ar-EG"/>
              </w:rPr>
              <w:t>الذي ي</w:t>
            </w:r>
            <w:r>
              <w:rPr>
                <w:rFonts w:hint="cs"/>
                <w:rtl/>
                <w:lang w:bidi="ar-EG"/>
              </w:rPr>
              <w:t xml:space="preserve">نص على </w:t>
            </w:r>
            <w:r w:rsidRPr="00BA674B">
              <w:rPr>
                <w:rtl/>
                <w:lang w:bidi="ar-EG"/>
              </w:rPr>
              <w:t xml:space="preserve">أن </w:t>
            </w:r>
            <w:r w:rsidRPr="00BA674B">
              <w:rPr>
                <w:rFonts w:hint="cs"/>
                <w:rtl/>
                <w:lang w:bidi="ar-EG"/>
              </w:rPr>
              <w:t>يجري</w:t>
            </w:r>
            <w:r w:rsidRPr="00BA674B">
              <w:rPr>
                <w:rtl/>
                <w:lang w:bidi="ar-EG"/>
              </w:rPr>
              <w:t xml:space="preserve"> المجلس استعراض</w:t>
            </w:r>
            <w:r w:rsidRPr="00BA674B">
              <w:rPr>
                <w:rFonts w:hint="cs"/>
                <w:rtl/>
                <w:lang w:bidi="ar-EG"/>
              </w:rPr>
              <w:t>اً</w:t>
            </w:r>
            <w:r w:rsidRPr="00BA674B">
              <w:rPr>
                <w:rtl/>
                <w:lang w:bidi="ar-EG"/>
              </w:rPr>
              <w:t xml:space="preserve"> سنوي</w:t>
            </w:r>
            <w:r w:rsidRPr="00BA674B">
              <w:rPr>
                <w:rFonts w:hint="cs"/>
                <w:rtl/>
                <w:lang w:bidi="ar-EG"/>
              </w:rPr>
              <w:t>اً</w:t>
            </w:r>
            <w:r w:rsidRPr="00BA674B">
              <w:rPr>
                <w:rtl/>
                <w:lang w:bidi="ar-EG"/>
              </w:rPr>
              <w:t xml:space="preserve"> للإيرادات والنفقات</w:t>
            </w:r>
            <w:r w:rsidRPr="00BA674B">
              <w:rPr>
                <w:rFonts w:hint="cs"/>
                <w:rtl/>
                <w:lang w:bidi="ar-EG"/>
              </w:rPr>
              <w:t>.</w:t>
            </w:r>
          </w:p>
          <w:p w:rsidR="0011038C" w:rsidRPr="00290728" w:rsidRDefault="0011038C" w:rsidP="00C27D3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الإجراء المطلوب</w:t>
            </w:r>
          </w:p>
          <w:p w:rsidR="0011038C" w:rsidRDefault="0011038C" w:rsidP="00C27D38">
            <w:pPr>
              <w:rPr>
                <w:rtl/>
                <w:lang w:bidi="ar-SY"/>
              </w:rPr>
            </w:pPr>
            <w:r w:rsidRPr="00CC6AB4">
              <w:rPr>
                <w:rtl/>
              </w:rPr>
              <w:t>يُدعى المجلس</w:t>
            </w:r>
            <w:r w:rsidRPr="00CC6AB4">
              <w:rPr>
                <w:rFonts w:hint="cs"/>
                <w:rtl/>
                <w:lang w:bidi="ar-EG"/>
              </w:rPr>
              <w:t xml:space="preserve"> إلى </w:t>
            </w:r>
            <w:r w:rsidRPr="00CC6AB4">
              <w:rPr>
                <w:rFonts w:hint="cs"/>
                <w:b/>
                <w:bCs/>
                <w:rtl/>
                <w:lang w:bidi="ar-EG"/>
              </w:rPr>
              <w:t>الإحاطة علماً</w:t>
            </w:r>
            <w:r w:rsidRPr="00CC6AB4">
              <w:rPr>
                <w:rFonts w:hint="cs"/>
                <w:rtl/>
                <w:lang w:bidi="ar-EG"/>
              </w:rPr>
              <w:t xml:space="preserve"> ب</w:t>
            </w:r>
            <w:r w:rsidRPr="00CC6AB4">
              <w:rPr>
                <w:rtl/>
              </w:rPr>
              <w:t>هذه الوثيقة</w:t>
            </w:r>
            <w:r w:rsidRPr="00CC6AB4">
              <w:rPr>
                <w:rFonts w:hint="cs"/>
                <w:rtl/>
                <w:lang w:bidi="ar-EG"/>
              </w:rPr>
              <w:t>.</w:t>
            </w:r>
          </w:p>
          <w:p w:rsidR="0011038C" w:rsidRDefault="0011038C" w:rsidP="00C27D38">
            <w:pPr>
              <w:jc w:val="center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_________</w:t>
            </w:r>
          </w:p>
          <w:p w:rsidR="0011038C" w:rsidRPr="00290728" w:rsidRDefault="0011038C" w:rsidP="00C27D38">
            <w:pPr>
              <w:rPr>
                <w:b/>
                <w:bCs/>
                <w:rtl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SY"/>
              </w:rPr>
              <w:t>المراجع</w:t>
            </w:r>
          </w:p>
          <w:p w:rsidR="0011038C" w:rsidRPr="00CC6AB4" w:rsidRDefault="00A95C45" w:rsidP="00C27D38">
            <w:pPr>
              <w:spacing w:after="120"/>
              <w:jc w:val="left"/>
              <w:rPr>
                <w:i/>
                <w:iCs/>
                <w:rtl/>
                <w:lang w:bidi="ar-EG"/>
              </w:rPr>
            </w:pPr>
            <w:hyperlink r:id="rId9" w:history="1">
              <w:r w:rsidR="0011038C" w:rsidRPr="00A95C4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المادة </w:t>
              </w:r>
              <w:r w:rsidR="0011038C" w:rsidRPr="00A95C45">
                <w:rPr>
                  <w:rStyle w:val="Hyperlink"/>
                  <w:i/>
                  <w:iCs/>
                  <w:lang w:bidi="ar-SY"/>
                </w:rPr>
                <w:t>4</w:t>
              </w:r>
              <w:r w:rsidR="0011038C" w:rsidRPr="00A95C45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من الاتفاقية (الرقم </w:t>
              </w:r>
              <w:r w:rsidR="0011038C" w:rsidRPr="00A95C45">
                <w:rPr>
                  <w:rStyle w:val="Hyperlink"/>
                  <w:rFonts w:cs="Calibri"/>
                  <w:i/>
                  <w:iCs/>
                  <w:szCs w:val="22"/>
                  <w:rtl/>
                  <w:lang w:bidi="ar-SY"/>
                </w:rPr>
                <w:t>7</w:t>
              </w:r>
              <w:r w:rsidR="0011038C" w:rsidRPr="00A95C45">
                <w:rPr>
                  <w:rStyle w:val="Hyperlink"/>
                  <w:rFonts w:cs="Calibri"/>
                  <w:i/>
                  <w:iCs/>
                  <w:szCs w:val="22"/>
                  <w:rtl/>
                  <w:lang w:bidi="ar-EG"/>
                </w:rPr>
                <w:t>3</w:t>
              </w:r>
            </w:hyperlink>
            <w:bookmarkStart w:id="1" w:name="_GoBack"/>
            <w:bookmarkEnd w:id="1"/>
            <w:r w:rsidR="0011038C" w:rsidRPr="00A95C45">
              <w:rPr>
                <w:rStyle w:val="Hyperlink"/>
                <w:rFonts w:hint="cs"/>
                <w:i/>
                <w:iCs/>
                <w:rtl/>
                <w:lang w:bidi="ar-EG"/>
              </w:rPr>
              <w:t>)</w:t>
            </w:r>
            <w:r w:rsidR="0011038C" w:rsidRPr="00CC6AB4">
              <w:rPr>
                <w:rFonts w:hint="cs"/>
                <w:i/>
                <w:iCs/>
                <w:rtl/>
                <w:lang w:bidi="ar-EG"/>
              </w:rPr>
              <w:t>؛</w:t>
            </w:r>
          </w:p>
          <w:p w:rsidR="0011038C" w:rsidRPr="00290728" w:rsidRDefault="00A95C45" w:rsidP="00C27D38">
            <w:pPr>
              <w:spacing w:after="120"/>
              <w:jc w:val="left"/>
              <w:rPr>
                <w:i/>
                <w:iCs/>
                <w:rtl/>
                <w:lang w:bidi="ar-SY"/>
              </w:rPr>
            </w:pPr>
            <w:hyperlink r:id="rId10" w:history="1">
              <w:r w:rsidR="0011038C" w:rsidRPr="00CC6AB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القرار </w:t>
              </w:r>
              <w:r w:rsidR="0011038C" w:rsidRPr="00CC6AB4">
                <w:rPr>
                  <w:rStyle w:val="Hyperlink"/>
                  <w:i/>
                  <w:iCs/>
                  <w:lang w:val="en-GB" w:bidi="ar-SY"/>
                </w:rPr>
                <w:t>1387</w:t>
              </w:r>
              <w:r w:rsidR="0011038C" w:rsidRPr="00CC6AB4">
                <w:rPr>
                  <w:rStyle w:val="Hyperlink"/>
                  <w:rFonts w:hint="cs"/>
                  <w:i/>
                  <w:iCs/>
                  <w:rtl/>
                  <w:lang w:bidi="ar-EG"/>
                </w:rPr>
                <w:t xml:space="preserve"> للمجلس</w:t>
              </w:r>
            </w:hyperlink>
            <w:r w:rsidR="0011038C" w:rsidRPr="00CC6AB4">
              <w:rPr>
                <w:rFonts w:hint="cs"/>
                <w:i/>
                <w:iCs/>
                <w:rtl/>
                <w:lang w:bidi="ar-EG"/>
              </w:rPr>
              <w:t xml:space="preserve"> (ميزانية الاتحاد لفترة السنتين </w:t>
            </w:r>
            <w:r w:rsidR="0011038C" w:rsidRPr="00CC6AB4">
              <w:rPr>
                <w:i/>
                <w:iCs/>
                <w:lang w:bidi="ar-SY"/>
              </w:rPr>
              <w:t>2019-2018</w:t>
            </w:r>
            <w:r w:rsidR="0011038C" w:rsidRPr="00CC6AB4">
              <w:rPr>
                <w:rFonts w:hint="cs"/>
                <w:i/>
                <w:iCs/>
                <w:rtl/>
                <w:lang w:bidi="ar-EG"/>
              </w:rPr>
              <w:t>).</w:t>
            </w:r>
          </w:p>
        </w:tc>
      </w:tr>
    </w:tbl>
    <w:p w:rsidR="0011038C" w:rsidRPr="000E6042" w:rsidRDefault="0011038C" w:rsidP="0011038C">
      <w:pPr>
        <w:pStyle w:val="Heading1"/>
        <w:rPr>
          <w:rFonts w:eastAsiaTheme="minorEastAsia"/>
          <w:rtl/>
        </w:rPr>
      </w:pPr>
      <w:r w:rsidRPr="000E6042">
        <w:rPr>
          <w:rFonts w:eastAsiaTheme="minorEastAsia"/>
          <w:lang w:val="en-GB" w:bidi="ar-SY"/>
        </w:rPr>
        <w:t>1</w:t>
      </w:r>
      <w:r w:rsidRPr="000E6042">
        <w:rPr>
          <w:rFonts w:eastAsiaTheme="minorEastAsia"/>
          <w:rtl/>
        </w:rPr>
        <w:tab/>
        <w:t>مقدمة</w:t>
      </w:r>
    </w:p>
    <w:p w:rsidR="0011038C" w:rsidRPr="000E6042" w:rsidRDefault="0011038C" w:rsidP="001103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0E6042">
        <w:rPr>
          <w:lang w:val="en-GB" w:bidi="ar-SY"/>
        </w:rPr>
        <w:t>1.1</w:t>
      </w:r>
      <w:r w:rsidRPr="000E6042">
        <w:rPr>
          <w:rtl/>
          <w:lang w:bidi="ar-EG"/>
        </w:rPr>
        <w:tab/>
      </w:r>
      <w:r w:rsidRPr="00BA674B">
        <w:rPr>
          <w:rFonts w:hint="cs"/>
          <w:rtl/>
          <w:lang w:bidi="ar-EG"/>
        </w:rPr>
        <w:t>الغرض</w:t>
      </w:r>
      <w:r w:rsidRPr="00BA674B">
        <w:rPr>
          <w:rtl/>
          <w:lang w:bidi="ar-EG"/>
        </w:rPr>
        <w:t xml:space="preserve"> من هذه الوثيقة هو تقديم تقرير عن حالة تنفيذ ميزانية الاتحاد</w:t>
      </w:r>
      <w:r w:rsidRPr="00BA674B">
        <w:rPr>
          <w:rFonts w:hint="cs"/>
          <w:rtl/>
          <w:lang w:bidi="ar-EG"/>
        </w:rPr>
        <w:t xml:space="preserve"> للفترة </w:t>
      </w:r>
      <w:r w:rsidRPr="00BA674B">
        <w:rPr>
          <w:lang w:bidi="ar-SY"/>
        </w:rPr>
        <w:t>2019-2018</w:t>
      </w:r>
      <w:r w:rsidRPr="00BA674B">
        <w:rPr>
          <w:rFonts w:hint="cs"/>
          <w:rtl/>
          <w:lang w:bidi="ar-EG"/>
        </w:rPr>
        <w:t xml:space="preserve"> فيما</w:t>
      </w:r>
      <w:r w:rsidRPr="00BA674B">
        <w:rPr>
          <w:rFonts w:hint="eastAsia"/>
          <w:rtl/>
          <w:lang w:bidi="ar-EG"/>
        </w:rPr>
        <w:t> </w:t>
      </w:r>
      <w:r w:rsidRPr="00BA674B">
        <w:rPr>
          <w:rFonts w:hint="cs"/>
          <w:rtl/>
          <w:lang w:bidi="ar-EG"/>
        </w:rPr>
        <w:t>يتعلق بالإيرادات</w:t>
      </w:r>
      <w:r w:rsidRPr="00BA674B">
        <w:rPr>
          <w:rFonts w:hint="eastAsia"/>
          <w:rtl/>
          <w:lang w:bidi="ar-EG"/>
        </w:rPr>
        <w:t> </w:t>
      </w:r>
      <w:r w:rsidRPr="00BA674B">
        <w:rPr>
          <w:rFonts w:hint="cs"/>
          <w:rtl/>
          <w:lang w:bidi="ar-EG"/>
        </w:rPr>
        <w:t>والنفقات</w:t>
      </w:r>
      <w:r w:rsidRPr="000E6042">
        <w:rPr>
          <w:rFonts w:hint="cs"/>
          <w:rtl/>
          <w:lang w:bidi="ar-EG"/>
        </w:rPr>
        <w:t>.</w:t>
      </w:r>
    </w:p>
    <w:p w:rsidR="0011038C" w:rsidRPr="00B873D2" w:rsidRDefault="0011038C" w:rsidP="0011038C">
      <w:pPr>
        <w:pStyle w:val="Heading1"/>
        <w:rPr>
          <w:rFonts w:eastAsiaTheme="minorEastAsia"/>
          <w:rtl/>
        </w:rPr>
      </w:pPr>
      <w:r w:rsidRPr="000E6042">
        <w:rPr>
          <w:rFonts w:eastAsiaTheme="minorEastAsia"/>
          <w:lang w:val="en-GB" w:bidi="ar-SY"/>
        </w:rPr>
        <w:t>2</w:t>
      </w:r>
      <w:r w:rsidRPr="000E6042">
        <w:rPr>
          <w:rFonts w:eastAsiaTheme="minorEastAsia"/>
          <w:rtl/>
        </w:rPr>
        <w:tab/>
      </w:r>
      <w:r>
        <w:rPr>
          <w:rFonts w:eastAsiaTheme="minorEastAsia" w:hint="cs"/>
          <w:rtl/>
        </w:rPr>
        <w:t xml:space="preserve">نظرة عامة عن </w:t>
      </w:r>
      <w:r w:rsidRPr="00BA674B">
        <w:rPr>
          <w:rFonts w:eastAsiaTheme="minorEastAsia"/>
          <w:rtl/>
        </w:rPr>
        <w:t>ميزانية</w:t>
      </w:r>
      <w:r w:rsidRPr="00BA674B">
        <w:rPr>
          <w:rFonts w:eastAsiaTheme="minorEastAsia" w:hint="cs"/>
          <w:rtl/>
        </w:rPr>
        <w:t xml:space="preserve"> </w:t>
      </w:r>
      <w:r w:rsidRPr="00BA674B">
        <w:rPr>
          <w:rFonts w:eastAsiaTheme="minorEastAsia"/>
          <w:lang w:bidi="ar-SY"/>
        </w:rPr>
        <w:t>2019-2018</w:t>
      </w:r>
      <w:r w:rsidRPr="00BA674B">
        <w:rPr>
          <w:rFonts w:eastAsiaTheme="minorEastAsia" w:hint="cs"/>
          <w:rtl/>
        </w:rPr>
        <w:t xml:space="preserve"> </w:t>
      </w:r>
      <w:r w:rsidRPr="00BA674B">
        <w:rPr>
          <w:rFonts w:eastAsiaTheme="minorEastAsia"/>
          <w:rtl/>
        </w:rPr>
        <w:t>(القرار </w:t>
      </w:r>
      <w:r w:rsidRPr="00BA674B">
        <w:rPr>
          <w:rFonts w:eastAsiaTheme="minorEastAsia"/>
          <w:lang w:val="en-GB" w:bidi="ar-SY"/>
        </w:rPr>
        <w:t>1387</w:t>
      </w:r>
      <w:r w:rsidRPr="00BA674B">
        <w:rPr>
          <w:rFonts w:eastAsiaTheme="minorEastAsia"/>
          <w:rtl/>
        </w:rPr>
        <w:t>)</w:t>
      </w:r>
    </w:p>
    <w:p w:rsidR="0011038C" w:rsidRPr="00440A10" w:rsidRDefault="0011038C" w:rsidP="003E4E3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440A10">
        <w:rPr>
          <w:lang w:val="en-GB" w:bidi="ar-SY"/>
        </w:rPr>
        <w:t>1.2</w:t>
      </w:r>
      <w:r w:rsidRPr="00440A10">
        <w:rPr>
          <w:rtl/>
          <w:lang w:bidi="ar-EG"/>
        </w:rPr>
        <w:tab/>
        <w:t xml:space="preserve">اعتمد المجلس </w:t>
      </w:r>
      <w:r w:rsidRPr="00440A10">
        <w:rPr>
          <w:rFonts w:hint="cs"/>
          <w:rtl/>
          <w:lang w:bidi="ar-EG"/>
        </w:rPr>
        <w:t>في دورته لعام</w:t>
      </w:r>
      <w:r w:rsidRPr="00440A10">
        <w:rPr>
          <w:rFonts w:hint="eastAsia"/>
          <w:rtl/>
          <w:lang w:bidi="ar-EG"/>
        </w:rPr>
        <w:t> </w:t>
      </w:r>
      <w:r w:rsidRPr="00440A10">
        <w:rPr>
          <w:lang w:val="en-GB" w:bidi="ar-SY"/>
        </w:rPr>
        <w:t>2017</w:t>
      </w:r>
      <w:r w:rsidRPr="00440A10">
        <w:rPr>
          <w:rFonts w:hint="cs"/>
          <w:rtl/>
          <w:lang w:bidi="ar-EG"/>
        </w:rPr>
        <w:t xml:space="preserve">، </w:t>
      </w:r>
      <w:r w:rsidRPr="00440A10">
        <w:rPr>
          <w:rtl/>
          <w:lang w:bidi="ar-EG"/>
        </w:rPr>
        <w:t>بموجب القرار </w:t>
      </w:r>
      <w:r w:rsidRPr="00440A10">
        <w:rPr>
          <w:lang w:val="en-GB" w:bidi="ar-SY"/>
        </w:rPr>
        <w:t>1387</w:t>
      </w:r>
      <w:r w:rsidRPr="00440A10">
        <w:rPr>
          <w:rFonts w:hint="cs"/>
          <w:rtl/>
          <w:lang w:bidi="ar-EG"/>
        </w:rPr>
        <w:t xml:space="preserve">، </w:t>
      </w:r>
      <w:r w:rsidRPr="00440A10">
        <w:rPr>
          <w:rtl/>
          <w:lang w:bidi="ar-EG"/>
        </w:rPr>
        <w:t xml:space="preserve">ميزانية الاتحاد </w:t>
      </w:r>
      <w:r w:rsidRPr="00440A10">
        <w:rPr>
          <w:rFonts w:hint="cs"/>
          <w:rtl/>
          <w:lang w:bidi="ar-EG"/>
        </w:rPr>
        <w:t xml:space="preserve">لفترة السنتين </w:t>
      </w:r>
      <w:r w:rsidRPr="00440A10">
        <w:rPr>
          <w:lang w:bidi="ar-SY"/>
        </w:rPr>
        <w:t>2019-2018</w:t>
      </w:r>
      <w:r w:rsidRPr="00440A10">
        <w:rPr>
          <w:rFonts w:hint="cs"/>
          <w:rtl/>
          <w:lang w:bidi="ar-EG"/>
        </w:rPr>
        <w:t>. وتبلغ ميزانية السنتين</w:t>
      </w:r>
      <w:r w:rsidRPr="00440A10">
        <w:rPr>
          <w:rFonts w:hint="eastAsia"/>
          <w:rtl/>
          <w:lang w:bidi="ar-EG"/>
        </w:rPr>
        <w:t> </w:t>
      </w:r>
      <w:r w:rsidRPr="00440A10">
        <w:rPr>
          <w:lang w:val="en-GB" w:bidi="ar-SY"/>
        </w:rPr>
        <w:t>324 617 000</w:t>
      </w:r>
      <w:r w:rsidRPr="00440A10">
        <w:rPr>
          <w:rFonts w:hint="eastAsia"/>
          <w:rtl/>
          <w:lang w:bidi="ar-EG"/>
        </w:rPr>
        <w:t> </w:t>
      </w:r>
      <w:r w:rsidRPr="00440A10">
        <w:rPr>
          <w:rFonts w:hint="cs"/>
          <w:rtl/>
          <w:lang w:bidi="ar-EG"/>
        </w:rPr>
        <w:t xml:space="preserve">فرنك سويسري، وهي موزعة على النحو التالي: </w:t>
      </w:r>
      <w:r w:rsidRPr="00440A10">
        <w:rPr>
          <w:lang w:val="en-GB" w:bidi="ar-SY"/>
        </w:rPr>
        <w:t>159 877 000</w:t>
      </w:r>
      <w:r w:rsidRPr="00440A10">
        <w:rPr>
          <w:rFonts w:hint="eastAsia"/>
          <w:rtl/>
          <w:lang w:bidi="ar-EG"/>
        </w:rPr>
        <w:t> </w:t>
      </w:r>
      <w:r w:rsidRPr="00440A10">
        <w:rPr>
          <w:rFonts w:hint="cs"/>
          <w:rtl/>
          <w:lang w:bidi="ar-EG"/>
        </w:rPr>
        <w:t>فرنك سويسري لعام</w:t>
      </w:r>
      <w:r w:rsidRPr="00440A10">
        <w:rPr>
          <w:rFonts w:hint="eastAsia"/>
          <w:rtl/>
          <w:lang w:bidi="ar-EG"/>
        </w:rPr>
        <w:t> </w:t>
      </w:r>
      <w:r w:rsidRPr="00440A10">
        <w:rPr>
          <w:lang w:bidi="ar-SY"/>
        </w:rPr>
        <w:t>2018</w:t>
      </w:r>
      <w:r w:rsidRPr="00440A10">
        <w:rPr>
          <w:rFonts w:hint="cs"/>
          <w:rtl/>
          <w:lang w:bidi="ar-SY"/>
        </w:rPr>
        <w:t xml:space="preserve"> و</w:t>
      </w:r>
      <w:r w:rsidRPr="00440A10">
        <w:rPr>
          <w:lang w:bidi="ar-SY"/>
        </w:rPr>
        <w:t>164 740</w:t>
      </w:r>
      <w:r w:rsidRPr="00440A10">
        <w:rPr>
          <w:lang w:val="en-GB" w:bidi="ar-SY"/>
        </w:rPr>
        <w:t> 000</w:t>
      </w:r>
      <w:r w:rsidRPr="00440A10">
        <w:rPr>
          <w:rFonts w:hint="eastAsia"/>
          <w:rtl/>
          <w:lang w:bidi="ar-EG"/>
        </w:rPr>
        <w:t> </w:t>
      </w:r>
      <w:r w:rsidRPr="00440A10">
        <w:rPr>
          <w:rFonts w:hint="cs"/>
          <w:rtl/>
          <w:lang w:bidi="ar-EG"/>
        </w:rPr>
        <w:t xml:space="preserve">فرنك سويسري لعام </w:t>
      </w:r>
      <w:r w:rsidRPr="00440A10">
        <w:rPr>
          <w:lang w:bidi="ar-EG"/>
        </w:rPr>
        <w:t>2019</w:t>
      </w:r>
      <w:r w:rsidRPr="00440A10">
        <w:rPr>
          <w:rFonts w:hint="cs"/>
          <w:rtl/>
          <w:lang w:bidi="ar-EG"/>
        </w:rPr>
        <w:t>. وتقوم الميزانية على أساس وحدة مساهمة سنوية للدول الأعضاء قيمتها</w:t>
      </w:r>
      <w:r w:rsidRPr="00440A10">
        <w:rPr>
          <w:rFonts w:hint="eastAsia"/>
          <w:rtl/>
          <w:lang w:bidi="ar-EG"/>
        </w:rPr>
        <w:t> </w:t>
      </w:r>
      <w:r w:rsidRPr="00440A10">
        <w:rPr>
          <w:lang w:bidi="ar-SY"/>
        </w:rPr>
        <w:t>318 000</w:t>
      </w:r>
      <w:r w:rsidRPr="00440A10">
        <w:rPr>
          <w:rFonts w:hint="eastAsia"/>
          <w:rtl/>
          <w:lang w:bidi="ar-EG"/>
        </w:rPr>
        <w:t> </w:t>
      </w:r>
      <w:r w:rsidRPr="00440A10">
        <w:rPr>
          <w:rFonts w:hint="cs"/>
          <w:rtl/>
          <w:lang w:bidi="ar-EG"/>
        </w:rPr>
        <w:t xml:space="preserve">فرنك سويسري، أي ما يعادل نمواً اسمياً صفرياً بالمقارنة مع </w:t>
      </w:r>
      <w:r w:rsidRPr="00A02C02">
        <w:rPr>
          <w:rFonts w:hint="cs"/>
          <w:rtl/>
          <w:lang w:bidi="ar-EG"/>
        </w:rPr>
        <w:t>فترات</w:t>
      </w:r>
      <w:r w:rsidRPr="00440A10">
        <w:rPr>
          <w:rFonts w:hint="cs"/>
          <w:rtl/>
          <w:lang w:bidi="ar-EG"/>
        </w:rPr>
        <w:t xml:space="preserve"> السنتين</w:t>
      </w:r>
      <w:r w:rsidRPr="00440A10">
        <w:rPr>
          <w:rFonts w:hint="eastAsia"/>
          <w:rtl/>
          <w:lang w:bidi="ar-EG"/>
        </w:rPr>
        <w:t> </w:t>
      </w:r>
      <w:r w:rsidRPr="00440A10">
        <w:rPr>
          <w:rFonts w:hint="cs"/>
          <w:rtl/>
          <w:lang w:bidi="ar-SY"/>
        </w:rPr>
        <w:t>السابقة</w:t>
      </w:r>
      <w:r w:rsidRPr="00440A10">
        <w:rPr>
          <w:rFonts w:hint="cs"/>
          <w:rtl/>
          <w:lang w:bidi="ar-EG"/>
        </w:rPr>
        <w:t>. ويجري تنفيذ ميزانية الاتحاد طبقاً للمادة</w:t>
      </w:r>
      <w:r w:rsidRPr="00440A10">
        <w:rPr>
          <w:rFonts w:hint="eastAsia"/>
          <w:rtl/>
          <w:lang w:bidi="ar-EG"/>
        </w:rPr>
        <w:t> </w:t>
      </w:r>
      <w:r w:rsidRPr="00440A10">
        <w:rPr>
          <w:lang w:val="en-GB" w:bidi="ar-SY"/>
        </w:rPr>
        <w:t>10</w:t>
      </w:r>
      <w:r w:rsidRPr="00440A10">
        <w:rPr>
          <w:rFonts w:hint="cs"/>
          <w:rtl/>
          <w:lang w:bidi="ar-EG"/>
        </w:rPr>
        <w:t xml:space="preserve"> من اللوائح</w:t>
      </w:r>
      <w:r w:rsidR="003E4E30" w:rsidRPr="00440A10">
        <w:rPr>
          <w:rFonts w:hint="cs"/>
          <w:rtl/>
          <w:lang w:bidi="ar-EG"/>
        </w:rPr>
        <w:t xml:space="preserve"> </w:t>
      </w:r>
      <w:r w:rsidRPr="00440A10">
        <w:rPr>
          <w:rFonts w:hint="cs"/>
          <w:rtl/>
          <w:lang w:bidi="ar-EG"/>
        </w:rPr>
        <w:t>المالية</w:t>
      </w:r>
      <w:r w:rsidR="003E4E30" w:rsidRPr="00440A10">
        <w:rPr>
          <w:rFonts w:hint="eastAsia"/>
          <w:rtl/>
          <w:lang w:bidi="ar-EG"/>
        </w:rPr>
        <w:t> </w:t>
      </w:r>
      <w:r w:rsidRPr="00440A10">
        <w:rPr>
          <w:rFonts w:hint="cs"/>
          <w:rtl/>
          <w:lang w:bidi="ar-EG"/>
        </w:rPr>
        <w:t>للاتحاد.</w:t>
      </w:r>
    </w:p>
    <w:p w:rsidR="0011038C" w:rsidRDefault="0011038C" w:rsidP="001103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rtl/>
          <w:lang w:bidi="ar-EG"/>
        </w:rPr>
      </w:pPr>
      <w:r>
        <w:rPr>
          <w:lang w:bidi="ar-SY"/>
        </w:rPr>
        <w:t>2</w:t>
      </w:r>
      <w:r w:rsidRPr="000E6042">
        <w:rPr>
          <w:lang w:bidi="ar-SY"/>
        </w:rPr>
        <w:t>.2</w:t>
      </w:r>
      <w:r w:rsidRPr="000E6042">
        <w:rPr>
          <w:rtl/>
          <w:lang w:bidi="ar-EG"/>
        </w:rPr>
        <w:tab/>
      </w:r>
      <w:r w:rsidRPr="000E5EC5">
        <w:rPr>
          <w:rFonts w:hint="cs"/>
          <w:spacing w:val="-2"/>
          <w:rtl/>
          <w:lang w:bidi="ar-EG"/>
        </w:rPr>
        <w:t>ويعرض الجدول</w:t>
      </w:r>
      <w:r w:rsidRPr="000E5EC5">
        <w:rPr>
          <w:rFonts w:hint="eastAsia"/>
          <w:spacing w:val="-2"/>
          <w:rtl/>
          <w:lang w:bidi="ar-EG"/>
        </w:rPr>
        <w:t> </w:t>
      </w:r>
      <w:r w:rsidRPr="000E5EC5">
        <w:rPr>
          <w:spacing w:val="-2"/>
          <w:lang w:val="en-AU" w:bidi="ar-SY"/>
        </w:rPr>
        <w:t>1</w:t>
      </w:r>
      <w:r w:rsidRPr="000E5EC5">
        <w:rPr>
          <w:rFonts w:hint="cs"/>
          <w:spacing w:val="-2"/>
          <w:rtl/>
          <w:lang w:bidi="ar-SY"/>
        </w:rPr>
        <w:t xml:space="preserve"> أدناه</w:t>
      </w:r>
      <w:r w:rsidRPr="000E5EC5">
        <w:rPr>
          <w:rFonts w:hint="cs"/>
          <w:spacing w:val="-2"/>
          <w:rtl/>
          <w:lang w:bidi="ar-EG"/>
        </w:rPr>
        <w:t xml:space="preserve"> </w:t>
      </w:r>
      <w:r w:rsidRPr="000E5EC5">
        <w:rPr>
          <w:rFonts w:hint="cs"/>
          <w:spacing w:val="-2"/>
          <w:rtl/>
        </w:rPr>
        <w:t>حال</w:t>
      </w:r>
      <w:r w:rsidRPr="000E5EC5">
        <w:rPr>
          <w:rFonts w:hint="cs"/>
          <w:spacing w:val="-2"/>
          <w:rtl/>
          <w:lang w:bidi="ar-EG"/>
        </w:rPr>
        <w:t>ة</w:t>
      </w:r>
      <w:r w:rsidRPr="000E5EC5">
        <w:rPr>
          <w:rFonts w:hint="cs"/>
          <w:spacing w:val="-2"/>
          <w:rtl/>
        </w:rPr>
        <w:t xml:space="preserve"> ميزانية </w:t>
      </w:r>
      <w:r>
        <w:rPr>
          <w:rFonts w:hint="cs"/>
          <w:spacing w:val="-2"/>
          <w:rtl/>
          <w:lang w:bidi="ar-EG"/>
        </w:rPr>
        <w:t>فترة السنتين</w:t>
      </w:r>
      <w:r w:rsidRPr="000E5EC5">
        <w:rPr>
          <w:rFonts w:hint="cs"/>
          <w:spacing w:val="-2"/>
          <w:rtl/>
          <w:lang w:bidi="ar-EG"/>
        </w:rPr>
        <w:t xml:space="preserve"> </w:t>
      </w:r>
      <w:r>
        <w:rPr>
          <w:spacing w:val="-2"/>
          <w:lang w:bidi="ar-SY"/>
        </w:rPr>
        <w:t>2019-2018</w:t>
      </w:r>
      <w:r w:rsidRPr="000E5EC5">
        <w:rPr>
          <w:rFonts w:hint="cs"/>
          <w:spacing w:val="-2"/>
          <w:rtl/>
          <w:lang w:bidi="ar-EG"/>
        </w:rPr>
        <w:t xml:space="preserve">، ويبين </w:t>
      </w:r>
      <w:r>
        <w:rPr>
          <w:rFonts w:hint="cs"/>
          <w:spacing w:val="-2"/>
          <w:rtl/>
          <w:lang w:bidi="ar-EG"/>
        </w:rPr>
        <w:t xml:space="preserve">النتائج الفعلية لعام </w:t>
      </w:r>
      <w:r>
        <w:rPr>
          <w:spacing w:val="-2"/>
          <w:lang w:bidi="ar-EG"/>
        </w:rPr>
        <w:t>2018</w:t>
      </w:r>
      <w:r w:rsidRPr="000E5EC5">
        <w:rPr>
          <w:rFonts w:hint="cs"/>
          <w:spacing w:val="-2"/>
          <w:rtl/>
          <w:lang w:bidi="ar-EG"/>
        </w:rPr>
        <w:t xml:space="preserve"> في</w:t>
      </w:r>
      <w:r w:rsidRPr="000E5EC5">
        <w:rPr>
          <w:rFonts w:hint="eastAsia"/>
          <w:spacing w:val="-2"/>
          <w:rtl/>
          <w:lang w:bidi="ar-EG"/>
        </w:rPr>
        <w:t> </w:t>
      </w:r>
      <w:r>
        <w:rPr>
          <w:spacing w:val="-2"/>
          <w:lang w:bidi="ar-EG"/>
        </w:rPr>
        <w:t>18</w:t>
      </w:r>
      <w:r w:rsidRPr="000E5EC5">
        <w:rPr>
          <w:rFonts w:hint="cs"/>
          <w:spacing w:val="-2"/>
          <w:rtl/>
          <w:lang w:val="en-GB" w:bidi="ar-EG"/>
        </w:rPr>
        <w:t xml:space="preserve"> </w:t>
      </w:r>
      <w:r>
        <w:rPr>
          <w:rFonts w:hint="cs"/>
          <w:spacing w:val="-2"/>
          <w:rtl/>
          <w:lang w:val="en-GB" w:bidi="ar-EG"/>
        </w:rPr>
        <w:t xml:space="preserve">فبراير </w:t>
      </w:r>
      <w:r>
        <w:rPr>
          <w:spacing w:val="-2"/>
          <w:lang w:bidi="ar-EG"/>
        </w:rPr>
        <w:t>2019</w:t>
      </w:r>
      <w:r>
        <w:rPr>
          <w:rFonts w:hint="cs"/>
          <w:spacing w:val="-2"/>
          <w:rtl/>
          <w:lang w:val="en-GB" w:bidi="ar-EG"/>
        </w:rPr>
        <w:t xml:space="preserve"> التي قد تشهد تعديلات طفيفة ريثما تُغلق الحسابات، والنتائج الفعلية لعام</w:t>
      </w:r>
      <w:r w:rsidRPr="000E5EC5">
        <w:rPr>
          <w:rFonts w:hint="cs"/>
          <w:spacing w:val="-2"/>
          <w:rtl/>
          <w:lang w:val="en-GB" w:bidi="ar-EG"/>
        </w:rPr>
        <w:t xml:space="preserve"> </w:t>
      </w:r>
      <w:r>
        <w:rPr>
          <w:spacing w:val="-2"/>
          <w:lang w:bidi="ar-EG"/>
        </w:rPr>
        <w:t>2019</w:t>
      </w:r>
      <w:r w:rsidRPr="000E5EC5">
        <w:rPr>
          <w:rFonts w:hint="cs"/>
          <w:spacing w:val="-2"/>
          <w:rtl/>
          <w:lang w:bidi="ar-EG"/>
        </w:rPr>
        <w:t xml:space="preserve"> </w:t>
      </w:r>
      <w:r>
        <w:rPr>
          <w:rFonts w:hint="cs"/>
          <w:spacing w:val="-2"/>
          <w:rtl/>
          <w:lang w:bidi="ar-EG"/>
        </w:rPr>
        <w:t xml:space="preserve">في </w:t>
      </w:r>
      <w:r>
        <w:rPr>
          <w:spacing w:val="-2"/>
          <w:lang w:bidi="ar-EG"/>
        </w:rPr>
        <w:t>18</w:t>
      </w:r>
      <w:r w:rsidRPr="000E5EC5">
        <w:rPr>
          <w:rFonts w:hint="cs"/>
          <w:spacing w:val="-2"/>
          <w:rtl/>
          <w:lang w:val="en-GB" w:bidi="ar-EG"/>
        </w:rPr>
        <w:t xml:space="preserve"> </w:t>
      </w:r>
      <w:r>
        <w:rPr>
          <w:rFonts w:hint="cs"/>
          <w:spacing w:val="-2"/>
          <w:rtl/>
          <w:lang w:val="en-GB" w:bidi="ar-EG"/>
        </w:rPr>
        <w:t xml:space="preserve">فبراير </w:t>
      </w:r>
      <w:r>
        <w:rPr>
          <w:spacing w:val="-2"/>
          <w:lang w:bidi="ar-EG"/>
        </w:rPr>
        <w:t>2019</w:t>
      </w:r>
      <w:r>
        <w:rPr>
          <w:rFonts w:hint="cs"/>
          <w:spacing w:val="-2"/>
          <w:rtl/>
          <w:lang w:bidi="ar-EG"/>
        </w:rPr>
        <w:t xml:space="preserve"> مع </w:t>
      </w:r>
      <w:r w:rsidRPr="000E5EC5">
        <w:rPr>
          <w:rFonts w:hint="cs"/>
          <w:spacing w:val="-2"/>
          <w:rtl/>
          <w:lang w:bidi="ar-EG"/>
        </w:rPr>
        <w:t xml:space="preserve">توقعات </w:t>
      </w:r>
      <w:r>
        <w:rPr>
          <w:rFonts w:hint="cs"/>
          <w:spacing w:val="-2"/>
          <w:rtl/>
          <w:lang w:bidi="ar-EG"/>
        </w:rPr>
        <w:t>نهاية السنة لعام</w:t>
      </w:r>
      <w:r w:rsidRPr="000E5EC5">
        <w:rPr>
          <w:rFonts w:hint="eastAsia"/>
          <w:spacing w:val="-2"/>
          <w:rtl/>
          <w:lang w:val="en-GB" w:bidi="ar-EG"/>
        </w:rPr>
        <w:t> </w:t>
      </w:r>
      <w:r>
        <w:rPr>
          <w:spacing w:val="-2"/>
          <w:lang w:bidi="ar-EG"/>
        </w:rPr>
        <w:t>2019</w:t>
      </w:r>
      <w:r w:rsidRPr="000E5EC5">
        <w:rPr>
          <w:rFonts w:hint="cs"/>
          <w:spacing w:val="-2"/>
          <w:rtl/>
          <w:lang w:bidi="ar-EG"/>
        </w:rPr>
        <w:t xml:space="preserve">. </w:t>
      </w:r>
    </w:p>
    <w:p w:rsidR="0011038C" w:rsidRPr="00843694" w:rsidRDefault="0011038C" w:rsidP="001103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spacing w:val="-2"/>
          <w:rtl/>
          <w:lang w:bidi="ar-SY"/>
        </w:rPr>
      </w:pPr>
      <w:r>
        <w:rPr>
          <w:spacing w:val="-2"/>
          <w:lang w:bidi="ar-SY"/>
        </w:rPr>
        <w:t>3.2</w:t>
      </w:r>
      <w:r>
        <w:rPr>
          <w:spacing w:val="-2"/>
          <w:rtl/>
          <w:lang w:bidi="ar-EG"/>
        </w:rPr>
        <w:tab/>
      </w:r>
      <w:r>
        <w:rPr>
          <w:rFonts w:hint="cs"/>
          <w:spacing w:val="-2"/>
          <w:rtl/>
          <w:lang w:bidi="ar-EG"/>
        </w:rPr>
        <w:t xml:space="preserve">وتشير توقعات النفقات لفترة السنتين إلى تحقيق مزيد من الوفورات من خلال تنفيذ الميزانية على النحو المبين في مشروع ميزانية </w:t>
      </w:r>
      <w:r>
        <w:rPr>
          <w:spacing w:val="-2"/>
          <w:lang w:bidi="ar-EG"/>
        </w:rPr>
        <w:t>2019-2018</w:t>
      </w:r>
      <w:r>
        <w:rPr>
          <w:rFonts w:hint="cs"/>
          <w:spacing w:val="-2"/>
          <w:rtl/>
          <w:lang w:bidi="ar-EG"/>
        </w:rPr>
        <w:t xml:space="preserve">، </w:t>
      </w:r>
      <w:r w:rsidRPr="00843694">
        <w:rPr>
          <w:rFonts w:hint="cs"/>
          <w:spacing w:val="-2"/>
          <w:rtl/>
          <w:lang w:bidi="ar-SY"/>
        </w:rPr>
        <w:t xml:space="preserve">ويعزى </w:t>
      </w:r>
      <w:r>
        <w:rPr>
          <w:rFonts w:hint="cs"/>
          <w:spacing w:val="-2"/>
          <w:rtl/>
          <w:lang w:bidi="ar-SY"/>
        </w:rPr>
        <w:t xml:space="preserve">ذلك </w:t>
      </w:r>
      <w:r w:rsidRPr="00843694">
        <w:rPr>
          <w:rFonts w:hint="cs"/>
          <w:spacing w:val="-2"/>
          <w:rtl/>
          <w:lang w:bidi="ar-SY"/>
        </w:rPr>
        <w:t xml:space="preserve">أساساً إلى تنفيذ قرار </w:t>
      </w:r>
      <w:r w:rsidRPr="00843694">
        <w:rPr>
          <w:rFonts w:hint="eastAsia"/>
          <w:spacing w:val="-2"/>
          <w:rtl/>
          <w:lang w:bidi="ar-SY"/>
        </w:rPr>
        <w:t>لجنة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الخدمة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المدنية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lastRenderedPageBreak/>
        <w:t>الدولية</w:t>
      </w:r>
      <w:r w:rsidRPr="00843694">
        <w:rPr>
          <w:rFonts w:hint="cs"/>
          <w:spacing w:val="-2"/>
          <w:rtl/>
          <w:lang w:bidi="ar-SY"/>
        </w:rPr>
        <w:t> </w:t>
      </w:r>
      <w:r w:rsidRPr="00843694">
        <w:rPr>
          <w:spacing w:val="-2"/>
          <w:lang w:bidi="ar-SY"/>
        </w:rPr>
        <w:t>(</w:t>
      </w:r>
      <w:r w:rsidRPr="00843694">
        <w:rPr>
          <w:szCs w:val="24"/>
          <w:lang w:val="en-AU"/>
        </w:rPr>
        <w:t>ICSC)</w:t>
      </w:r>
      <w:r w:rsidRPr="00843694">
        <w:rPr>
          <w:rFonts w:hint="cs"/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بشأن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تسوية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مقر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العمل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في</w:t>
      </w:r>
      <w:r w:rsidRPr="00843694">
        <w:rPr>
          <w:spacing w:val="-2"/>
          <w:rtl/>
          <w:lang w:bidi="ar-SY"/>
        </w:rPr>
        <w:t xml:space="preserve"> </w:t>
      </w:r>
      <w:r w:rsidRPr="00843694">
        <w:rPr>
          <w:rFonts w:hint="eastAsia"/>
          <w:spacing w:val="-2"/>
          <w:rtl/>
          <w:lang w:bidi="ar-SY"/>
        </w:rPr>
        <w:t>جنيف</w:t>
      </w:r>
      <w:r>
        <w:rPr>
          <w:rFonts w:hint="cs"/>
          <w:spacing w:val="-2"/>
          <w:rtl/>
          <w:lang w:bidi="ar-SY"/>
        </w:rPr>
        <w:t xml:space="preserve">، وتطبيق تدابير الكفاءة. </w:t>
      </w:r>
      <w:r w:rsidRPr="00843694">
        <w:rPr>
          <w:rFonts w:hint="cs"/>
          <w:rtl/>
          <w:lang w:bidi="ar-SY"/>
        </w:rPr>
        <w:t xml:space="preserve">ولذلك </w:t>
      </w:r>
      <w:r>
        <w:rPr>
          <w:rFonts w:hint="cs"/>
          <w:rtl/>
          <w:lang w:bidi="ar-SY"/>
        </w:rPr>
        <w:t>س</w:t>
      </w:r>
      <w:r w:rsidRPr="00843694">
        <w:rPr>
          <w:rFonts w:hint="cs"/>
          <w:rtl/>
          <w:lang w:bidi="ar-SY"/>
        </w:rPr>
        <w:t xml:space="preserve">تكون النتيجة الإجمالية المتوقعة إيجابية فيما يتعلق بفترة السنتين </w:t>
      </w:r>
      <w:r w:rsidRPr="00843694">
        <w:rPr>
          <w:lang w:bidi="ar-SY"/>
        </w:rPr>
        <w:t>2019</w:t>
      </w:r>
      <w:r w:rsidRPr="00843694">
        <w:rPr>
          <w:lang w:bidi="ar-SY"/>
        </w:rPr>
        <w:noBreakHyphen/>
        <w:t>2018</w:t>
      </w:r>
      <w:r w:rsidRPr="00843694">
        <w:rPr>
          <w:rFonts w:hint="cs"/>
          <w:rtl/>
          <w:lang w:bidi="ar-SY"/>
        </w:rPr>
        <w:t>.</w:t>
      </w:r>
    </w:p>
    <w:p w:rsidR="0011038C" w:rsidRDefault="0011038C" w:rsidP="0011038C">
      <w:pPr>
        <w:pStyle w:val="Tabletitle"/>
      </w:pPr>
      <w:r w:rsidRPr="000E6042">
        <w:rPr>
          <w:rFonts w:hint="cs"/>
          <w:rtl/>
        </w:rPr>
        <w:t xml:space="preserve">الجدول </w:t>
      </w:r>
      <w:r w:rsidRPr="000E6042">
        <w:t>1</w:t>
      </w:r>
      <w:r w:rsidRPr="000E6042">
        <w:rPr>
          <w:rFonts w:hint="cs"/>
          <w:rtl/>
        </w:rPr>
        <w:t xml:space="preserve"> - تنفيذ الميزانية بموجب القرار</w:t>
      </w:r>
      <w:r w:rsidRPr="000E6042">
        <w:rPr>
          <w:rFonts w:hint="eastAsia"/>
          <w:rtl/>
        </w:rPr>
        <w:t> </w:t>
      </w:r>
      <w:r>
        <w:t>1387</w:t>
      </w:r>
    </w:p>
    <w:p w:rsidR="0011038C" w:rsidRPr="00C96D16" w:rsidRDefault="0011038C" w:rsidP="001103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jc w:val="right"/>
        <w:rPr>
          <w:i/>
          <w:iCs/>
          <w:sz w:val="14"/>
          <w:szCs w:val="22"/>
          <w:rtl/>
          <w:lang w:bidi="ar-EG"/>
        </w:rPr>
      </w:pPr>
      <w:r w:rsidRPr="00C96D16">
        <w:rPr>
          <w:i/>
          <w:iCs/>
          <w:sz w:val="14"/>
          <w:szCs w:val="22"/>
          <w:rtl/>
          <w:lang w:bidi="ar-EG"/>
        </w:rPr>
        <w:t>بآلاف الفرنكات السويسرية</w:t>
      </w:r>
    </w:p>
    <w:tbl>
      <w:tblPr>
        <w:bidiVisual/>
        <w:tblW w:w="5396" w:type="pct"/>
        <w:jc w:val="center"/>
        <w:tblLook w:val="04A0" w:firstRow="1" w:lastRow="0" w:firstColumn="1" w:lastColumn="0" w:noHBand="0" w:noVBand="1"/>
      </w:tblPr>
      <w:tblGrid>
        <w:gridCol w:w="2894"/>
        <w:gridCol w:w="253"/>
        <w:gridCol w:w="881"/>
        <w:gridCol w:w="812"/>
        <w:gridCol w:w="738"/>
        <w:gridCol w:w="694"/>
        <w:gridCol w:w="222"/>
        <w:gridCol w:w="881"/>
        <w:gridCol w:w="851"/>
        <w:gridCol w:w="739"/>
        <w:gridCol w:w="733"/>
        <w:gridCol w:w="704"/>
      </w:tblGrid>
      <w:tr w:rsidR="003E4E30" w:rsidRPr="00C96D16" w:rsidTr="003E4E30">
        <w:trPr>
          <w:trHeight w:val="23"/>
          <w:jc w:val="center"/>
        </w:trPr>
        <w:tc>
          <w:tcPr>
            <w:tcW w:w="1323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11038C" w:rsidRPr="00730168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1D61DE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>الإيرادات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1539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189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9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3E4E30" w:rsidRPr="00730168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E30" w:rsidRPr="00C96D16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</w:pPr>
            <w:r w:rsidRPr="001D61DE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ميزانية</w:t>
            </w:r>
            <w:r w:rsidRPr="001D61DE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**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tcMar>
              <w:left w:w="57" w:type="dxa"/>
              <w:right w:w="57" w:type="dxa"/>
            </w:tcMar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10"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rFonts w:hint="cs"/>
                <w:b/>
                <w:bCs/>
                <w:spacing w:val="-10"/>
                <w:position w:val="2"/>
                <w:sz w:val="16"/>
                <w:szCs w:val="22"/>
                <w:rtl/>
              </w:rPr>
              <w:t>المبالغ الفعلية</w:t>
            </w:r>
            <w:r w:rsidRPr="001D61DE">
              <w:rPr>
                <w:b/>
                <w:bCs/>
                <w:spacing w:val="-10"/>
                <w:position w:val="2"/>
                <w:sz w:val="16"/>
                <w:szCs w:val="22"/>
                <w:lang w:val="fr-FR" w:bidi="ar-SY"/>
              </w:rPr>
              <w:t>*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10"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الفرق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ميزانية</w:t>
            </w:r>
            <w:r w:rsidRPr="001D61DE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**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>المبالغ الفعلية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2019.02.18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توقعات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الفرق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</w:p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1D61DE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3E4E30" w:rsidRPr="00730168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E30" w:rsidRPr="00C96D16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409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tcMar>
              <w:left w:w="85" w:type="dxa"/>
              <w:right w:w="85" w:type="dxa"/>
            </w:tcMar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</w:pPr>
          </w:p>
        </w:tc>
        <w:tc>
          <w:tcPr>
            <w:tcW w:w="373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3E4E30" w:rsidRPr="001D61DE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63681" w:rsidRPr="00730168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EG"/>
              </w:rPr>
            </w:pPr>
            <w:r>
              <w:rPr>
                <w:b/>
                <w:bCs/>
                <w:spacing w:val="-4"/>
                <w:position w:val="2"/>
                <w:sz w:val="16"/>
                <w:szCs w:val="22"/>
                <w:lang w:val="fr-FR" w:bidi="ar-EG"/>
              </w:rPr>
              <w:t>a</w:t>
            </w:r>
          </w:p>
        </w:tc>
        <w:tc>
          <w:tcPr>
            <w:tcW w:w="40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b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C27D38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c = b - a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d = c / 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e</w:t>
            </w:r>
          </w:p>
        </w:tc>
        <w:tc>
          <w:tcPr>
            <w:tcW w:w="41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f</w:t>
            </w:r>
          </w:p>
        </w:tc>
        <w:tc>
          <w:tcPr>
            <w:tcW w:w="37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g</w:t>
            </w:r>
          </w:p>
        </w:tc>
        <w:tc>
          <w:tcPr>
            <w:tcW w:w="37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h = g - e</w:t>
            </w:r>
          </w:p>
        </w:tc>
        <w:tc>
          <w:tcPr>
            <w:tcW w:w="353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i = h / e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730168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position w:val="2"/>
                <w:sz w:val="16"/>
                <w:szCs w:val="22"/>
                <w:rtl/>
              </w:rPr>
              <w:t xml:space="preserve">المساهمات </w:t>
            </w:r>
            <w:r w:rsidRPr="00CA52D9">
              <w:rPr>
                <w:rFonts w:hint="cs"/>
                <w:position w:val="2"/>
                <w:sz w:val="16"/>
                <w:szCs w:val="22"/>
                <w:rtl/>
              </w:rPr>
              <w:t>المقرَّرة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124 401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12</w:t>
            </w:r>
            <w:r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9</w:t>
            </w: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791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6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124 401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12</w:t>
            </w:r>
            <w:r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910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12</w:t>
            </w:r>
            <w:r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497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1 </w:t>
            </w:r>
            <w:r>
              <w:rPr>
                <w:position w:val="2"/>
                <w:sz w:val="16"/>
                <w:szCs w:val="22"/>
                <w:lang w:val="fr-FR" w:bidi="ar-SY"/>
              </w:rPr>
              <w:t>096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9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730168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position w:val="2"/>
                <w:sz w:val="16"/>
                <w:szCs w:val="22"/>
                <w:rtl/>
              </w:rPr>
              <w:t>استرداد التكاليف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3</w:t>
            </w:r>
            <w:r>
              <w:rPr>
                <w:position w:val="2"/>
                <w:sz w:val="16"/>
                <w:szCs w:val="22"/>
                <w:lang w:val="fr-FR" w:bidi="ar-SY"/>
              </w:rPr>
              <w:t>6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375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35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3</w:t>
            </w:r>
            <w:r>
              <w:rPr>
                <w:position w:val="2"/>
                <w:sz w:val="16"/>
                <w:szCs w:val="22"/>
                <w:lang w:val="fr-FR" w:bidi="ar-SY"/>
              </w:rPr>
              <w:t>27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1 048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9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3</w:t>
            </w:r>
            <w:r>
              <w:rPr>
                <w:position w:val="2"/>
                <w:sz w:val="16"/>
                <w:szCs w:val="22"/>
                <w:lang w:val="fr-FR" w:bidi="ar-SY"/>
              </w:rPr>
              <w:t>6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375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7</w:t>
            </w:r>
            <w:r>
              <w:rPr>
                <w:position w:val="2"/>
                <w:sz w:val="16"/>
                <w:szCs w:val="22"/>
                <w:lang w:val="fr-FR" w:bidi="ar-SY"/>
              </w:rPr>
              <w:t>61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3</w:t>
            </w:r>
            <w:r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40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975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7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730168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3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position w:val="2"/>
                <w:sz w:val="16"/>
                <w:szCs w:val="22"/>
                <w:rtl/>
              </w:rPr>
              <w:t>إيرادات الفوائد وإيرادات أخرى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400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586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186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46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400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4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,0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730168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4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position w:val="2"/>
                <w:sz w:val="16"/>
                <w:szCs w:val="22"/>
                <w:rtl/>
              </w:rPr>
              <w:t>السحب من حساب الاحتياطي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245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245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%0,0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1 </w:t>
            </w:r>
            <w:r>
              <w:rPr>
                <w:position w:val="2"/>
                <w:sz w:val="16"/>
                <w:szCs w:val="22"/>
                <w:lang w:val="fr-FR" w:bidi="ar-SY"/>
              </w:rPr>
              <w:t>095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1 095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1 </w:t>
            </w:r>
            <w:r>
              <w:rPr>
                <w:position w:val="2"/>
                <w:sz w:val="16"/>
                <w:szCs w:val="22"/>
                <w:lang w:val="fr-FR" w:bidi="ar-SY"/>
              </w:rPr>
              <w:t>095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%0,0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</w:tcPr>
          <w:p w:rsidR="0011038C" w:rsidRPr="00730168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>
              <w:rPr>
                <w:rFonts w:hint="cs"/>
                <w:position w:val="2"/>
                <w:sz w:val="16"/>
                <w:szCs w:val="22"/>
                <w:rtl/>
              </w:rPr>
              <w:t>الوفورات المحققة من تنفيذ الميزانية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1 </w:t>
            </w:r>
            <w:r>
              <w:rPr>
                <w:position w:val="2"/>
                <w:sz w:val="16"/>
                <w:szCs w:val="22"/>
                <w:lang w:val="fr-FR" w:bidi="ar-SY"/>
              </w:rPr>
              <w:t>143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1 </w:t>
            </w:r>
            <w:r>
              <w:rPr>
                <w:position w:val="2"/>
                <w:sz w:val="16"/>
                <w:szCs w:val="22"/>
                <w:lang w:val="fr-FR" w:bidi="ar-SY"/>
              </w:rPr>
              <w:t>143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%0,0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2 621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2 621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2 621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</w:tcPr>
          <w:p w:rsidR="0011038C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rtl/>
                <w:lang w:val="fr-FR" w:bidi="ar-EG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0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1038C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rtl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%0,0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730168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>مجموع الإيرادات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160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074</w:t>
            </w:r>
            <w:r w:rsidR="00963681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60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003</w:t>
            </w:r>
            <w:r w:rsidR="00963681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71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</w:t>
            </w:r>
            <w:r w:rsidR="00963681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16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4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8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131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387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165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013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121</w:t>
            </w:r>
            <w:r w:rsidR="003E4E30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</w:t>
            </w:r>
            <w:r w:rsidR="003E4E30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right"/>
              <w:rPr>
                <w:position w:val="2"/>
                <w:sz w:val="16"/>
                <w:szCs w:val="22"/>
                <w:lang w:val="fr-FR" w:bidi="ar-SY"/>
              </w:rPr>
            </w:pP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1539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1892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9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3E4E30" w:rsidRPr="00730168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>النفقات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E30" w:rsidRPr="00C96D16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ميزانية</w:t>
            </w:r>
            <w:r w:rsidRPr="00CA52D9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**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rtl/>
                <w:lang w:bidi="ar-EG"/>
              </w:rPr>
            </w:pPr>
            <w:r w:rsidRPr="00CA52D9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>المبالغ الفعلية</w:t>
            </w:r>
            <w:r w:rsidRPr="00CA52D9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*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372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الفرق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349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2018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ميزانية</w:t>
            </w:r>
            <w:r w:rsidRPr="00CA52D9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**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  <w:tc>
          <w:tcPr>
            <w:tcW w:w="417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>المبالغ الفعلية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201</w:t>
            </w:r>
            <w:r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9</w:t>
            </w:r>
            <w:r w:rsidRPr="00CA52D9"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.02.</w:t>
            </w:r>
            <w:r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18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توقعات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  <w:lang w:bidi="ar-EG"/>
              </w:rPr>
              <w:t>الفرق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  <w:tc>
          <w:tcPr>
            <w:tcW w:w="353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</w:p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2019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3E4E30" w:rsidRPr="00730168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E30" w:rsidRPr="00C96D16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409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2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49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417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tcMar>
              <w:left w:w="85" w:type="dxa"/>
              <w:right w:w="85" w:type="dxa"/>
            </w:tcMar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</w:pPr>
          </w:p>
        </w:tc>
        <w:tc>
          <w:tcPr>
            <w:tcW w:w="373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6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3E4E30" w:rsidRPr="00CA52D9" w:rsidRDefault="003E4E30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963681" w:rsidRPr="00730168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highlight w:val="cyan"/>
                <w:lang w:val="fr-FR" w:bidi="ar-SY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a</w:t>
            </w:r>
          </w:p>
        </w:tc>
        <w:tc>
          <w:tcPr>
            <w:tcW w:w="40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b</w:t>
            </w:r>
          </w:p>
        </w:tc>
        <w:tc>
          <w:tcPr>
            <w:tcW w:w="37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c = b - a</w:t>
            </w:r>
          </w:p>
        </w:tc>
        <w:tc>
          <w:tcPr>
            <w:tcW w:w="349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d = c / 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3681" w:rsidRPr="00C96D16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e</w:t>
            </w:r>
          </w:p>
        </w:tc>
        <w:tc>
          <w:tcPr>
            <w:tcW w:w="41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f</w:t>
            </w:r>
          </w:p>
        </w:tc>
        <w:tc>
          <w:tcPr>
            <w:tcW w:w="37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g</w:t>
            </w:r>
          </w:p>
        </w:tc>
        <w:tc>
          <w:tcPr>
            <w:tcW w:w="37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h = g - e</w:t>
            </w:r>
          </w:p>
        </w:tc>
        <w:tc>
          <w:tcPr>
            <w:tcW w:w="353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963681" w:rsidRPr="00963681" w:rsidRDefault="00963681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</w:pPr>
            <w:r w:rsidRPr="00963681">
              <w:rPr>
                <w:b/>
                <w:bCs/>
                <w:spacing w:val="-4"/>
                <w:position w:val="2"/>
                <w:sz w:val="16"/>
                <w:szCs w:val="22"/>
                <w:lang w:val="fr-FR" w:bidi="ar-SY"/>
              </w:rPr>
              <w:t>i = h / e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rFonts w:hint="cs"/>
                <w:position w:val="2"/>
                <w:sz w:val="16"/>
                <w:szCs w:val="22"/>
                <w:rtl/>
              </w:rPr>
              <w:t>الأمانة العامة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90 </w:t>
            </w:r>
            <w:r>
              <w:rPr>
                <w:position w:val="2"/>
                <w:sz w:val="16"/>
                <w:szCs w:val="22"/>
                <w:lang w:val="fr-FR" w:bidi="ar-SY"/>
              </w:rPr>
              <w:t>746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81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997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8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749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1E790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9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6</w:t>
            </w:r>
            <w:r w:rsidR="001E7909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9</w:t>
            </w: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086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316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88 </w:t>
            </w:r>
            <w:r>
              <w:rPr>
                <w:position w:val="2"/>
                <w:sz w:val="16"/>
                <w:szCs w:val="22"/>
                <w:lang w:val="fr-FR" w:bidi="ar-SY"/>
              </w:rPr>
              <w:t>900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186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%2,</w:t>
            </w:r>
            <w:r>
              <w:rPr>
                <w:position w:val="2"/>
                <w:sz w:val="16"/>
                <w:szCs w:val="22"/>
                <w:lang w:val="fr-FR" w:bidi="ar-SY"/>
              </w:rPr>
              <w:t>4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rFonts w:hint="cs"/>
                <w:position w:val="2"/>
                <w:sz w:val="16"/>
                <w:szCs w:val="22"/>
                <w:rtl/>
              </w:rPr>
              <w:t>قطاع الاتصالات الراديوية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2</w:t>
            </w:r>
            <w:r>
              <w:rPr>
                <w:position w:val="2"/>
                <w:sz w:val="16"/>
                <w:szCs w:val="22"/>
                <w:lang w:val="fr-FR" w:bidi="ar-SY"/>
              </w:rPr>
              <w:t>7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988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2</w:t>
            </w:r>
            <w:r>
              <w:rPr>
                <w:position w:val="2"/>
                <w:sz w:val="16"/>
                <w:szCs w:val="22"/>
                <w:lang w:val="fr-FR" w:bidi="ar-SY"/>
              </w:rPr>
              <w:t>5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064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2 </w:t>
            </w:r>
            <w:r>
              <w:rPr>
                <w:position w:val="2"/>
                <w:sz w:val="16"/>
                <w:szCs w:val="22"/>
                <w:lang w:val="fr-FR" w:bidi="ar-SY"/>
              </w:rPr>
              <w:t>924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10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4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31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598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873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30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997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601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%1,</w:t>
            </w:r>
            <w:r>
              <w:rPr>
                <w:position w:val="2"/>
                <w:sz w:val="16"/>
                <w:szCs w:val="22"/>
                <w:lang w:val="fr-FR" w:bidi="ar-SY"/>
              </w:rPr>
              <w:t>9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3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rFonts w:hint="cs"/>
                <w:position w:val="2"/>
                <w:sz w:val="16"/>
                <w:szCs w:val="22"/>
                <w:rtl/>
              </w:rPr>
              <w:t>قطاع تقييس الاتصالات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13 </w:t>
            </w:r>
            <w:r>
              <w:rPr>
                <w:position w:val="2"/>
                <w:sz w:val="16"/>
                <w:szCs w:val="22"/>
                <w:lang w:val="fr-FR" w:bidi="ar-SY"/>
              </w:rPr>
              <w:t>505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13 </w:t>
            </w:r>
            <w:r>
              <w:rPr>
                <w:position w:val="2"/>
                <w:sz w:val="16"/>
                <w:szCs w:val="22"/>
                <w:lang w:val="fr-FR" w:bidi="ar-SY"/>
              </w:rPr>
              <w:t>300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205</w:t>
            </w:r>
            <w:r w:rsidR="00963681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,5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1</w:t>
            </w:r>
            <w:r>
              <w:rPr>
                <w:position w:val="2"/>
                <w:sz w:val="16"/>
                <w:szCs w:val="22"/>
                <w:lang w:val="fr-FR" w:bidi="ar-SY"/>
              </w:rPr>
              <w:t>3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631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035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1</w:t>
            </w:r>
            <w:r>
              <w:rPr>
                <w:position w:val="2"/>
                <w:sz w:val="16"/>
                <w:szCs w:val="22"/>
                <w:lang w:val="fr-FR" w:bidi="ar-SY"/>
              </w:rPr>
              <w:t>3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345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286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position w:val="2"/>
                <w:sz w:val="16"/>
                <w:szCs w:val="22"/>
                <w:lang w:val="fr-FR" w:bidi="ar-SY"/>
              </w:rPr>
              <w:t>4</w:t>
            </w:r>
            <w:r w:rsidRPr="00CA52D9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A52D9">
              <w:rPr>
                <w:rFonts w:hint="cs"/>
                <w:position w:val="2"/>
                <w:sz w:val="16"/>
                <w:szCs w:val="22"/>
                <w:rtl/>
              </w:rPr>
              <w:t>قطاع تنمية الاتصالات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27 </w:t>
            </w:r>
            <w:r>
              <w:rPr>
                <w:position w:val="2"/>
                <w:sz w:val="16"/>
                <w:szCs w:val="22"/>
                <w:lang w:val="fr-FR" w:bidi="ar-SY"/>
              </w:rPr>
              <w:t>835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2</w:t>
            </w:r>
            <w:r>
              <w:rPr>
                <w:position w:val="2"/>
                <w:sz w:val="16"/>
                <w:szCs w:val="22"/>
                <w:lang w:val="fr-FR" w:bidi="ar-SY"/>
              </w:rPr>
              <w:t>6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940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895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position w:val="2"/>
                <w:sz w:val="16"/>
                <w:szCs w:val="22"/>
                <w:lang w:val="fr-FR" w:bidi="ar-SY"/>
              </w:rPr>
              <w:t>3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position w:val="2"/>
                <w:sz w:val="16"/>
                <w:szCs w:val="22"/>
                <w:lang w:val="fr-FR" w:bidi="ar-SY"/>
              </w:rPr>
              <w:t>2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28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578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>
              <w:rPr>
                <w:position w:val="2"/>
                <w:sz w:val="16"/>
                <w:szCs w:val="22"/>
                <w:lang w:val="fr-FR" w:bidi="ar-SY"/>
              </w:rPr>
              <w:t>1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position w:val="2"/>
                <w:sz w:val="16"/>
                <w:szCs w:val="22"/>
                <w:lang w:val="fr-FR" w:bidi="ar-SY"/>
              </w:rPr>
              <w:t>766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 xml:space="preserve">28 </w:t>
            </w:r>
            <w:r>
              <w:rPr>
                <w:position w:val="2"/>
                <w:sz w:val="16"/>
                <w:szCs w:val="22"/>
                <w:lang w:val="fr-FR" w:bidi="ar-SY"/>
              </w:rPr>
              <w:t>035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5</w:t>
            </w:r>
            <w:r>
              <w:rPr>
                <w:position w:val="2"/>
                <w:sz w:val="16"/>
                <w:szCs w:val="22"/>
                <w:lang w:val="fr-FR" w:bidi="ar-SY"/>
              </w:rPr>
              <w:t>43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%1,</w:t>
            </w:r>
            <w:r>
              <w:rPr>
                <w:position w:val="2"/>
                <w:sz w:val="16"/>
                <w:szCs w:val="22"/>
                <w:lang w:val="fr-FR" w:bidi="ar-SY"/>
              </w:rPr>
              <w:t>9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</w:tr>
      <w:tr w:rsidR="003E4E30" w:rsidRPr="00C96D16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rFonts w:hint="cs"/>
                <w:b/>
                <w:bCs/>
                <w:position w:val="2"/>
                <w:sz w:val="16"/>
                <w:szCs w:val="22"/>
                <w:rtl/>
              </w:rPr>
              <w:t>مجموع النفقات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160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074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14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7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301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773</w:t>
            </w:r>
            <w:r w:rsidR="003E4E30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8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</w:t>
            </w:r>
            <w:r w:rsidR="003E4E30">
              <w:rPr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164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892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9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9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9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61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277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3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615</w:t>
            </w:r>
            <w:r w:rsidR="003E4E30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</w:t>
            </w:r>
            <w:r w:rsidRPr="00C96D16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,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2</w:t>
            </w:r>
            <w:r w:rsidR="003E4E30">
              <w:rPr>
                <w:b/>
                <w:bCs/>
                <w:position w:val="2"/>
                <w:sz w:val="16"/>
                <w:szCs w:val="22"/>
                <w:lang w:bidi="ar-SY"/>
              </w:rPr>
              <w:t>–</w:t>
            </w:r>
          </w:p>
        </w:tc>
      </w:tr>
      <w:tr w:rsidR="003E4E30" w:rsidRPr="00A13AA4" w:rsidTr="003E4E30">
        <w:trPr>
          <w:trHeight w:val="23"/>
          <w:jc w:val="center"/>
        </w:trPr>
        <w:tc>
          <w:tcPr>
            <w:tcW w:w="1323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A52D9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CA52D9">
              <w:rPr>
                <w:b/>
                <w:bCs/>
                <w:position w:val="2"/>
                <w:sz w:val="16"/>
                <w:szCs w:val="22"/>
                <w:rtl/>
              </w:rPr>
              <w:t>الفائض</w:t>
            </w:r>
            <w:r w:rsidRPr="00CA52D9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/</w:t>
            </w:r>
            <w:r w:rsidRPr="00CA52D9">
              <w:rPr>
                <w:b/>
                <w:bCs/>
                <w:position w:val="2"/>
                <w:sz w:val="16"/>
                <w:szCs w:val="22"/>
                <w:rtl/>
              </w:rPr>
              <w:t>العجز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A13AA4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12</w:t>
            </w:r>
            <w:r w:rsidRPr="00A13AA4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702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12</w:t>
            </w:r>
            <w:r w:rsidRPr="00A13AA4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702</w:t>
            </w:r>
            <w:r w:rsidR="003E4E30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 w:rsidRPr="00A13AA4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121</w:t>
            </w:r>
            <w:r w:rsidRPr="00A13AA4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397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3</w:t>
            </w:r>
            <w:r w:rsidRPr="00A13AA4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736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3</w:t>
            </w:r>
            <w:r w:rsidRPr="00A13AA4"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position w:val="2"/>
                <w:sz w:val="16"/>
                <w:szCs w:val="22"/>
                <w:lang w:val="fr-FR" w:bidi="ar-SY"/>
              </w:rPr>
              <w:t>736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A13AA4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position w:val="2"/>
                <w:sz w:val="16"/>
                <w:szCs w:val="22"/>
                <w:lang w:val="fr-FR" w:bidi="ar-SY"/>
              </w:rPr>
            </w:pPr>
          </w:p>
        </w:tc>
      </w:tr>
      <w:tr w:rsidR="0011038C" w:rsidRPr="00C96D16" w:rsidTr="003E4E30">
        <w:trPr>
          <w:trHeight w:val="23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3E4E30">
              <w:rPr>
                <w:position w:val="2"/>
                <w:sz w:val="16"/>
                <w:szCs w:val="22"/>
                <w:lang w:val="fr-FR" w:bidi="ar-SY"/>
              </w:rPr>
              <w:t>*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C96D16">
              <w:rPr>
                <w:rFonts w:hint="cs"/>
                <w:position w:val="2"/>
                <w:sz w:val="16"/>
                <w:szCs w:val="22"/>
                <w:rtl/>
              </w:rPr>
              <w:t>في</w:t>
            </w:r>
            <w:r w:rsidRPr="00C96D16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position w:val="2"/>
                <w:sz w:val="16"/>
                <w:szCs w:val="22"/>
                <w:lang w:bidi="ar-SY"/>
              </w:rPr>
              <w:t>18</w:t>
            </w:r>
            <w:r w:rsidRPr="00C96D16">
              <w:rPr>
                <w:rFonts w:hint="cs"/>
                <w:position w:val="2"/>
                <w:sz w:val="16"/>
                <w:szCs w:val="22"/>
                <w:rtl/>
              </w:rPr>
              <w:t xml:space="preserve"> فبراير</w:t>
            </w:r>
            <w:r w:rsidRPr="00C96D16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 xml:space="preserve"> </w:t>
            </w:r>
            <w:r w:rsidRPr="00C96D16">
              <w:rPr>
                <w:position w:val="2"/>
                <w:sz w:val="16"/>
                <w:szCs w:val="22"/>
                <w:lang w:bidi="ar-SY"/>
              </w:rPr>
              <w:t>20</w:t>
            </w:r>
            <w:r>
              <w:rPr>
                <w:position w:val="2"/>
                <w:sz w:val="16"/>
                <w:szCs w:val="22"/>
                <w:lang w:bidi="ar-SY"/>
              </w:rPr>
              <w:t>19</w:t>
            </w:r>
          </w:p>
          <w:p w:rsidR="0011038C" w:rsidRPr="00C96D16" w:rsidRDefault="0011038C" w:rsidP="00AB5013">
            <w:pPr>
              <w:tabs>
                <w:tab w:val="left" w:pos="245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position w:val="2"/>
                <w:sz w:val="16"/>
                <w:szCs w:val="22"/>
                <w:lang w:val="fr-FR" w:bidi="ar-SY"/>
              </w:rPr>
            </w:pPr>
            <w:r w:rsidRPr="00C96D16">
              <w:rPr>
                <w:position w:val="2"/>
                <w:sz w:val="16"/>
                <w:szCs w:val="22"/>
                <w:lang w:bidi="ar-SY"/>
              </w:rPr>
              <w:t>**</w:t>
            </w:r>
            <w:r w:rsidRPr="00C96D16">
              <w:rPr>
                <w:position w:val="2"/>
                <w:sz w:val="16"/>
                <w:szCs w:val="22"/>
                <w:lang w:val="fr-FR" w:bidi="ar-SY"/>
              </w:rPr>
              <w:tab/>
            </w:r>
            <w:r w:rsidRPr="00F31D22">
              <w:rPr>
                <w:position w:val="2"/>
                <w:sz w:val="16"/>
                <w:szCs w:val="22"/>
                <w:rtl/>
              </w:rPr>
              <w:t xml:space="preserve">تختلف الميزانية المعروضة عن الميزانية الأصلية المعتمدة نتيجة لتحويلات تمت طبقاً للمادة </w:t>
            </w:r>
            <w:r w:rsidRPr="00F31D22">
              <w:rPr>
                <w:position w:val="2"/>
                <w:sz w:val="16"/>
                <w:szCs w:val="22"/>
                <w:lang w:bidi="ar-SY"/>
              </w:rPr>
              <w:t>11</w:t>
            </w:r>
            <w:r w:rsidRPr="00F31D22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 xml:space="preserve"> والمادة </w:t>
            </w:r>
            <w:r w:rsidRPr="00F31D22">
              <w:rPr>
                <w:position w:val="2"/>
                <w:sz w:val="16"/>
                <w:szCs w:val="22"/>
                <w:lang w:bidi="ar-SY"/>
              </w:rPr>
              <w:t>13</w:t>
            </w:r>
            <w:r w:rsidRPr="00F31D22">
              <w:rPr>
                <w:position w:val="2"/>
                <w:sz w:val="16"/>
                <w:szCs w:val="22"/>
                <w:rtl/>
              </w:rPr>
              <w:t xml:space="preserve"> من اللوائح والقواعد المالية</w:t>
            </w:r>
            <w:r w:rsidRPr="00F31D22">
              <w:rPr>
                <w:rFonts w:hint="cs"/>
                <w:position w:val="2"/>
                <w:sz w:val="16"/>
                <w:szCs w:val="22"/>
                <w:rtl/>
                <w:lang w:bidi="ar-EG"/>
              </w:rPr>
              <w:t>.</w:t>
            </w:r>
          </w:p>
        </w:tc>
      </w:tr>
    </w:tbl>
    <w:p w:rsidR="0011038C" w:rsidRPr="000E6042" w:rsidRDefault="0011038C" w:rsidP="0011038C">
      <w:pPr>
        <w:pStyle w:val="Heading1"/>
        <w:rPr>
          <w:rFonts w:eastAsiaTheme="minorEastAsia"/>
          <w:rtl/>
        </w:rPr>
      </w:pPr>
      <w:r w:rsidRPr="000E6042">
        <w:rPr>
          <w:rFonts w:eastAsiaTheme="minorEastAsia"/>
          <w:lang w:bidi="ar-SY"/>
        </w:rPr>
        <w:t>3</w:t>
      </w:r>
      <w:r w:rsidRPr="000E6042">
        <w:rPr>
          <w:rFonts w:eastAsiaTheme="minorEastAsia" w:hint="cs"/>
          <w:rtl/>
        </w:rPr>
        <w:tab/>
        <w:t>الإيرادات</w:t>
      </w:r>
    </w:p>
    <w:p w:rsidR="0011038C" w:rsidRPr="00964FF8" w:rsidRDefault="0011038C" w:rsidP="003E4E30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964FF8">
        <w:rPr>
          <w:lang w:bidi="ar-SY"/>
        </w:rPr>
        <w:t>1.3</w:t>
      </w:r>
      <w:r w:rsidRPr="00964FF8">
        <w:rPr>
          <w:rFonts w:hint="cs"/>
          <w:rtl/>
          <w:lang w:bidi="ar-SY"/>
        </w:rPr>
        <w:tab/>
        <w:t>تتكون إيرادات الاتحاد من المساهمات المقررة و</w:t>
      </w:r>
      <w:r w:rsidR="00C27D38" w:rsidRPr="00964FF8">
        <w:rPr>
          <w:rFonts w:hint="cs"/>
          <w:rtl/>
          <w:lang w:bidi="ar-EG"/>
        </w:rPr>
        <w:t xml:space="preserve">مبالغ </w:t>
      </w:r>
      <w:r w:rsidRPr="00964FF8">
        <w:rPr>
          <w:rFonts w:hint="cs"/>
          <w:rtl/>
          <w:lang w:bidi="ar-SY"/>
        </w:rPr>
        <w:t xml:space="preserve">استرداد التكاليف وإيرادات الفوائد/إيرادات أخرى ومجموع </w:t>
      </w:r>
      <w:r w:rsidRPr="00964FF8">
        <w:rPr>
          <w:rFonts w:hint="cs"/>
          <w:rtl/>
        </w:rPr>
        <w:t>المبالغ المسحوبة</w:t>
      </w:r>
      <w:r w:rsidRPr="00964FF8">
        <w:rPr>
          <w:rFonts w:hint="cs"/>
          <w:rtl/>
          <w:lang w:bidi="ar-SY"/>
        </w:rPr>
        <w:t xml:space="preserve"> من حساب الاحتياطي (الفقرة </w:t>
      </w:r>
      <w:r w:rsidRPr="00964FF8">
        <w:rPr>
          <w:lang w:bidi="ar-SY"/>
        </w:rPr>
        <w:t>13</w:t>
      </w:r>
      <w:r w:rsidRPr="00964FF8">
        <w:rPr>
          <w:rFonts w:hint="cs"/>
          <w:rtl/>
          <w:lang w:bidi="ar-EG"/>
        </w:rPr>
        <w:t xml:space="preserve"> من الوثيقة </w:t>
      </w:r>
      <w:hyperlink r:id="rId11" w:history="1">
        <w:r w:rsidRPr="00964FF8">
          <w:rPr>
            <w:rStyle w:val="Hyperlink"/>
            <w:szCs w:val="22"/>
          </w:rPr>
          <w:t>C17/10</w:t>
        </w:r>
      </w:hyperlink>
      <w:r w:rsidRPr="00964FF8">
        <w:rPr>
          <w:rFonts w:hint="cs"/>
          <w:rtl/>
          <w:lang w:bidi="ar-SY"/>
        </w:rPr>
        <w:t>). وستساهم زيادة الإيرادات المتأتية من المساهمات المقررة للدول الأعضاء في</w:t>
      </w:r>
      <w:r w:rsidR="003E4E30" w:rsidRPr="00964FF8">
        <w:rPr>
          <w:rFonts w:hint="eastAsia"/>
          <w:rtl/>
          <w:lang w:bidi="ar-SY"/>
        </w:rPr>
        <w:t> </w:t>
      </w:r>
      <w:r w:rsidRPr="00964FF8">
        <w:rPr>
          <w:rFonts w:hint="cs"/>
          <w:rtl/>
          <w:lang w:bidi="ar-SY"/>
        </w:rPr>
        <w:t>تعويض الانخفاض المتوقع في الإيرادات المتأتية من مساهمات أعضاء القطاعات ومن استرداد التكاليف</w:t>
      </w:r>
      <w:r w:rsidRPr="00964FF8">
        <w:rPr>
          <w:rFonts w:hint="cs"/>
          <w:rtl/>
          <w:lang w:bidi="ar-EG"/>
        </w:rPr>
        <w:t>.</w:t>
      </w:r>
    </w:p>
    <w:p w:rsidR="0011038C" w:rsidRPr="00964FF8" w:rsidRDefault="0011038C" w:rsidP="0017273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lang w:bidi="ar-EG"/>
        </w:rPr>
      </w:pPr>
      <w:r w:rsidRPr="00964FF8">
        <w:rPr>
          <w:lang w:bidi="ar-SY"/>
        </w:rPr>
        <w:t>2.3</w:t>
      </w:r>
      <w:r w:rsidRPr="00964FF8">
        <w:rPr>
          <w:rFonts w:hint="cs"/>
          <w:rtl/>
          <w:lang w:bidi="ar-SY"/>
        </w:rPr>
        <w:tab/>
        <w:t>و</w:t>
      </w:r>
      <w:r w:rsidRPr="00964FF8">
        <w:rPr>
          <w:rFonts w:hint="cs"/>
          <w:rtl/>
          <w:lang w:bidi="ar-EG"/>
        </w:rPr>
        <w:t>تمثل الإيرادات المتأتية من المساهمات المقررة</w:t>
      </w:r>
      <w:r w:rsidRPr="00964FF8">
        <w:rPr>
          <w:rFonts w:hint="eastAsia"/>
          <w:rtl/>
          <w:lang w:bidi="ar-EG"/>
        </w:rPr>
        <w:t> </w:t>
      </w:r>
      <w:r w:rsidRPr="00964FF8">
        <w:rPr>
          <w:lang w:bidi="ar-SY"/>
        </w:rPr>
        <w:t>%77</w:t>
      </w:r>
      <w:r w:rsidRPr="00964FF8">
        <w:rPr>
          <w:rFonts w:hint="cs"/>
          <w:rtl/>
          <w:lang w:bidi="ar-EG"/>
        </w:rPr>
        <w:t xml:space="preserve"> من مجموع الإيرادات المرصودة في ميزانية </w:t>
      </w:r>
      <w:r w:rsidRPr="00964FF8">
        <w:rPr>
          <w:lang w:bidi="ar-EG"/>
        </w:rPr>
        <w:t>2019-2018</w:t>
      </w:r>
      <w:r w:rsidRPr="00964FF8">
        <w:rPr>
          <w:rFonts w:hint="cs"/>
          <w:rtl/>
          <w:lang w:bidi="ar-EG"/>
        </w:rPr>
        <w:t>، التي تشمل المساهمات المقدمة من الدول الأعضاء وأعضاء القطاعات والمنتسبين والمؤسسات الأكاديمية. ويبيّن الجدول</w:t>
      </w:r>
      <w:r w:rsidR="00172738">
        <w:rPr>
          <w:rFonts w:hint="eastAsia"/>
          <w:rtl/>
          <w:lang w:bidi="ar-EG"/>
        </w:rPr>
        <w:t> </w:t>
      </w:r>
      <w:r w:rsidRPr="00964FF8">
        <w:rPr>
          <w:lang w:bidi="ar-SY"/>
        </w:rPr>
        <w:t>2</w:t>
      </w:r>
      <w:r w:rsidRPr="00964FF8">
        <w:rPr>
          <w:rFonts w:hint="cs"/>
          <w:rtl/>
        </w:rPr>
        <w:t xml:space="preserve"> أدناه توزيع </w:t>
      </w:r>
      <w:r w:rsidRPr="00964FF8">
        <w:rPr>
          <w:rFonts w:hint="cs"/>
          <w:rtl/>
          <w:lang w:bidi="ar-SY"/>
        </w:rPr>
        <w:t>المساهمات</w:t>
      </w:r>
      <w:r w:rsidR="00964FF8">
        <w:rPr>
          <w:rFonts w:hint="eastAsia"/>
          <w:rtl/>
          <w:lang w:bidi="ar-SY"/>
        </w:rPr>
        <w:t> </w:t>
      </w:r>
      <w:r w:rsidRPr="00964FF8">
        <w:rPr>
          <w:rFonts w:hint="cs"/>
          <w:rtl/>
          <w:lang w:bidi="ar-SY"/>
        </w:rPr>
        <w:t>المقررة.</w:t>
      </w:r>
    </w:p>
    <w:p w:rsidR="0011038C" w:rsidRDefault="0011038C" w:rsidP="003E4E30">
      <w:pPr>
        <w:pStyle w:val="Tabletitle"/>
        <w:keepNext w:val="0"/>
        <w:pageBreakBefore/>
        <w:rPr>
          <w:rtl/>
        </w:rPr>
      </w:pPr>
      <w:r w:rsidRPr="00F16D13">
        <w:rPr>
          <w:rFonts w:hint="cs"/>
          <w:rtl/>
        </w:rPr>
        <w:lastRenderedPageBreak/>
        <w:t xml:space="preserve">الجدول </w:t>
      </w:r>
      <w:r w:rsidRPr="00F16D13">
        <w:t>2</w:t>
      </w:r>
      <w:r w:rsidRPr="00F16D13">
        <w:rPr>
          <w:rFonts w:hint="cs"/>
          <w:rtl/>
        </w:rPr>
        <w:t xml:space="preserve"> - الإيرادات المتأتية من المساهمات المقررة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1038C" w:rsidRPr="000E6042" w:rsidTr="00C27D38">
        <w:trPr>
          <w:trHeight w:val="222"/>
          <w:jc w:val="center"/>
        </w:trPr>
        <w:tc>
          <w:tcPr>
            <w:tcW w:w="14274" w:type="dxa"/>
            <w:noWrap/>
            <w:vAlign w:val="bottom"/>
            <w:hideMark/>
          </w:tcPr>
          <w:p w:rsidR="0011038C" w:rsidRPr="00C96D16" w:rsidRDefault="0011038C" w:rsidP="00C27D3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right"/>
              <w:rPr>
                <w:i/>
                <w:iCs/>
                <w:sz w:val="16"/>
                <w:szCs w:val="22"/>
                <w:lang w:val="fr-CH" w:bidi="ar-SY"/>
              </w:rPr>
            </w:pPr>
            <w:r w:rsidRPr="00C96D16">
              <w:rPr>
                <w:rFonts w:hint="cs"/>
                <w:i/>
                <w:iCs/>
                <w:sz w:val="16"/>
                <w:szCs w:val="22"/>
                <w:rtl/>
                <w:lang w:bidi="ar-EG"/>
              </w:rPr>
              <w:t>بآلاف الفرنكات السويسرية</w:t>
            </w:r>
          </w:p>
        </w:tc>
      </w:tr>
    </w:tbl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094"/>
        <w:gridCol w:w="835"/>
        <w:gridCol w:w="850"/>
        <w:gridCol w:w="734"/>
        <w:gridCol w:w="848"/>
        <w:gridCol w:w="235"/>
        <w:gridCol w:w="852"/>
        <w:gridCol w:w="860"/>
        <w:gridCol w:w="771"/>
        <w:gridCol w:w="800"/>
        <w:gridCol w:w="760"/>
      </w:tblGrid>
      <w:tr w:rsidR="0011038C" w:rsidRPr="00C96D16" w:rsidTr="00037406">
        <w:trPr>
          <w:trHeight w:val="227"/>
        </w:trPr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1695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2097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</w:tr>
      <w:tr w:rsidR="00037406" w:rsidRPr="00C96D16" w:rsidTr="00037406">
        <w:trPr>
          <w:trHeight w:val="227"/>
        </w:trPr>
        <w:tc>
          <w:tcPr>
            <w:tcW w:w="1086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lang w:val="fr-FR" w:bidi="ar-SY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</w:rPr>
              <w:t>المساهمات المقررة</w:t>
            </w:r>
          </w:p>
        </w:tc>
        <w:tc>
          <w:tcPr>
            <w:tcW w:w="433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ميزانية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441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</w:rPr>
              <w:t>المبالغ الفعلية</w:t>
            </w:r>
            <w:r w:rsidRPr="00AD4D48">
              <w:rPr>
                <w:b/>
                <w:bCs/>
                <w:sz w:val="16"/>
                <w:szCs w:val="22"/>
                <w:lang w:val="fr-FR" w:bidi="ar-SY"/>
              </w:rPr>
              <w:t>*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الفرق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440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b/>
                <w:bCs/>
                <w:sz w:val="16"/>
                <w:szCs w:val="22"/>
                <w:lang w:val="fr-FR" w:bidi="ar-SY"/>
              </w:rPr>
              <w:t>%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ميزانية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  <w:tc>
          <w:tcPr>
            <w:tcW w:w="446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</w:rPr>
              <w:t>المبالغ الفعلية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201</w:t>
            </w:r>
            <w:r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9.</w:t>
            </w:r>
            <w:r w:rsidRPr="00C96D16"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02</w:t>
            </w:r>
            <w:r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.18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توقعات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الفرق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AD4D48">
              <w:rPr>
                <w:b/>
                <w:bCs/>
                <w:sz w:val="16"/>
                <w:szCs w:val="22"/>
                <w:lang w:val="fr-FR" w:bidi="ar-SY"/>
              </w:rPr>
              <w:t>%</w:t>
            </w:r>
          </w:p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</w:tr>
      <w:tr w:rsidR="00037406" w:rsidRPr="00C96D16" w:rsidTr="00037406">
        <w:trPr>
          <w:trHeight w:val="227"/>
        </w:trPr>
        <w:tc>
          <w:tcPr>
            <w:tcW w:w="1086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33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41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381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40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46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00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</w:tr>
      <w:tr w:rsidR="00037406" w:rsidRPr="00C96D16" w:rsidTr="00037406">
        <w:trPr>
          <w:trHeight w:val="227"/>
        </w:trPr>
        <w:tc>
          <w:tcPr>
            <w:tcW w:w="1086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37406" w:rsidRPr="00AD4D48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33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a</w:t>
            </w:r>
          </w:p>
        </w:tc>
        <w:tc>
          <w:tcPr>
            <w:tcW w:w="44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b</w:t>
            </w:r>
          </w:p>
        </w:tc>
        <w:tc>
          <w:tcPr>
            <w:tcW w:w="3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c = b - a</w:t>
            </w:r>
          </w:p>
        </w:tc>
        <w:tc>
          <w:tcPr>
            <w:tcW w:w="440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d = c / a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7406" w:rsidRPr="00C96D16" w:rsidRDefault="00037406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e</w:t>
            </w:r>
          </w:p>
        </w:tc>
        <w:tc>
          <w:tcPr>
            <w:tcW w:w="446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f</w:t>
            </w:r>
          </w:p>
        </w:tc>
        <w:tc>
          <w:tcPr>
            <w:tcW w:w="4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g</w:t>
            </w:r>
          </w:p>
        </w:tc>
        <w:tc>
          <w:tcPr>
            <w:tcW w:w="415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h = g - e</w:t>
            </w:r>
          </w:p>
        </w:tc>
        <w:tc>
          <w:tcPr>
            <w:tcW w:w="394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37406" w:rsidRPr="00037406" w:rsidRDefault="00037406" w:rsidP="00AB5013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i = h / e</w:t>
            </w:r>
          </w:p>
        </w:tc>
      </w:tr>
      <w:tr w:rsidR="0011038C" w:rsidRPr="00C96D16" w:rsidTr="00037406">
        <w:trPr>
          <w:trHeight w:val="227"/>
        </w:trPr>
        <w:tc>
          <w:tcPr>
            <w:tcW w:w="1086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11038C" w:rsidRPr="00AD4D48" w:rsidRDefault="0011038C" w:rsidP="00AB5013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ind w:left="5"/>
              <w:rPr>
                <w:sz w:val="16"/>
                <w:szCs w:val="22"/>
                <w:lang w:val="fr-FR" w:bidi="ar-SY"/>
              </w:rPr>
            </w:pPr>
            <w:r w:rsidRPr="00AD4D48">
              <w:rPr>
                <w:sz w:val="16"/>
                <w:szCs w:val="22"/>
                <w:lang w:val="fr-FR" w:bidi="ar-SY"/>
              </w:rPr>
              <w:t>1</w:t>
            </w:r>
            <w:r w:rsidRPr="00AD4D48">
              <w:rPr>
                <w:sz w:val="16"/>
                <w:szCs w:val="22"/>
                <w:rtl/>
                <w:lang w:bidi="ar-EG"/>
              </w:rPr>
              <w:tab/>
            </w:r>
            <w:r w:rsidRPr="00AD4D48">
              <w:rPr>
                <w:rFonts w:hint="cs"/>
                <w:sz w:val="16"/>
                <w:szCs w:val="22"/>
                <w:rtl/>
                <w:lang w:bidi="ar-EG"/>
              </w:rPr>
              <w:t>الدول الأعضاء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106 </w:t>
            </w:r>
            <w:r>
              <w:rPr>
                <w:sz w:val="16"/>
                <w:szCs w:val="22"/>
                <w:lang w:val="fr-FR" w:bidi="ar-SY"/>
              </w:rPr>
              <w:t>292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10</w:t>
            </w:r>
            <w:r>
              <w:rPr>
                <w:sz w:val="16"/>
                <w:szCs w:val="22"/>
                <w:lang w:val="fr-FR" w:bidi="ar-SY"/>
              </w:rPr>
              <w:t>8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597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2 305</w:t>
            </w:r>
            <w:r w:rsidR="00037406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bidi="ar-SY"/>
              </w:rPr>
              <w:t>2</w:t>
            </w:r>
            <w:r w:rsidRPr="00C96D16">
              <w:rPr>
                <w:sz w:val="16"/>
                <w:szCs w:val="22"/>
                <w:lang w:bidi="ar-SY"/>
              </w:rPr>
              <w:t>,</w:t>
            </w:r>
            <w:r>
              <w:rPr>
                <w:sz w:val="16"/>
                <w:szCs w:val="22"/>
                <w:lang w:bidi="ar-SY"/>
              </w:rPr>
              <w:t>2</w:t>
            </w:r>
            <w:r w:rsidR="00037406">
              <w:rPr>
                <w:sz w:val="16"/>
                <w:szCs w:val="22"/>
                <w:lang w:bidi="ar-SY"/>
              </w:rPr>
              <w:t> 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106 </w:t>
            </w:r>
            <w:r>
              <w:rPr>
                <w:sz w:val="16"/>
                <w:szCs w:val="22"/>
                <w:lang w:val="fr-FR" w:bidi="ar-SY"/>
              </w:rPr>
              <w:t>292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10</w:t>
            </w:r>
            <w:r>
              <w:rPr>
                <w:sz w:val="16"/>
                <w:szCs w:val="22"/>
                <w:lang w:val="fr-FR" w:bidi="ar-SY"/>
              </w:rPr>
              <w:t>9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551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10</w:t>
            </w:r>
            <w:r>
              <w:rPr>
                <w:sz w:val="16"/>
                <w:szCs w:val="22"/>
                <w:lang w:val="fr-FR" w:bidi="ar-SY"/>
              </w:rPr>
              <w:t>8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597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2 305</w:t>
            </w:r>
            <w:r w:rsidR="00037406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bidi="ar-SY"/>
              </w:rPr>
              <w:t>2</w:t>
            </w:r>
            <w:r w:rsidRPr="00C96D16">
              <w:rPr>
                <w:sz w:val="16"/>
                <w:szCs w:val="22"/>
                <w:lang w:bidi="ar-SY"/>
              </w:rPr>
              <w:t>,</w:t>
            </w:r>
            <w:r>
              <w:rPr>
                <w:sz w:val="16"/>
                <w:szCs w:val="22"/>
                <w:lang w:bidi="ar-SY"/>
              </w:rPr>
              <w:t>2</w:t>
            </w:r>
            <w:r w:rsidR="00037406">
              <w:rPr>
                <w:sz w:val="16"/>
                <w:szCs w:val="22"/>
                <w:lang w:bidi="ar-SY"/>
              </w:rPr>
              <w:t>  </w:t>
            </w:r>
          </w:p>
        </w:tc>
      </w:tr>
      <w:tr w:rsidR="0011038C" w:rsidRPr="00C96D16" w:rsidTr="00037406">
        <w:trPr>
          <w:trHeight w:val="227"/>
        </w:trPr>
        <w:tc>
          <w:tcPr>
            <w:tcW w:w="1086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11038C" w:rsidRPr="00AD4D48" w:rsidRDefault="0011038C" w:rsidP="00AB5013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ind w:left="5"/>
              <w:rPr>
                <w:sz w:val="16"/>
                <w:szCs w:val="22"/>
                <w:rtl/>
                <w:lang w:bidi="ar-EG"/>
              </w:rPr>
            </w:pPr>
            <w:r w:rsidRPr="00AD4D48">
              <w:rPr>
                <w:sz w:val="16"/>
                <w:szCs w:val="22"/>
                <w:lang w:val="fr-FR" w:bidi="ar-SY"/>
              </w:rPr>
              <w:t>2</w:t>
            </w:r>
            <w:r w:rsidRPr="00AD4D48">
              <w:rPr>
                <w:sz w:val="16"/>
                <w:szCs w:val="22"/>
                <w:rtl/>
                <w:lang w:bidi="ar-EG"/>
              </w:rPr>
              <w:tab/>
            </w:r>
            <w:r w:rsidRPr="00AD4D48">
              <w:rPr>
                <w:rFonts w:hint="cs"/>
                <w:sz w:val="16"/>
                <w:szCs w:val="22"/>
                <w:rtl/>
                <w:lang w:bidi="ar-EG"/>
              </w:rPr>
              <w:t>أعضاء القطاعات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15 875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14 </w:t>
            </w:r>
            <w:r>
              <w:rPr>
                <w:sz w:val="16"/>
                <w:szCs w:val="22"/>
                <w:lang w:val="fr-FR" w:bidi="ar-SY"/>
              </w:rPr>
              <w:t>219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 </w:t>
            </w:r>
            <w:r>
              <w:rPr>
                <w:sz w:val="16"/>
                <w:szCs w:val="22"/>
                <w:lang w:val="fr-FR" w:bidi="ar-SY"/>
              </w:rPr>
              <w:t>656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bidi="ar-SY"/>
              </w:rPr>
              <w:t>10</w:t>
            </w:r>
            <w:r w:rsidRPr="00C96D16">
              <w:rPr>
                <w:sz w:val="16"/>
                <w:szCs w:val="22"/>
                <w:lang w:bidi="ar-SY"/>
              </w:rPr>
              <w:t>,</w:t>
            </w:r>
            <w:r>
              <w:rPr>
                <w:sz w:val="16"/>
                <w:szCs w:val="22"/>
                <w:lang w:bidi="ar-SY"/>
              </w:rPr>
              <w:t>4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15 875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14 </w:t>
            </w:r>
            <w:r>
              <w:rPr>
                <w:sz w:val="16"/>
                <w:szCs w:val="22"/>
                <w:lang w:val="fr-FR" w:bidi="ar-SY"/>
              </w:rPr>
              <w:t>036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15 000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875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 w:rsidRPr="00C96D16">
              <w:rPr>
                <w:sz w:val="16"/>
                <w:szCs w:val="22"/>
                <w:lang w:bidi="ar-SY"/>
              </w:rPr>
              <w:t>5,5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</w:tr>
      <w:tr w:rsidR="0011038C" w:rsidRPr="00C96D16" w:rsidTr="00A646C9">
        <w:trPr>
          <w:trHeight w:val="227"/>
        </w:trPr>
        <w:tc>
          <w:tcPr>
            <w:tcW w:w="1086" w:type="pct"/>
            <w:tcBorders>
              <w:top w:val="nil"/>
              <w:left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11038C" w:rsidRPr="00AD4D48" w:rsidRDefault="0011038C" w:rsidP="00AB5013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ind w:left="5"/>
              <w:rPr>
                <w:sz w:val="16"/>
                <w:szCs w:val="22"/>
                <w:rtl/>
                <w:lang w:bidi="ar-EG"/>
              </w:rPr>
            </w:pPr>
            <w:r w:rsidRPr="00AD4D48">
              <w:rPr>
                <w:sz w:val="16"/>
                <w:szCs w:val="22"/>
                <w:lang w:val="fr-FR" w:bidi="ar-SY"/>
              </w:rPr>
              <w:t>3</w:t>
            </w:r>
            <w:r w:rsidRPr="00AD4D48">
              <w:rPr>
                <w:sz w:val="16"/>
                <w:szCs w:val="22"/>
                <w:rtl/>
                <w:lang w:bidi="ar-EG"/>
              </w:rPr>
              <w:tab/>
            </w:r>
            <w:r w:rsidRPr="00AD4D48">
              <w:rPr>
                <w:rFonts w:hint="cs"/>
                <w:sz w:val="16"/>
                <w:szCs w:val="22"/>
                <w:rtl/>
                <w:lang w:bidi="ar-EG"/>
              </w:rPr>
              <w:t>المنتسبون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1 955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 </w:t>
            </w:r>
            <w:r>
              <w:rPr>
                <w:sz w:val="16"/>
                <w:szCs w:val="22"/>
                <w:lang w:val="fr-FR" w:bidi="ar-SY"/>
              </w:rPr>
              <w:t>787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168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 w:rsidRPr="00C96D16">
              <w:rPr>
                <w:sz w:val="16"/>
                <w:szCs w:val="22"/>
                <w:lang w:bidi="ar-SY"/>
              </w:rPr>
              <w:t>8,</w:t>
            </w:r>
            <w:r>
              <w:rPr>
                <w:sz w:val="16"/>
                <w:szCs w:val="22"/>
                <w:lang w:bidi="ar-SY"/>
              </w:rPr>
              <w:t>6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1 955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 </w:t>
            </w:r>
            <w:r>
              <w:rPr>
                <w:sz w:val="16"/>
                <w:szCs w:val="22"/>
                <w:lang w:val="fr-FR" w:bidi="ar-SY"/>
              </w:rPr>
              <w:t>936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1 600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355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 w:rsidRPr="00C96D16">
              <w:rPr>
                <w:sz w:val="16"/>
                <w:szCs w:val="22"/>
                <w:lang w:bidi="ar-SY"/>
              </w:rPr>
              <w:t>18,2</w:t>
            </w:r>
            <w:r w:rsidR="00037406">
              <w:rPr>
                <w:sz w:val="16"/>
                <w:szCs w:val="22"/>
                <w:lang w:val="fr-FR" w:bidi="ar-SY"/>
              </w:rPr>
              <w:t>–</w:t>
            </w:r>
          </w:p>
        </w:tc>
      </w:tr>
      <w:tr w:rsidR="0011038C" w:rsidRPr="00C96D16" w:rsidTr="00A646C9">
        <w:trPr>
          <w:trHeight w:val="227"/>
        </w:trPr>
        <w:tc>
          <w:tcPr>
            <w:tcW w:w="1086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hideMark/>
          </w:tcPr>
          <w:p w:rsidR="0011038C" w:rsidRPr="00037406" w:rsidRDefault="0011038C" w:rsidP="00AB5013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ind w:left="5"/>
              <w:rPr>
                <w:sz w:val="16"/>
                <w:szCs w:val="22"/>
                <w:rtl/>
                <w:lang w:bidi="ar-EG"/>
              </w:rPr>
            </w:pPr>
            <w:r w:rsidRPr="00037406">
              <w:rPr>
                <w:sz w:val="16"/>
                <w:szCs w:val="22"/>
                <w:lang w:bidi="ar-EG"/>
              </w:rPr>
              <w:t>4</w:t>
            </w:r>
            <w:r w:rsidRPr="00037406">
              <w:rPr>
                <w:sz w:val="16"/>
                <w:szCs w:val="22"/>
                <w:rtl/>
                <w:lang w:bidi="ar-EG"/>
              </w:rPr>
              <w:tab/>
            </w:r>
            <w:r w:rsidRPr="00037406">
              <w:rPr>
                <w:rFonts w:hint="cs"/>
                <w:sz w:val="16"/>
                <w:szCs w:val="22"/>
                <w:rtl/>
                <w:lang w:bidi="ar-EG"/>
              </w:rPr>
              <w:t>الهيئات الأكاديمية</w:t>
            </w:r>
          </w:p>
        </w:tc>
        <w:tc>
          <w:tcPr>
            <w:tcW w:w="433" w:type="pct"/>
            <w:tcBorders>
              <w:top w:val="nil"/>
              <w:left w:val="single" w:sz="12" w:space="0" w:color="FFFFFF" w:themeColor="background1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279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358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79</w:t>
            </w:r>
            <w:r w:rsidR="00037406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bidi="ar-SY"/>
              </w:rPr>
              <w:t>28</w:t>
            </w:r>
            <w:r w:rsidRPr="00C96D16">
              <w:rPr>
                <w:sz w:val="16"/>
                <w:szCs w:val="22"/>
                <w:lang w:bidi="ar-SY"/>
              </w:rPr>
              <w:t>,</w:t>
            </w:r>
            <w:r>
              <w:rPr>
                <w:sz w:val="16"/>
                <w:szCs w:val="22"/>
                <w:lang w:bidi="ar-SY"/>
              </w:rPr>
              <w:t>3</w:t>
            </w:r>
            <w:r w:rsidR="00037406">
              <w:rPr>
                <w:sz w:val="16"/>
                <w:szCs w:val="22"/>
                <w:lang w:bidi="ar-SY"/>
              </w:rPr>
              <w:t> 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2</w:t>
            </w:r>
            <w:r>
              <w:rPr>
                <w:sz w:val="16"/>
                <w:szCs w:val="22"/>
                <w:lang w:val="fr-FR" w:bidi="ar-SY"/>
              </w:rPr>
              <w:t>79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376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300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21</w:t>
            </w:r>
            <w:r w:rsidR="00037406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bidi="ar-SY"/>
              </w:rPr>
              <w:t>7,5</w:t>
            </w:r>
            <w:r w:rsidR="00037406">
              <w:rPr>
                <w:sz w:val="16"/>
                <w:szCs w:val="22"/>
                <w:lang w:bidi="ar-SY"/>
              </w:rPr>
              <w:t>  </w:t>
            </w:r>
          </w:p>
        </w:tc>
      </w:tr>
      <w:tr w:rsidR="0011038C" w:rsidRPr="00C96D16" w:rsidTr="00A646C9">
        <w:trPr>
          <w:trHeight w:val="227"/>
        </w:trPr>
        <w:tc>
          <w:tcPr>
            <w:tcW w:w="1086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hideMark/>
          </w:tcPr>
          <w:p w:rsidR="0011038C" w:rsidRPr="00AD4D48" w:rsidRDefault="0011038C" w:rsidP="00AB5013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ind w:left="5"/>
              <w:rPr>
                <w:sz w:val="16"/>
                <w:szCs w:val="22"/>
                <w:rtl/>
                <w:lang w:bidi="ar-EG"/>
              </w:rPr>
            </w:pPr>
            <w:r w:rsidRPr="00AD4D48">
              <w:rPr>
                <w:sz w:val="16"/>
                <w:szCs w:val="22"/>
                <w:lang w:val="fr-FR" w:bidi="ar-SY"/>
              </w:rPr>
              <w:t>5</w:t>
            </w:r>
            <w:r w:rsidRPr="00AD4D48">
              <w:rPr>
                <w:sz w:val="16"/>
                <w:szCs w:val="22"/>
                <w:rtl/>
                <w:lang w:bidi="ar-EG"/>
              </w:rPr>
              <w:tab/>
            </w:r>
            <w:r w:rsidRPr="00AD4D48">
              <w:rPr>
                <w:rFonts w:hint="cs"/>
                <w:sz w:val="16"/>
                <w:szCs w:val="22"/>
                <w:rtl/>
                <w:lang w:bidi="ar-EG"/>
              </w:rPr>
              <w:t>المؤتمرات</w:t>
            </w:r>
          </w:p>
        </w:tc>
        <w:tc>
          <w:tcPr>
            <w:tcW w:w="433" w:type="pct"/>
            <w:tcBorders>
              <w:top w:val="nil"/>
              <w:left w:val="single" w:sz="12" w:space="0" w:color="FFFFFF" w:themeColor="background1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rtl/>
                <w:lang w:val="fr-FR" w:bidi="ar-EG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231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231</w:t>
            </w:r>
            <w:r w:rsidR="00037406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-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</w:tr>
      <w:tr w:rsidR="0011038C" w:rsidRPr="00C96D16" w:rsidTr="00037406">
        <w:trPr>
          <w:trHeight w:val="227"/>
        </w:trPr>
        <w:tc>
          <w:tcPr>
            <w:tcW w:w="1086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rFonts w:hint="cs"/>
                <w:b/>
                <w:bCs/>
                <w:sz w:val="16"/>
                <w:szCs w:val="22"/>
                <w:rtl/>
              </w:rPr>
              <w:t>المجموع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124 401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12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5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192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z w:val="16"/>
                <w:szCs w:val="22"/>
                <w:lang w:val="fr-FR" w:bidi="ar-SY"/>
              </w:rPr>
              <w:t>791</w:t>
            </w:r>
            <w:r w:rsidR="00037406">
              <w:rPr>
                <w:b/>
                <w:bCs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sz w:val="16"/>
                <w:szCs w:val="22"/>
                <w:lang w:bidi="ar-SY"/>
              </w:rPr>
              <w:t>0</w:t>
            </w:r>
            <w:r w:rsidRPr="00C96D16">
              <w:rPr>
                <w:b/>
                <w:bCs/>
                <w:sz w:val="16"/>
                <w:szCs w:val="22"/>
                <w:lang w:bidi="ar-SY"/>
              </w:rPr>
              <w:t>,</w:t>
            </w:r>
            <w:r>
              <w:rPr>
                <w:b/>
                <w:bCs/>
                <w:sz w:val="16"/>
                <w:szCs w:val="22"/>
                <w:lang w:bidi="ar-SY"/>
              </w:rPr>
              <w:t>6</w:t>
            </w:r>
            <w:r w:rsidR="00037406">
              <w:rPr>
                <w:b/>
                <w:bCs/>
                <w:sz w:val="16"/>
                <w:szCs w:val="22"/>
                <w:lang w:bidi="ar-SY"/>
              </w:rPr>
              <w:t> 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124 401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12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5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899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12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5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497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1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096</w:t>
            </w:r>
            <w:r w:rsidR="00037406">
              <w:rPr>
                <w:b/>
                <w:bCs/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11038C" w:rsidRPr="00C96D16" w:rsidRDefault="0011038C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sz w:val="16"/>
                <w:szCs w:val="22"/>
                <w:lang w:bidi="ar-SY"/>
              </w:rPr>
              <w:t>0</w:t>
            </w:r>
            <w:r w:rsidRPr="00C96D16">
              <w:rPr>
                <w:b/>
                <w:bCs/>
                <w:sz w:val="16"/>
                <w:szCs w:val="22"/>
                <w:lang w:bidi="ar-SY"/>
              </w:rPr>
              <w:t>,</w:t>
            </w:r>
            <w:r>
              <w:rPr>
                <w:b/>
                <w:bCs/>
                <w:sz w:val="16"/>
                <w:szCs w:val="22"/>
                <w:lang w:bidi="ar-SY"/>
              </w:rPr>
              <w:t>9</w:t>
            </w:r>
            <w:r w:rsidR="00037406">
              <w:rPr>
                <w:b/>
                <w:bCs/>
                <w:sz w:val="16"/>
                <w:szCs w:val="22"/>
                <w:lang w:bidi="ar-SY"/>
              </w:rPr>
              <w:t>  </w:t>
            </w:r>
          </w:p>
        </w:tc>
      </w:tr>
      <w:tr w:rsidR="0011038C" w:rsidRPr="00C96D16" w:rsidTr="00C27D38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AB5013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*</w:t>
            </w:r>
            <w:r w:rsidRPr="00C96D16">
              <w:rPr>
                <w:sz w:val="16"/>
                <w:szCs w:val="22"/>
                <w:lang w:val="fr-FR" w:bidi="ar-SY"/>
              </w:rPr>
              <w:tab/>
            </w:r>
            <w:r w:rsidRPr="00C96D16">
              <w:rPr>
                <w:rFonts w:hint="cs"/>
                <w:sz w:val="16"/>
                <w:szCs w:val="22"/>
                <w:rtl/>
              </w:rPr>
              <w:t>في</w:t>
            </w:r>
            <w:r w:rsidRPr="00C96D16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sz w:val="16"/>
                <w:szCs w:val="22"/>
                <w:lang w:bidi="ar-SY"/>
              </w:rPr>
              <w:t>18</w:t>
            </w:r>
            <w:r w:rsidRPr="00C96D16">
              <w:rPr>
                <w:rFonts w:hint="cs"/>
                <w:sz w:val="16"/>
                <w:szCs w:val="22"/>
                <w:rtl/>
              </w:rPr>
              <w:t xml:space="preserve"> فبراير</w:t>
            </w:r>
            <w:r w:rsidRPr="00C96D16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C96D16">
              <w:rPr>
                <w:sz w:val="16"/>
                <w:szCs w:val="22"/>
                <w:lang w:bidi="ar-SY"/>
              </w:rPr>
              <w:t>201</w:t>
            </w:r>
            <w:r>
              <w:rPr>
                <w:sz w:val="16"/>
                <w:szCs w:val="22"/>
                <w:lang w:bidi="ar-SY"/>
              </w:rPr>
              <w:t>9</w:t>
            </w:r>
          </w:p>
        </w:tc>
      </w:tr>
    </w:tbl>
    <w:p w:rsidR="0011038C" w:rsidRPr="00885750" w:rsidRDefault="0011038C" w:rsidP="00910CD4">
      <w:pPr>
        <w:spacing w:before="240"/>
        <w:rPr>
          <w:rtl/>
          <w:lang w:bidi="ar-EG"/>
        </w:rPr>
      </w:pPr>
      <w:r w:rsidRPr="00885750">
        <w:rPr>
          <w:lang w:bidi="ar-SY"/>
        </w:rPr>
        <w:t>3.3</w:t>
      </w:r>
      <w:r w:rsidRPr="00885750">
        <w:rPr>
          <w:lang w:bidi="ar-SY"/>
        </w:rPr>
        <w:tab/>
      </w:r>
      <w:r w:rsidRPr="00885750">
        <w:rPr>
          <w:rFonts w:hint="cs"/>
          <w:rtl/>
        </w:rPr>
        <w:t>و</w:t>
      </w:r>
      <w:r w:rsidRPr="00885750">
        <w:rPr>
          <w:rtl/>
        </w:rPr>
        <w:t xml:space="preserve">حُددت قيمة وحدة المساهمة السنوية </w:t>
      </w:r>
      <w:r w:rsidRPr="00885750">
        <w:rPr>
          <w:rFonts w:hint="cs"/>
          <w:rtl/>
        </w:rPr>
        <w:t xml:space="preserve">للفترة </w:t>
      </w:r>
      <w:r w:rsidRPr="00885750">
        <w:rPr>
          <w:lang w:bidi="ar-SY"/>
        </w:rPr>
        <w:t>2019-2018</w:t>
      </w:r>
      <w:r w:rsidRPr="00885750">
        <w:rPr>
          <w:rtl/>
        </w:rPr>
        <w:t xml:space="preserve"> </w:t>
      </w:r>
      <w:r w:rsidRPr="00885750">
        <w:rPr>
          <w:rFonts w:hint="cs"/>
          <w:rtl/>
        </w:rPr>
        <w:t xml:space="preserve">بمبلغ </w:t>
      </w:r>
      <w:r w:rsidRPr="00885750">
        <w:rPr>
          <w:lang w:val="fr-CH" w:bidi="ar-SY"/>
        </w:rPr>
        <w:t>318 000</w:t>
      </w:r>
      <w:r w:rsidRPr="00885750">
        <w:rPr>
          <w:rtl/>
        </w:rPr>
        <w:t> فرنك سويسري</w:t>
      </w:r>
      <w:r w:rsidRPr="00885750">
        <w:rPr>
          <w:rFonts w:hint="cs"/>
          <w:rtl/>
        </w:rPr>
        <w:t xml:space="preserve">. وبلغ عدد وحدات المساهمة من الدول الأعضاء بحلول </w:t>
      </w:r>
      <w:r w:rsidRPr="00885750">
        <w:rPr>
          <w:lang w:bidi="ar-SY"/>
        </w:rPr>
        <w:t>31</w:t>
      </w:r>
      <w:r w:rsidRPr="00885750">
        <w:rPr>
          <w:rFonts w:hint="cs"/>
          <w:rtl/>
        </w:rPr>
        <w:t xml:space="preserve"> يناير </w:t>
      </w:r>
      <w:r w:rsidRPr="00885750">
        <w:t>2018</w:t>
      </w:r>
      <w:r w:rsidRPr="00885750">
        <w:rPr>
          <w:rFonts w:hint="cs"/>
          <w:rtl/>
        </w:rPr>
        <w:t xml:space="preserve"> مقدار </w:t>
      </w:r>
      <w:r w:rsidRPr="00885750">
        <w:rPr>
          <w:lang w:val="en-GB" w:bidi="ar-SY"/>
        </w:rPr>
        <w:t>344 </w:t>
      </w:r>
      <w:r w:rsidRPr="00885750">
        <w:rPr>
          <w:szCs w:val="24"/>
        </w:rPr>
        <w:t>½</w:t>
      </w:r>
      <w:r w:rsidRPr="00885750">
        <w:rPr>
          <w:rtl/>
        </w:rPr>
        <w:t xml:space="preserve"> </w:t>
      </w:r>
      <w:r w:rsidRPr="00885750">
        <w:rPr>
          <w:rFonts w:hint="cs"/>
          <w:rtl/>
        </w:rPr>
        <w:t xml:space="preserve">من الوحدات، ما يمثل زيادة </w:t>
      </w:r>
      <w:r w:rsidR="00C27D38" w:rsidRPr="00885750">
        <w:rPr>
          <w:rFonts w:hint="cs"/>
          <w:rtl/>
        </w:rPr>
        <w:t xml:space="preserve">بمقدار </w:t>
      </w:r>
      <w:r w:rsidRPr="00885750">
        <w:rPr>
          <w:lang w:val="en-GB" w:bidi="ar-SY"/>
        </w:rPr>
        <w:t>10 ¼</w:t>
      </w:r>
      <w:r w:rsidRPr="00885750">
        <w:rPr>
          <w:rFonts w:hint="cs"/>
          <w:rtl/>
          <w:lang w:val="en-GB" w:bidi="ar-SY"/>
        </w:rPr>
        <w:t xml:space="preserve"> </w:t>
      </w:r>
      <w:r w:rsidRPr="00885750">
        <w:rPr>
          <w:rFonts w:hint="cs"/>
          <w:rtl/>
        </w:rPr>
        <w:t>وحدات في عدد الوحدات المدرجة في</w:t>
      </w:r>
      <w:r w:rsidRPr="00885750">
        <w:rPr>
          <w:rFonts w:hint="eastAsia"/>
          <w:rtl/>
        </w:rPr>
        <w:t> </w:t>
      </w:r>
      <w:r w:rsidRPr="00885750">
        <w:rPr>
          <w:rFonts w:hint="cs"/>
          <w:rtl/>
        </w:rPr>
        <w:t xml:space="preserve">الميزانية البالغ </w:t>
      </w:r>
      <w:r w:rsidRPr="00885750">
        <w:rPr>
          <w:lang w:val="en-GB" w:bidi="ar-SY"/>
        </w:rPr>
        <w:t>334 ¼</w:t>
      </w:r>
      <w:r w:rsidRPr="00885750">
        <w:rPr>
          <w:rFonts w:hint="cs"/>
          <w:rtl/>
        </w:rPr>
        <w:t xml:space="preserve"> (ارتفع عدد وحدات مساهمة الصين بست </w:t>
      </w:r>
      <w:r w:rsidRPr="00885750">
        <w:t>(6)</w:t>
      </w:r>
      <w:r w:rsidRPr="00885750">
        <w:rPr>
          <w:rFonts w:hint="cs"/>
          <w:rtl/>
          <w:lang w:bidi="ar-EG"/>
        </w:rPr>
        <w:t xml:space="preserve"> وحدات، وباكستان بوحدة </w:t>
      </w:r>
      <w:r w:rsidRPr="00885750">
        <w:rPr>
          <w:lang w:bidi="ar-EG"/>
        </w:rPr>
        <w:t>(1)</w:t>
      </w:r>
      <w:r w:rsidRPr="00885750">
        <w:rPr>
          <w:rFonts w:hint="cs"/>
          <w:rtl/>
          <w:lang w:bidi="ar-EG"/>
        </w:rPr>
        <w:t>، وباراغواي بربع</w:t>
      </w:r>
      <w:r w:rsidR="00037406" w:rsidRPr="00885750">
        <w:rPr>
          <w:rFonts w:hint="eastAsia"/>
          <w:rtl/>
          <w:lang w:bidi="ar-EG"/>
        </w:rPr>
        <w:t> </w:t>
      </w:r>
      <w:r w:rsidRPr="00885750">
        <w:rPr>
          <w:lang w:bidi="ar-EG"/>
        </w:rPr>
        <w:t>(</w:t>
      </w:r>
      <w:r w:rsidRPr="00885750">
        <w:rPr>
          <w:szCs w:val="24"/>
        </w:rPr>
        <w:t>¼</w:t>
      </w:r>
      <w:r w:rsidRPr="00885750">
        <w:rPr>
          <w:lang w:bidi="ar-EG"/>
        </w:rPr>
        <w:t>)</w:t>
      </w:r>
      <w:r w:rsidR="00037406" w:rsidRPr="00885750">
        <w:rPr>
          <w:rFonts w:hint="eastAsia"/>
          <w:rtl/>
          <w:lang w:bidi="ar-EG"/>
        </w:rPr>
        <w:t> </w:t>
      </w:r>
      <w:r w:rsidRPr="00885750">
        <w:rPr>
          <w:rFonts w:hint="cs"/>
          <w:rtl/>
          <w:lang w:bidi="ar-EG"/>
        </w:rPr>
        <w:t xml:space="preserve">وحدة، والكويت بوحدتين </w:t>
      </w:r>
      <w:r w:rsidRPr="00885750">
        <w:rPr>
          <w:lang w:bidi="ar-EG"/>
        </w:rPr>
        <w:t>(2)</w:t>
      </w:r>
      <w:r w:rsidRPr="00885750">
        <w:rPr>
          <w:rFonts w:hint="cs"/>
          <w:rtl/>
          <w:lang w:bidi="ar-EG"/>
        </w:rPr>
        <w:t xml:space="preserve">، وقطر بوحدة </w:t>
      </w:r>
      <w:r w:rsidRPr="00885750">
        <w:rPr>
          <w:lang w:bidi="ar-EG"/>
        </w:rPr>
        <w:t>(1)</w:t>
      </w:r>
      <w:r w:rsidRPr="00885750">
        <w:rPr>
          <w:rFonts w:hint="cs"/>
          <w:rtl/>
          <w:lang w:bidi="ar-EG"/>
        </w:rPr>
        <w:t>، عن الالتزامات السابقة لهذه البلدان</w:t>
      </w:r>
      <w:r w:rsidRPr="00885750">
        <w:rPr>
          <w:rFonts w:hint="cs"/>
          <w:rtl/>
        </w:rPr>
        <w:t>).</w:t>
      </w:r>
    </w:p>
    <w:p w:rsidR="0011038C" w:rsidRPr="00885750" w:rsidRDefault="0011038C" w:rsidP="0011038C">
      <w:pPr>
        <w:rPr>
          <w:lang w:bidi="ar-EG"/>
        </w:rPr>
      </w:pPr>
      <w:r w:rsidRPr="00885750">
        <w:rPr>
          <w:lang w:bidi="ar-SY"/>
        </w:rPr>
        <w:t>4.3</w:t>
      </w:r>
      <w:r w:rsidRPr="00885750">
        <w:rPr>
          <w:lang w:bidi="ar-SY"/>
        </w:rPr>
        <w:tab/>
      </w:r>
      <w:r w:rsidRPr="00885750">
        <w:rPr>
          <w:rFonts w:hint="cs"/>
          <w:rtl/>
          <w:lang w:bidi="ar-SY"/>
        </w:rPr>
        <w:t>و</w:t>
      </w:r>
      <w:r w:rsidRPr="00885750">
        <w:rPr>
          <w:rFonts w:hint="cs"/>
          <w:rtl/>
        </w:rPr>
        <w:t xml:space="preserve">حُددت قيمة وحدة المساهمة السنوية لفترة السنتين </w:t>
      </w:r>
      <w:r w:rsidRPr="00885750">
        <w:t>2019-2018</w:t>
      </w:r>
      <w:r w:rsidRPr="00885750">
        <w:rPr>
          <w:rtl/>
        </w:rPr>
        <w:t xml:space="preserve"> </w:t>
      </w:r>
      <w:r w:rsidRPr="00885750">
        <w:rPr>
          <w:rFonts w:hint="cs"/>
          <w:rtl/>
        </w:rPr>
        <w:t>بمبلغ</w:t>
      </w:r>
      <w:r w:rsidRPr="00885750">
        <w:rPr>
          <w:rFonts w:hint="eastAsia"/>
          <w:rtl/>
        </w:rPr>
        <w:t> </w:t>
      </w:r>
      <w:r w:rsidRPr="00885750">
        <w:rPr>
          <w:lang w:val="en-GB" w:bidi="ar-SY"/>
        </w:rPr>
        <w:t>63 600</w:t>
      </w:r>
      <w:r w:rsidRPr="00885750">
        <w:rPr>
          <w:rFonts w:hint="cs"/>
          <w:rtl/>
          <w:lang w:bidi="ar-SY"/>
        </w:rPr>
        <w:t xml:space="preserve"> </w:t>
      </w:r>
      <w:r w:rsidRPr="00885750">
        <w:rPr>
          <w:rFonts w:hint="cs"/>
          <w:rtl/>
        </w:rPr>
        <w:t xml:space="preserve">فرنك سويسري فيما يتعلق بأعضاء القطاعات وبمبلغ </w:t>
      </w:r>
      <w:r w:rsidRPr="00885750">
        <w:rPr>
          <w:lang w:bidi="ar-SY"/>
        </w:rPr>
        <w:t>10 600</w:t>
      </w:r>
      <w:r w:rsidRPr="00885750">
        <w:rPr>
          <w:rFonts w:hint="eastAsia"/>
          <w:rtl/>
        </w:rPr>
        <w:t> </w:t>
      </w:r>
      <w:r w:rsidRPr="00885750">
        <w:rPr>
          <w:rFonts w:hint="cs"/>
          <w:rtl/>
        </w:rPr>
        <w:t>فرن</w:t>
      </w:r>
      <w:r w:rsidR="00885750" w:rsidRPr="00885750">
        <w:rPr>
          <w:rFonts w:hint="cs"/>
          <w:rtl/>
        </w:rPr>
        <w:t>ك سويسري فيما يتعلق بالمنتسبين.</w:t>
      </w:r>
    </w:p>
    <w:p w:rsidR="0011038C" w:rsidRPr="00885750" w:rsidRDefault="0011038C" w:rsidP="0011038C">
      <w:pPr>
        <w:rPr>
          <w:rtl/>
        </w:rPr>
      </w:pPr>
      <w:r w:rsidRPr="00885750">
        <w:rPr>
          <w:lang w:bidi="ar-SY"/>
        </w:rPr>
        <w:t>5.3</w:t>
      </w:r>
      <w:r w:rsidRPr="00885750">
        <w:rPr>
          <w:rFonts w:hint="cs"/>
          <w:rtl/>
          <w:lang w:bidi="ar-SY"/>
        </w:rPr>
        <w:tab/>
        <w:t xml:space="preserve">ومنذ </w:t>
      </w:r>
      <w:r w:rsidRPr="00885750">
        <w:rPr>
          <w:lang w:bidi="ar-SY"/>
        </w:rPr>
        <w:t>2011</w:t>
      </w:r>
      <w:r w:rsidRPr="00885750">
        <w:rPr>
          <w:rFonts w:hint="cs"/>
          <w:rtl/>
        </w:rPr>
        <w:t xml:space="preserve">، أدى تنفيذ القرار </w:t>
      </w:r>
      <w:r w:rsidRPr="00885750">
        <w:rPr>
          <w:lang w:bidi="ar-SY"/>
        </w:rPr>
        <w:t>169</w:t>
      </w:r>
      <w:r w:rsidRPr="00885750">
        <w:rPr>
          <w:rFonts w:hint="cs"/>
          <w:rtl/>
        </w:rPr>
        <w:t xml:space="preserve"> (المراجَع في بوسان، </w:t>
      </w:r>
      <w:r w:rsidRPr="00885750">
        <w:rPr>
          <w:lang w:bidi="ar-SY"/>
        </w:rPr>
        <w:t>2014</w:t>
      </w:r>
      <w:r w:rsidRPr="00885750">
        <w:rPr>
          <w:rFonts w:hint="cs"/>
          <w:rtl/>
        </w:rPr>
        <w:t xml:space="preserve">) إلى توليد مصادر جديدة للإيرادات من الهيئات الأكاديمية والجامعات ومؤسسات البحوث المرتبطة بها. وفي </w:t>
      </w:r>
      <w:r w:rsidRPr="00885750">
        <w:rPr>
          <w:lang w:bidi="ar-SY"/>
        </w:rPr>
        <w:t>31</w:t>
      </w:r>
      <w:r w:rsidRPr="00885750">
        <w:rPr>
          <w:rFonts w:hint="cs"/>
          <w:rtl/>
        </w:rPr>
        <w:t xml:space="preserve"> ديسمبر </w:t>
      </w:r>
      <w:r w:rsidRPr="00885750">
        <w:t>2018</w:t>
      </w:r>
      <w:r w:rsidRPr="00885750">
        <w:rPr>
          <w:rFonts w:hint="cs"/>
          <w:rtl/>
        </w:rPr>
        <w:t xml:space="preserve">، بلغ مجموع الهيئات الأكاديمية النشطة </w:t>
      </w:r>
      <w:r w:rsidRPr="00885750">
        <w:rPr>
          <w:lang w:val="en-GB" w:bidi="ar-SY"/>
        </w:rPr>
        <w:t>145</w:t>
      </w:r>
      <w:r w:rsidRPr="00885750">
        <w:rPr>
          <w:rFonts w:hint="eastAsia"/>
          <w:rtl/>
          <w:lang w:bidi="ar-SY"/>
        </w:rPr>
        <w:t> </w:t>
      </w:r>
      <w:r w:rsidRPr="00885750">
        <w:rPr>
          <w:rFonts w:hint="cs"/>
          <w:rtl/>
          <w:lang w:bidi="ar-SY"/>
        </w:rPr>
        <w:t>هيئة</w:t>
      </w:r>
      <w:r w:rsidRPr="00885750">
        <w:rPr>
          <w:rFonts w:hint="cs"/>
          <w:rtl/>
        </w:rPr>
        <w:t>.</w:t>
      </w:r>
    </w:p>
    <w:p w:rsidR="0011038C" w:rsidRPr="00885750" w:rsidRDefault="0011038C" w:rsidP="0011038C">
      <w:pPr>
        <w:rPr>
          <w:rtl/>
          <w:lang w:bidi="ar-EG"/>
        </w:rPr>
      </w:pPr>
      <w:r w:rsidRPr="00885750">
        <w:rPr>
          <w:lang w:bidi="ar-SY"/>
        </w:rPr>
        <w:t>6.3</w:t>
      </w:r>
      <w:r w:rsidRPr="00885750">
        <w:rPr>
          <w:rFonts w:hint="cs"/>
          <w:rtl/>
          <w:lang w:bidi="ar-SY"/>
        </w:rPr>
        <w:tab/>
        <w:t xml:space="preserve">وانحفضت الإيرادات المتأتية من مبيعات المنشورات في عام </w:t>
      </w:r>
      <w:r w:rsidRPr="00885750">
        <w:rPr>
          <w:lang w:bidi="ar-SY"/>
        </w:rPr>
        <w:t>2018</w:t>
      </w:r>
      <w:r w:rsidRPr="00885750">
        <w:rPr>
          <w:rFonts w:hint="cs"/>
          <w:rtl/>
          <w:lang w:bidi="ar-EG"/>
        </w:rPr>
        <w:t xml:space="preserve">، ويعزى ذلك بشكل مباشر إلى إصدار منشورات الخدمة البحرية للاتحاد الأكثر مبيعاً في موعد تقويمي واحد. وسيمكّن الإصدار المؤكَّد لطبعات جديدة خلال الربع الثاني والربع الرابع من </w:t>
      </w:r>
      <w:r w:rsidRPr="00885750">
        <w:rPr>
          <w:lang w:bidi="ar-EG"/>
        </w:rPr>
        <w:t>2019</w:t>
      </w:r>
      <w:r w:rsidRPr="00885750">
        <w:rPr>
          <w:rFonts w:hint="cs"/>
          <w:rtl/>
          <w:lang w:bidi="ar-EG"/>
        </w:rPr>
        <w:t xml:space="preserve"> من زيادة إيرادات مبيعات الاتحاد لعام </w:t>
      </w:r>
      <w:r w:rsidRPr="00885750">
        <w:rPr>
          <w:lang w:bidi="ar-EG"/>
        </w:rPr>
        <w:t>2019</w:t>
      </w:r>
      <w:r w:rsidR="00806FFC">
        <w:rPr>
          <w:rFonts w:hint="cs"/>
          <w:rtl/>
          <w:lang w:bidi="ar-EG"/>
        </w:rPr>
        <w:t>، وسيتماشى ذلك مع الميزانية.</w:t>
      </w:r>
    </w:p>
    <w:p w:rsidR="0011038C" w:rsidRPr="00885750" w:rsidRDefault="0011038C" w:rsidP="0011038C">
      <w:pPr>
        <w:rPr>
          <w:rtl/>
          <w:lang w:bidi="ar-EG"/>
        </w:rPr>
      </w:pPr>
      <w:r w:rsidRPr="00885750">
        <w:rPr>
          <w:lang w:bidi="ar-SY"/>
        </w:rPr>
        <w:t>7.3</w:t>
      </w:r>
      <w:r w:rsidRPr="00885750">
        <w:rPr>
          <w:rtl/>
          <w:lang w:bidi="ar-EG"/>
        </w:rPr>
        <w:tab/>
      </w:r>
      <w:r w:rsidRPr="00885750">
        <w:rPr>
          <w:rFonts w:hint="cs"/>
          <w:rtl/>
          <w:lang w:bidi="ar-EG"/>
        </w:rPr>
        <w:t xml:space="preserve">وكانت الإيرادات المتأتية من معالجة بطاقات التبليغ عن الشبكات أعلى من المبلغ المرصود لها في الميزانية لأن مبلغ المتأخرات المستحقة لعام </w:t>
      </w:r>
      <w:r w:rsidRPr="00885750">
        <w:rPr>
          <w:lang w:bidi="ar-EG"/>
        </w:rPr>
        <w:t>2018</w:t>
      </w:r>
      <w:r w:rsidRPr="00885750">
        <w:rPr>
          <w:rFonts w:hint="cs"/>
          <w:rtl/>
          <w:lang w:bidi="ar-EG"/>
        </w:rPr>
        <w:t xml:space="preserve"> كان أدنى بكثير مقارنةً بالعام السابق. وفيما يتعلق بعام </w:t>
      </w:r>
      <w:r w:rsidRPr="00885750">
        <w:rPr>
          <w:lang w:bidi="ar-EG"/>
        </w:rPr>
        <w:t>2019</w:t>
      </w:r>
      <w:r w:rsidRPr="00885750">
        <w:rPr>
          <w:rFonts w:hint="cs"/>
          <w:rtl/>
          <w:lang w:bidi="ar-EG"/>
        </w:rPr>
        <w:t xml:space="preserve">، يُتوقع أن يتوافق المبلغ الفعلي مع المبلغ المرصود في الميزانية. </w:t>
      </w:r>
    </w:p>
    <w:p w:rsidR="0011038C" w:rsidRPr="00885750" w:rsidRDefault="0011038C" w:rsidP="0011038C">
      <w:pPr>
        <w:rPr>
          <w:rtl/>
          <w:lang w:bidi="ar-EG"/>
        </w:rPr>
      </w:pPr>
      <w:r w:rsidRPr="00885750">
        <w:rPr>
          <w:lang w:bidi="ar-EG"/>
        </w:rPr>
        <w:t>8.3</w:t>
      </w:r>
      <w:r w:rsidRPr="00885750">
        <w:rPr>
          <w:rtl/>
          <w:lang w:bidi="ar-EG"/>
        </w:rPr>
        <w:tab/>
      </w:r>
      <w:r w:rsidRPr="00885750">
        <w:rPr>
          <w:rFonts w:hint="cs"/>
          <w:rtl/>
          <w:lang w:bidi="ar-SY"/>
        </w:rPr>
        <w:t>وتمثل</w:t>
      </w:r>
      <w:r w:rsidRPr="00885750">
        <w:rPr>
          <w:rFonts w:hint="cs"/>
          <w:rtl/>
        </w:rPr>
        <w:t xml:space="preserve"> الإيرادات المتأتية من استرداد التكاليف</w:t>
      </w:r>
      <w:r w:rsidRPr="00885750">
        <w:rPr>
          <w:rFonts w:hint="eastAsia"/>
          <w:rtl/>
        </w:rPr>
        <w:t> </w:t>
      </w:r>
      <w:r w:rsidRPr="00885750">
        <w:rPr>
          <w:lang w:bidi="ar-SY"/>
        </w:rPr>
        <w:t>%22</w:t>
      </w:r>
      <w:r w:rsidRPr="00885750">
        <w:rPr>
          <w:rFonts w:hint="cs"/>
          <w:rtl/>
        </w:rPr>
        <w:t xml:space="preserve"> من مجموع الإيرادات المرصودة في ميزانية </w:t>
      </w:r>
      <w:r w:rsidRPr="00885750">
        <w:t>2019-2018</w:t>
      </w:r>
      <w:r w:rsidRPr="00885750">
        <w:rPr>
          <w:rFonts w:hint="cs"/>
          <w:rtl/>
          <w:lang w:bidi="ar-EG"/>
        </w:rPr>
        <w:t>.</w:t>
      </w:r>
      <w:r w:rsidRPr="00885750">
        <w:rPr>
          <w:rFonts w:hint="cs"/>
          <w:rtl/>
        </w:rPr>
        <w:t xml:space="preserve"> ويرد توزيع هذه الإيرادات في</w:t>
      </w:r>
      <w:r w:rsidRPr="00885750">
        <w:rPr>
          <w:rFonts w:hint="eastAsia"/>
          <w:rtl/>
        </w:rPr>
        <w:t> </w:t>
      </w:r>
      <w:r w:rsidRPr="00885750">
        <w:rPr>
          <w:rFonts w:hint="cs"/>
          <w:rtl/>
        </w:rPr>
        <w:t>الجدول</w:t>
      </w:r>
      <w:r w:rsidRPr="00885750">
        <w:rPr>
          <w:rFonts w:hint="eastAsia"/>
          <w:rtl/>
        </w:rPr>
        <w:t> </w:t>
      </w:r>
      <w:r w:rsidRPr="00885750">
        <w:rPr>
          <w:lang w:bidi="ar-SY"/>
        </w:rPr>
        <w:t>3</w:t>
      </w:r>
      <w:r w:rsidRPr="00885750">
        <w:rPr>
          <w:rFonts w:hint="cs"/>
          <w:rtl/>
        </w:rPr>
        <w:t xml:space="preserve">. </w:t>
      </w:r>
    </w:p>
    <w:p w:rsidR="0011038C" w:rsidRDefault="0011038C" w:rsidP="00037406">
      <w:pPr>
        <w:pStyle w:val="Tabletitle"/>
        <w:pageBreakBefore/>
      </w:pPr>
      <w:r w:rsidRPr="000E6042">
        <w:rPr>
          <w:rFonts w:hint="cs"/>
          <w:rtl/>
        </w:rPr>
        <w:lastRenderedPageBreak/>
        <w:t xml:space="preserve">الجدول </w:t>
      </w:r>
      <w:r w:rsidRPr="000E6042">
        <w:rPr>
          <w:lang w:val="en-GB"/>
        </w:rPr>
        <w:t>3</w:t>
      </w:r>
      <w:r w:rsidRPr="000E6042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Pr="000E6042">
        <w:rPr>
          <w:rFonts w:hint="cs"/>
          <w:rtl/>
        </w:rPr>
        <w:t xml:space="preserve"> الإيرادات </w:t>
      </w:r>
      <w:r>
        <w:rPr>
          <w:rFonts w:hint="cs"/>
          <w:rtl/>
        </w:rPr>
        <w:t xml:space="preserve">المتأتية </w:t>
      </w:r>
      <w:r w:rsidRPr="000E6042">
        <w:rPr>
          <w:rFonts w:hint="cs"/>
          <w:rtl/>
        </w:rPr>
        <w:t>من استرداد التكاليف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1038C" w:rsidRPr="000E6042" w:rsidTr="00037406">
        <w:trPr>
          <w:trHeight w:val="222"/>
          <w:jc w:val="center"/>
        </w:trPr>
        <w:tc>
          <w:tcPr>
            <w:tcW w:w="9639" w:type="dxa"/>
            <w:noWrap/>
            <w:vAlign w:val="bottom"/>
            <w:hideMark/>
          </w:tcPr>
          <w:p w:rsidR="0011038C" w:rsidRPr="00C96D16" w:rsidRDefault="0011038C" w:rsidP="00C27D38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jc w:val="right"/>
              <w:rPr>
                <w:i/>
                <w:iCs/>
                <w:sz w:val="16"/>
                <w:szCs w:val="22"/>
                <w:lang w:val="fr-CH" w:bidi="ar-SY"/>
              </w:rPr>
            </w:pPr>
            <w:r w:rsidRPr="00C96D16">
              <w:rPr>
                <w:rFonts w:hint="cs"/>
                <w:i/>
                <w:iCs/>
                <w:sz w:val="16"/>
                <w:szCs w:val="22"/>
                <w:rtl/>
                <w:lang w:bidi="ar-EG"/>
              </w:rPr>
              <w:t>بآلاف الفرنكات السويسرية</w:t>
            </w:r>
          </w:p>
        </w:tc>
      </w:tr>
    </w:tbl>
    <w:tbl>
      <w:tblPr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986"/>
        <w:gridCol w:w="708"/>
        <w:gridCol w:w="983"/>
        <w:gridCol w:w="771"/>
        <w:gridCol w:w="800"/>
        <w:gridCol w:w="283"/>
        <w:gridCol w:w="827"/>
        <w:gridCol w:w="927"/>
        <w:gridCol w:w="798"/>
        <w:gridCol w:w="773"/>
        <w:gridCol w:w="783"/>
      </w:tblGrid>
      <w:tr w:rsidR="0011038C" w:rsidRPr="00C96D16" w:rsidTr="00C27D38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 </w:t>
            </w:r>
          </w:p>
        </w:tc>
        <w:tc>
          <w:tcPr>
            <w:tcW w:w="1692" w:type="pct"/>
            <w:gridSpan w:val="4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2131" w:type="pct"/>
            <w:gridSpan w:val="5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</w:tr>
      <w:tr w:rsidR="00AB5013" w:rsidRPr="00C96D16" w:rsidTr="004F4E37">
        <w:trPr>
          <w:trHeight w:val="227"/>
        </w:trPr>
        <w:tc>
          <w:tcPr>
            <w:tcW w:w="1030" w:type="pct"/>
            <w:vMerge w:val="restart"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shd w:val="clear" w:color="000000" w:fill="DCE6F1"/>
            <w:vAlign w:val="center"/>
            <w:hideMark/>
          </w:tcPr>
          <w:p w:rsidR="00AB5013" w:rsidRPr="00773EB8" w:rsidRDefault="00AB5013" w:rsidP="00AB50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lang w:val="fr-FR" w:bidi="ar-SY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استرداد التكاليف</w:t>
            </w:r>
          </w:p>
        </w:tc>
        <w:tc>
          <w:tcPr>
            <w:tcW w:w="367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ميزانية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rtl/>
                <w:lang w:bidi="ar-EG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510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</w:rPr>
              <w:t>المبالغ الفعلية</w:t>
            </w:r>
            <w:r w:rsidRPr="00773EB8">
              <w:rPr>
                <w:b/>
                <w:bCs/>
                <w:sz w:val="16"/>
                <w:szCs w:val="22"/>
                <w:lang w:val="fr-FR" w:bidi="ar-SY"/>
              </w:rPr>
              <w:t>*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الفرق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415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b/>
                <w:bCs/>
                <w:sz w:val="16"/>
                <w:szCs w:val="22"/>
                <w:lang w:val="fr-FR" w:bidi="ar-SY"/>
              </w:rPr>
              <w:t>%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8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ميزانية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  <w:tc>
          <w:tcPr>
            <w:tcW w:w="481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</w:rPr>
              <w:t>المبالغ الفعلية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201</w:t>
            </w:r>
            <w:r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9.</w:t>
            </w:r>
            <w:r w:rsidRPr="00C96D16"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02</w:t>
            </w:r>
            <w:r>
              <w:rPr>
                <w:b/>
                <w:bCs/>
                <w:spacing w:val="-10"/>
                <w:position w:val="2"/>
                <w:sz w:val="16"/>
                <w:szCs w:val="22"/>
                <w:lang w:bidi="ar-SY"/>
              </w:rPr>
              <w:t>.18</w:t>
            </w:r>
          </w:p>
        </w:tc>
        <w:tc>
          <w:tcPr>
            <w:tcW w:w="414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توقعات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  <w:tc>
          <w:tcPr>
            <w:tcW w:w="401" w:type="pct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rFonts w:hint="cs"/>
                <w:b/>
                <w:bCs/>
                <w:sz w:val="16"/>
                <w:szCs w:val="22"/>
                <w:rtl/>
                <w:lang w:bidi="ar-EG"/>
              </w:rPr>
              <w:t>الفرق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right w:val="nil"/>
            </w:tcBorders>
            <w:shd w:val="clear" w:color="000000" w:fill="DCE6F1"/>
            <w:vAlign w:val="bottom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773EB8">
              <w:rPr>
                <w:b/>
                <w:bCs/>
                <w:sz w:val="16"/>
                <w:szCs w:val="22"/>
                <w:lang w:val="fr-FR" w:bidi="ar-SY"/>
              </w:rPr>
              <w:t>%</w:t>
            </w:r>
          </w:p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201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</w:p>
        </w:tc>
      </w:tr>
      <w:tr w:rsidR="00AB5013" w:rsidRPr="00C96D16" w:rsidTr="004F4E37">
        <w:trPr>
          <w:trHeight w:val="227"/>
        </w:trPr>
        <w:tc>
          <w:tcPr>
            <w:tcW w:w="103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AB5013" w:rsidRPr="00773EB8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367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510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00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15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81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14" w:type="pct"/>
            <w:vMerge/>
            <w:tcBorders>
              <w:left w:val="nil"/>
              <w:bottom w:val="nil"/>
              <w:right w:val="single" w:sz="8" w:space="0" w:color="FFFFFF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01" w:type="pct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406" w:type="pct"/>
            <w:vMerge/>
            <w:tcBorders>
              <w:left w:val="nil"/>
              <w:bottom w:val="single" w:sz="8" w:space="0" w:color="FFFFFF"/>
              <w:right w:val="nil"/>
            </w:tcBorders>
            <w:shd w:val="clear" w:color="000000" w:fill="DCE6F1"/>
            <w:hideMark/>
          </w:tcPr>
          <w:p w:rsidR="00AB5013" w:rsidRPr="00C96D16" w:rsidRDefault="00AB5013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</w:tr>
      <w:tr w:rsidR="00037406" w:rsidRPr="00C96D16" w:rsidTr="004F4E37">
        <w:trPr>
          <w:trHeight w:val="227"/>
        </w:trPr>
        <w:tc>
          <w:tcPr>
            <w:tcW w:w="1030" w:type="pct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:rsidR="00037406" w:rsidRPr="00773EB8" w:rsidRDefault="00037406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sz w:val="16"/>
                <w:szCs w:val="22"/>
                <w:lang w:val="fr-FR" w:bidi="ar-SY"/>
              </w:rPr>
            </w:pPr>
          </w:p>
        </w:tc>
        <w:tc>
          <w:tcPr>
            <w:tcW w:w="367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a</w:t>
            </w:r>
          </w:p>
        </w:tc>
        <w:tc>
          <w:tcPr>
            <w:tcW w:w="51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b</w:t>
            </w:r>
          </w:p>
        </w:tc>
        <w:tc>
          <w:tcPr>
            <w:tcW w:w="40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c = b - a</w:t>
            </w:r>
          </w:p>
        </w:tc>
        <w:tc>
          <w:tcPr>
            <w:tcW w:w="415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d = c / a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7406" w:rsidRPr="00C96D16" w:rsidRDefault="00037406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tabs>
                <w:tab w:val="clear" w:pos="794"/>
              </w:tabs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e</w:t>
            </w:r>
          </w:p>
        </w:tc>
        <w:tc>
          <w:tcPr>
            <w:tcW w:w="48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f</w:t>
            </w:r>
          </w:p>
        </w:tc>
        <w:tc>
          <w:tcPr>
            <w:tcW w:w="414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g</w:t>
            </w:r>
          </w:p>
        </w:tc>
        <w:tc>
          <w:tcPr>
            <w:tcW w:w="401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h = g - e</w:t>
            </w:r>
          </w:p>
        </w:tc>
        <w:tc>
          <w:tcPr>
            <w:tcW w:w="406" w:type="pct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000000" w:fill="DCE6F1"/>
            <w:vAlign w:val="center"/>
            <w:hideMark/>
          </w:tcPr>
          <w:p w:rsidR="00037406" w:rsidRPr="00037406" w:rsidRDefault="00037406" w:rsidP="00037406">
            <w:pPr>
              <w:bidi w:val="0"/>
              <w:spacing w:before="40" w:after="40" w:line="240" w:lineRule="exact"/>
              <w:jc w:val="center"/>
              <w:rPr>
                <w:b/>
                <w:bCs/>
                <w:sz w:val="16"/>
                <w:szCs w:val="22"/>
                <w:lang w:val="fr-FR" w:bidi="ar-SY"/>
              </w:rPr>
            </w:pPr>
            <w:r w:rsidRPr="00037406">
              <w:rPr>
                <w:b/>
                <w:bCs/>
                <w:sz w:val="16"/>
                <w:szCs w:val="22"/>
                <w:lang w:val="fr-FR" w:bidi="ar-SY"/>
              </w:rPr>
              <w:t>i = h / e</w:t>
            </w:r>
          </w:p>
        </w:tc>
      </w:tr>
      <w:tr w:rsidR="0011038C" w:rsidRPr="00C96D16" w:rsidTr="00C27D38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11038C" w:rsidRPr="00773EB8" w:rsidRDefault="0011038C" w:rsidP="00037406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rtl/>
                <w:lang w:bidi="ar-EG"/>
              </w:rPr>
            </w:pPr>
            <w:r w:rsidRPr="00773EB8">
              <w:rPr>
                <w:sz w:val="16"/>
                <w:szCs w:val="22"/>
                <w:lang w:val="fr-FR" w:bidi="ar-SY"/>
              </w:rPr>
              <w:t>1</w:t>
            </w:r>
            <w:r w:rsidRPr="00773EB8">
              <w:rPr>
                <w:sz w:val="16"/>
                <w:szCs w:val="22"/>
                <w:rtl/>
                <w:lang w:bidi="ar-EG"/>
              </w:rPr>
              <w:tab/>
            </w:r>
            <w:r w:rsidRPr="00773EB8">
              <w:rPr>
                <w:rFonts w:hint="cs"/>
                <w:sz w:val="16"/>
                <w:szCs w:val="22"/>
                <w:rtl/>
                <w:lang w:bidi="ar-EG"/>
              </w:rPr>
              <w:t>دعم المشاريع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1 375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4</w:t>
            </w:r>
            <w:r>
              <w:rPr>
                <w:sz w:val="16"/>
                <w:szCs w:val="22"/>
                <w:lang w:val="fr-FR" w:bidi="ar-SY"/>
              </w:rPr>
              <w:t>25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9</w:t>
            </w:r>
            <w:r>
              <w:rPr>
                <w:sz w:val="16"/>
                <w:szCs w:val="22"/>
                <w:lang w:val="fr-FR" w:bidi="ar-SY"/>
              </w:rPr>
              <w:t>50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69</w:t>
            </w:r>
            <w:r w:rsidRPr="00C96D16">
              <w:rPr>
                <w:sz w:val="16"/>
                <w:szCs w:val="22"/>
                <w:lang w:val="fr-FR" w:bidi="ar-SY"/>
              </w:rPr>
              <w:t>,</w:t>
            </w:r>
            <w:r>
              <w:rPr>
                <w:sz w:val="16"/>
                <w:szCs w:val="22"/>
                <w:lang w:val="fr-FR" w:bidi="ar-SY"/>
              </w:rPr>
              <w:t>1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1 375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</w:t>
            </w:r>
            <w:r w:rsidRPr="00C96D16">
              <w:rPr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8</w:t>
            </w:r>
            <w:r w:rsidRPr="00C96D16">
              <w:rPr>
                <w:sz w:val="16"/>
                <w:szCs w:val="22"/>
                <w:lang w:val="fr-FR" w:bidi="ar-SY"/>
              </w:rPr>
              <w:t>75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63</w:t>
            </w:r>
            <w:r w:rsidRPr="00C96D16">
              <w:rPr>
                <w:sz w:val="16"/>
                <w:szCs w:val="22"/>
                <w:lang w:val="fr-FR" w:bidi="ar-SY"/>
              </w:rPr>
              <w:t>,</w:t>
            </w:r>
            <w:r>
              <w:rPr>
                <w:sz w:val="16"/>
                <w:szCs w:val="22"/>
                <w:lang w:val="fr-FR" w:bidi="ar-SY"/>
              </w:rPr>
              <w:t>6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</w:tr>
      <w:tr w:rsidR="0011038C" w:rsidRPr="00C96D16" w:rsidTr="00C27D38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11038C" w:rsidRPr="00773EB8" w:rsidRDefault="0011038C" w:rsidP="00037406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rtl/>
                <w:lang w:bidi="ar-EG"/>
              </w:rPr>
            </w:pPr>
            <w:r w:rsidRPr="00773EB8">
              <w:rPr>
                <w:sz w:val="16"/>
                <w:szCs w:val="22"/>
                <w:lang w:val="fr-FR" w:bidi="ar-SY"/>
              </w:rPr>
              <w:t>2</w:t>
            </w:r>
            <w:r w:rsidRPr="00773EB8">
              <w:rPr>
                <w:sz w:val="16"/>
                <w:szCs w:val="22"/>
                <w:rtl/>
                <w:lang w:bidi="ar-EG"/>
              </w:rPr>
              <w:tab/>
            </w:r>
            <w:r w:rsidRPr="00773EB8">
              <w:rPr>
                <w:rFonts w:hint="cs"/>
                <w:sz w:val="16"/>
                <w:szCs w:val="22"/>
                <w:rtl/>
                <w:lang w:bidi="ar-EG"/>
              </w:rPr>
              <w:t>بيع المنشورات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9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Pr="00C96D16">
              <w:rPr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3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858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5 142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27</w:t>
            </w:r>
            <w:r w:rsidRPr="00C96D16">
              <w:rPr>
                <w:sz w:val="16"/>
                <w:szCs w:val="22"/>
                <w:lang w:val="fr-FR" w:bidi="ar-SY"/>
              </w:rPr>
              <w:t>,</w:t>
            </w:r>
            <w:r>
              <w:rPr>
                <w:sz w:val="16"/>
                <w:szCs w:val="22"/>
                <w:lang w:val="fr-FR" w:bidi="ar-SY"/>
              </w:rPr>
              <w:t>1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9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Pr="00C96D16">
              <w:rPr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577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9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Pr="00C96D16">
              <w:rPr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%0,0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</w:tr>
      <w:tr w:rsidR="0011038C" w:rsidRPr="00C96D16" w:rsidTr="00A646C9">
        <w:trPr>
          <w:trHeight w:val="227"/>
        </w:trPr>
        <w:tc>
          <w:tcPr>
            <w:tcW w:w="1030" w:type="pct"/>
            <w:tcBorders>
              <w:top w:val="nil"/>
              <w:left w:val="nil"/>
              <w:right w:val="single" w:sz="12" w:space="0" w:color="FFFFFF"/>
            </w:tcBorders>
            <w:shd w:val="clear" w:color="000000" w:fill="DCE6F1"/>
            <w:noWrap/>
            <w:hideMark/>
          </w:tcPr>
          <w:p w:rsidR="0011038C" w:rsidRPr="00773EB8" w:rsidRDefault="0011038C" w:rsidP="00037406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rtl/>
                <w:lang w:bidi="ar-EG"/>
              </w:rPr>
            </w:pPr>
            <w:r w:rsidRPr="00773EB8">
              <w:rPr>
                <w:sz w:val="16"/>
                <w:szCs w:val="22"/>
                <w:lang w:val="fr-FR" w:bidi="ar-SY"/>
              </w:rPr>
              <w:t>3</w:t>
            </w:r>
            <w:r w:rsidRPr="00773EB8">
              <w:rPr>
                <w:sz w:val="16"/>
                <w:szCs w:val="22"/>
                <w:rtl/>
                <w:lang w:bidi="ar-EG"/>
              </w:rPr>
              <w:tab/>
              <w:t>الرقم العالمي للخدمة</w:t>
            </w:r>
            <w:r w:rsidRPr="00773EB8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773EB8">
              <w:rPr>
                <w:sz w:val="16"/>
                <w:szCs w:val="22"/>
                <w:rtl/>
                <w:lang w:bidi="ar-EG"/>
              </w:rPr>
              <w:t>الدولية المجانية</w:t>
            </w:r>
            <w:r w:rsidRPr="00773EB8">
              <w:rPr>
                <w:rFonts w:hint="cs"/>
                <w:sz w:val="16"/>
                <w:szCs w:val="22"/>
                <w:rtl/>
                <w:lang w:bidi="ar-EG"/>
              </w:rPr>
              <w:t> </w:t>
            </w:r>
            <w:r w:rsidRPr="00773EB8">
              <w:rPr>
                <w:sz w:val="16"/>
                <w:szCs w:val="22"/>
                <w:lang w:val="fr-FR" w:bidi="ar-SY"/>
              </w:rPr>
              <w:t>(UIFN)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913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413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8</w:t>
            </w:r>
            <w:r w:rsidRPr="00C96D16">
              <w:rPr>
                <w:sz w:val="16"/>
                <w:szCs w:val="22"/>
                <w:lang w:val="fr-FR" w:bidi="ar-SY"/>
              </w:rPr>
              <w:t>2,</w:t>
            </w:r>
            <w:r>
              <w:rPr>
                <w:sz w:val="16"/>
                <w:szCs w:val="22"/>
                <w:lang w:val="fr-FR" w:bidi="ar-SY"/>
              </w:rPr>
              <w:t>6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900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400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8</w:t>
            </w:r>
            <w:r w:rsidRPr="00C96D16">
              <w:rPr>
                <w:sz w:val="16"/>
                <w:szCs w:val="22"/>
                <w:lang w:val="fr-FR" w:bidi="ar-SY"/>
              </w:rPr>
              <w:t>0,0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</w:tr>
      <w:tr w:rsidR="0011038C" w:rsidRPr="00C96D16" w:rsidTr="00A646C9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hideMark/>
          </w:tcPr>
          <w:p w:rsidR="0011038C" w:rsidRPr="00773EB8" w:rsidRDefault="0011038C" w:rsidP="00637539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ind w:right="177"/>
              <w:rPr>
                <w:sz w:val="16"/>
                <w:szCs w:val="22"/>
                <w:rtl/>
                <w:lang w:bidi="ar-EG"/>
              </w:rPr>
            </w:pPr>
            <w:r w:rsidRPr="00773EB8">
              <w:rPr>
                <w:sz w:val="16"/>
                <w:szCs w:val="22"/>
                <w:lang w:val="fr-FR" w:bidi="ar-SY"/>
              </w:rPr>
              <w:t>4</w:t>
            </w:r>
            <w:r w:rsidRPr="00773EB8">
              <w:rPr>
                <w:sz w:val="16"/>
                <w:szCs w:val="22"/>
                <w:rtl/>
                <w:lang w:bidi="ar-EG"/>
              </w:rPr>
              <w:tab/>
            </w:r>
            <w:r w:rsidRPr="00773EB8">
              <w:rPr>
                <w:rFonts w:hint="cs"/>
                <w:sz w:val="16"/>
                <w:szCs w:val="22"/>
                <w:rtl/>
                <w:lang w:bidi="ar-EG"/>
              </w:rPr>
              <w:t>تليكوم</w:t>
            </w:r>
          </w:p>
        </w:tc>
        <w:tc>
          <w:tcPr>
            <w:tcW w:w="367" w:type="pct"/>
            <w:tcBorders>
              <w:top w:val="nil"/>
              <w:left w:val="single" w:sz="12" w:space="0" w:color="FFFFFF" w:themeColor="background1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1 500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 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Pr="00C96D16">
              <w:rPr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50</w:t>
            </w:r>
            <w:r w:rsidRPr="00C96D16">
              <w:rPr>
                <w:sz w:val="16"/>
                <w:szCs w:val="22"/>
                <w:lang w:val="fr-FR" w:bidi="ar-SY"/>
              </w:rPr>
              <w:t>0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33</w:t>
            </w:r>
            <w:r w:rsidRPr="00C96D16">
              <w:rPr>
                <w:sz w:val="16"/>
                <w:szCs w:val="22"/>
                <w:lang w:val="fr-FR" w:bidi="ar-SY"/>
              </w:rPr>
              <w:t>,</w:t>
            </w:r>
            <w:r>
              <w:rPr>
                <w:sz w:val="16"/>
                <w:szCs w:val="22"/>
                <w:lang w:val="fr-FR" w:bidi="ar-SY"/>
              </w:rPr>
              <w:t>3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1 500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 xml:space="preserve">1 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Pr="00C96D16">
              <w:rPr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500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33</w:t>
            </w:r>
            <w:r w:rsidRPr="00C96D16">
              <w:rPr>
                <w:sz w:val="16"/>
                <w:szCs w:val="22"/>
                <w:lang w:val="fr-FR" w:bidi="ar-SY"/>
              </w:rPr>
              <w:t>,</w:t>
            </w:r>
            <w:r>
              <w:rPr>
                <w:sz w:val="16"/>
                <w:szCs w:val="22"/>
                <w:lang w:val="fr-FR" w:bidi="ar-SY"/>
              </w:rPr>
              <w:t>3</w:t>
            </w:r>
            <w:r w:rsidR="00637539">
              <w:rPr>
                <w:sz w:val="16"/>
                <w:szCs w:val="22"/>
                <w:lang w:val="fr-FR" w:bidi="ar-SY"/>
              </w:rPr>
              <w:t>–</w:t>
            </w:r>
          </w:p>
        </w:tc>
      </w:tr>
      <w:tr w:rsidR="0011038C" w:rsidRPr="00C96D16" w:rsidTr="00A646C9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hideMark/>
          </w:tcPr>
          <w:p w:rsidR="0011038C" w:rsidRPr="00773EB8" w:rsidRDefault="0011038C" w:rsidP="00037406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rtl/>
                <w:lang w:bidi="ar-EG"/>
              </w:rPr>
            </w:pPr>
            <w:r w:rsidRPr="00773EB8">
              <w:rPr>
                <w:sz w:val="16"/>
                <w:szCs w:val="22"/>
                <w:lang w:val="fr-FR" w:bidi="ar-SY"/>
              </w:rPr>
              <w:t>5</w:t>
            </w:r>
            <w:r w:rsidRPr="00773EB8">
              <w:rPr>
                <w:sz w:val="16"/>
                <w:szCs w:val="22"/>
                <w:rtl/>
                <w:lang w:bidi="ar-EG"/>
              </w:rPr>
              <w:tab/>
              <w:t>معالجة بطاقات التبليغ عن</w:t>
            </w:r>
            <w:r w:rsidRPr="00773EB8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773EB8">
              <w:rPr>
                <w:sz w:val="16"/>
                <w:szCs w:val="22"/>
                <w:rtl/>
                <w:lang w:bidi="ar-EG"/>
              </w:rPr>
              <w:t>الشبكات الساتلية</w:t>
            </w:r>
          </w:p>
        </w:tc>
        <w:tc>
          <w:tcPr>
            <w:tcW w:w="367" w:type="pct"/>
            <w:tcBorders>
              <w:top w:val="nil"/>
              <w:left w:val="single" w:sz="12" w:space="0" w:color="FFFFFF" w:themeColor="background1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4</w:t>
            </w:r>
            <w:r w:rsidRPr="00C96D16">
              <w:rPr>
                <w:sz w:val="16"/>
                <w:szCs w:val="22"/>
                <w:lang w:val="fr-FR" w:bidi="ar-SY"/>
              </w:rPr>
              <w:t xml:space="preserve"> 000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9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070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5 070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36</w:t>
            </w:r>
            <w:r w:rsidRPr="00C96D16">
              <w:rPr>
                <w:sz w:val="16"/>
                <w:szCs w:val="22"/>
                <w:lang w:val="fr-FR" w:bidi="ar-SY"/>
              </w:rPr>
              <w:t>,</w:t>
            </w:r>
            <w:r>
              <w:rPr>
                <w:sz w:val="16"/>
                <w:szCs w:val="22"/>
                <w:lang w:val="fr-FR" w:bidi="ar-SY"/>
              </w:rPr>
              <w:t>2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4</w:t>
            </w:r>
            <w:r w:rsidRPr="00C96D16">
              <w:rPr>
                <w:sz w:val="16"/>
                <w:szCs w:val="22"/>
                <w:lang w:val="fr-FR" w:bidi="ar-SY"/>
              </w:rPr>
              <w:t xml:space="preserve"> 000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1 990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1</w:t>
            </w:r>
            <w:r>
              <w:rPr>
                <w:sz w:val="16"/>
                <w:szCs w:val="22"/>
                <w:lang w:val="fr-FR" w:bidi="ar-SY"/>
              </w:rPr>
              <w:t>4</w:t>
            </w:r>
            <w:r w:rsidRPr="00C96D16">
              <w:rPr>
                <w:sz w:val="16"/>
                <w:szCs w:val="22"/>
                <w:lang w:val="fr-FR" w:bidi="ar-SY"/>
              </w:rPr>
              <w:t xml:space="preserve"> 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Pr="00C96D16">
              <w:rPr>
                <w:sz w:val="16"/>
                <w:szCs w:val="22"/>
                <w:lang w:val="fr-FR" w:bidi="ar-SY"/>
              </w:rPr>
              <w:t>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%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Pr="00C96D16">
              <w:rPr>
                <w:sz w:val="16"/>
                <w:szCs w:val="22"/>
                <w:lang w:val="fr-FR" w:bidi="ar-SY"/>
              </w:rPr>
              <w:t>,</w:t>
            </w:r>
            <w:r>
              <w:rPr>
                <w:sz w:val="16"/>
                <w:szCs w:val="22"/>
                <w:lang w:val="fr-FR" w:bidi="ar-SY"/>
              </w:rPr>
              <w:t>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</w:tr>
      <w:tr w:rsidR="0011038C" w:rsidRPr="00C96D16" w:rsidTr="00A646C9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 w:themeColor="background1"/>
            </w:tcBorders>
            <w:shd w:val="clear" w:color="000000" w:fill="DCE6F1"/>
            <w:noWrap/>
            <w:hideMark/>
          </w:tcPr>
          <w:p w:rsidR="0011038C" w:rsidRPr="00773EB8" w:rsidRDefault="0011038C" w:rsidP="00037406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rtl/>
                <w:lang w:bidi="ar-EG"/>
              </w:rPr>
            </w:pPr>
            <w:r w:rsidRPr="00773EB8">
              <w:rPr>
                <w:sz w:val="16"/>
                <w:szCs w:val="22"/>
                <w:lang w:val="fr-FR" w:bidi="ar-SY"/>
              </w:rPr>
              <w:t>6</w:t>
            </w:r>
            <w:r w:rsidRPr="00773EB8">
              <w:rPr>
                <w:sz w:val="16"/>
                <w:szCs w:val="22"/>
                <w:rtl/>
                <w:lang w:bidi="ar-EG"/>
              </w:rPr>
              <w:tab/>
            </w:r>
            <w:r w:rsidRPr="00773EB8">
              <w:rPr>
                <w:rFonts w:hint="cs"/>
                <w:sz w:val="16"/>
                <w:szCs w:val="22"/>
                <w:rtl/>
                <w:lang w:bidi="ar-EG"/>
              </w:rPr>
              <w:t>إيرادات أخرى</w:t>
            </w:r>
          </w:p>
        </w:tc>
        <w:tc>
          <w:tcPr>
            <w:tcW w:w="367" w:type="pct"/>
            <w:tcBorders>
              <w:top w:val="nil"/>
              <w:left w:val="single" w:sz="12" w:space="0" w:color="FFFFFF" w:themeColor="background1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60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>
              <w:rPr>
                <w:sz w:val="16"/>
                <w:szCs w:val="22"/>
                <w:lang w:val="fr-FR" w:bidi="ar-SY"/>
              </w:rPr>
              <w:t>60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center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-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0</w:t>
            </w:r>
            <w:r w:rsidR="00637539">
              <w:rPr>
                <w:sz w:val="16"/>
                <w:szCs w:val="22"/>
                <w:lang w:val="fr-FR" w:bidi="ar-SY"/>
              </w:rPr>
              <w:t> 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</w:tr>
      <w:tr w:rsidR="0011038C" w:rsidRPr="00C96D16" w:rsidTr="00C27D38">
        <w:trPr>
          <w:trHeight w:val="227"/>
        </w:trPr>
        <w:tc>
          <w:tcPr>
            <w:tcW w:w="1030" w:type="pct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000000" w:fill="DCE6F1"/>
            <w:noWrap/>
            <w:vAlign w:val="bottom"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rFonts w:hint="cs"/>
                <w:b/>
                <w:bCs/>
                <w:sz w:val="16"/>
                <w:szCs w:val="22"/>
                <w:rtl/>
              </w:rPr>
              <w:t>المجموع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3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6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375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3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5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 3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26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z w:val="16"/>
                <w:szCs w:val="22"/>
                <w:lang w:val="fr-FR" w:bidi="ar-SY"/>
              </w:rPr>
              <w:t>1 049</w:t>
            </w:r>
            <w:r w:rsidR="00637539">
              <w:rPr>
                <w:b/>
                <w:bCs/>
                <w:sz w:val="16"/>
                <w:szCs w:val="22"/>
                <w:lang w:bidi="ar-SY"/>
              </w:rPr>
              <w:t>–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2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,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9</w:t>
            </w:r>
            <w:r w:rsidR="00637539">
              <w:rPr>
                <w:b/>
                <w:bCs/>
                <w:sz w:val="16"/>
                <w:szCs w:val="22"/>
                <w:lang w:bidi="ar-SY"/>
              </w:rPr>
              <w:t>–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sz w:val="16"/>
                <w:szCs w:val="22"/>
                <w:lang w:val="fr-FR" w:bidi="ar-SY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3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6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375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2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576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11038C" w:rsidRPr="00C96D16" w:rsidRDefault="0011038C" w:rsidP="0003740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3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5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 xml:space="preserve"> 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400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000000" w:fill="DCE6F1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>
              <w:rPr>
                <w:b/>
                <w:bCs/>
                <w:sz w:val="16"/>
                <w:szCs w:val="22"/>
                <w:lang w:val="fr-FR" w:bidi="ar-SY"/>
              </w:rPr>
              <w:t>975</w:t>
            </w:r>
            <w:r w:rsidR="00637539">
              <w:rPr>
                <w:b/>
                <w:bCs/>
                <w:sz w:val="16"/>
                <w:szCs w:val="22"/>
                <w:lang w:bidi="ar-SY"/>
              </w:rPr>
              <w:t>–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hideMark/>
          </w:tcPr>
          <w:p w:rsidR="0011038C" w:rsidRPr="00C96D16" w:rsidRDefault="0011038C" w:rsidP="0063753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jc w:val="left"/>
              <w:rPr>
                <w:b/>
                <w:bCs/>
                <w:sz w:val="16"/>
                <w:szCs w:val="22"/>
                <w:lang w:val="fr-FR" w:bidi="ar-SY"/>
              </w:rPr>
            </w:pP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%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2</w:t>
            </w:r>
            <w:r w:rsidRPr="00C96D16">
              <w:rPr>
                <w:b/>
                <w:bCs/>
                <w:sz w:val="16"/>
                <w:szCs w:val="22"/>
                <w:lang w:val="fr-FR" w:bidi="ar-SY"/>
              </w:rPr>
              <w:t>,</w:t>
            </w:r>
            <w:r>
              <w:rPr>
                <w:b/>
                <w:bCs/>
                <w:sz w:val="16"/>
                <w:szCs w:val="22"/>
                <w:lang w:val="fr-FR" w:bidi="ar-SY"/>
              </w:rPr>
              <w:t>7</w:t>
            </w:r>
            <w:r w:rsidR="00637539">
              <w:rPr>
                <w:b/>
                <w:bCs/>
                <w:sz w:val="16"/>
                <w:szCs w:val="22"/>
                <w:lang w:bidi="ar-SY"/>
              </w:rPr>
              <w:t>–</w:t>
            </w:r>
          </w:p>
        </w:tc>
      </w:tr>
      <w:tr w:rsidR="0011038C" w:rsidRPr="00C96D16" w:rsidTr="00C27D38">
        <w:trPr>
          <w:trHeight w:val="22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038C" w:rsidRPr="00C96D16" w:rsidRDefault="0011038C" w:rsidP="00037406">
            <w:pPr>
              <w:tabs>
                <w:tab w:val="left" w:pos="288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240" w:lineRule="exact"/>
              <w:rPr>
                <w:sz w:val="16"/>
                <w:szCs w:val="22"/>
                <w:lang w:val="fr-FR" w:bidi="ar-SY"/>
              </w:rPr>
            </w:pPr>
            <w:r w:rsidRPr="00C96D16">
              <w:rPr>
                <w:sz w:val="16"/>
                <w:szCs w:val="22"/>
                <w:lang w:val="fr-FR" w:bidi="ar-SY"/>
              </w:rPr>
              <w:t>*</w:t>
            </w:r>
            <w:r w:rsidRPr="00C96D16">
              <w:rPr>
                <w:sz w:val="16"/>
                <w:szCs w:val="22"/>
                <w:lang w:val="fr-FR" w:bidi="ar-SY"/>
              </w:rPr>
              <w:tab/>
            </w:r>
            <w:r w:rsidRPr="00C96D16">
              <w:rPr>
                <w:rFonts w:hint="cs"/>
                <w:sz w:val="16"/>
                <w:szCs w:val="22"/>
                <w:rtl/>
              </w:rPr>
              <w:t>في</w:t>
            </w:r>
            <w:r w:rsidRPr="00C96D16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>
              <w:rPr>
                <w:sz w:val="16"/>
                <w:szCs w:val="22"/>
                <w:lang w:bidi="ar-SY"/>
              </w:rPr>
              <w:t>18</w:t>
            </w:r>
            <w:r w:rsidRPr="00C96D16">
              <w:rPr>
                <w:rFonts w:hint="cs"/>
                <w:sz w:val="16"/>
                <w:szCs w:val="22"/>
                <w:rtl/>
              </w:rPr>
              <w:t xml:space="preserve"> فبراير</w:t>
            </w:r>
            <w:r w:rsidRPr="00C96D16">
              <w:rPr>
                <w:rFonts w:hint="cs"/>
                <w:sz w:val="16"/>
                <w:szCs w:val="22"/>
                <w:rtl/>
                <w:lang w:bidi="ar-EG"/>
              </w:rPr>
              <w:t xml:space="preserve"> </w:t>
            </w:r>
            <w:r w:rsidRPr="00C96D16">
              <w:rPr>
                <w:sz w:val="16"/>
                <w:szCs w:val="22"/>
                <w:lang w:bidi="ar-SY"/>
              </w:rPr>
              <w:t>201</w:t>
            </w:r>
            <w:r>
              <w:rPr>
                <w:sz w:val="16"/>
                <w:szCs w:val="22"/>
                <w:lang w:bidi="ar-SY"/>
              </w:rPr>
              <w:t>9</w:t>
            </w:r>
          </w:p>
        </w:tc>
      </w:tr>
    </w:tbl>
    <w:p w:rsidR="0011038C" w:rsidRPr="000E6042" w:rsidRDefault="0011038C" w:rsidP="0011038C">
      <w:pPr>
        <w:pStyle w:val="Heading1"/>
        <w:rPr>
          <w:rFonts w:eastAsiaTheme="minorEastAsia"/>
          <w:rtl/>
        </w:rPr>
      </w:pPr>
      <w:r w:rsidRPr="000E6042">
        <w:rPr>
          <w:rFonts w:eastAsiaTheme="minorEastAsia"/>
          <w:lang w:bidi="ar-SY"/>
        </w:rPr>
        <w:t>4</w:t>
      </w:r>
      <w:r w:rsidRPr="000E6042">
        <w:rPr>
          <w:rFonts w:eastAsiaTheme="minorEastAsia"/>
          <w:lang w:bidi="ar-SY"/>
        </w:rPr>
        <w:tab/>
      </w:r>
      <w:r w:rsidRPr="000E6042">
        <w:rPr>
          <w:rFonts w:eastAsiaTheme="minorEastAsia" w:hint="cs"/>
          <w:rtl/>
        </w:rPr>
        <w:t>النفقات</w:t>
      </w:r>
    </w:p>
    <w:p w:rsidR="0011038C" w:rsidRPr="00EE39E1" w:rsidRDefault="0011038C" w:rsidP="001103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773EB8">
        <w:rPr>
          <w:lang w:bidi="ar-SY"/>
        </w:rPr>
        <w:t>1.4</w:t>
      </w:r>
      <w:r w:rsidRPr="00773EB8">
        <w:rPr>
          <w:lang w:bidi="ar-SY"/>
        </w:rPr>
        <w:tab/>
      </w:r>
      <w:r w:rsidRPr="00773EB8">
        <w:rPr>
          <w:rFonts w:hint="cs"/>
          <w:rtl/>
          <w:lang w:bidi="ar-EG"/>
        </w:rPr>
        <w:t>فيما يتعلق بالنفقات، يتواصل تطبيق تدابير الكفاءة وبذل الجهود من أجل الامتثال لأحكام القرار</w:t>
      </w:r>
      <w:r w:rsidRPr="00773EB8">
        <w:rPr>
          <w:rFonts w:hint="eastAsia"/>
          <w:rtl/>
          <w:lang w:bidi="ar-EG"/>
        </w:rPr>
        <w:t> </w:t>
      </w:r>
      <w:r w:rsidRPr="00773EB8">
        <w:rPr>
          <w:lang w:bidi="ar-SY"/>
        </w:rPr>
        <w:t>1387</w:t>
      </w:r>
      <w:r w:rsidRPr="00773EB8">
        <w:rPr>
          <w:rFonts w:hint="cs"/>
          <w:rtl/>
          <w:lang w:bidi="ar-EG"/>
        </w:rPr>
        <w:t>. والهدف هو إبقاء النفقات ضمن حدود الميزانية</w:t>
      </w:r>
      <w:r w:rsidRPr="00773EB8">
        <w:rPr>
          <w:rFonts w:hint="cs"/>
          <w:spacing w:val="-2"/>
          <w:rtl/>
          <w:lang w:bidi="ar-EG"/>
        </w:rPr>
        <w:t>.</w:t>
      </w:r>
    </w:p>
    <w:p w:rsidR="0011038C" w:rsidRPr="00930C28" w:rsidRDefault="0011038C" w:rsidP="0011038C">
      <w:pPr>
        <w:pStyle w:val="Heading1"/>
        <w:rPr>
          <w:rFonts w:eastAsiaTheme="minorEastAsia"/>
          <w:rtl/>
        </w:rPr>
      </w:pPr>
      <w:r w:rsidRPr="000E6042">
        <w:rPr>
          <w:rFonts w:eastAsiaTheme="minorEastAsia"/>
          <w:lang w:bidi="ar-SY"/>
        </w:rPr>
        <w:t>5</w:t>
      </w:r>
      <w:r w:rsidRPr="000E6042">
        <w:rPr>
          <w:rFonts w:eastAsiaTheme="minorEastAsia"/>
          <w:lang w:bidi="ar-SY"/>
        </w:rPr>
        <w:tab/>
      </w:r>
      <w:r w:rsidRPr="00930C28">
        <w:rPr>
          <w:rFonts w:eastAsiaTheme="minorEastAsia" w:hint="cs"/>
          <w:rtl/>
          <w:lang w:bidi="ar-SY"/>
        </w:rPr>
        <w:t>حساب</w:t>
      </w:r>
      <w:r w:rsidR="00637539">
        <w:rPr>
          <w:rFonts w:eastAsiaTheme="minorEastAsia" w:hint="cs"/>
          <w:rtl/>
        </w:rPr>
        <w:t xml:space="preserve"> الاحتياطي</w:t>
      </w:r>
    </w:p>
    <w:p w:rsidR="0011038C" w:rsidRPr="007E0744" w:rsidRDefault="0011038C" w:rsidP="00135F9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7E0744">
        <w:rPr>
          <w:lang w:bidi="ar-SY"/>
        </w:rPr>
        <w:t>1.5</w:t>
      </w:r>
      <w:r w:rsidRPr="007E0744">
        <w:rPr>
          <w:lang w:bidi="ar-SY"/>
        </w:rPr>
        <w:tab/>
      </w:r>
      <w:r w:rsidRPr="007E0744">
        <w:rPr>
          <w:rFonts w:hint="cs"/>
          <w:rtl/>
          <w:lang w:bidi="ar-SY"/>
        </w:rPr>
        <w:t xml:space="preserve">وفقاً للقرار </w:t>
      </w:r>
      <w:r w:rsidRPr="007E0744">
        <w:rPr>
          <w:szCs w:val="24"/>
        </w:rPr>
        <w:t>1387</w:t>
      </w:r>
      <w:r w:rsidRPr="007E0744">
        <w:rPr>
          <w:rFonts w:hint="cs"/>
          <w:szCs w:val="24"/>
          <w:rtl/>
        </w:rPr>
        <w:t xml:space="preserve">، </w:t>
      </w:r>
      <w:r w:rsidRPr="007E0744">
        <w:rPr>
          <w:rFonts w:hint="cs"/>
          <w:rtl/>
          <w:lang w:bidi="ar-SY"/>
        </w:rPr>
        <w:t xml:space="preserve">كان من المقرر إيداع مبلغ </w:t>
      </w:r>
      <w:r w:rsidRPr="007E0744">
        <w:rPr>
          <w:lang w:bidi="ar-SY"/>
        </w:rPr>
        <w:t>1,15</w:t>
      </w:r>
      <w:r w:rsidRPr="007E0744">
        <w:rPr>
          <w:rFonts w:hint="cs"/>
          <w:rtl/>
          <w:lang w:bidi="ar-EG"/>
        </w:rPr>
        <w:t xml:space="preserve"> مليون فرنك سويسري في حساب الاحتياطي خلال الفترة</w:t>
      </w:r>
      <w:r w:rsidRPr="007E0744">
        <w:rPr>
          <w:rFonts w:hint="eastAsia"/>
          <w:rtl/>
          <w:lang w:bidi="ar-EG"/>
        </w:rPr>
        <w:t> </w:t>
      </w:r>
      <w:r w:rsidRPr="007E0744">
        <w:rPr>
          <w:lang w:bidi="ar-SY"/>
        </w:rPr>
        <w:t>2019</w:t>
      </w:r>
      <w:r w:rsidR="007E0744">
        <w:rPr>
          <w:lang w:bidi="ar-SY"/>
        </w:rPr>
        <w:noBreakHyphen/>
      </w:r>
      <w:r w:rsidRPr="007E0744">
        <w:rPr>
          <w:lang w:bidi="ar-SY"/>
        </w:rPr>
        <w:t>2018</w:t>
      </w:r>
      <w:r w:rsidRPr="007E0744">
        <w:rPr>
          <w:rFonts w:hint="cs"/>
          <w:rtl/>
          <w:lang w:bidi="ar-SY"/>
        </w:rPr>
        <w:t>، نظراً لسحب المبلغ نفسه في فترة السنتين</w:t>
      </w:r>
      <w:r w:rsidRPr="007E0744">
        <w:rPr>
          <w:rFonts w:hint="eastAsia"/>
          <w:rtl/>
          <w:lang w:bidi="ar-SY"/>
        </w:rPr>
        <w:t> </w:t>
      </w:r>
      <w:r w:rsidRPr="007E0744">
        <w:rPr>
          <w:lang w:bidi="ar-SY"/>
        </w:rPr>
        <w:t>2017</w:t>
      </w:r>
      <w:r w:rsidR="00135F98">
        <w:rPr>
          <w:lang w:bidi="ar-SY"/>
        </w:rPr>
        <w:noBreakHyphen/>
      </w:r>
      <w:r w:rsidRPr="007E0744">
        <w:rPr>
          <w:lang w:bidi="ar-SY"/>
        </w:rPr>
        <w:t>2016</w:t>
      </w:r>
      <w:r w:rsidRPr="007E0744">
        <w:rPr>
          <w:rFonts w:hint="cs"/>
          <w:rtl/>
          <w:lang w:bidi="ar-SY"/>
        </w:rPr>
        <w:t>. إضافةً إلى ذلك، تلتزم الإدارة من خلال تنفيذ الميزانية بتحقيق وفورات بمبلغ</w:t>
      </w:r>
      <w:r w:rsidR="00637539" w:rsidRPr="007E0744">
        <w:rPr>
          <w:rFonts w:hint="eastAsia"/>
          <w:rtl/>
          <w:lang w:bidi="ar-SY"/>
        </w:rPr>
        <w:t> </w:t>
      </w:r>
      <w:r w:rsidRPr="007E0744">
        <w:rPr>
          <w:lang w:bidi="ar-SY"/>
        </w:rPr>
        <w:t>3,415</w:t>
      </w:r>
      <w:r w:rsidRPr="007E0744">
        <w:rPr>
          <w:rFonts w:hint="cs"/>
          <w:rtl/>
          <w:lang w:bidi="ar-EG"/>
        </w:rPr>
        <w:t xml:space="preserve"> مليون فرنك سويسري من أجل موازنة ميزانية</w:t>
      </w:r>
      <w:r w:rsidRPr="007E0744">
        <w:rPr>
          <w:rFonts w:hint="eastAsia"/>
          <w:rtl/>
          <w:lang w:bidi="ar-EG"/>
        </w:rPr>
        <w:t> </w:t>
      </w:r>
      <w:r w:rsidRPr="007E0744">
        <w:rPr>
          <w:szCs w:val="24"/>
        </w:rPr>
        <w:t>2019</w:t>
      </w:r>
      <w:r w:rsidR="00EA6A43">
        <w:rPr>
          <w:szCs w:val="24"/>
        </w:rPr>
        <w:noBreakHyphen/>
      </w:r>
      <w:r w:rsidRPr="007E0744">
        <w:rPr>
          <w:szCs w:val="24"/>
        </w:rPr>
        <w:t>2018</w:t>
      </w:r>
      <w:r w:rsidRPr="007E0744">
        <w:rPr>
          <w:rFonts w:hint="cs"/>
          <w:rtl/>
        </w:rPr>
        <w:t xml:space="preserve">، على النحو المبين في القرار </w:t>
      </w:r>
      <w:r w:rsidRPr="007E0744">
        <w:rPr>
          <w:szCs w:val="24"/>
        </w:rPr>
        <w:t>1387</w:t>
      </w:r>
      <w:r w:rsidR="007E0744">
        <w:rPr>
          <w:rFonts w:hint="cs"/>
          <w:rtl/>
          <w:lang w:bidi="ar-EG"/>
        </w:rPr>
        <w:t>.</w:t>
      </w:r>
    </w:p>
    <w:p w:rsidR="0011038C" w:rsidRPr="007E0744" w:rsidRDefault="0011038C" w:rsidP="00637539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7E0744">
        <w:rPr>
          <w:lang w:bidi="ar-EG"/>
        </w:rPr>
        <w:t>2.5</w:t>
      </w:r>
      <w:r w:rsidRPr="007E0744">
        <w:rPr>
          <w:rtl/>
          <w:lang w:bidi="ar-EG"/>
        </w:rPr>
        <w:tab/>
      </w:r>
      <w:r w:rsidRPr="007E0744">
        <w:rPr>
          <w:rFonts w:hint="cs"/>
          <w:rtl/>
          <w:lang w:bidi="ar-EG"/>
        </w:rPr>
        <w:t xml:space="preserve">وسيحدَّد المبلغ الفعلي الذي ينبغي إيداعه في حساب الاحتياطي أو سحبه منه عند إقفال حسابات </w:t>
      </w:r>
      <w:r w:rsidRPr="007E0744">
        <w:rPr>
          <w:lang w:bidi="ar-EG"/>
        </w:rPr>
        <w:t>2018</w:t>
      </w:r>
      <w:r w:rsidRPr="007E0744">
        <w:rPr>
          <w:rFonts w:hint="cs"/>
          <w:rtl/>
          <w:lang w:bidi="ar-EG"/>
        </w:rPr>
        <w:t xml:space="preserve"> و</w:t>
      </w:r>
      <w:r w:rsidRPr="007E0744">
        <w:rPr>
          <w:lang w:bidi="ar-EG"/>
        </w:rPr>
        <w:t>2019</w:t>
      </w:r>
      <w:r w:rsidRPr="007E0744">
        <w:rPr>
          <w:rFonts w:hint="cs"/>
          <w:rtl/>
          <w:lang w:bidi="ar-EG"/>
        </w:rPr>
        <w:t xml:space="preserve"> في</w:t>
      </w:r>
      <w:r w:rsidR="00637539" w:rsidRPr="007E0744">
        <w:rPr>
          <w:rFonts w:hint="eastAsia"/>
          <w:rtl/>
          <w:lang w:bidi="ar-EG"/>
        </w:rPr>
        <w:t> </w:t>
      </w:r>
      <w:r w:rsidRPr="007E0744">
        <w:rPr>
          <w:rFonts w:hint="cs"/>
          <w:rtl/>
          <w:lang w:bidi="ar-EG"/>
        </w:rPr>
        <w:t>نهاية العام.</w:t>
      </w:r>
    </w:p>
    <w:p w:rsidR="0011038C" w:rsidRPr="007E0744" w:rsidRDefault="0011038C" w:rsidP="00C27D3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7E0744">
        <w:rPr>
          <w:lang w:bidi="ar-EG"/>
        </w:rPr>
        <w:t>3.5</w:t>
      </w:r>
      <w:r w:rsidRPr="007E0744">
        <w:rPr>
          <w:rtl/>
          <w:lang w:bidi="ar-EG"/>
        </w:rPr>
        <w:tab/>
      </w:r>
      <w:r w:rsidRPr="007E0744">
        <w:rPr>
          <w:rFonts w:hint="cs"/>
          <w:rtl/>
          <w:lang w:bidi="ar-EG"/>
        </w:rPr>
        <w:t xml:space="preserve">ووفقاً لتعليمات المجلس، </w:t>
      </w:r>
      <w:r w:rsidR="00C27D38" w:rsidRPr="007E0744">
        <w:rPr>
          <w:rFonts w:hint="cs"/>
          <w:rtl/>
          <w:lang w:bidi="ar-EG"/>
        </w:rPr>
        <w:t>سحب</w:t>
      </w:r>
      <w:r w:rsidRPr="007E0744">
        <w:rPr>
          <w:rFonts w:hint="cs"/>
          <w:rtl/>
          <w:lang w:bidi="ar-EG"/>
        </w:rPr>
        <w:t xml:space="preserve"> الأمين العام </w:t>
      </w:r>
      <w:r w:rsidRPr="007E0744">
        <w:rPr>
          <w:rtl/>
          <w:lang w:bidi="ar-EG"/>
        </w:rPr>
        <w:t xml:space="preserve">مبلغ </w:t>
      </w:r>
      <w:r w:rsidRPr="007E0744">
        <w:rPr>
          <w:lang w:val="en-GB" w:bidi="ar-SY"/>
        </w:rPr>
        <w:t>1</w:t>
      </w:r>
      <w:proofErr w:type="gramStart"/>
      <w:r w:rsidRPr="007E0744">
        <w:rPr>
          <w:lang w:val="en-GB" w:bidi="ar-SY"/>
        </w:rPr>
        <w:t>,0</w:t>
      </w:r>
      <w:proofErr w:type="gramEnd"/>
      <w:r w:rsidRPr="007E0744">
        <w:rPr>
          <w:rtl/>
          <w:lang w:bidi="ar-EG"/>
        </w:rPr>
        <w:t xml:space="preserve"> مليون فرنك سويسري من حساب الاحتياطي</w:t>
      </w:r>
      <w:r w:rsidRPr="007E0744">
        <w:rPr>
          <w:rFonts w:hint="cs"/>
          <w:rtl/>
          <w:lang w:bidi="ar-EG"/>
        </w:rPr>
        <w:t xml:space="preserve"> في</w:t>
      </w:r>
      <w:r w:rsidRPr="007E0744">
        <w:rPr>
          <w:rFonts w:hint="eastAsia"/>
          <w:rtl/>
          <w:lang w:bidi="ar-EG"/>
        </w:rPr>
        <w:t> </w:t>
      </w:r>
      <w:r w:rsidRPr="007E0744">
        <w:rPr>
          <w:lang w:bidi="ar-SY"/>
        </w:rPr>
        <w:t>1</w:t>
      </w:r>
      <w:r w:rsidRPr="007E0744">
        <w:rPr>
          <w:rFonts w:hint="eastAsia"/>
          <w:rtl/>
          <w:lang w:bidi="ar-EG"/>
        </w:rPr>
        <w:t> </w:t>
      </w:r>
      <w:r w:rsidRPr="007E0744">
        <w:rPr>
          <w:rFonts w:hint="cs"/>
          <w:rtl/>
          <w:lang w:bidi="ar-EG"/>
        </w:rPr>
        <w:t>يناير</w:t>
      </w:r>
      <w:r w:rsidRPr="007E0744">
        <w:rPr>
          <w:rFonts w:hint="eastAsia"/>
          <w:rtl/>
          <w:lang w:bidi="ar-EG"/>
        </w:rPr>
        <w:t> </w:t>
      </w:r>
      <w:r w:rsidRPr="007E0744">
        <w:rPr>
          <w:lang w:bidi="ar-SY"/>
        </w:rPr>
        <w:t>2018</w:t>
      </w:r>
      <w:r w:rsidRPr="007E0744">
        <w:rPr>
          <w:rFonts w:hint="cs"/>
          <w:rtl/>
          <w:lang w:bidi="ar-EG"/>
        </w:rPr>
        <w:t>، وأضيف هذا المبلغ إلى صندوق التأمين الصحي بعد انتهاء مدة الخدمة</w:t>
      </w:r>
      <w:r w:rsidRPr="007E0744">
        <w:rPr>
          <w:rFonts w:hint="eastAsia"/>
          <w:rtl/>
          <w:lang w:bidi="ar-EG"/>
        </w:rPr>
        <w:t> </w:t>
      </w:r>
      <w:r w:rsidRPr="007E0744">
        <w:rPr>
          <w:lang w:bidi="ar-EG"/>
        </w:rPr>
        <w:t>(ASHI)</w:t>
      </w:r>
      <w:r w:rsidRPr="007E0744">
        <w:rPr>
          <w:rFonts w:hint="cs"/>
          <w:rtl/>
          <w:lang w:bidi="ar-EG"/>
        </w:rPr>
        <w:t xml:space="preserve"> من أجل الوفاء بالالتزامات طويلة الأجل غير</w:t>
      </w:r>
      <w:r w:rsidRPr="007E0744">
        <w:rPr>
          <w:rFonts w:hint="eastAsia"/>
          <w:rtl/>
          <w:lang w:bidi="ar-EG"/>
        </w:rPr>
        <w:t> </w:t>
      </w:r>
      <w:r w:rsidRPr="007E0744">
        <w:rPr>
          <w:rFonts w:hint="cs"/>
          <w:rtl/>
          <w:lang w:bidi="ar-EG"/>
        </w:rPr>
        <w:t>المموَّلة.</w:t>
      </w:r>
    </w:p>
    <w:p w:rsidR="0011038C" w:rsidRPr="007E0744" w:rsidRDefault="0011038C" w:rsidP="00C27D3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tl/>
          <w:lang w:bidi="ar-EG"/>
        </w:rPr>
      </w:pPr>
      <w:r w:rsidRPr="007E0744">
        <w:rPr>
          <w:lang w:bidi="ar-EG"/>
        </w:rPr>
        <w:t>4.5</w:t>
      </w:r>
      <w:r w:rsidRPr="007E0744">
        <w:rPr>
          <w:rtl/>
          <w:lang w:bidi="ar-EG"/>
        </w:rPr>
        <w:tab/>
      </w:r>
      <w:r w:rsidRPr="007E0744">
        <w:rPr>
          <w:rFonts w:hint="cs"/>
          <w:rtl/>
          <w:lang w:bidi="ar-EG"/>
        </w:rPr>
        <w:t xml:space="preserve">وفي </w:t>
      </w:r>
      <w:r w:rsidRPr="007E0744">
        <w:rPr>
          <w:lang w:bidi="ar-EG"/>
        </w:rPr>
        <w:t>31</w:t>
      </w:r>
      <w:r w:rsidRPr="007E0744">
        <w:rPr>
          <w:rFonts w:hint="cs"/>
          <w:rtl/>
          <w:lang w:bidi="ar-EG"/>
        </w:rPr>
        <w:t xml:space="preserve"> ديسمبر </w:t>
      </w:r>
      <w:r w:rsidRPr="007E0744">
        <w:rPr>
          <w:lang w:bidi="ar-EG"/>
        </w:rPr>
        <w:t>2017</w:t>
      </w:r>
      <w:r w:rsidRPr="007E0744">
        <w:rPr>
          <w:rFonts w:hint="cs"/>
          <w:rtl/>
          <w:lang w:bidi="ar-EG"/>
        </w:rPr>
        <w:t xml:space="preserve">، بلغ رصيد حساب الاحتياطي </w:t>
      </w:r>
      <w:r w:rsidRPr="007E0744">
        <w:rPr>
          <w:lang w:bidi="ar-EG"/>
        </w:rPr>
        <w:t>27</w:t>
      </w:r>
      <w:proofErr w:type="gramStart"/>
      <w:r w:rsidRPr="007E0744">
        <w:rPr>
          <w:lang w:bidi="ar-EG"/>
        </w:rPr>
        <w:t>,77</w:t>
      </w:r>
      <w:proofErr w:type="gramEnd"/>
      <w:r w:rsidRPr="007E0744">
        <w:rPr>
          <w:rFonts w:hint="cs"/>
          <w:rtl/>
          <w:lang w:bidi="ar-EG"/>
        </w:rPr>
        <w:t xml:space="preserve"> مليون فرنك سويسري. </w:t>
      </w:r>
      <w:r w:rsidRPr="007E0744">
        <w:rPr>
          <w:rFonts w:hint="cs"/>
          <w:rtl/>
        </w:rPr>
        <w:t xml:space="preserve">وستظهر نتائج </w:t>
      </w:r>
      <w:r w:rsidRPr="007E0744">
        <w:rPr>
          <w:lang w:val="fr-CH" w:bidi="ar-SY"/>
        </w:rPr>
        <w:t>2018</w:t>
      </w:r>
      <w:r w:rsidRPr="007E0744">
        <w:rPr>
          <w:rFonts w:hint="cs"/>
          <w:rtl/>
          <w:lang w:bidi="ar-EG"/>
        </w:rPr>
        <w:t xml:space="preserve"> بعد إغلاق </w:t>
      </w:r>
      <w:r w:rsidR="00C27D38" w:rsidRPr="007E0744">
        <w:rPr>
          <w:rFonts w:hint="cs"/>
          <w:rtl/>
          <w:lang w:bidi="ar-EG"/>
        </w:rPr>
        <w:t xml:space="preserve">حسابات </w:t>
      </w:r>
      <w:r w:rsidRPr="007E0744">
        <w:rPr>
          <w:rFonts w:hint="cs"/>
          <w:rtl/>
          <w:lang w:bidi="ar-EG"/>
        </w:rPr>
        <w:t xml:space="preserve">السنة. وسترد الأرقام النهائية في تقرير الإدارة المالية لسنة </w:t>
      </w:r>
      <w:r w:rsidRPr="007E0744">
        <w:rPr>
          <w:lang w:bidi="ar-EG"/>
        </w:rPr>
        <w:t>2018</w:t>
      </w:r>
      <w:r w:rsidRPr="007E0744">
        <w:rPr>
          <w:rFonts w:hint="cs"/>
          <w:rtl/>
          <w:lang w:bidi="ar-EG"/>
        </w:rPr>
        <w:t>.</w:t>
      </w:r>
    </w:p>
    <w:p w:rsidR="0011038C" w:rsidRDefault="00BF4D1D" w:rsidP="0011038C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11038C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E37" w:rsidRDefault="004F4E37" w:rsidP="006C3242">
      <w:pPr>
        <w:spacing w:before="0" w:line="240" w:lineRule="auto"/>
      </w:pPr>
      <w:r>
        <w:separator/>
      </w:r>
    </w:p>
  </w:endnote>
  <w:endnote w:type="continuationSeparator" w:id="0">
    <w:p w:rsidR="004F4E37" w:rsidRDefault="004F4E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7" w:rsidRPr="001070AF" w:rsidRDefault="004F4E37" w:rsidP="0092587F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color w:val="D9D9D9" w:themeColor="background1" w:themeShade="D9"/>
        <w:sz w:val="16"/>
        <w:szCs w:val="16"/>
        <w:lang w:val="fr-FR"/>
      </w:rPr>
    </w:pP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FILENAME \p \* MERGEFORMAT </w:instrText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1070A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P:\ARA\SG\CONSEIL\C19\000\009A.docx</w:t>
    </w:r>
    <w:r w:rsidRPr="001070A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CH"/>
      </w:rPr>
      <w:t xml:space="preserve">  </w:t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 xml:space="preserve"> (450218)</w:t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savedate \@ dd.MM.yy </w:instrText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="00A95C45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29.04.19</w:t>
    </w:r>
    <w:r w:rsidRPr="001070A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tab/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begin"/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instrText xml:space="preserve"> printdate \@ dd.MM.yy </w:instrText>
    </w:r>
    <w:r w:rsidRPr="001070AF">
      <w:rPr>
        <w:rFonts w:ascii="Calibri" w:hAnsi="Calibri" w:cs="Calibri"/>
        <w:color w:val="D9D9D9" w:themeColor="background1" w:themeShade="D9"/>
        <w:sz w:val="16"/>
        <w:szCs w:val="16"/>
        <w:lang w:val="fr-FR"/>
      </w:rPr>
      <w:fldChar w:fldCharType="separate"/>
    </w:r>
    <w:r w:rsidRPr="001070AF">
      <w:rPr>
        <w:rFonts w:ascii="Calibri" w:hAnsi="Calibri" w:cs="Calibri"/>
        <w:noProof/>
        <w:color w:val="D9D9D9" w:themeColor="background1" w:themeShade="D9"/>
        <w:sz w:val="16"/>
        <w:szCs w:val="16"/>
        <w:lang w:val="fr-FR"/>
      </w:rPr>
      <w:t>26.04.19</w:t>
    </w:r>
    <w:r w:rsidRPr="001070AF">
      <w:rPr>
        <w:rFonts w:ascii="Calibri" w:hAnsi="Calibri" w:cs="Calibri"/>
        <w:color w:val="D9D9D9" w:themeColor="background1" w:themeShade="D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7" w:rsidRPr="006C3242" w:rsidRDefault="004F4E37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E37" w:rsidRDefault="004F4E37" w:rsidP="006C3242">
      <w:pPr>
        <w:spacing w:before="0" w:line="240" w:lineRule="auto"/>
      </w:pPr>
      <w:r>
        <w:separator/>
      </w:r>
    </w:p>
  </w:footnote>
  <w:footnote w:type="continuationSeparator" w:id="0">
    <w:p w:rsidR="004F4E37" w:rsidRDefault="004F4E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E37" w:rsidRPr="00447F32" w:rsidRDefault="00A95C45" w:rsidP="0011038C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F4E37" w:rsidRPr="00447F32">
          <w:rPr>
            <w:rFonts w:cs="Calibri"/>
            <w:sz w:val="20"/>
            <w:szCs w:val="20"/>
          </w:rPr>
          <w:fldChar w:fldCharType="begin"/>
        </w:r>
        <w:r w:rsidR="004F4E37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F4E37" w:rsidRPr="00447F32">
          <w:rPr>
            <w:rFonts w:cs="Calibri"/>
            <w:sz w:val="20"/>
            <w:szCs w:val="20"/>
          </w:rPr>
          <w:fldChar w:fldCharType="separate"/>
        </w:r>
        <w:r>
          <w:rPr>
            <w:rFonts w:cs="Calibri"/>
            <w:noProof/>
            <w:sz w:val="20"/>
            <w:szCs w:val="20"/>
          </w:rPr>
          <w:t>4</w:t>
        </w:r>
        <w:r w:rsidR="004F4E37" w:rsidRPr="00447F32">
          <w:rPr>
            <w:rFonts w:cs="Calibri"/>
            <w:noProof/>
            <w:sz w:val="20"/>
            <w:szCs w:val="20"/>
          </w:rPr>
          <w:fldChar w:fldCharType="end"/>
        </w:r>
        <w:r w:rsidR="004F4E37" w:rsidRPr="00447F32">
          <w:rPr>
            <w:rFonts w:cs="Calibri"/>
            <w:noProof/>
            <w:sz w:val="20"/>
            <w:szCs w:val="20"/>
          </w:rPr>
          <w:br/>
          <w:t>C1</w:t>
        </w:r>
        <w:r w:rsidR="004F4E37">
          <w:rPr>
            <w:rFonts w:cs="Calibri"/>
            <w:noProof/>
            <w:sz w:val="20"/>
            <w:szCs w:val="20"/>
          </w:rPr>
          <w:t>9</w:t>
        </w:r>
        <w:r w:rsidR="004F4E37" w:rsidRPr="00447F32">
          <w:rPr>
            <w:rFonts w:cs="Calibri"/>
            <w:noProof/>
            <w:sz w:val="20"/>
            <w:szCs w:val="20"/>
          </w:rPr>
          <w:t>/</w:t>
        </w:r>
        <w:r w:rsidR="004F4E37">
          <w:rPr>
            <w:rFonts w:cs="Calibri"/>
            <w:noProof/>
            <w:sz w:val="20"/>
            <w:szCs w:val="20"/>
          </w:rPr>
          <w:t>9</w:t>
        </w:r>
        <w:r w:rsidR="004F4E37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8C"/>
    <w:rsid w:val="00037406"/>
    <w:rsid w:val="00090574"/>
    <w:rsid w:val="000C1C0E"/>
    <w:rsid w:val="000C548A"/>
    <w:rsid w:val="001070AF"/>
    <w:rsid w:val="0011038C"/>
    <w:rsid w:val="00135F98"/>
    <w:rsid w:val="00172738"/>
    <w:rsid w:val="001C0169"/>
    <w:rsid w:val="001D1D50"/>
    <w:rsid w:val="001E446E"/>
    <w:rsid w:val="001E7909"/>
    <w:rsid w:val="002154EE"/>
    <w:rsid w:val="002276D2"/>
    <w:rsid w:val="0023283D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E4E30"/>
    <w:rsid w:val="003F4B29"/>
    <w:rsid w:val="0042686F"/>
    <w:rsid w:val="004317D8"/>
    <w:rsid w:val="00434183"/>
    <w:rsid w:val="00440A10"/>
    <w:rsid w:val="00443869"/>
    <w:rsid w:val="00447F32"/>
    <w:rsid w:val="00452BFF"/>
    <w:rsid w:val="004E11DC"/>
    <w:rsid w:val="004F4E37"/>
    <w:rsid w:val="005409AC"/>
    <w:rsid w:val="0055516A"/>
    <w:rsid w:val="0058491B"/>
    <w:rsid w:val="00592EA5"/>
    <w:rsid w:val="005A3170"/>
    <w:rsid w:val="00637539"/>
    <w:rsid w:val="00677396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83E26"/>
    <w:rsid w:val="007C3BC7"/>
    <w:rsid w:val="007D4ACF"/>
    <w:rsid w:val="007E0744"/>
    <w:rsid w:val="007F0787"/>
    <w:rsid w:val="00806FFC"/>
    <w:rsid w:val="00810B7B"/>
    <w:rsid w:val="0082358A"/>
    <w:rsid w:val="008235CD"/>
    <w:rsid w:val="008247DE"/>
    <w:rsid w:val="00840B10"/>
    <w:rsid w:val="008513CB"/>
    <w:rsid w:val="00884378"/>
    <w:rsid w:val="00885750"/>
    <w:rsid w:val="00910CD4"/>
    <w:rsid w:val="00923B0C"/>
    <w:rsid w:val="0092587F"/>
    <w:rsid w:val="0094021C"/>
    <w:rsid w:val="00952F86"/>
    <w:rsid w:val="00963681"/>
    <w:rsid w:val="00964FF8"/>
    <w:rsid w:val="00982B28"/>
    <w:rsid w:val="009D313F"/>
    <w:rsid w:val="00A02C02"/>
    <w:rsid w:val="00A47A5A"/>
    <w:rsid w:val="00A646C9"/>
    <w:rsid w:val="00A6683B"/>
    <w:rsid w:val="00A95C45"/>
    <w:rsid w:val="00A97F94"/>
    <w:rsid w:val="00AB5013"/>
    <w:rsid w:val="00B05BC8"/>
    <w:rsid w:val="00B64B47"/>
    <w:rsid w:val="00BF4D1D"/>
    <w:rsid w:val="00C002DE"/>
    <w:rsid w:val="00C27D38"/>
    <w:rsid w:val="00C53BF8"/>
    <w:rsid w:val="00C66157"/>
    <w:rsid w:val="00C674FE"/>
    <w:rsid w:val="00C67501"/>
    <w:rsid w:val="00C75633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92863"/>
    <w:rsid w:val="00EA6A43"/>
    <w:rsid w:val="00EB796D"/>
    <w:rsid w:val="00F058DC"/>
    <w:rsid w:val="00F24FC4"/>
    <w:rsid w:val="00F2676C"/>
    <w:rsid w:val="00F84366"/>
    <w:rsid w:val="00F85089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C424A74-06A4-423D-82E0-85E3ADC1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383829"/>
    <w:pPr>
      <w:keepNext/>
      <w:framePr w:hSpace="180" w:wrap="around" w:hAnchor="text" w:y="-612"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7-CL-C-0010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S17-CL-C-0132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A.pdf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51E81-BC02-477C-B6C2-F5D00682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review of revenue and expenses</dc:title>
  <dc:subject>Council 2019</dc:subject>
  <dc:creator>Tahawi, Hiba</dc:creator>
  <cp:keywords>C2019, C19</cp:keywords>
  <dc:description/>
  <cp:lastModifiedBy>Brouard, Ricarda</cp:lastModifiedBy>
  <cp:revision>2</cp:revision>
  <cp:lastPrinted>2019-04-26T15:46:00Z</cp:lastPrinted>
  <dcterms:created xsi:type="dcterms:W3CDTF">2019-05-10T13:50:00Z</dcterms:created>
  <dcterms:modified xsi:type="dcterms:W3CDTF">2019-05-10T13:50:00Z</dcterms:modified>
  <cp:category>Conference document</cp:category>
</cp:coreProperties>
</file>