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F5442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>Punto del orden del día: PL 4.1</w:t>
            </w:r>
          </w:p>
        </w:tc>
        <w:tc>
          <w:tcPr>
            <w:tcW w:w="3261" w:type="dxa"/>
          </w:tcPr>
          <w:p w:rsidR="00093EEB" w:rsidRPr="00093EEB" w:rsidRDefault="00093EEB" w:rsidP="00F5442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F54426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F54426" w:rsidP="00F5442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de febrero d</w:t>
            </w:r>
            <w:r w:rsidR="00093EEB">
              <w:rPr>
                <w:b/>
                <w:bCs/>
                <w:szCs w:val="24"/>
              </w:rPr>
              <w:t>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54426">
            <w:pPr>
              <w:pStyle w:val="Source"/>
            </w:pPr>
            <w:bookmarkStart w:id="7" w:name="dsource" w:colFirst="0" w:colLast="0"/>
            <w:bookmarkEnd w:id="1"/>
            <w:bookmarkEnd w:id="6"/>
            <w:r w:rsidRPr="003F5254">
              <w:t>Informe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F54426">
            <w:pPr>
              <w:pStyle w:val="Title1"/>
            </w:pPr>
            <w:bookmarkStart w:id="8" w:name="dtitle1" w:colFirst="0" w:colLast="0"/>
            <w:bookmarkEnd w:id="7"/>
            <w:r w:rsidRPr="003F5254">
              <w:t>RESOLUCIONES Y ACUERDOS OBSOLETOS DEL CONSEJO</w:t>
            </w:r>
          </w:p>
        </w:tc>
      </w:tr>
      <w:bookmarkEnd w:id="8"/>
    </w:tbl>
    <w:p w:rsidR="00093EEB" w:rsidRPr="000B0D00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0B0D0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:rsidR="00093EEB" w:rsidRPr="000B0D00" w:rsidRDefault="00F54426">
            <w:pPr>
              <w:rPr>
                <w:lang w:val="es-ES"/>
              </w:rPr>
            </w:pPr>
            <w:bookmarkStart w:id="9" w:name="_GoBack"/>
            <w:r w:rsidRPr="003F5254">
              <w:rPr>
                <w:lang w:val="es-ES"/>
              </w:rPr>
              <w:t>Después de cada reunión ordinaria del Consejo, los Acuerdos y Resoluciones que han sido ejecutados se abrogan y, por consiguiente, se suprimen del Volumen de Resoluciones y Acuerdos adoptados por el Consejo</w:t>
            </w:r>
            <w:bookmarkEnd w:id="9"/>
            <w:r w:rsidRPr="003F5254">
              <w:rPr>
                <w:lang w:val="es-ES"/>
              </w:rPr>
              <w:t>.</w:t>
            </w:r>
          </w:p>
          <w:p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:rsidR="00093EEB" w:rsidRPr="000B0D00" w:rsidRDefault="00F54426">
            <w:pPr>
              <w:spacing w:after="120"/>
              <w:rPr>
                <w:i/>
                <w:iCs/>
                <w:lang w:val="es-ES"/>
              </w:rPr>
            </w:pPr>
            <w:r w:rsidRPr="003F5254">
              <w:rPr>
                <w:lang w:val="es-ES"/>
              </w:rPr>
              <w:t xml:space="preserve">Se somete a la </w:t>
            </w:r>
            <w:r w:rsidRPr="003F5254">
              <w:rPr>
                <w:b/>
                <w:bCs/>
                <w:lang w:val="es-ES"/>
              </w:rPr>
              <w:t>consideración</w:t>
            </w:r>
            <w:r w:rsidRPr="003F5254">
              <w:rPr>
                <w:lang w:val="es-ES"/>
              </w:rPr>
              <w:t xml:space="preserve"> y </w:t>
            </w:r>
            <w:r w:rsidRPr="003F5254">
              <w:rPr>
                <w:b/>
                <w:bCs/>
                <w:lang w:val="es-ES"/>
              </w:rPr>
              <w:t>aprobación</w:t>
            </w:r>
            <w:r w:rsidRPr="003F5254">
              <w:rPr>
                <w:lang w:val="es-ES"/>
              </w:rPr>
              <w:t xml:space="preserve"> del Consejo la lista de Resoluciones y Acuerdos que se deberían abrogar y, por consiguiente, suprimir del Volumen.</w:t>
            </w:r>
          </w:p>
        </w:tc>
      </w:tr>
    </w:tbl>
    <w:p w:rsidR="00F54426" w:rsidRDefault="00F54426" w:rsidP="00F54426"/>
    <w:p w:rsidR="00F54426" w:rsidRDefault="00F544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F54426" w:rsidRDefault="00F544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54426" w:rsidRDefault="00F54426" w:rsidP="00F54426">
      <w:pPr>
        <w:pStyle w:val="Restitle"/>
      </w:pPr>
      <w:r w:rsidRPr="003F5254">
        <w:lastRenderedPageBreak/>
        <w:t>Resoluciones y acuerdos que deben abrogarse</w:t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7760"/>
      </w:tblGrid>
      <w:tr w:rsidR="00F54426" w:rsidRPr="00042BFE" w:rsidTr="00042BFE">
        <w:tc>
          <w:tcPr>
            <w:tcW w:w="1024" w:type="dxa"/>
            <w:shd w:val="clear" w:color="auto" w:fill="D9D9D9" w:themeFill="background1" w:themeFillShade="D9"/>
          </w:tcPr>
          <w:p w:rsidR="00F54426" w:rsidRPr="00042BFE" w:rsidRDefault="00F54426" w:rsidP="00042BFE">
            <w:pPr>
              <w:pStyle w:val="Tablehead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Sección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:rsidR="00F54426" w:rsidRPr="00042BFE" w:rsidRDefault="00F54426" w:rsidP="00042BFE">
            <w:pPr>
              <w:pStyle w:val="Tablehead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Res</w:t>
            </w:r>
            <w:proofErr w:type="gramStart"/>
            <w:r w:rsidRPr="00042BFE">
              <w:rPr>
                <w:sz w:val="24"/>
                <w:szCs w:val="24"/>
              </w:rPr>
              <w:t>./</w:t>
            </w:r>
            <w:proofErr w:type="gramEnd"/>
            <w:r w:rsidRPr="00042BFE">
              <w:rPr>
                <w:sz w:val="24"/>
                <w:szCs w:val="24"/>
              </w:rPr>
              <w:t>Acdo.</w:t>
            </w:r>
          </w:p>
        </w:tc>
        <w:tc>
          <w:tcPr>
            <w:tcW w:w="7760" w:type="dxa"/>
            <w:shd w:val="clear" w:color="auto" w:fill="D9D9D9" w:themeFill="background1" w:themeFillShade="D9"/>
          </w:tcPr>
          <w:p w:rsidR="00F54426" w:rsidRPr="00042BFE" w:rsidRDefault="00F54426" w:rsidP="00042BFE">
            <w:pPr>
              <w:pStyle w:val="Tablehead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Título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1.1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1375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Presupuesto bienal de la Unión Internacional de Telecomunicaciones para 2016-2017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1.2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1376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Informe de gestión financiera para el ejercicio 2014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1381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Parte contributiva a los gastos de la Unión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1382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Informe de gestión financiera para el ejercicio 2015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1389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Informe de gestión financiera para el ejercicio 2016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1393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Informe de gestión financiera para el ejercicio 2017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A 602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Registro en pérdidas y ganancias de los intereses de mora y las cantidades adeudadas incobrables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2.1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1391</w:t>
            </w:r>
            <w:r w:rsidRPr="00042BFE">
              <w:rPr>
                <w:position w:val="6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Condiciones de empleo de los funcionarios de elección de la UIT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2.3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1371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Representantes del Consejo en el Comité de Pensiones del Personal de la UIT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3.1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1384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Creación de un Grupo de Trabajo del Consejo sobre los Planes Estratégico y Financiero de la Unión para 2020-2023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3.2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A 604</w:t>
            </w:r>
            <w:r w:rsidRPr="00042BFE">
              <w:rPr>
                <w:position w:val="6"/>
                <w:sz w:val="18"/>
                <w:szCs w:val="18"/>
                <w:lang w:val="en-US"/>
              </w:rPr>
              <w:footnoteReference w:id="2"/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 xml:space="preserve">Fechas y duración de las reuniones de 2019, 2020 y 2021 del Consejo 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1385</w:t>
            </w:r>
            <w:r w:rsidRPr="00042BFE">
              <w:rPr>
                <w:position w:val="6"/>
                <w:sz w:val="18"/>
                <w:szCs w:val="18"/>
                <w:lang w:val="en-US"/>
              </w:rPr>
              <w:footnoteReference w:id="3"/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 xml:space="preserve">Planes Operacionales cuatrienales renovables para el UIT-R, el UIT-T, </w:t>
            </w:r>
          </w:p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el UIT-D y la Secretaría General para 2018-2021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6.2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A 598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Conclusión con carácter provisional del Acuerdo de Cooperación entre la UIT e INTERPOL</w:t>
            </w:r>
          </w:p>
        </w:tc>
      </w:tr>
      <w:tr w:rsidR="00F54426" w:rsidRPr="00575F70" w:rsidTr="00042BFE">
        <w:tc>
          <w:tcPr>
            <w:tcW w:w="1024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7.2</w:t>
            </w:r>
          </w:p>
        </w:tc>
        <w:tc>
          <w:tcPr>
            <w:tcW w:w="1422" w:type="dxa"/>
          </w:tcPr>
          <w:p w:rsidR="00F54426" w:rsidRPr="00042BFE" w:rsidRDefault="00F54426" w:rsidP="00042BFE">
            <w:pPr>
              <w:pStyle w:val="Tabletext"/>
              <w:jc w:val="center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R 1379</w:t>
            </w:r>
          </w:p>
        </w:tc>
        <w:tc>
          <w:tcPr>
            <w:tcW w:w="7760" w:type="dxa"/>
          </w:tcPr>
          <w:p w:rsidR="00F54426" w:rsidRPr="00042BFE" w:rsidRDefault="00F54426" w:rsidP="00042BFE">
            <w:pPr>
              <w:pStyle w:val="Tabletext"/>
              <w:rPr>
                <w:sz w:val="24"/>
                <w:szCs w:val="24"/>
              </w:rPr>
            </w:pPr>
            <w:r w:rsidRPr="00042BFE">
              <w:rPr>
                <w:sz w:val="24"/>
                <w:szCs w:val="24"/>
              </w:rPr>
              <w:t>Grupo de expertos sobre el Reglamento de las Telecomunicaciones Internacionales (EG RTI)</w:t>
            </w:r>
          </w:p>
        </w:tc>
      </w:tr>
    </w:tbl>
    <w:p w:rsidR="00F54426" w:rsidRDefault="00F54426" w:rsidP="00F54426">
      <w:pPr>
        <w:spacing w:before="200"/>
        <w:jc w:val="center"/>
      </w:pPr>
      <w:r>
        <w:t>______________</w:t>
      </w:r>
    </w:p>
    <w:p w:rsidR="00C2727F" w:rsidRDefault="00C2727F" w:rsidP="00F54426"/>
    <w:sectPr w:rsidR="00C2727F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26" w:rsidRDefault="00F54426">
      <w:r>
        <w:separator/>
      </w:r>
    </w:p>
  </w:endnote>
  <w:endnote w:type="continuationSeparator" w:id="0">
    <w:p w:rsidR="00F54426" w:rsidRDefault="00F5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85071" w:rsidRDefault="00185071" w:rsidP="00185071">
    <w:pPr>
      <w:pStyle w:val="Footer"/>
      <w:rPr>
        <w:lang w:val="fr-CH"/>
      </w:rPr>
    </w:pPr>
    <w:r>
      <w:rPr>
        <w:lang w:val="en-US"/>
      </w:rPr>
      <w:fldChar w:fldCharType="begin"/>
    </w:r>
    <w:r w:rsidRPr="00185071">
      <w:rPr>
        <w:lang w:val="fr-CH"/>
      </w:rPr>
      <w:instrText xml:space="preserve"> FILENAME \p \* MERGEFORMAT </w:instrText>
    </w:r>
    <w:r>
      <w:rPr>
        <w:lang w:val="en-US"/>
      </w:rPr>
      <w:fldChar w:fldCharType="separate"/>
    </w:r>
    <w:r w:rsidRPr="00185071">
      <w:rPr>
        <w:lang w:val="fr-CH"/>
      </w:rPr>
      <w:t>P:\ESP\SG\CONSEIL\C19\000\003S.docx</w:t>
    </w:r>
    <w:r>
      <w:rPr>
        <w:lang w:val="en-US"/>
      </w:rPr>
      <w:fldChar w:fldCharType="end"/>
    </w:r>
    <w:r>
      <w:rPr>
        <w:lang w:val="fr-CH"/>
      </w:rPr>
      <w:t xml:space="preserve"> (450212)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26" w:rsidRDefault="00F54426">
      <w:r>
        <w:t>____________________</w:t>
      </w:r>
    </w:p>
  </w:footnote>
  <w:footnote w:type="continuationSeparator" w:id="0">
    <w:p w:rsidR="00F54426" w:rsidRDefault="00F54426">
      <w:r>
        <w:continuationSeparator/>
      </w:r>
    </w:p>
  </w:footnote>
  <w:footnote w:id="1">
    <w:p w:rsidR="00F54426" w:rsidRPr="00213FC6" w:rsidRDefault="00F54426" w:rsidP="00F54426">
      <w:pPr>
        <w:pStyle w:val="FootnoteText"/>
        <w:snapToGrid w:val="0"/>
        <w:spacing w:before="0"/>
        <w:ind w:left="255" w:hanging="255"/>
      </w:pPr>
      <w:r w:rsidRPr="00213FC6">
        <w:rPr>
          <w:rStyle w:val="FootnoteReference"/>
        </w:rPr>
        <w:footnoteRef/>
      </w:r>
      <w:r w:rsidRPr="00213FC6">
        <w:t xml:space="preserve"> </w:t>
      </w:r>
      <w:r w:rsidRPr="00213FC6">
        <w:tab/>
      </w:r>
      <w:r w:rsidRPr="00213FC6">
        <w:rPr>
          <w:i/>
          <w:iCs/>
          <w:sz w:val="20"/>
        </w:rPr>
        <w:t>Al adoptarse una nueva Resolución</w:t>
      </w:r>
    </w:p>
  </w:footnote>
  <w:footnote w:id="2">
    <w:p w:rsidR="00F54426" w:rsidRPr="00213FC6" w:rsidRDefault="00F54426" w:rsidP="00F54426">
      <w:pPr>
        <w:pStyle w:val="FootnoteText"/>
        <w:snapToGrid w:val="0"/>
        <w:spacing w:before="0"/>
        <w:ind w:left="255" w:hanging="255"/>
      </w:pPr>
      <w:r w:rsidRPr="00213FC6">
        <w:rPr>
          <w:rStyle w:val="FootnoteReference"/>
        </w:rPr>
        <w:footnoteRef/>
      </w:r>
      <w:r w:rsidRPr="00213FC6">
        <w:t xml:space="preserve"> </w:t>
      </w:r>
      <w:r w:rsidRPr="00213FC6">
        <w:tab/>
      </w:r>
      <w:r w:rsidRPr="00213FC6">
        <w:rPr>
          <w:i/>
          <w:iCs/>
          <w:sz w:val="20"/>
        </w:rPr>
        <w:t>Al adoptarse un nuevo Acuerdo</w:t>
      </w:r>
    </w:p>
  </w:footnote>
  <w:footnote w:id="3">
    <w:p w:rsidR="00F54426" w:rsidRPr="00213FC6" w:rsidRDefault="00F54426" w:rsidP="00F54426">
      <w:pPr>
        <w:pStyle w:val="FootnoteText"/>
        <w:snapToGrid w:val="0"/>
        <w:spacing w:before="0"/>
      </w:pPr>
      <w:r w:rsidRPr="00213FC6">
        <w:rPr>
          <w:rStyle w:val="FootnoteReference"/>
        </w:rPr>
        <w:footnoteRef/>
      </w:r>
      <w:r w:rsidRPr="00213FC6">
        <w:t xml:space="preserve"> </w:t>
      </w:r>
      <w:r w:rsidRPr="00213FC6">
        <w:rPr>
          <w:i/>
          <w:iCs/>
          <w:sz w:val="20"/>
        </w:rPr>
        <w:tab/>
        <w:t>Sustituidos por los Planes Operacionales para 2019-2022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53F30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F54426">
      <w:t>/3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26"/>
    <w:rsid w:val="00042BFE"/>
    <w:rsid w:val="00093EEB"/>
    <w:rsid w:val="000B0D00"/>
    <w:rsid w:val="000B7C15"/>
    <w:rsid w:val="000D1D0F"/>
    <w:rsid w:val="000F5290"/>
    <w:rsid w:val="0010165C"/>
    <w:rsid w:val="00146BFB"/>
    <w:rsid w:val="00185071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A6D9E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53F30"/>
    <w:rsid w:val="00E92DE8"/>
    <w:rsid w:val="00EB1212"/>
    <w:rsid w:val="00ED65AB"/>
    <w:rsid w:val="00F12850"/>
    <w:rsid w:val="00F33BF4"/>
    <w:rsid w:val="00F54426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444C443-1333-4A07-AC8C-712C8473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04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741A-1A13-4BD8-B8CB-A33E94A2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0</TotalTime>
  <Pages>2</Pages>
  <Words>304</Words>
  <Characters>1609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y Acuerdos</dc:title>
  <dc:subject>Consejo 2018</dc:subject>
  <dc:creator>Ayala Martinez, Beatriz</dc:creator>
  <cp:keywords>C2019, C19</cp:keywords>
  <dc:description/>
  <cp:lastModifiedBy>Janin, Patricia</cp:lastModifiedBy>
  <cp:revision>2</cp:revision>
  <cp:lastPrinted>2006-03-24T09:51:00Z</cp:lastPrinted>
  <dcterms:created xsi:type="dcterms:W3CDTF">2019-03-28T10:03:00Z</dcterms:created>
  <dcterms:modified xsi:type="dcterms:W3CDTF">2019-03-28T10:03:00Z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