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EF59AF">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EF59AF">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EF59AF">
            <w:pPr>
              <w:spacing w:before="0"/>
              <w:rPr>
                <w:b/>
                <w:bCs/>
                <w:sz w:val="26"/>
                <w:szCs w:val="26"/>
                <w:lang w:val="fr-CH"/>
              </w:rPr>
            </w:pPr>
          </w:p>
        </w:tc>
        <w:tc>
          <w:tcPr>
            <w:tcW w:w="3261" w:type="dxa"/>
            <w:tcBorders>
              <w:bottom w:val="single" w:sz="12" w:space="0" w:color="auto"/>
            </w:tcBorders>
          </w:tcPr>
          <w:p w:rsidR="00520F36" w:rsidRPr="0092392D" w:rsidRDefault="00520F36" w:rsidP="00EF59AF">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EF59AF">
            <w:pPr>
              <w:spacing w:before="0"/>
              <w:rPr>
                <w:smallCaps/>
                <w:sz w:val="22"/>
                <w:lang w:val="fr-CH"/>
              </w:rPr>
            </w:pPr>
          </w:p>
        </w:tc>
        <w:tc>
          <w:tcPr>
            <w:tcW w:w="3261" w:type="dxa"/>
            <w:tcBorders>
              <w:top w:val="single" w:sz="12" w:space="0" w:color="auto"/>
            </w:tcBorders>
          </w:tcPr>
          <w:p w:rsidR="00520F36" w:rsidRPr="0092392D" w:rsidRDefault="00520F36" w:rsidP="00EF59AF">
            <w:pPr>
              <w:spacing w:before="0"/>
              <w:rPr>
                <w:b/>
                <w:bCs/>
              </w:rPr>
            </w:pPr>
          </w:p>
        </w:tc>
      </w:tr>
      <w:tr w:rsidR="00520F36" w:rsidRPr="0092392D">
        <w:trPr>
          <w:cantSplit/>
          <w:trHeight w:val="20"/>
        </w:trPr>
        <w:tc>
          <w:tcPr>
            <w:tcW w:w="6912" w:type="dxa"/>
            <w:vMerge w:val="restart"/>
          </w:tcPr>
          <w:p w:rsidR="00520F36" w:rsidRPr="00520F36" w:rsidRDefault="00DA64F8" w:rsidP="00EF59AF">
            <w:pPr>
              <w:spacing w:before="0"/>
              <w:rPr>
                <w:rFonts w:cs="Times"/>
                <w:b/>
                <w:bCs/>
                <w:szCs w:val="24"/>
                <w:lang w:val="fr-CH"/>
              </w:rPr>
            </w:pPr>
            <w:bookmarkStart w:id="2" w:name="dnum" w:colFirst="1" w:colLast="1"/>
            <w:bookmarkStart w:id="3" w:name="dmeeting" w:colFirst="0" w:colLast="0"/>
            <w:r w:rsidRPr="00DA64F8">
              <w:rPr>
                <w:rFonts w:cs="Times"/>
                <w:b/>
                <w:bCs/>
                <w:szCs w:val="24"/>
                <w:lang w:val="fr-CH"/>
              </w:rPr>
              <w:t>Point de l'ordre du jour: PL 2.7</w:t>
            </w:r>
          </w:p>
        </w:tc>
        <w:tc>
          <w:tcPr>
            <w:tcW w:w="3261" w:type="dxa"/>
          </w:tcPr>
          <w:p w:rsidR="00520F36" w:rsidRPr="00520F36" w:rsidRDefault="00520F36" w:rsidP="00EF59AF">
            <w:pPr>
              <w:spacing w:before="0"/>
              <w:rPr>
                <w:b/>
                <w:bCs/>
              </w:rPr>
            </w:pPr>
            <w:r>
              <w:rPr>
                <w:b/>
                <w:bCs/>
              </w:rPr>
              <w:t>Document C1</w:t>
            </w:r>
            <w:r w:rsidR="00106B19">
              <w:rPr>
                <w:b/>
                <w:bCs/>
              </w:rPr>
              <w:t>9</w:t>
            </w:r>
            <w:r>
              <w:rPr>
                <w:b/>
                <w:bCs/>
              </w:rPr>
              <w:t>/</w:t>
            </w:r>
            <w:r w:rsidR="00DA64F8">
              <w:rPr>
                <w:b/>
                <w:bCs/>
              </w:rPr>
              <w:t>2</w:t>
            </w:r>
            <w:r>
              <w:rPr>
                <w:b/>
                <w:bCs/>
              </w:rPr>
              <w:t>-F</w:t>
            </w:r>
          </w:p>
        </w:tc>
      </w:tr>
      <w:tr w:rsidR="00520F36" w:rsidRPr="0092392D">
        <w:trPr>
          <w:cantSplit/>
          <w:trHeight w:val="20"/>
        </w:trPr>
        <w:tc>
          <w:tcPr>
            <w:tcW w:w="6912" w:type="dxa"/>
            <w:vMerge/>
          </w:tcPr>
          <w:p w:rsidR="00520F36" w:rsidRPr="0092392D" w:rsidRDefault="00520F36" w:rsidP="00EF59AF">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DA64F8" w:rsidP="00EF59AF">
            <w:pPr>
              <w:spacing w:before="0"/>
              <w:rPr>
                <w:b/>
                <w:bCs/>
              </w:rPr>
            </w:pPr>
            <w:r>
              <w:rPr>
                <w:b/>
                <w:bCs/>
              </w:rPr>
              <w:t>13 février</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EF59AF">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EF59AF">
            <w:pPr>
              <w:spacing w:before="0"/>
              <w:rPr>
                <w:b/>
                <w:bCs/>
              </w:rPr>
            </w:pPr>
            <w:r>
              <w:rPr>
                <w:b/>
                <w:bCs/>
              </w:rPr>
              <w:t>Original: anglais</w:t>
            </w:r>
          </w:p>
        </w:tc>
      </w:tr>
      <w:tr w:rsidR="00520F36" w:rsidRPr="0092392D">
        <w:trPr>
          <w:cantSplit/>
        </w:trPr>
        <w:tc>
          <w:tcPr>
            <w:tcW w:w="10173" w:type="dxa"/>
            <w:gridSpan w:val="2"/>
          </w:tcPr>
          <w:p w:rsidR="00520F36" w:rsidRPr="0092392D" w:rsidRDefault="00DA64F8" w:rsidP="00EF59AF">
            <w:pPr>
              <w:pStyle w:val="Source"/>
            </w:pPr>
            <w:bookmarkStart w:id="6" w:name="dsource" w:colFirst="0" w:colLast="0"/>
            <w:bookmarkEnd w:id="5"/>
            <w:r w:rsidRPr="00DA64F8">
              <w:t>Rapport du Secrétaire général</w:t>
            </w:r>
          </w:p>
        </w:tc>
      </w:tr>
      <w:tr w:rsidR="00520F36" w:rsidRPr="0092392D">
        <w:trPr>
          <w:cantSplit/>
        </w:trPr>
        <w:tc>
          <w:tcPr>
            <w:tcW w:w="10173" w:type="dxa"/>
            <w:gridSpan w:val="2"/>
          </w:tcPr>
          <w:p w:rsidR="00520F36" w:rsidRPr="0092392D" w:rsidRDefault="00DA64F8" w:rsidP="00EF59AF">
            <w:pPr>
              <w:pStyle w:val="Title1"/>
            </w:pPr>
            <w:bookmarkStart w:id="7" w:name="dtitle1" w:colFirst="0" w:colLast="0"/>
            <w:bookmarkEnd w:id="6"/>
            <w:r w:rsidRPr="00363919">
              <w:t>dates et dur</w:t>
            </w:r>
            <w:r>
              <w:t>É</w:t>
            </w:r>
            <w:r w:rsidRPr="00363919">
              <w:t>e propos</w:t>
            </w:r>
            <w:r>
              <w:t>É</w:t>
            </w:r>
            <w:r w:rsidRPr="00363919">
              <w:t xml:space="preserve">es pour les sessions </w:t>
            </w:r>
            <w:r w:rsidRPr="00363919">
              <w:br/>
              <w:t xml:space="preserve">de </w:t>
            </w:r>
            <w:r>
              <w:t>2020, 2021 et 2022</w:t>
            </w:r>
            <w:r w:rsidRPr="00363919">
              <w:t xml:space="preserve"> du Conseil</w:t>
            </w:r>
          </w:p>
        </w:tc>
      </w:tr>
      <w:bookmarkEnd w:id="7"/>
    </w:tbl>
    <w:p w:rsidR="00520F36" w:rsidRPr="0092392D" w:rsidRDefault="00520F36" w:rsidP="00EF59AF">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EF59AF">
            <w:pPr>
              <w:pStyle w:val="Headingb"/>
              <w:rPr>
                <w:lang w:val="fr-CH"/>
              </w:rPr>
            </w:pPr>
            <w:r w:rsidRPr="0092392D">
              <w:rPr>
                <w:lang w:val="fr-CH"/>
              </w:rPr>
              <w:t>Résumé</w:t>
            </w:r>
          </w:p>
          <w:p w:rsidR="00520F36" w:rsidRPr="0092392D" w:rsidRDefault="00DA64F8" w:rsidP="00EF59AF">
            <w:pPr>
              <w:rPr>
                <w:lang w:val="fr-CH"/>
              </w:rPr>
            </w:pPr>
            <w:r w:rsidRPr="00DA64F8">
              <w:rPr>
                <w:lang w:val="fr-CH"/>
              </w:rPr>
              <w:t>Conformément à la Résolution 77 (</w:t>
            </w:r>
            <w:proofErr w:type="spellStart"/>
            <w:r w:rsidRPr="00DA64F8">
              <w:rPr>
                <w:lang w:val="fr-CH"/>
              </w:rPr>
              <w:t>Rév</w:t>
            </w:r>
            <w:proofErr w:type="spellEnd"/>
            <w:r w:rsidRPr="00DA64F8">
              <w:rPr>
                <w:lang w:val="fr-CH"/>
              </w:rPr>
              <w:t>. Dubaï, 2018) de la Conférence de plénipotentiaires, et compte tenu des décisions prises lors de sa dernière session de 2018, le Conseil est invité à "planifier ses trois prochaines sessions ordinaires en juin-juillet, et à revoir cette planification d'une année à l'autre".</w:t>
            </w:r>
          </w:p>
          <w:p w:rsidR="00520F36" w:rsidRPr="0092392D" w:rsidRDefault="00520F36" w:rsidP="00EF59AF">
            <w:pPr>
              <w:pStyle w:val="Headingb"/>
              <w:rPr>
                <w:lang w:val="fr-CH"/>
              </w:rPr>
            </w:pPr>
            <w:r w:rsidRPr="0092392D">
              <w:rPr>
                <w:lang w:val="fr-CH"/>
              </w:rPr>
              <w:t>Suite à donner</w:t>
            </w:r>
          </w:p>
          <w:p w:rsidR="00520F36" w:rsidRPr="0092392D" w:rsidRDefault="00DA64F8" w:rsidP="00EF59AF">
            <w:pPr>
              <w:rPr>
                <w:lang w:val="fr-CH"/>
              </w:rPr>
            </w:pPr>
            <w:r w:rsidRPr="00363919">
              <w:rPr>
                <w:rFonts w:asciiTheme="minorHAnsi" w:hAnsiTheme="minorHAnsi"/>
                <w:szCs w:val="24"/>
              </w:rPr>
              <w:t xml:space="preserve">Le Conseil est invité à </w:t>
            </w:r>
            <w:r w:rsidRPr="00363919">
              <w:rPr>
                <w:rFonts w:asciiTheme="minorHAnsi" w:hAnsiTheme="minorHAnsi"/>
                <w:b/>
                <w:bCs/>
                <w:szCs w:val="24"/>
              </w:rPr>
              <w:t>examiner à nouveau</w:t>
            </w:r>
            <w:r w:rsidRPr="00363919">
              <w:rPr>
                <w:rFonts w:asciiTheme="minorHAnsi" w:hAnsiTheme="minorHAnsi"/>
                <w:szCs w:val="24"/>
              </w:rPr>
              <w:t xml:space="preserve"> et </w:t>
            </w:r>
            <w:r w:rsidRPr="00363919">
              <w:rPr>
                <w:rFonts w:asciiTheme="minorHAnsi" w:hAnsiTheme="minorHAnsi"/>
                <w:b/>
                <w:bCs/>
                <w:szCs w:val="24"/>
              </w:rPr>
              <w:t>approuver</w:t>
            </w:r>
            <w:r w:rsidRPr="00363919">
              <w:rPr>
                <w:rFonts w:asciiTheme="minorHAnsi" w:hAnsiTheme="minorHAnsi"/>
                <w:szCs w:val="24"/>
              </w:rPr>
              <w:t xml:space="preserve"> les dates des sessions de 20</w:t>
            </w:r>
            <w:r>
              <w:rPr>
                <w:rFonts w:asciiTheme="minorHAnsi" w:hAnsiTheme="minorHAnsi"/>
                <w:szCs w:val="24"/>
              </w:rPr>
              <w:t>20</w:t>
            </w:r>
            <w:r w:rsidRPr="00363919">
              <w:rPr>
                <w:rFonts w:asciiTheme="minorHAnsi" w:hAnsiTheme="minorHAnsi"/>
                <w:szCs w:val="24"/>
              </w:rPr>
              <w:t xml:space="preserve"> et 202</w:t>
            </w:r>
            <w:r>
              <w:rPr>
                <w:rFonts w:asciiTheme="minorHAnsi" w:hAnsiTheme="minorHAnsi"/>
                <w:szCs w:val="24"/>
              </w:rPr>
              <w:t>1</w:t>
            </w:r>
            <w:r w:rsidRPr="00363919">
              <w:rPr>
                <w:rFonts w:asciiTheme="minorHAnsi" w:hAnsiTheme="minorHAnsi"/>
                <w:szCs w:val="24"/>
              </w:rPr>
              <w:t xml:space="preserve">, ainsi qu'à </w:t>
            </w:r>
            <w:r w:rsidRPr="00363919">
              <w:rPr>
                <w:rFonts w:asciiTheme="minorHAnsi" w:hAnsiTheme="minorHAnsi"/>
                <w:b/>
                <w:bCs/>
                <w:szCs w:val="24"/>
              </w:rPr>
              <w:t>examiner</w:t>
            </w:r>
            <w:r w:rsidRPr="00363919">
              <w:rPr>
                <w:rFonts w:asciiTheme="minorHAnsi" w:hAnsiTheme="minorHAnsi"/>
                <w:szCs w:val="24"/>
              </w:rPr>
              <w:t xml:space="preserve"> et </w:t>
            </w:r>
            <w:r w:rsidRPr="00363919">
              <w:rPr>
                <w:rFonts w:asciiTheme="minorHAnsi" w:hAnsiTheme="minorHAnsi"/>
                <w:b/>
                <w:bCs/>
                <w:szCs w:val="24"/>
              </w:rPr>
              <w:t>approuver</w:t>
            </w:r>
            <w:r>
              <w:rPr>
                <w:rFonts w:asciiTheme="minorHAnsi" w:hAnsiTheme="minorHAnsi"/>
                <w:szCs w:val="24"/>
              </w:rPr>
              <w:t xml:space="preserve"> les dates de la session de </w:t>
            </w:r>
            <w:r w:rsidRPr="00363919">
              <w:rPr>
                <w:rFonts w:asciiTheme="minorHAnsi" w:hAnsiTheme="minorHAnsi"/>
                <w:szCs w:val="24"/>
              </w:rPr>
              <w:t>202</w:t>
            </w:r>
            <w:r>
              <w:rPr>
                <w:rFonts w:asciiTheme="minorHAnsi" w:hAnsiTheme="minorHAnsi"/>
                <w:szCs w:val="24"/>
              </w:rPr>
              <w:t>2</w:t>
            </w:r>
            <w:r w:rsidRPr="00363919">
              <w:rPr>
                <w:rFonts w:asciiTheme="minorHAnsi" w:hAnsiTheme="minorHAnsi"/>
                <w:szCs w:val="24"/>
              </w:rPr>
              <w:t xml:space="preserve">, et à </w:t>
            </w:r>
            <w:r w:rsidRPr="00363919">
              <w:rPr>
                <w:rFonts w:asciiTheme="minorHAnsi" w:hAnsiTheme="minorHAnsi"/>
                <w:b/>
                <w:bCs/>
                <w:szCs w:val="24"/>
              </w:rPr>
              <w:t>adopter</w:t>
            </w:r>
            <w:r w:rsidRPr="00363919">
              <w:rPr>
                <w:rFonts w:asciiTheme="minorHAnsi" w:hAnsiTheme="minorHAnsi"/>
                <w:szCs w:val="24"/>
              </w:rPr>
              <w:t xml:space="preserve"> le projet de Décision reproduit dans l'Annexe du présent document.</w:t>
            </w:r>
          </w:p>
          <w:p w:rsidR="00520F36" w:rsidRPr="0092392D" w:rsidRDefault="00520F36" w:rsidP="00EF59AF">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EF59AF">
            <w:pPr>
              <w:pStyle w:val="Headingb"/>
              <w:rPr>
                <w:lang w:val="fr-CH"/>
              </w:rPr>
            </w:pPr>
            <w:r w:rsidRPr="0092392D">
              <w:rPr>
                <w:lang w:val="fr-CH"/>
              </w:rPr>
              <w:t>Références</w:t>
            </w:r>
          </w:p>
          <w:bookmarkStart w:id="8" w:name="lt_pId018"/>
          <w:p w:rsidR="00520F36" w:rsidRPr="0092392D" w:rsidRDefault="00DA64F8" w:rsidP="00EF59AF">
            <w:pPr>
              <w:spacing w:after="120"/>
              <w:rPr>
                <w:i/>
                <w:iCs/>
                <w:lang w:val="fr-CH"/>
              </w:rPr>
            </w:pPr>
            <w:r w:rsidRPr="00DA64F8">
              <w:rPr>
                <w:i/>
                <w:iCs/>
              </w:rPr>
              <w:fldChar w:fldCharType="begin"/>
            </w:r>
            <w:r w:rsidR="002175A3">
              <w:rPr>
                <w:i/>
                <w:iCs/>
              </w:rPr>
              <w:instrText>HYPERLINK "http://www.itu.int/council/pd/rop-e.pdf"</w:instrText>
            </w:r>
            <w:r w:rsidRPr="00DA64F8">
              <w:rPr>
                <w:i/>
                <w:iCs/>
              </w:rPr>
              <w:fldChar w:fldCharType="separate"/>
            </w:r>
            <w:r w:rsidR="002175A3">
              <w:rPr>
                <w:rStyle w:val="Hyperlink"/>
                <w:i/>
                <w:iCs/>
              </w:rPr>
              <w:t>Article 1, Règlement intérieur du Conseil</w:t>
            </w:r>
            <w:r w:rsidRPr="00DA64F8">
              <w:rPr>
                <w:i/>
                <w:iCs/>
              </w:rPr>
              <w:fldChar w:fldCharType="end"/>
            </w:r>
            <w:r w:rsidRPr="00DA64F8">
              <w:rPr>
                <w:i/>
                <w:iCs/>
              </w:rPr>
              <w:t xml:space="preserve">; </w:t>
            </w:r>
            <w:hyperlink r:id="rId8" w:history="1">
              <w:r w:rsidRPr="00607104">
                <w:rPr>
                  <w:rStyle w:val="Hyperlink"/>
                  <w:i/>
                  <w:iCs/>
                </w:rPr>
                <w:t>Résolution 77 (</w:t>
              </w:r>
              <w:proofErr w:type="spellStart"/>
              <w:r w:rsidRPr="00607104">
                <w:rPr>
                  <w:rStyle w:val="Hyperlink"/>
                  <w:i/>
                  <w:iCs/>
                </w:rPr>
                <w:t>Rév</w:t>
              </w:r>
              <w:proofErr w:type="spellEnd"/>
              <w:r w:rsidRPr="00607104">
                <w:rPr>
                  <w:rStyle w:val="Hyperlink"/>
                  <w:i/>
                  <w:iCs/>
                </w:rPr>
                <w:t>. Dubaï, 2018)</w:t>
              </w:r>
            </w:hyperlink>
            <w:r w:rsidRPr="00DA64F8">
              <w:rPr>
                <w:i/>
                <w:iCs/>
              </w:rPr>
              <w:t xml:space="preserve">, </w:t>
            </w:r>
            <w:hyperlink r:id="rId9" w:history="1">
              <w:r w:rsidRPr="00607104">
                <w:rPr>
                  <w:rStyle w:val="Hyperlink"/>
                  <w:i/>
                  <w:iCs/>
                </w:rPr>
                <w:t>Résolution 111 (</w:t>
              </w:r>
              <w:proofErr w:type="spellStart"/>
              <w:r w:rsidRPr="00607104">
                <w:rPr>
                  <w:rStyle w:val="Hyperlink"/>
                  <w:i/>
                  <w:iCs/>
                </w:rPr>
                <w:t>Rév</w:t>
              </w:r>
              <w:proofErr w:type="spellEnd"/>
              <w:r w:rsidRPr="00607104">
                <w:rPr>
                  <w:rStyle w:val="Hyperlink"/>
                  <w:i/>
                  <w:iCs/>
                </w:rPr>
                <w:t>. Busan, 2014)</w:t>
              </w:r>
            </w:hyperlink>
            <w:r w:rsidRPr="00DA64F8">
              <w:rPr>
                <w:i/>
                <w:iCs/>
              </w:rPr>
              <w:t xml:space="preserve"> de la PP;</w:t>
            </w:r>
            <w:r w:rsidRPr="00DA64F8">
              <w:rPr>
                <w:rFonts w:cstheme="minorHAnsi"/>
                <w:i/>
                <w:iCs/>
                <w:szCs w:val="24"/>
              </w:rPr>
              <w:t xml:space="preserve"> </w:t>
            </w:r>
            <w:bookmarkEnd w:id="8"/>
            <w:r w:rsidRPr="00DA64F8">
              <w:rPr>
                <w:rFonts w:cstheme="minorHAnsi"/>
                <w:i/>
                <w:iCs/>
                <w:szCs w:val="24"/>
              </w:rPr>
              <w:t xml:space="preserve">Documents </w:t>
            </w:r>
            <w:hyperlink r:id="rId10" w:history="1">
              <w:r w:rsidRPr="00DA64F8">
                <w:rPr>
                  <w:rStyle w:val="Hyperlink"/>
                  <w:i/>
                  <w:iCs/>
                </w:rPr>
                <w:t>C17/130(Rév.1)</w:t>
              </w:r>
            </w:hyperlink>
            <w:r w:rsidRPr="00DA64F8">
              <w:rPr>
                <w:i/>
                <w:iCs/>
              </w:rPr>
              <w:t xml:space="preserve">, </w:t>
            </w:r>
            <w:hyperlink r:id="rId11" w:history="1">
              <w:r w:rsidRPr="00DA64F8">
                <w:rPr>
                  <w:rStyle w:val="Hyperlink"/>
                  <w:i/>
                  <w:iCs/>
                </w:rPr>
                <w:t>C18/2</w:t>
              </w:r>
            </w:hyperlink>
            <w:r w:rsidRPr="00DA64F8">
              <w:rPr>
                <w:i/>
                <w:iCs/>
              </w:rPr>
              <w:t xml:space="preserve">, </w:t>
            </w:r>
            <w:hyperlink r:id="rId12" w:history="1">
              <w:r w:rsidRPr="00DA64F8">
                <w:rPr>
                  <w:rStyle w:val="Hyperlink"/>
                  <w:i/>
                  <w:iCs/>
                </w:rPr>
                <w:t>C18/110</w:t>
              </w:r>
            </w:hyperlink>
            <w:r w:rsidRPr="00DA64F8">
              <w:rPr>
                <w:i/>
                <w:iCs/>
              </w:rPr>
              <w:t xml:space="preserve"> et </w:t>
            </w:r>
            <w:hyperlink r:id="rId13" w:history="1">
              <w:r w:rsidR="002175A3">
                <w:rPr>
                  <w:rStyle w:val="Hyperlink"/>
                  <w:i/>
                  <w:iCs/>
                </w:rPr>
                <w:t>Décision 604 du Conseil</w:t>
              </w:r>
            </w:hyperlink>
          </w:p>
        </w:tc>
      </w:tr>
    </w:tbl>
    <w:p w:rsidR="00DA64F8" w:rsidRDefault="00DA64F8" w:rsidP="00EF59AF"/>
    <w:p w:rsidR="00DA64F8" w:rsidRDefault="00DA64F8" w:rsidP="00EF59AF">
      <w:pPr>
        <w:tabs>
          <w:tab w:val="clear" w:pos="567"/>
          <w:tab w:val="clear" w:pos="1134"/>
          <w:tab w:val="clear" w:pos="1701"/>
          <w:tab w:val="clear" w:pos="2268"/>
          <w:tab w:val="clear" w:pos="2835"/>
        </w:tabs>
        <w:overflowPunct/>
        <w:autoSpaceDE/>
        <w:autoSpaceDN/>
        <w:adjustRightInd/>
        <w:spacing w:before="0"/>
        <w:textAlignment w:val="auto"/>
      </w:pPr>
      <w:r>
        <w:br w:type="page"/>
      </w:r>
    </w:p>
    <w:p w:rsidR="00EF59AF" w:rsidRDefault="00EF59AF" w:rsidP="00EF59AF">
      <w:pPr>
        <w:pStyle w:val="Headingb"/>
      </w:pPr>
      <w:r>
        <w:lastRenderedPageBreak/>
        <w:t>Rappel</w:t>
      </w:r>
    </w:p>
    <w:p w:rsidR="00EF59AF" w:rsidRDefault="00EF59AF" w:rsidP="00EF59AF">
      <w:r>
        <w:t>1</w:t>
      </w:r>
      <w:r>
        <w:tab/>
        <w:t>Aux termes de sa Résolution 77 (</w:t>
      </w:r>
      <w:proofErr w:type="spellStart"/>
      <w:r>
        <w:t>Rév</w:t>
      </w:r>
      <w:proofErr w:type="spellEnd"/>
      <w:r>
        <w:t xml:space="preserve">. Dubaï, 2018) relative à </w:t>
      </w:r>
      <w:r w:rsidRPr="00EF59AF">
        <w:rPr>
          <w:b/>
          <w:bCs/>
          <w:i/>
          <w:iCs/>
        </w:rPr>
        <w:t>la planification et à la durée des conférences, forums, assemblées et sessions du Conseil de l'Union (2019-2023)</w:t>
      </w:r>
      <w:r>
        <w:t>, la Conférence de plénipotentiaires a chargé le Conseil "de planifier, à chaque session ordinaire, ses trois prochaines sessions ordinaires en juin-juillet, et de revoir cette planification d'une année à l'autre".</w:t>
      </w:r>
    </w:p>
    <w:p w:rsidR="00EF59AF" w:rsidRDefault="00EF59AF" w:rsidP="00EF59AF">
      <w:r>
        <w:t>2</w:t>
      </w:r>
      <w:r>
        <w:tab/>
        <w:t>Aux termes de sa Résolution 111 (</w:t>
      </w:r>
      <w:proofErr w:type="spellStart"/>
      <w:r>
        <w:t>Rév</w:t>
      </w:r>
      <w:proofErr w:type="spellEnd"/>
      <w:r>
        <w:t xml:space="preserve">. Busan, 2014) relative à </w:t>
      </w:r>
      <w:r w:rsidRPr="00EF59AF">
        <w:rPr>
          <w:b/>
          <w:bCs/>
          <w:i/>
          <w:iCs/>
        </w:rPr>
        <w:t>la prise en compte des grandes fêtes religieuses dans la planification des conférences, des assemblées et des sessions du Conseil de l'UIT</w:t>
      </w:r>
      <w:r>
        <w:t>, la Conférence de plénipotentiaires a décidé ce qui suit: "L'Union et les Etats Membres du Conseil devront tout faire, dans la mesure du possible, pour éviter que la période prévue pour une session du Conseil coïncide avec la période de célébration d'une fête religieuse considérée comme importante par un Etat Membre du Conseil".</w:t>
      </w:r>
    </w:p>
    <w:p w:rsidR="00EF59AF" w:rsidRDefault="00EF59AF" w:rsidP="002175A3">
      <w:r>
        <w:t>3</w:t>
      </w:r>
      <w:r>
        <w:tab/>
        <w:t xml:space="preserve">A sa session de 2018, le Conseil a approuvé la </w:t>
      </w:r>
      <w:r w:rsidRPr="00EF59AF">
        <w:rPr>
          <w:b/>
          <w:bCs/>
        </w:rPr>
        <w:t>Décision 604</w:t>
      </w:r>
      <w:r>
        <w:t>, par laquelle il a confirmé les dates de ses sessions de 2019, 2020 et 2021, pour une période de neuf jours ouvrables chacune</w:t>
      </w:r>
      <w:r w:rsidR="002175A3">
        <w:t>, comme suit</w:t>
      </w:r>
      <w:r>
        <w:t>: pour la session de 2019 du Conseil, du lundi 10 juin au jeudi 20 juin 2019; pour la session de 2020 du Conseil, du mardi 9 juin au vendredi 19 juin 2020; et pour la session de 2021 du Conseil, du mardi 8 juin au vendredi 18 juin 2021.</w:t>
      </w:r>
    </w:p>
    <w:p w:rsidR="00EF59AF" w:rsidRDefault="00EF59AF" w:rsidP="00EF59AF">
      <w:r>
        <w:t>4</w:t>
      </w:r>
      <w:r>
        <w:tab/>
        <w:t>Compte tenu de ce qui précède, et gardant à l'esprit:</w:t>
      </w:r>
    </w:p>
    <w:p w:rsidR="00EF59AF" w:rsidRDefault="00EF59AF" w:rsidP="00EF59AF">
      <w:pPr>
        <w:pStyle w:val="enumlev1"/>
      </w:pPr>
      <w:r>
        <w:t>–</w:t>
      </w:r>
      <w:r>
        <w:tab/>
        <w:t>que la prochaine Conférence de plénipotentiaire de 2022 (PP-22) aura lieu au quatrième trimestre de la même année et qu'elle sera précédée de la</w:t>
      </w:r>
      <w:r w:rsidR="007759B1">
        <w:t xml:space="preserve"> séance finale de la session de </w:t>
      </w:r>
      <w:r>
        <w:t>2022 du Conseil;</w:t>
      </w:r>
    </w:p>
    <w:p w:rsidR="00EF59AF" w:rsidRDefault="00EF59AF" w:rsidP="002175A3">
      <w:pPr>
        <w:pStyle w:val="enumlev1"/>
      </w:pPr>
      <w:r>
        <w:t>–</w:t>
      </w:r>
      <w:r>
        <w:tab/>
        <w:t xml:space="preserve">que, pour </w:t>
      </w:r>
      <w:r w:rsidR="002175A3">
        <w:t xml:space="preserve">laisser </w:t>
      </w:r>
      <w:r>
        <w:t>suffisamment de temps pour élaborer plus avant les rapports approuvés par le Conseil en vue de la PP, la session ordinaire de 2022 du Conseil devrait se tenir de préférence autour d'avril/mai 2022.</w:t>
      </w:r>
    </w:p>
    <w:p w:rsidR="00520F36" w:rsidRDefault="00EF59AF" w:rsidP="002175A3">
      <w:r>
        <w:t xml:space="preserve">Il est </w:t>
      </w:r>
      <w:r w:rsidR="002175A3">
        <w:t xml:space="preserve">par conséquent </w:t>
      </w:r>
      <w:r>
        <w:t xml:space="preserve">proposé </w:t>
      </w:r>
      <w:r w:rsidR="002175A3">
        <w:t xml:space="preserve">de planifier </w:t>
      </w:r>
      <w:r>
        <w:t>la session de 2022 du Conseil pour une période de neuf jours ouvrables du mardi 10 mai au vendredi 20 mai 2022.</w:t>
      </w:r>
    </w:p>
    <w:p w:rsidR="00EF59AF" w:rsidRDefault="00EF59AF" w:rsidP="007759B1">
      <w:pPr>
        <w:spacing w:before="1560"/>
        <w:rPr>
          <w:color w:val="000000"/>
        </w:rPr>
      </w:pPr>
      <w:r w:rsidRPr="001F05D2">
        <w:rPr>
          <w:b/>
          <w:bCs/>
          <w:color w:val="000000"/>
        </w:rPr>
        <w:t>Annexe</w:t>
      </w:r>
      <w:r w:rsidRPr="001F05D2">
        <w:rPr>
          <w:color w:val="000000"/>
        </w:rPr>
        <w:t>: 1</w:t>
      </w:r>
    </w:p>
    <w:p w:rsidR="00EF59AF" w:rsidRDefault="00EF59AF" w:rsidP="00EF59AF">
      <w:pPr>
        <w:rPr>
          <w:color w:val="000000"/>
        </w:rPr>
      </w:pPr>
      <w:r>
        <w:rPr>
          <w:color w:val="000000"/>
        </w:rPr>
        <w:br w:type="page"/>
      </w:r>
      <w:bookmarkStart w:id="9" w:name="_GoBack"/>
      <w:bookmarkEnd w:id="9"/>
    </w:p>
    <w:p w:rsidR="00EF59AF" w:rsidRPr="00363919" w:rsidRDefault="00EF59AF" w:rsidP="00EF59AF">
      <w:pPr>
        <w:pStyle w:val="AnnexNo"/>
      </w:pPr>
      <w:r>
        <w:lastRenderedPageBreak/>
        <w:t>ANNEXE</w:t>
      </w:r>
    </w:p>
    <w:p w:rsidR="00EF59AF" w:rsidRPr="00363919" w:rsidRDefault="00EF59AF" w:rsidP="00EF59AF">
      <w:pPr>
        <w:pStyle w:val="AnnexNo"/>
      </w:pPr>
      <w:r w:rsidRPr="00363919">
        <w:t>PROJET DE DÉCISION […]</w:t>
      </w:r>
    </w:p>
    <w:p w:rsidR="00EF59AF" w:rsidRPr="00363919" w:rsidRDefault="00EF59AF" w:rsidP="00EF59AF">
      <w:pPr>
        <w:pStyle w:val="Annextitle"/>
      </w:pPr>
      <w:r w:rsidRPr="00363919">
        <w:t xml:space="preserve">Dates et durée des sessions de </w:t>
      </w:r>
      <w:r>
        <w:t>2020, 2021 et 2022</w:t>
      </w:r>
      <w:r w:rsidRPr="00363919">
        <w:t xml:space="preserve"> du Conseil</w:t>
      </w:r>
    </w:p>
    <w:p w:rsidR="00EF59AF" w:rsidRPr="00363919" w:rsidRDefault="00EF59AF" w:rsidP="00EF59AF">
      <w:pPr>
        <w:pStyle w:val="Normalaftertitle"/>
      </w:pPr>
      <w:r w:rsidRPr="00363919">
        <w:t>Le Conseil,</w:t>
      </w:r>
    </w:p>
    <w:p w:rsidR="00EF59AF" w:rsidRPr="00363919" w:rsidRDefault="00EF59AF" w:rsidP="00EF59AF">
      <w:pPr>
        <w:pStyle w:val="Call"/>
      </w:pPr>
      <w:proofErr w:type="gramStart"/>
      <w:r w:rsidRPr="00363919">
        <w:t>rappelant</w:t>
      </w:r>
      <w:proofErr w:type="gramEnd"/>
    </w:p>
    <w:p w:rsidR="00EF59AF" w:rsidRPr="00363919" w:rsidRDefault="00EF59AF" w:rsidP="00EF59AF">
      <w:r w:rsidRPr="00363919">
        <w:rPr>
          <w:i/>
          <w:iCs/>
        </w:rPr>
        <w:t>a)</w:t>
      </w:r>
      <w:r w:rsidRPr="00363919">
        <w:tab/>
        <w:t>la Résolution 77 (</w:t>
      </w:r>
      <w:proofErr w:type="spellStart"/>
      <w:r w:rsidRPr="00363919">
        <w:t>Rév</w:t>
      </w:r>
      <w:proofErr w:type="spellEnd"/>
      <w:r w:rsidRPr="00363919">
        <w:t>. </w:t>
      </w:r>
      <w:r>
        <w:t>Dubaï, 2018</w:t>
      </w:r>
      <w:r w:rsidRPr="00363919">
        <w:t>) de la Conférence de plénipotentiaires, aux termes de laquelle le Conseil est chargé "de planifier, à chaque session ordinaire, ses trois prochaines sessions ordinaires en juin-juillet, et de revoir cette plani</w:t>
      </w:r>
      <w:r w:rsidR="007759B1">
        <w:t>fication d'une année à l'autre";</w:t>
      </w:r>
    </w:p>
    <w:p w:rsidR="00EF59AF" w:rsidRPr="00363919" w:rsidRDefault="00EF59AF" w:rsidP="00EF59AF">
      <w:r w:rsidRPr="00363919">
        <w:rPr>
          <w:i/>
          <w:iCs/>
        </w:rPr>
        <w:t>b)</w:t>
      </w:r>
      <w:r w:rsidRPr="00363919">
        <w:rPr>
          <w:i/>
          <w:iCs/>
        </w:rPr>
        <w:tab/>
      </w:r>
      <w:r w:rsidRPr="00363919">
        <w:t>la Résolution 111 (</w:t>
      </w:r>
      <w:proofErr w:type="spellStart"/>
      <w:r w:rsidRPr="00363919">
        <w:t>Rév</w:t>
      </w:r>
      <w:proofErr w:type="spellEnd"/>
      <w:r w:rsidRPr="00363919">
        <w:t>. Busan, 2014) de la Conférence de plénipotentiaires, aux termes de laquelle "l'Union et ses Etats Membres devraient tout faire, dans la mesure du possible, pour éviter que la période prévue pour une session du Conseil coïncide avec la période de célébration d'une fête religieuse considérée comme importante par un Etat Membre du Conseil",</w:t>
      </w:r>
    </w:p>
    <w:p w:rsidR="00EF59AF" w:rsidRPr="00363919" w:rsidRDefault="00EF59AF" w:rsidP="00EF59AF">
      <w:pPr>
        <w:pStyle w:val="Call"/>
      </w:pPr>
      <w:proofErr w:type="gramStart"/>
      <w:r w:rsidRPr="00363919">
        <w:t>notant</w:t>
      </w:r>
      <w:proofErr w:type="gramEnd"/>
    </w:p>
    <w:p w:rsidR="00EF59AF" w:rsidRPr="00363919" w:rsidRDefault="00EF59AF" w:rsidP="00EF59AF">
      <w:proofErr w:type="gramStart"/>
      <w:r w:rsidRPr="00363919">
        <w:t>la</w:t>
      </w:r>
      <w:proofErr w:type="gramEnd"/>
      <w:r w:rsidRPr="00363919">
        <w:t xml:space="preserve"> Décision </w:t>
      </w:r>
      <w:r>
        <w:t>604</w:t>
      </w:r>
      <w:r w:rsidRPr="00363919">
        <w:t xml:space="preserve"> du Conseil, aux termes de laquelle les dates de ses sessions de </w:t>
      </w:r>
      <w:r>
        <w:t>2020 et 2021</w:t>
      </w:r>
      <w:r w:rsidRPr="00363919">
        <w:t xml:space="preserve"> ont été confirmées,</w:t>
      </w:r>
    </w:p>
    <w:p w:rsidR="00EF59AF" w:rsidRPr="00363919" w:rsidRDefault="00EF59AF" w:rsidP="00EF59AF">
      <w:pPr>
        <w:pStyle w:val="Call"/>
      </w:pPr>
      <w:proofErr w:type="gramStart"/>
      <w:r>
        <w:t>considérant</w:t>
      </w:r>
      <w:proofErr w:type="gramEnd"/>
    </w:p>
    <w:p w:rsidR="00EF59AF" w:rsidRPr="00363919" w:rsidRDefault="00EF59AF" w:rsidP="00EF59AF">
      <w:proofErr w:type="gramStart"/>
      <w:r w:rsidRPr="00363919">
        <w:t>la</w:t>
      </w:r>
      <w:proofErr w:type="gramEnd"/>
      <w:r w:rsidRPr="00363919">
        <w:t xml:space="preserve"> nécessité de planifier, dans toute la mesure possible, les sessions ordinaires du Conseil autour des mêmes dates chaque année afin de faciliter la planification des autres manifestations de l'UIT,</w:t>
      </w:r>
    </w:p>
    <w:p w:rsidR="00EF59AF" w:rsidRPr="00363919" w:rsidRDefault="00EF59AF" w:rsidP="00EF59AF">
      <w:pPr>
        <w:pStyle w:val="Call"/>
      </w:pPr>
      <w:proofErr w:type="gramStart"/>
      <w:r w:rsidRPr="00363919">
        <w:t>considérant</w:t>
      </w:r>
      <w:proofErr w:type="gramEnd"/>
      <w:r w:rsidRPr="00363919">
        <w:t xml:space="preserve"> en outre</w:t>
      </w:r>
    </w:p>
    <w:p w:rsidR="00EF59AF" w:rsidRPr="00363919" w:rsidRDefault="00EF59AF" w:rsidP="007419E3">
      <w:r w:rsidRPr="00363919">
        <w:t>la n</w:t>
      </w:r>
      <w:r>
        <w:t xml:space="preserve">écessité </w:t>
      </w:r>
      <w:r w:rsidR="007419E3">
        <w:t xml:space="preserve">de planifier </w:t>
      </w:r>
      <w:r>
        <w:t xml:space="preserve">la session ordinaire du Conseil l'année où se tient une Conférence de plénipotentiaires autour d'avril/mai, de façon à pouvoir publier dans un délai raisonnable les rapports </w:t>
      </w:r>
      <w:r w:rsidR="007419E3">
        <w:t xml:space="preserve">du </w:t>
      </w:r>
      <w:r>
        <w:t>Conseil qui feront l'objet d'un examen plus approfondi à la PP</w:t>
      </w:r>
      <w:r w:rsidRPr="00363919">
        <w:rPr>
          <w:color w:val="000000"/>
        </w:rPr>
        <w:t>,</w:t>
      </w:r>
    </w:p>
    <w:p w:rsidR="00EF59AF" w:rsidRPr="00363919" w:rsidRDefault="00EF59AF" w:rsidP="00EF59AF">
      <w:pPr>
        <w:pStyle w:val="Call"/>
      </w:pPr>
      <w:proofErr w:type="gramStart"/>
      <w:r w:rsidRPr="00363919">
        <w:t>décide</w:t>
      </w:r>
      <w:proofErr w:type="gramEnd"/>
    </w:p>
    <w:p w:rsidR="00EF59AF" w:rsidRPr="00363919" w:rsidRDefault="00EF59AF" w:rsidP="00EF59AF">
      <w:pPr>
        <w:rPr>
          <w:rFonts w:asciiTheme="minorHAnsi" w:hAnsiTheme="minorHAnsi"/>
          <w:szCs w:val="24"/>
        </w:rPr>
      </w:pPr>
      <w:proofErr w:type="gramStart"/>
      <w:r w:rsidRPr="00363919">
        <w:t>que</w:t>
      </w:r>
      <w:proofErr w:type="gramEnd"/>
      <w:r w:rsidRPr="00363919">
        <w:t xml:space="preserve"> sa session de 2020 se tiendra à Genève, pour une période de neuf jours ouvrables, du </w:t>
      </w:r>
      <w:r w:rsidRPr="00363919">
        <w:rPr>
          <w:b/>
          <w:bCs/>
        </w:rPr>
        <w:t>mardi 9 juin au vendredi 19 juin 2020</w:t>
      </w:r>
      <w:r w:rsidRPr="00363919">
        <w:rPr>
          <w:rFonts w:asciiTheme="minorHAnsi" w:hAnsiTheme="minorHAnsi"/>
          <w:szCs w:val="24"/>
        </w:rPr>
        <w:t>;</w:t>
      </w:r>
    </w:p>
    <w:p w:rsidR="00EF59AF" w:rsidRDefault="00EF59AF" w:rsidP="00EF59AF">
      <w:proofErr w:type="gramStart"/>
      <w:r w:rsidRPr="00363919">
        <w:t>que</w:t>
      </w:r>
      <w:proofErr w:type="gramEnd"/>
      <w:r w:rsidRPr="00363919">
        <w:t xml:space="preserve"> sa session de 2021 se tiendra à Genève, pour une période de neuf jours ouvrables, du </w:t>
      </w:r>
      <w:r w:rsidRPr="00363919">
        <w:rPr>
          <w:b/>
          <w:bCs/>
        </w:rPr>
        <w:t>mardi 8 juin au vendredi 18 juin 2021</w:t>
      </w:r>
      <w:r>
        <w:t>;</w:t>
      </w:r>
    </w:p>
    <w:p w:rsidR="00EF59AF" w:rsidRPr="004E229D" w:rsidRDefault="00EF59AF" w:rsidP="007419E3">
      <w:proofErr w:type="gramStart"/>
      <w:r>
        <w:t>que</w:t>
      </w:r>
      <w:proofErr w:type="gramEnd"/>
      <w:r>
        <w:t xml:space="preserve"> sa session ordinaire de 2022 se tiendra à Genève, pour une période de neuf jours ouvrables, du </w:t>
      </w:r>
      <w:r>
        <w:rPr>
          <w:b/>
          <w:bCs/>
        </w:rPr>
        <w:t>mardi 10 mai au vendredi 20 mai 2022</w:t>
      </w:r>
      <w:r>
        <w:t xml:space="preserve">, </w:t>
      </w:r>
      <w:r w:rsidR="007419E3">
        <w:t xml:space="preserve">et </w:t>
      </w:r>
      <w:r>
        <w:t>que sa séance finale se tiendra le samedi précédant le début de la Conférence de plénipotentiaires de 2022.</w:t>
      </w:r>
    </w:p>
    <w:p w:rsidR="00EF59AF" w:rsidRDefault="00EF59AF" w:rsidP="00EF59AF"/>
    <w:p w:rsidR="00EF59AF" w:rsidRPr="00CA08ED" w:rsidRDefault="00EF59AF" w:rsidP="007759B1">
      <w:pPr>
        <w:jc w:val="center"/>
      </w:pPr>
      <w:r>
        <w:t>______________</w:t>
      </w:r>
    </w:p>
    <w:sectPr w:rsidR="00EF59AF" w:rsidRPr="00CA08ED"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F8" w:rsidRDefault="00DA64F8">
      <w:r>
        <w:separator/>
      </w:r>
    </w:p>
  </w:endnote>
  <w:endnote w:type="continuationSeparator" w:id="0">
    <w:p w:rsidR="00DA64F8" w:rsidRDefault="00D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4263E">
    <w:pPr>
      <w:pStyle w:val="Footer"/>
    </w:pPr>
    <w:r>
      <w:fldChar w:fldCharType="begin"/>
    </w:r>
    <w:r>
      <w:instrText xml:space="preserve"> FILENAME \p \* MERGEFORMAT </w:instrText>
    </w:r>
    <w:r>
      <w:fldChar w:fldCharType="separate"/>
    </w:r>
    <w:r w:rsidR="00DA64F8">
      <w:t>Document2</w:t>
    </w:r>
    <w:r>
      <w:fldChar w:fldCharType="end"/>
    </w:r>
    <w:r w:rsidR="00732045">
      <w:tab/>
    </w:r>
    <w:r w:rsidR="002F1B76">
      <w:fldChar w:fldCharType="begin"/>
    </w:r>
    <w:r w:rsidR="00732045">
      <w:instrText xml:space="preserve"> savedate \@ dd.MM.yy </w:instrText>
    </w:r>
    <w:r w:rsidR="002F1B76">
      <w:fldChar w:fldCharType="separate"/>
    </w:r>
    <w:r>
      <w:t>10.05.19</w:t>
    </w:r>
    <w:r w:rsidR="002F1B76">
      <w:fldChar w:fldCharType="end"/>
    </w:r>
    <w:r w:rsidR="00732045">
      <w:tab/>
    </w:r>
    <w:r w:rsidR="002F1B76">
      <w:fldChar w:fldCharType="begin"/>
    </w:r>
    <w:r w:rsidR="00732045">
      <w:instrText xml:space="preserve"> printdate \@ dd.MM.yy </w:instrText>
    </w:r>
    <w:r w:rsidR="002F1B76">
      <w:fldChar w:fldCharType="separate"/>
    </w:r>
    <w:r w:rsidR="00DA64F8">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4263E" w:rsidRDefault="00F4263E" w:rsidP="00EF59AF">
    <w:pPr>
      <w:pStyle w:val="Footer"/>
      <w:rPr>
        <w:color w:val="D9D9D9" w:themeColor="background1" w:themeShade="D9"/>
      </w:rPr>
    </w:pPr>
    <w:r w:rsidRPr="00F4263E">
      <w:rPr>
        <w:color w:val="D9D9D9" w:themeColor="background1" w:themeShade="D9"/>
      </w:rPr>
      <w:fldChar w:fldCharType="begin"/>
    </w:r>
    <w:r w:rsidRPr="00F4263E">
      <w:rPr>
        <w:color w:val="D9D9D9" w:themeColor="background1" w:themeShade="D9"/>
      </w:rPr>
      <w:instrText xml:space="preserve"> FILENAME \p \* MERGEFORMAT </w:instrText>
    </w:r>
    <w:r w:rsidRPr="00F4263E">
      <w:rPr>
        <w:color w:val="D9D9D9" w:themeColor="background1" w:themeShade="D9"/>
      </w:rPr>
      <w:fldChar w:fldCharType="separate"/>
    </w:r>
    <w:r w:rsidR="00EF59AF" w:rsidRPr="00F4263E">
      <w:rPr>
        <w:color w:val="D9D9D9" w:themeColor="background1" w:themeShade="D9"/>
      </w:rPr>
      <w:t>P:\FRA\SG\CONSEIL\C19\000\002F.docx</w:t>
    </w:r>
    <w:r w:rsidRPr="00F4263E">
      <w:rPr>
        <w:color w:val="D9D9D9" w:themeColor="background1" w:themeShade="D9"/>
      </w:rPr>
      <w:fldChar w:fldCharType="end"/>
    </w:r>
    <w:r w:rsidR="00EF59AF" w:rsidRPr="00F4263E">
      <w:rPr>
        <w:color w:val="D9D9D9" w:themeColor="background1" w:themeShade="D9"/>
      </w:rPr>
      <w:t xml:space="preserve"> (449041)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EF59A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F8" w:rsidRDefault="00DA64F8">
      <w:r>
        <w:t>____________________</w:t>
      </w:r>
    </w:p>
  </w:footnote>
  <w:footnote w:type="continuationSeparator" w:id="0">
    <w:p w:rsidR="00DA64F8" w:rsidRDefault="00DA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4263E">
      <w:rPr>
        <w:noProof/>
      </w:rPr>
      <w:t>3</w:t>
    </w:r>
    <w:r>
      <w:rPr>
        <w:noProof/>
      </w:rPr>
      <w:fldChar w:fldCharType="end"/>
    </w:r>
  </w:p>
  <w:p w:rsidR="00732045" w:rsidRDefault="00732045" w:rsidP="00106B19">
    <w:pPr>
      <w:pStyle w:val="Header"/>
    </w:pPr>
    <w:r>
      <w:t>C1</w:t>
    </w:r>
    <w:r w:rsidR="00106B19">
      <w:t>9</w:t>
    </w:r>
    <w:r w:rsidR="00EF59AF">
      <w:t>/2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F8"/>
    <w:rsid w:val="000D0D0A"/>
    <w:rsid w:val="00103163"/>
    <w:rsid w:val="00106B19"/>
    <w:rsid w:val="00115D93"/>
    <w:rsid w:val="001247A8"/>
    <w:rsid w:val="001378C0"/>
    <w:rsid w:val="0018694A"/>
    <w:rsid w:val="001A3287"/>
    <w:rsid w:val="001A6508"/>
    <w:rsid w:val="001D4C31"/>
    <w:rsid w:val="001E4D21"/>
    <w:rsid w:val="00207CD1"/>
    <w:rsid w:val="002175A3"/>
    <w:rsid w:val="002477A2"/>
    <w:rsid w:val="00263A51"/>
    <w:rsid w:val="00267E02"/>
    <w:rsid w:val="002A5D44"/>
    <w:rsid w:val="002E0BC4"/>
    <w:rsid w:val="002F1B76"/>
    <w:rsid w:val="0033568E"/>
    <w:rsid w:val="00355FF5"/>
    <w:rsid w:val="0035786E"/>
    <w:rsid w:val="00361350"/>
    <w:rsid w:val="003C3FAE"/>
    <w:rsid w:val="004038CB"/>
    <w:rsid w:val="0040546F"/>
    <w:rsid w:val="0042404A"/>
    <w:rsid w:val="0044618F"/>
    <w:rsid w:val="0046769A"/>
    <w:rsid w:val="00475FB3"/>
    <w:rsid w:val="004C37A9"/>
    <w:rsid w:val="004D0CD5"/>
    <w:rsid w:val="004F259E"/>
    <w:rsid w:val="00511F1D"/>
    <w:rsid w:val="00520F36"/>
    <w:rsid w:val="00540615"/>
    <w:rsid w:val="00540A6D"/>
    <w:rsid w:val="00571EEA"/>
    <w:rsid w:val="00575417"/>
    <w:rsid w:val="005768E1"/>
    <w:rsid w:val="005B1938"/>
    <w:rsid w:val="005C3890"/>
    <w:rsid w:val="005F7BFE"/>
    <w:rsid w:val="00600017"/>
    <w:rsid w:val="00607104"/>
    <w:rsid w:val="006235CA"/>
    <w:rsid w:val="006643AB"/>
    <w:rsid w:val="00666876"/>
    <w:rsid w:val="007210CD"/>
    <w:rsid w:val="00732045"/>
    <w:rsid w:val="007369DB"/>
    <w:rsid w:val="007419E3"/>
    <w:rsid w:val="007759B1"/>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52DF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A64F8"/>
    <w:rsid w:val="00DB5A3E"/>
    <w:rsid w:val="00DC22AA"/>
    <w:rsid w:val="00DF74DD"/>
    <w:rsid w:val="00E25AD0"/>
    <w:rsid w:val="00EB6350"/>
    <w:rsid w:val="00EF59AF"/>
    <w:rsid w:val="00F15B57"/>
    <w:rsid w:val="00F4263E"/>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B997E7-0C80-408B-85EA-436B92B4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7-F.pdf" TargetMode="External"/><Relationship Id="rId13" Type="http://schemas.openxmlformats.org/officeDocument/2006/relationships/hyperlink" Target="https://www.itu.int/md/S18-CL-C-0112/f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0110/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02/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7-CL-C-0130/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RES-111-F.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A4EC-5DFD-421B-84CB-C0A124D3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TotalTime>
  <Pages>3</Pages>
  <Words>823</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C20, C21, et C22</dc:title>
  <dc:subject>Conseil 2018</dc:subject>
  <dc:creator>Cormier-Ribout, Kevin</dc:creator>
  <cp:keywords>C2019, C19</cp:keywords>
  <dc:description/>
  <cp:lastModifiedBy>Brouard, Ricarda</cp:lastModifiedBy>
  <cp:revision>3</cp:revision>
  <cp:lastPrinted>2000-07-18T08:55:00Z</cp:lastPrinted>
  <dcterms:created xsi:type="dcterms:W3CDTF">2019-05-10T12:21:00Z</dcterms:created>
  <dcterms:modified xsi:type="dcterms:W3CDTF">2019-05-10T13:20:00Z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