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horzAnchor="margin" w:tblpY="-674"/>
        <w:tblW w:w="10314" w:type="dxa"/>
        <w:tblLayout w:type="fixed"/>
        <w:tblLook w:val="0000" w:firstRow="0" w:lastRow="0" w:firstColumn="0" w:lastColumn="0" w:noHBand="0" w:noVBand="0"/>
      </w:tblPr>
      <w:tblGrid>
        <w:gridCol w:w="6521"/>
        <w:gridCol w:w="3793"/>
      </w:tblGrid>
      <w:tr w:rsidR="00E027E7" w14:paraId="64D2384E" w14:textId="77777777" w:rsidTr="004E3DDD">
        <w:trPr>
          <w:cantSplit/>
        </w:trPr>
        <w:tc>
          <w:tcPr>
            <w:tcW w:w="6521" w:type="dxa"/>
          </w:tcPr>
          <w:p w14:paraId="5E1A7349" w14:textId="77777777" w:rsidR="00E027E7" w:rsidRDefault="00E027E7" w:rsidP="004E3DDD">
            <w:pPr>
              <w:spacing w:before="240" w:after="48"/>
              <w:rPr>
                <w:rFonts w:asciiTheme="minorHAnsi" w:hAnsiTheme="minorHAnsi"/>
                <w:b/>
                <w:position w:val="6"/>
                <w:sz w:val="30"/>
                <w:szCs w:val="30"/>
              </w:rPr>
            </w:pPr>
            <w:bookmarkStart w:id="0" w:name="_GoBack"/>
            <w:bookmarkEnd w:id="0"/>
            <w:r w:rsidRPr="000F2E67">
              <w:rPr>
                <w:rFonts w:asciiTheme="minorHAnsi" w:hAnsiTheme="minorHAnsi"/>
                <w:b/>
                <w:position w:val="6"/>
                <w:sz w:val="30"/>
                <w:szCs w:val="30"/>
              </w:rPr>
              <w:t>Council Working Group on</w:t>
            </w:r>
            <w:r>
              <w:rPr>
                <w:rFonts w:asciiTheme="minorHAnsi" w:hAnsiTheme="minorHAnsi"/>
                <w:b/>
                <w:position w:val="6"/>
                <w:sz w:val="30"/>
                <w:szCs w:val="30"/>
              </w:rPr>
              <w:t xml:space="preserve"> the use of </w:t>
            </w:r>
            <w:r>
              <w:rPr>
                <w:rFonts w:asciiTheme="minorHAnsi" w:hAnsiTheme="minorHAnsi"/>
                <w:b/>
                <w:position w:val="6"/>
                <w:sz w:val="30"/>
                <w:szCs w:val="30"/>
              </w:rPr>
              <w:br/>
              <w:t>the six official languages of the Union</w:t>
            </w:r>
          </w:p>
          <w:p w14:paraId="37C5A30B" w14:textId="77777777" w:rsidR="00E027E7" w:rsidRPr="00D613F6" w:rsidRDefault="00E027E7" w:rsidP="004E3DDD">
            <w:pPr>
              <w:spacing w:after="120"/>
              <w:rPr>
                <w:rFonts w:asciiTheme="minorHAnsi" w:hAnsiTheme="minorHAnsi"/>
                <w:b/>
                <w:position w:val="6"/>
                <w:sz w:val="26"/>
                <w:szCs w:val="26"/>
              </w:rPr>
            </w:pPr>
            <w:r>
              <w:rPr>
                <w:rFonts w:asciiTheme="minorHAnsi" w:hAnsiTheme="minorHAnsi" w:cs="Times New Roman Bold"/>
                <w:b/>
              </w:rPr>
              <w:t>Eighth meeting</w:t>
            </w:r>
            <w:r w:rsidRPr="001B506B">
              <w:rPr>
                <w:rFonts w:asciiTheme="minorHAnsi" w:hAnsiTheme="minorHAnsi" w:cs="Times New Roman Bold"/>
                <w:b/>
              </w:rPr>
              <w:t xml:space="preserve"> </w:t>
            </w:r>
            <w:r w:rsidRPr="001B506B">
              <w:rPr>
                <w:rFonts w:ascii="Calibri" w:eastAsia="Calibri" w:hAnsi="Calibri" w:cs="Calibri"/>
                <w:b/>
                <w:color w:val="000000"/>
              </w:rPr>
              <w:t>–</w:t>
            </w:r>
            <w:r w:rsidRPr="000F2E67">
              <w:rPr>
                <w:rFonts w:asciiTheme="minorHAnsi" w:hAnsiTheme="minorHAnsi" w:cs="Times New Roman Bold"/>
                <w:b/>
              </w:rPr>
              <w:t xml:space="preserve"> Geneva, </w:t>
            </w:r>
            <w:r>
              <w:rPr>
                <w:rFonts w:asciiTheme="minorHAnsi" w:hAnsiTheme="minorHAnsi" w:cs="Times New Roman Bold"/>
                <w:b/>
              </w:rPr>
              <w:t>16</w:t>
            </w:r>
            <w:r w:rsidRPr="000F2E67">
              <w:rPr>
                <w:rFonts w:asciiTheme="minorHAnsi" w:hAnsiTheme="minorHAnsi" w:cs="Times New Roman Bold"/>
                <w:b/>
              </w:rPr>
              <w:t xml:space="preserve"> </w:t>
            </w:r>
            <w:r>
              <w:rPr>
                <w:rFonts w:asciiTheme="minorHAnsi" w:hAnsiTheme="minorHAnsi" w:cs="Times New Roman Bold"/>
                <w:b/>
              </w:rPr>
              <w:t>January 2018</w:t>
            </w:r>
          </w:p>
        </w:tc>
        <w:tc>
          <w:tcPr>
            <w:tcW w:w="3793" w:type="dxa"/>
          </w:tcPr>
          <w:p w14:paraId="340CA993" w14:textId="77777777" w:rsidR="00E027E7" w:rsidRPr="00D613F6" w:rsidRDefault="00E027E7" w:rsidP="004E3DDD">
            <w:pPr>
              <w:spacing w:line="240" w:lineRule="atLeast"/>
            </w:pPr>
            <w:bookmarkStart w:id="1" w:name="ditulogo"/>
            <w:bookmarkEnd w:id="1"/>
            <w:r>
              <w:rPr>
                <w:noProof/>
                <w:lang w:val="en-US" w:eastAsia="zh-CN"/>
              </w:rPr>
              <w:drawing>
                <wp:inline distT="0" distB="0" distL="0" distR="0" wp14:anchorId="7F10AF6D" wp14:editId="3E26D671">
                  <wp:extent cx="1765300" cy="744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744220"/>
                          </a:xfrm>
                          <a:prstGeom prst="rect">
                            <a:avLst/>
                          </a:prstGeom>
                          <a:noFill/>
                          <a:ln>
                            <a:noFill/>
                          </a:ln>
                        </pic:spPr>
                      </pic:pic>
                    </a:graphicData>
                  </a:graphic>
                </wp:inline>
              </w:drawing>
            </w:r>
          </w:p>
        </w:tc>
      </w:tr>
      <w:tr w:rsidR="00E027E7" w:rsidRPr="00617BE4" w14:paraId="7CD0C52B" w14:textId="77777777" w:rsidTr="004E3DDD">
        <w:trPr>
          <w:cantSplit/>
        </w:trPr>
        <w:tc>
          <w:tcPr>
            <w:tcW w:w="6521" w:type="dxa"/>
            <w:tcBorders>
              <w:top w:val="single" w:sz="12" w:space="0" w:color="auto"/>
            </w:tcBorders>
          </w:tcPr>
          <w:p w14:paraId="6FC6E23F" w14:textId="77777777" w:rsidR="00E027E7" w:rsidRPr="00D613F6" w:rsidRDefault="00E027E7" w:rsidP="00E027E7">
            <w:pPr>
              <w:snapToGrid w:val="0"/>
              <w:spacing w:before="0"/>
              <w:rPr>
                <w:b/>
                <w:smallCaps/>
              </w:rPr>
            </w:pPr>
          </w:p>
        </w:tc>
        <w:tc>
          <w:tcPr>
            <w:tcW w:w="3793" w:type="dxa"/>
            <w:tcBorders>
              <w:top w:val="single" w:sz="12" w:space="0" w:color="auto"/>
            </w:tcBorders>
          </w:tcPr>
          <w:p w14:paraId="3BE289E4" w14:textId="77777777" w:rsidR="00E027E7" w:rsidRPr="00D613F6" w:rsidRDefault="00E027E7" w:rsidP="00E027E7">
            <w:pPr>
              <w:snapToGrid w:val="0"/>
              <w:spacing w:before="0"/>
              <w:ind w:left="209"/>
              <w:rPr>
                <w:rFonts w:ascii="Verdana" w:hAnsi="Verdana"/>
              </w:rPr>
            </w:pPr>
          </w:p>
        </w:tc>
      </w:tr>
      <w:tr w:rsidR="00E027E7" w:rsidRPr="000126D0" w14:paraId="59E2B797" w14:textId="77777777" w:rsidTr="004E3DDD">
        <w:trPr>
          <w:cantSplit/>
          <w:trHeight w:val="23"/>
        </w:trPr>
        <w:tc>
          <w:tcPr>
            <w:tcW w:w="6521" w:type="dxa"/>
            <w:vMerge w:val="restart"/>
          </w:tcPr>
          <w:p w14:paraId="7028FE8D" w14:textId="77777777" w:rsidR="00E027E7" w:rsidRPr="00D613F6" w:rsidRDefault="00E027E7" w:rsidP="00E027E7">
            <w:pPr>
              <w:snapToGrid w:val="0"/>
              <w:spacing w:before="0"/>
              <w:rPr>
                <w:rFonts w:asciiTheme="minorHAnsi" w:hAnsiTheme="minorHAnsi"/>
                <w:b/>
              </w:rPr>
            </w:pPr>
            <w:bookmarkStart w:id="2" w:name="dmeeting" w:colFirst="0" w:colLast="0"/>
            <w:bookmarkStart w:id="3" w:name="dnum" w:colFirst="1" w:colLast="1"/>
          </w:p>
        </w:tc>
        <w:tc>
          <w:tcPr>
            <w:tcW w:w="3793" w:type="dxa"/>
          </w:tcPr>
          <w:p w14:paraId="6FBA51D8" w14:textId="4448DC59" w:rsidR="00E027E7" w:rsidRPr="000F2E67" w:rsidRDefault="00E027E7" w:rsidP="00361DCA">
            <w:pPr>
              <w:snapToGrid w:val="0"/>
              <w:spacing w:before="0"/>
              <w:ind w:left="57"/>
              <w:rPr>
                <w:rFonts w:asciiTheme="minorHAnsi" w:hAnsiTheme="minorHAnsi" w:cs="Times New Roman Bold"/>
                <w:b/>
                <w:spacing w:val="-4"/>
                <w:lang w:val="de-CH"/>
              </w:rPr>
            </w:pPr>
            <w:r w:rsidRPr="000F2E67">
              <w:rPr>
                <w:rFonts w:asciiTheme="minorHAnsi" w:hAnsiTheme="minorHAnsi" w:cs="Times New Roman Bold"/>
                <w:b/>
                <w:spacing w:val="-4"/>
                <w:lang w:val="de-CH"/>
              </w:rPr>
              <w:t xml:space="preserve">Document </w:t>
            </w:r>
            <w:r>
              <w:rPr>
                <w:rFonts w:asciiTheme="minorHAnsi" w:hAnsiTheme="minorHAnsi" w:cs="Times New Roman Bold"/>
                <w:b/>
                <w:spacing w:val="-4"/>
                <w:lang w:val="de-CH"/>
              </w:rPr>
              <w:t>C</w:t>
            </w:r>
            <w:r w:rsidRPr="000F2E67">
              <w:rPr>
                <w:rFonts w:asciiTheme="minorHAnsi" w:hAnsiTheme="minorHAnsi" w:cs="Times New Roman Bold"/>
                <w:b/>
                <w:spacing w:val="-4"/>
                <w:lang w:val="de-CH"/>
              </w:rPr>
              <w:t>WG-</w:t>
            </w:r>
            <w:r>
              <w:rPr>
                <w:rFonts w:asciiTheme="minorHAnsi" w:hAnsiTheme="minorHAnsi" w:cs="Times New Roman Bold"/>
                <w:b/>
                <w:spacing w:val="-4"/>
                <w:lang w:val="de-CH"/>
              </w:rPr>
              <w:t>Lang-8</w:t>
            </w:r>
            <w:r w:rsidRPr="000F2E67">
              <w:rPr>
                <w:rFonts w:asciiTheme="minorHAnsi" w:hAnsiTheme="minorHAnsi" w:cs="Times New Roman Bold"/>
                <w:b/>
                <w:spacing w:val="-4"/>
                <w:lang w:val="de-CH"/>
              </w:rPr>
              <w:t>/</w:t>
            </w:r>
            <w:r w:rsidR="00361DCA">
              <w:rPr>
                <w:rFonts w:asciiTheme="minorHAnsi" w:hAnsiTheme="minorHAnsi" w:cs="Times New Roman Bold"/>
                <w:b/>
                <w:spacing w:val="-4"/>
                <w:lang w:val="de-CH"/>
              </w:rPr>
              <w:t>3</w:t>
            </w:r>
            <w:r w:rsidRPr="000F2E67">
              <w:rPr>
                <w:rFonts w:asciiTheme="minorHAnsi" w:hAnsiTheme="minorHAnsi" w:cs="Times New Roman Bold"/>
                <w:b/>
                <w:spacing w:val="-4"/>
                <w:lang w:val="de-CH"/>
              </w:rPr>
              <w:t>-E</w:t>
            </w:r>
          </w:p>
        </w:tc>
      </w:tr>
      <w:tr w:rsidR="00E027E7" w:rsidRPr="00E544AC" w14:paraId="2FE00983" w14:textId="77777777" w:rsidTr="004E3DDD">
        <w:trPr>
          <w:cantSplit/>
          <w:trHeight w:val="23"/>
        </w:trPr>
        <w:tc>
          <w:tcPr>
            <w:tcW w:w="6521" w:type="dxa"/>
            <w:vMerge/>
          </w:tcPr>
          <w:p w14:paraId="69A9F9E3" w14:textId="77777777" w:rsidR="00E027E7" w:rsidRPr="00D613F6" w:rsidRDefault="00E027E7" w:rsidP="00E027E7">
            <w:pPr>
              <w:snapToGrid w:val="0"/>
              <w:spacing w:before="0"/>
              <w:rPr>
                <w:rFonts w:asciiTheme="minorHAnsi" w:hAnsiTheme="minorHAnsi"/>
                <w:b/>
                <w:lang w:val="de-CH"/>
              </w:rPr>
            </w:pPr>
            <w:bookmarkStart w:id="4" w:name="ddate" w:colFirst="1" w:colLast="1"/>
            <w:bookmarkEnd w:id="2"/>
            <w:bookmarkEnd w:id="3"/>
          </w:p>
        </w:tc>
        <w:tc>
          <w:tcPr>
            <w:tcW w:w="3793" w:type="dxa"/>
          </w:tcPr>
          <w:p w14:paraId="38E47818" w14:textId="4D1C3FD8" w:rsidR="00E027E7" w:rsidRPr="000F2E67" w:rsidRDefault="00361DCA" w:rsidP="00E027E7">
            <w:pPr>
              <w:snapToGrid w:val="0"/>
              <w:spacing w:before="0"/>
              <w:ind w:left="57"/>
              <w:rPr>
                <w:rFonts w:asciiTheme="minorHAnsi" w:hAnsiTheme="minorHAnsi"/>
                <w:b/>
              </w:rPr>
            </w:pPr>
            <w:r>
              <w:rPr>
                <w:rFonts w:asciiTheme="minorHAnsi" w:hAnsiTheme="minorHAnsi"/>
                <w:b/>
              </w:rPr>
              <w:t>21 December 2017</w:t>
            </w:r>
          </w:p>
        </w:tc>
      </w:tr>
      <w:tr w:rsidR="00E027E7" w:rsidRPr="00E544AC" w14:paraId="077DC58F" w14:textId="77777777" w:rsidTr="004E3DDD">
        <w:trPr>
          <w:cantSplit/>
          <w:trHeight w:val="80"/>
        </w:trPr>
        <w:tc>
          <w:tcPr>
            <w:tcW w:w="6521" w:type="dxa"/>
            <w:vMerge/>
          </w:tcPr>
          <w:p w14:paraId="40D9A36F" w14:textId="77777777" w:rsidR="00E027E7" w:rsidRPr="00E544AC" w:rsidRDefault="00E027E7" w:rsidP="00E027E7">
            <w:pPr>
              <w:snapToGrid w:val="0"/>
              <w:spacing w:before="0"/>
              <w:rPr>
                <w:rFonts w:asciiTheme="minorHAnsi" w:hAnsiTheme="minorHAnsi"/>
                <w:b/>
              </w:rPr>
            </w:pPr>
            <w:bookmarkStart w:id="5" w:name="dorlang" w:colFirst="1" w:colLast="1"/>
            <w:bookmarkEnd w:id="4"/>
          </w:p>
        </w:tc>
        <w:tc>
          <w:tcPr>
            <w:tcW w:w="3793" w:type="dxa"/>
          </w:tcPr>
          <w:p w14:paraId="785F9FAE" w14:textId="77777777" w:rsidR="00E027E7" w:rsidRPr="000F2E67" w:rsidRDefault="00E027E7" w:rsidP="00E027E7">
            <w:pPr>
              <w:snapToGrid w:val="0"/>
              <w:spacing w:before="0"/>
              <w:ind w:left="57"/>
              <w:rPr>
                <w:rFonts w:asciiTheme="minorHAnsi" w:hAnsiTheme="minorHAnsi"/>
                <w:b/>
              </w:rPr>
            </w:pPr>
            <w:r w:rsidRPr="000F2E67">
              <w:rPr>
                <w:rFonts w:asciiTheme="minorHAnsi" w:hAnsiTheme="minorHAnsi"/>
                <w:b/>
              </w:rPr>
              <w:t>English only</w:t>
            </w:r>
          </w:p>
        </w:tc>
      </w:tr>
    </w:tbl>
    <w:bookmarkEnd w:id="5"/>
    <w:p w14:paraId="17A9E28C" w14:textId="5C46ECB2" w:rsidR="007F0840" w:rsidRPr="00E027E7" w:rsidRDefault="00224D2B" w:rsidP="001D4C27">
      <w:pPr>
        <w:spacing w:before="840"/>
        <w:jc w:val="center"/>
        <w:rPr>
          <w:rFonts w:asciiTheme="minorHAnsi" w:hAnsiTheme="minorHAnsi"/>
          <w:b/>
          <w:bCs/>
          <w:sz w:val="28"/>
          <w:szCs w:val="28"/>
          <w:lang w:val="en-US"/>
        </w:rPr>
      </w:pPr>
      <w:r w:rsidRPr="00E027E7">
        <w:rPr>
          <w:rFonts w:asciiTheme="minorHAnsi" w:hAnsiTheme="minorHAnsi"/>
          <w:b/>
          <w:sz w:val="28"/>
          <w:szCs w:val="28"/>
        </w:rPr>
        <w:t xml:space="preserve">Report by the </w:t>
      </w:r>
      <w:r w:rsidR="001D4C27" w:rsidRPr="00E027E7">
        <w:rPr>
          <w:rFonts w:asciiTheme="minorHAnsi" w:hAnsiTheme="minorHAnsi"/>
          <w:b/>
          <w:bCs/>
          <w:sz w:val="28"/>
          <w:szCs w:val="28"/>
          <w:lang w:val="en-US"/>
        </w:rPr>
        <w:t xml:space="preserve">Group on study and evaluation </w:t>
      </w:r>
      <w:r w:rsidR="001D4C27" w:rsidRPr="00E027E7">
        <w:rPr>
          <w:rFonts w:asciiTheme="minorHAnsi" w:hAnsiTheme="minorHAnsi"/>
          <w:b/>
          <w:bCs/>
          <w:sz w:val="28"/>
          <w:szCs w:val="28"/>
          <w:lang w:val="en-US"/>
        </w:rPr>
        <w:br/>
        <w:t>of the translation procedures</w:t>
      </w:r>
    </w:p>
    <w:p w14:paraId="5CD8B606" w14:textId="00CBE032" w:rsidR="00176B0B" w:rsidRPr="00E027E7" w:rsidRDefault="00176B0B" w:rsidP="00176B0B">
      <w:pPr>
        <w:spacing w:before="840"/>
        <w:rPr>
          <w:rFonts w:asciiTheme="minorHAnsi" w:hAnsiTheme="minorHAnsi"/>
          <w:b/>
          <w:bCs/>
          <w:szCs w:val="24"/>
          <w:lang w:val="en-US"/>
        </w:rPr>
      </w:pPr>
      <w:r w:rsidRPr="00E027E7">
        <w:rPr>
          <w:rFonts w:asciiTheme="minorHAnsi" w:hAnsiTheme="minorHAnsi"/>
          <w:b/>
          <w:bCs/>
          <w:szCs w:val="24"/>
          <w:lang w:val="en-US"/>
        </w:rPr>
        <w:t>Introduction</w:t>
      </w:r>
    </w:p>
    <w:p w14:paraId="3DFA05AC" w14:textId="7428D521" w:rsidR="001D4C27" w:rsidRPr="00E027E7" w:rsidRDefault="001D4C27" w:rsidP="0041645E">
      <w:pPr>
        <w:snapToGrid w:val="0"/>
        <w:spacing w:beforeLines="120" w:before="288" w:afterLines="120" w:after="288"/>
        <w:rPr>
          <w:rFonts w:asciiTheme="minorHAnsi" w:hAnsiTheme="minorHAnsi"/>
          <w:szCs w:val="24"/>
        </w:rPr>
      </w:pPr>
      <w:r w:rsidRPr="00E027E7">
        <w:rPr>
          <w:rFonts w:asciiTheme="minorHAnsi" w:hAnsiTheme="minorHAnsi"/>
          <w:szCs w:val="24"/>
        </w:rPr>
        <w:t>Council 201</w:t>
      </w:r>
      <w:r w:rsidR="0041645E">
        <w:rPr>
          <w:rFonts w:asciiTheme="minorHAnsi" w:hAnsiTheme="minorHAnsi"/>
          <w:szCs w:val="24"/>
        </w:rPr>
        <w:t>7</w:t>
      </w:r>
      <w:r w:rsidRPr="00E027E7">
        <w:rPr>
          <w:rFonts w:asciiTheme="minorHAnsi" w:hAnsiTheme="minorHAnsi"/>
          <w:szCs w:val="24"/>
        </w:rPr>
        <w:t xml:space="preserve"> agreed to </w:t>
      </w:r>
      <w:r w:rsidRPr="00E027E7">
        <w:rPr>
          <w:rFonts w:asciiTheme="minorHAnsi" w:hAnsiTheme="minorHAnsi" w:cstheme="minorHAnsi"/>
          <w:szCs w:val="24"/>
        </w:rPr>
        <w:t xml:space="preserve">request the Deputy Secretary-General to preside over an internal committee, reporting to Council through the CWG-LANG, on alternative translation arrangements based on the proposal from </w:t>
      </w:r>
      <w:r w:rsidR="0036799C" w:rsidRPr="00E027E7">
        <w:rPr>
          <w:rFonts w:asciiTheme="minorHAnsi" w:hAnsiTheme="minorHAnsi" w:cstheme="minorHAnsi"/>
          <w:szCs w:val="24"/>
        </w:rPr>
        <w:t xml:space="preserve">the </w:t>
      </w:r>
      <w:r w:rsidR="0036799C" w:rsidRPr="00E027E7">
        <w:rPr>
          <w:rFonts w:asciiTheme="minorHAnsi" w:hAnsiTheme="minorHAnsi" w:cstheme="minorHAnsi"/>
        </w:rPr>
        <w:t>United Arab Emirates</w:t>
      </w:r>
      <w:r w:rsidRPr="00E027E7">
        <w:rPr>
          <w:rFonts w:asciiTheme="minorHAnsi" w:hAnsiTheme="minorHAnsi"/>
          <w:szCs w:val="24"/>
        </w:rPr>
        <w:t xml:space="preserve"> (</w:t>
      </w:r>
      <w:hyperlink r:id="rId12" w:history="1">
        <w:r w:rsidRPr="00E027E7">
          <w:rPr>
            <w:rStyle w:val="Hyperlink"/>
            <w:rFonts w:asciiTheme="minorHAnsi" w:hAnsiTheme="minorHAnsi"/>
            <w:szCs w:val="24"/>
          </w:rPr>
          <w:t>C17/108</w:t>
        </w:r>
      </w:hyperlink>
      <w:r w:rsidRPr="00E027E7">
        <w:rPr>
          <w:rFonts w:asciiTheme="minorHAnsi" w:hAnsiTheme="minorHAnsi"/>
          <w:szCs w:val="24"/>
        </w:rPr>
        <w:t xml:space="preserve">). </w:t>
      </w:r>
    </w:p>
    <w:p w14:paraId="3BB86124" w14:textId="77777777" w:rsidR="001D4C27" w:rsidRPr="00E027E7" w:rsidRDefault="001D4C27" w:rsidP="00176B0B">
      <w:pPr>
        <w:snapToGrid w:val="0"/>
        <w:spacing w:beforeLines="120" w:before="288" w:afterLines="120" w:after="288"/>
        <w:rPr>
          <w:rFonts w:asciiTheme="minorHAnsi" w:hAnsiTheme="minorHAnsi"/>
          <w:szCs w:val="24"/>
        </w:rPr>
      </w:pPr>
      <w:r w:rsidRPr="00E027E7">
        <w:rPr>
          <w:rFonts w:asciiTheme="minorHAnsi" w:hAnsiTheme="minorHAnsi"/>
          <w:szCs w:val="24"/>
        </w:rPr>
        <w:t>The group has been established with the following terms of reference:</w:t>
      </w:r>
    </w:p>
    <w:p w14:paraId="2B736AC3" w14:textId="7C0FF5B3" w:rsidR="001D4C27" w:rsidRPr="00E027E7" w:rsidRDefault="001D4C27" w:rsidP="00176B0B">
      <w:pPr>
        <w:snapToGrid w:val="0"/>
        <w:spacing w:beforeLines="120" w:before="288" w:afterLines="120" w:after="288"/>
        <w:rPr>
          <w:rFonts w:asciiTheme="minorHAnsi" w:hAnsiTheme="minorHAnsi"/>
          <w:szCs w:val="24"/>
        </w:rPr>
      </w:pPr>
      <w:r w:rsidRPr="00E027E7">
        <w:rPr>
          <w:rFonts w:asciiTheme="minorHAnsi" w:hAnsiTheme="minorHAnsi"/>
          <w:szCs w:val="24"/>
        </w:rPr>
        <w:t>In collaboration with the Directors of the three Bureaux, and in consultation with the Council Working Group on Languages and the ITU regional offices:</w:t>
      </w:r>
    </w:p>
    <w:p w14:paraId="05D375AA" w14:textId="77777777" w:rsidR="001D4C27" w:rsidRPr="00E027E7" w:rsidRDefault="001D4C27" w:rsidP="00176B0B">
      <w:pPr>
        <w:pStyle w:val="ListParagraph"/>
        <w:numPr>
          <w:ilvl w:val="0"/>
          <w:numId w:val="9"/>
        </w:numPr>
        <w:tabs>
          <w:tab w:val="clear" w:pos="794"/>
          <w:tab w:val="clear" w:pos="1191"/>
          <w:tab w:val="clear" w:pos="1588"/>
          <w:tab w:val="clear" w:pos="1985"/>
        </w:tabs>
        <w:overflowPunct/>
        <w:autoSpaceDE/>
        <w:autoSpaceDN/>
        <w:adjustRightInd/>
        <w:snapToGrid w:val="0"/>
        <w:spacing w:beforeLines="120" w:before="288" w:afterLines="120" w:after="288"/>
        <w:ind w:left="709" w:hanging="352"/>
        <w:contextualSpacing w:val="0"/>
        <w:textAlignment w:val="auto"/>
        <w:rPr>
          <w:rFonts w:asciiTheme="minorHAnsi" w:hAnsiTheme="minorHAnsi"/>
          <w:szCs w:val="24"/>
        </w:rPr>
      </w:pPr>
      <w:r w:rsidRPr="00E027E7">
        <w:rPr>
          <w:rFonts w:asciiTheme="minorHAnsi" w:hAnsiTheme="minorHAnsi"/>
          <w:szCs w:val="24"/>
        </w:rPr>
        <w:t>Study the most economically effective solutions for the provision of translation and simultaneous interpretation services at an appropriate cost, while maintaining quality of service in general.</w:t>
      </w:r>
    </w:p>
    <w:p w14:paraId="1C559E6D" w14:textId="77777777" w:rsidR="001D4C27" w:rsidRPr="00E027E7" w:rsidRDefault="001D4C27" w:rsidP="00176B0B">
      <w:pPr>
        <w:pStyle w:val="ListParagraph"/>
        <w:numPr>
          <w:ilvl w:val="0"/>
          <w:numId w:val="9"/>
        </w:numPr>
        <w:tabs>
          <w:tab w:val="clear" w:pos="794"/>
          <w:tab w:val="clear" w:pos="1191"/>
          <w:tab w:val="clear" w:pos="1588"/>
          <w:tab w:val="clear" w:pos="1985"/>
        </w:tabs>
        <w:overflowPunct/>
        <w:autoSpaceDE/>
        <w:autoSpaceDN/>
        <w:adjustRightInd/>
        <w:snapToGrid w:val="0"/>
        <w:spacing w:beforeLines="120" w:before="288" w:afterLines="120" w:after="288"/>
        <w:ind w:left="709" w:hanging="352"/>
        <w:contextualSpacing w:val="0"/>
        <w:textAlignment w:val="auto"/>
        <w:rPr>
          <w:rFonts w:asciiTheme="minorHAnsi" w:hAnsiTheme="minorHAnsi"/>
          <w:szCs w:val="24"/>
        </w:rPr>
      </w:pPr>
      <w:r w:rsidRPr="00E027E7">
        <w:rPr>
          <w:rFonts w:asciiTheme="minorHAnsi" w:hAnsiTheme="minorHAnsi"/>
          <w:szCs w:val="24"/>
        </w:rPr>
        <w:t>Investigate the use of approved external bodies and centres to translate ITU documents, in collaboration with Member States and regional offices.</w:t>
      </w:r>
    </w:p>
    <w:p w14:paraId="1BAB80C2" w14:textId="77777777" w:rsidR="001D4C27" w:rsidRPr="00E027E7" w:rsidRDefault="001D4C27" w:rsidP="00176B0B">
      <w:pPr>
        <w:pStyle w:val="ListParagraph"/>
        <w:numPr>
          <w:ilvl w:val="0"/>
          <w:numId w:val="9"/>
        </w:numPr>
        <w:tabs>
          <w:tab w:val="clear" w:pos="794"/>
          <w:tab w:val="clear" w:pos="1191"/>
          <w:tab w:val="clear" w:pos="1588"/>
          <w:tab w:val="clear" w:pos="1985"/>
        </w:tabs>
        <w:overflowPunct/>
        <w:autoSpaceDE/>
        <w:autoSpaceDN/>
        <w:adjustRightInd/>
        <w:snapToGrid w:val="0"/>
        <w:spacing w:beforeLines="120" w:before="288" w:afterLines="120" w:after="288"/>
        <w:ind w:left="709" w:hanging="352"/>
        <w:contextualSpacing w:val="0"/>
        <w:textAlignment w:val="auto"/>
        <w:rPr>
          <w:rFonts w:asciiTheme="minorHAnsi" w:hAnsiTheme="minorHAnsi"/>
          <w:szCs w:val="24"/>
        </w:rPr>
      </w:pPr>
      <w:r w:rsidRPr="00E027E7">
        <w:rPr>
          <w:rFonts w:asciiTheme="minorHAnsi" w:hAnsiTheme="minorHAnsi"/>
          <w:szCs w:val="24"/>
        </w:rPr>
        <w:t>Study the practice of other United Nations organizations in this regard.</w:t>
      </w:r>
    </w:p>
    <w:p w14:paraId="1D775F0E" w14:textId="77777777" w:rsidR="001D4C27" w:rsidRPr="00E027E7" w:rsidRDefault="001D4C27" w:rsidP="00176B0B">
      <w:pPr>
        <w:pStyle w:val="ListParagraph"/>
        <w:numPr>
          <w:ilvl w:val="0"/>
          <w:numId w:val="9"/>
        </w:numPr>
        <w:tabs>
          <w:tab w:val="clear" w:pos="794"/>
          <w:tab w:val="clear" w:pos="1191"/>
          <w:tab w:val="clear" w:pos="1588"/>
          <w:tab w:val="clear" w:pos="1985"/>
        </w:tabs>
        <w:overflowPunct/>
        <w:autoSpaceDE/>
        <w:autoSpaceDN/>
        <w:adjustRightInd/>
        <w:snapToGrid w:val="0"/>
        <w:spacing w:beforeLines="120" w:before="288" w:afterLines="120" w:after="288"/>
        <w:ind w:left="709" w:hanging="352"/>
        <w:contextualSpacing w:val="0"/>
        <w:textAlignment w:val="auto"/>
        <w:rPr>
          <w:rFonts w:asciiTheme="minorHAnsi" w:hAnsiTheme="minorHAnsi"/>
          <w:szCs w:val="24"/>
        </w:rPr>
      </w:pPr>
      <w:r w:rsidRPr="00E027E7">
        <w:rPr>
          <w:rFonts w:asciiTheme="minorHAnsi" w:hAnsiTheme="minorHAnsi"/>
          <w:szCs w:val="24"/>
        </w:rPr>
        <w:t>Submit a report to the Council at its 2018 session on implementation of this proposal.</w:t>
      </w:r>
    </w:p>
    <w:p w14:paraId="078667FE" w14:textId="77777777" w:rsidR="001D4C27" w:rsidRPr="00E027E7" w:rsidRDefault="001D4C27" w:rsidP="00176B0B">
      <w:pPr>
        <w:pStyle w:val="ListParagraph"/>
        <w:numPr>
          <w:ilvl w:val="0"/>
          <w:numId w:val="9"/>
        </w:numPr>
        <w:tabs>
          <w:tab w:val="clear" w:pos="794"/>
          <w:tab w:val="clear" w:pos="1191"/>
          <w:tab w:val="clear" w:pos="1588"/>
          <w:tab w:val="clear" w:pos="1985"/>
        </w:tabs>
        <w:overflowPunct/>
        <w:autoSpaceDE/>
        <w:autoSpaceDN/>
        <w:adjustRightInd/>
        <w:snapToGrid w:val="0"/>
        <w:spacing w:beforeLines="120" w:before="288" w:afterLines="120" w:after="288"/>
        <w:ind w:left="709" w:hanging="352"/>
        <w:contextualSpacing w:val="0"/>
        <w:textAlignment w:val="auto"/>
        <w:rPr>
          <w:rFonts w:asciiTheme="minorHAnsi" w:hAnsiTheme="minorHAnsi"/>
          <w:szCs w:val="24"/>
        </w:rPr>
      </w:pPr>
      <w:r w:rsidRPr="00E027E7">
        <w:rPr>
          <w:rFonts w:asciiTheme="minorHAnsi" w:hAnsiTheme="minorHAnsi"/>
          <w:szCs w:val="24"/>
        </w:rPr>
        <w:t xml:space="preserve">Submit a comprehensive report to the 2018 Plenipotentiary Conference containing recommendations on this subject. </w:t>
      </w:r>
    </w:p>
    <w:p w14:paraId="4A502ED3" w14:textId="77777777" w:rsidR="001D4C27" w:rsidRPr="00E027E7" w:rsidRDefault="001D4C27" w:rsidP="00176B0B">
      <w:pPr>
        <w:snapToGrid w:val="0"/>
        <w:spacing w:beforeLines="120" w:before="288" w:afterLines="120" w:after="288"/>
        <w:rPr>
          <w:rFonts w:asciiTheme="minorHAnsi" w:hAnsiTheme="minorHAnsi"/>
          <w:szCs w:val="24"/>
        </w:rPr>
      </w:pPr>
      <w:r w:rsidRPr="00E027E7">
        <w:rPr>
          <w:rFonts w:asciiTheme="minorHAnsi" w:hAnsiTheme="minorHAnsi"/>
          <w:szCs w:val="24"/>
        </w:rPr>
        <w:t>Remote participation is made available for the Regional Offices to participate.</w:t>
      </w:r>
    </w:p>
    <w:p w14:paraId="01212D4C" w14:textId="07D663D2" w:rsidR="001D4C27" w:rsidRPr="00E027E7" w:rsidRDefault="001D4C27" w:rsidP="00013374">
      <w:pPr>
        <w:snapToGrid w:val="0"/>
        <w:spacing w:beforeLines="120" w:before="288" w:afterLines="120" w:after="288"/>
        <w:rPr>
          <w:rFonts w:asciiTheme="minorHAnsi" w:hAnsiTheme="minorHAnsi"/>
          <w:szCs w:val="24"/>
          <w:lang w:val="en-US"/>
        </w:rPr>
      </w:pPr>
      <w:r w:rsidRPr="00E027E7">
        <w:rPr>
          <w:rFonts w:asciiTheme="minorHAnsi" w:hAnsiTheme="minorHAnsi"/>
          <w:szCs w:val="24"/>
          <w:lang w:val="en-US"/>
        </w:rPr>
        <w:t>The group is composed of representatives of each Bureau, the General</w:t>
      </w:r>
      <w:r w:rsidR="00886EB7" w:rsidRPr="00E027E7">
        <w:rPr>
          <w:rFonts w:asciiTheme="minorHAnsi" w:hAnsiTheme="minorHAnsi"/>
          <w:szCs w:val="24"/>
          <w:lang w:val="en-US"/>
        </w:rPr>
        <w:t xml:space="preserve"> S</w:t>
      </w:r>
      <w:r w:rsidRPr="00E027E7">
        <w:rPr>
          <w:rFonts w:asciiTheme="minorHAnsi" w:hAnsiTheme="minorHAnsi"/>
          <w:szCs w:val="24"/>
          <w:lang w:val="en-US"/>
        </w:rPr>
        <w:t>ecretariat Departments and the Regional Directors. This document provides a status report on the work of the group and invites CWG-LANG to offer its comments.</w:t>
      </w:r>
    </w:p>
    <w:p w14:paraId="4E58C710" w14:textId="77777777" w:rsidR="00DD5C68" w:rsidRPr="00E027E7" w:rsidRDefault="00DD5C68">
      <w:p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br w:type="page"/>
      </w:r>
    </w:p>
    <w:p w14:paraId="0A39BEEB" w14:textId="7BA6F02C" w:rsidR="00176B0B" w:rsidRPr="00E027E7" w:rsidRDefault="00176B0B" w:rsidP="00176B0B">
      <w:pPr>
        <w:snapToGrid w:val="0"/>
        <w:spacing w:beforeLines="120" w:before="288" w:afterLines="120" w:after="288"/>
        <w:rPr>
          <w:rFonts w:asciiTheme="minorHAnsi" w:hAnsiTheme="minorHAnsi"/>
          <w:szCs w:val="24"/>
          <w:lang w:val="en-US"/>
        </w:rPr>
      </w:pPr>
      <w:r w:rsidRPr="00E027E7">
        <w:rPr>
          <w:rFonts w:asciiTheme="minorHAnsi" w:hAnsiTheme="minorHAnsi"/>
          <w:szCs w:val="24"/>
          <w:lang w:val="en-US"/>
        </w:rPr>
        <w:lastRenderedPageBreak/>
        <w:t>The group has dealt with the following issues:</w:t>
      </w:r>
    </w:p>
    <w:p w14:paraId="645DEF92" w14:textId="40314DD9" w:rsidR="00176B0B" w:rsidRPr="00E027E7" w:rsidRDefault="00176B0B" w:rsidP="00176B0B">
      <w:pPr>
        <w:pStyle w:val="ListParagraph"/>
        <w:numPr>
          <w:ilvl w:val="0"/>
          <w:numId w:val="11"/>
        </w:numPr>
        <w:snapToGrid w:val="0"/>
        <w:spacing w:beforeLines="120" w:before="288" w:afterLines="120" w:after="288"/>
        <w:rPr>
          <w:rFonts w:asciiTheme="minorHAnsi" w:hAnsiTheme="minorHAnsi"/>
          <w:szCs w:val="24"/>
        </w:rPr>
      </w:pPr>
      <w:r w:rsidRPr="00E027E7">
        <w:rPr>
          <w:rFonts w:asciiTheme="minorHAnsi" w:hAnsiTheme="minorHAnsi"/>
          <w:szCs w:val="24"/>
        </w:rPr>
        <w:t>Categorization of documents for quality assessment</w:t>
      </w:r>
    </w:p>
    <w:p w14:paraId="64DAFD39" w14:textId="7358735B" w:rsidR="00176B0B" w:rsidRPr="00E027E7" w:rsidRDefault="00176B0B" w:rsidP="00176B0B">
      <w:pPr>
        <w:pStyle w:val="ListParagraph"/>
        <w:numPr>
          <w:ilvl w:val="0"/>
          <w:numId w:val="11"/>
        </w:numPr>
        <w:snapToGrid w:val="0"/>
        <w:spacing w:beforeLines="120" w:before="288" w:afterLines="120" w:after="288"/>
        <w:rPr>
          <w:rFonts w:asciiTheme="minorHAnsi" w:hAnsiTheme="minorHAnsi"/>
          <w:szCs w:val="24"/>
        </w:rPr>
      </w:pPr>
      <w:r w:rsidRPr="00E027E7">
        <w:rPr>
          <w:rFonts w:asciiTheme="minorHAnsi" w:hAnsiTheme="minorHAnsi"/>
          <w:szCs w:val="24"/>
        </w:rPr>
        <w:t>Update on UN organizations management of web pages</w:t>
      </w:r>
    </w:p>
    <w:p w14:paraId="3E844504" w14:textId="10CB4F79" w:rsidR="00176B0B" w:rsidRPr="00E027E7" w:rsidRDefault="00176B0B" w:rsidP="00176B0B">
      <w:pPr>
        <w:pStyle w:val="ListParagraph"/>
        <w:numPr>
          <w:ilvl w:val="0"/>
          <w:numId w:val="11"/>
        </w:numPr>
        <w:snapToGrid w:val="0"/>
        <w:spacing w:beforeLines="120" w:before="288" w:afterLines="120" w:after="288"/>
        <w:rPr>
          <w:rFonts w:asciiTheme="minorHAnsi" w:hAnsiTheme="minorHAnsi"/>
          <w:szCs w:val="24"/>
        </w:rPr>
      </w:pPr>
      <w:r w:rsidRPr="00E027E7">
        <w:rPr>
          <w:rFonts w:asciiTheme="minorHAnsi" w:hAnsiTheme="minorHAnsi"/>
          <w:szCs w:val="24"/>
        </w:rPr>
        <w:t>Status of pilot projects on automatic translation, web content management, translation of webpages by Member States, remote interpretation</w:t>
      </w:r>
    </w:p>
    <w:p w14:paraId="234E6026" w14:textId="45B45B89" w:rsidR="00176B0B" w:rsidRPr="00E027E7" w:rsidRDefault="00176B0B" w:rsidP="00176B0B">
      <w:pPr>
        <w:pStyle w:val="ListParagraph"/>
        <w:numPr>
          <w:ilvl w:val="0"/>
          <w:numId w:val="11"/>
        </w:numPr>
        <w:snapToGrid w:val="0"/>
        <w:spacing w:beforeLines="120" w:before="288" w:afterLines="120" w:after="288"/>
        <w:rPr>
          <w:rFonts w:asciiTheme="minorHAnsi" w:hAnsiTheme="minorHAnsi"/>
          <w:szCs w:val="24"/>
        </w:rPr>
      </w:pPr>
      <w:r w:rsidRPr="00E027E7">
        <w:rPr>
          <w:rFonts w:asciiTheme="minorHAnsi" w:hAnsiTheme="minorHAnsi"/>
          <w:szCs w:val="24"/>
        </w:rPr>
        <w:t>Guidance on management of events using interpretation services</w:t>
      </w:r>
    </w:p>
    <w:p w14:paraId="33287195" w14:textId="385AB756" w:rsidR="00176B0B" w:rsidRPr="00E027E7" w:rsidRDefault="00176B0B" w:rsidP="00176B0B">
      <w:pPr>
        <w:pStyle w:val="ListParagraph"/>
        <w:numPr>
          <w:ilvl w:val="0"/>
          <w:numId w:val="11"/>
        </w:numPr>
        <w:snapToGrid w:val="0"/>
        <w:spacing w:beforeLines="120" w:before="288" w:afterLines="120" w:after="288"/>
        <w:rPr>
          <w:rFonts w:asciiTheme="minorHAnsi" w:hAnsiTheme="minorHAnsi"/>
          <w:szCs w:val="24"/>
        </w:rPr>
      </w:pPr>
      <w:r w:rsidRPr="00E027E7">
        <w:rPr>
          <w:rFonts w:asciiTheme="minorHAnsi" w:hAnsiTheme="minorHAnsi"/>
          <w:szCs w:val="24"/>
        </w:rPr>
        <w:t>Practice of other United Nations organizations</w:t>
      </w:r>
    </w:p>
    <w:p w14:paraId="0ADA2D26" w14:textId="77777777" w:rsidR="001D4C27" w:rsidRPr="00E027E7" w:rsidRDefault="001D4C27" w:rsidP="00176B0B">
      <w:pPr>
        <w:rPr>
          <w:rFonts w:asciiTheme="minorHAnsi" w:hAnsiTheme="minorHAnsi" w:cstheme="minorHAnsi"/>
          <w:b/>
          <w:bCs/>
          <w:lang w:val="en-US"/>
        </w:rPr>
      </w:pPr>
      <w:r w:rsidRPr="00E027E7">
        <w:rPr>
          <w:rFonts w:asciiTheme="minorHAnsi" w:hAnsiTheme="minorHAnsi" w:cstheme="minorHAnsi"/>
          <w:b/>
          <w:bCs/>
          <w:lang w:val="en-US"/>
        </w:rPr>
        <w:t>1</w:t>
      </w:r>
      <w:r w:rsidRPr="00E027E7">
        <w:rPr>
          <w:rFonts w:asciiTheme="minorHAnsi" w:hAnsiTheme="minorHAnsi" w:cstheme="minorHAnsi"/>
          <w:b/>
          <w:bCs/>
          <w:lang w:val="en-US"/>
        </w:rPr>
        <w:tab/>
        <w:t xml:space="preserve">Categorization of documents for quality assessment </w:t>
      </w:r>
    </w:p>
    <w:p w14:paraId="60157EAB" w14:textId="77777777" w:rsidR="00B60212" w:rsidRPr="00E027E7" w:rsidRDefault="00B60212" w:rsidP="00176B0B">
      <w:pPr>
        <w:rPr>
          <w:rFonts w:asciiTheme="minorHAnsi" w:hAnsiTheme="minorHAnsi" w:cstheme="minorHAnsi"/>
          <w:b/>
          <w:bCs/>
          <w:lang w:val="en-US"/>
        </w:rPr>
      </w:pPr>
    </w:p>
    <w:p w14:paraId="1F818309"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t>All documents published by the ITU must meet certain minimum quality standards. In particular, they must:</w:t>
      </w:r>
    </w:p>
    <w:p w14:paraId="468CA10C" w14:textId="77777777" w:rsidR="00880F0C" w:rsidRPr="00E027E7" w:rsidRDefault="00880F0C" w:rsidP="00880F0C">
      <w:pPr>
        <w:rPr>
          <w:rFonts w:asciiTheme="minorHAnsi" w:hAnsiTheme="minorHAnsi"/>
          <w:szCs w:val="24"/>
          <w:lang w:val="en-US"/>
        </w:rPr>
      </w:pPr>
    </w:p>
    <w:p w14:paraId="1C0B2CB8" w14:textId="77777777" w:rsidR="00880F0C" w:rsidRPr="00E027E7" w:rsidRDefault="00880F0C" w:rsidP="00880F0C">
      <w:pPr>
        <w:numPr>
          <w:ilvl w:val="0"/>
          <w:numId w:val="13"/>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be drafted in correct and grammatical language</w:t>
      </w:r>
    </w:p>
    <w:p w14:paraId="73BF3CC6" w14:textId="77777777" w:rsidR="00880F0C" w:rsidRPr="00E027E7" w:rsidRDefault="00880F0C" w:rsidP="00880F0C">
      <w:pPr>
        <w:numPr>
          <w:ilvl w:val="0"/>
          <w:numId w:val="13"/>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be clear and concise</w:t>
      </w:r>
    </w:p>
    <w:p w14:paraId="0A8B5F09" w14:textId="77777777" w:rsidR="00880F0C" w:rsidRPr="00E027E7" w:rsidRDefault="00880F0C" w:rsidP="00880F0C">
      <w:pPr>
        <w:numPr>
          <w:ilvl w:val="0"/>
          <w:numId w:val="13"/>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in general, conform with the relevant provisions of a Document Service Policy.</w:t>
      </w:r>
    </w:p>
    <w:p w14:paraId="1FC98D5A" w14:textId="77777777" w:rsidR="00880F0C" w:rsidRPr="00E027E7" w:rsidRDefault="00880F0C" w:rsidP="00880F0C">
      <w:pPr>
        <w:rPr>
          <w:rFonts w:asciiTheme="minorHAnsi" w:hAnsiTheme="minorHAnsi"/>
          <w:szCs w:val="24"/>
          <w:lang w:val="en-US"/>
        </w:rPr>
      </w:pPr>
    </w:p>
    <w:p w14:paraId="12406833"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t xml:space="preserve">Nevertheless, it should be recognized that documents have different audiences, purposes and “shelf-lives”. The topics of documents also range from the mundane to the politically sensitive. In these circumstances, it is not practical or reasonable indiscriminately to devote the same level of attention, time and resources to all documents, all the more so when we recall that our aim is to produce </w:t>
      </w:r>
      <w:r w:rsidRPr="00E027E7">
        <w:rPr>
          <w:rFonts w:asciiTheme="minorHAnsi" w:hAnsiTheme="minorHAnsi"/>
          <w:i/>
          <w:iCs/>
          <w:szCs w:val="24"/>
          <w:lang w:val="en-US"/>
        </w:rPr>
        <w:t>effective</w:t>
      </w:r>
      <w:r w:rsidRPr="00E027E7">
        <w:rPr>
          <w:rFonts w:asciiTheme="minorHAnsi" w:hAnsiTheme="minorHAnsi"/>
          <w:szCs w:val="24"/>
          <w:lang w:val="en-US"/>
        </w:rPr>
        <w:t xml:space="preserve"> documents.</w:t>
      </w:r>
    </w:p>
    <w:p w14:paraId="724D3BD7"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t>For the purpose of setting appropriate quality standards for documents, these are divided into three groups in terms of their “quality sensitivity”:</w:t>
      </w:r>
    </w:p>
    <w:p w14:paraId="17FD96D4" w14:textId="77777777" w:rsidR="00880F0C" w:rsidRPr="00E027E7" w:rsidRDefault="00880F0C" w:rsidP="00880F0C">
      <w:pPr>
        <w:tabs>
          <w:tab w:val="center" w:pos="4320"/>
          <w:tab w:val="right" w:pos="8640"/>
        </w:tabs>
        <w:rPr>
          <w:rFonts w:asciiTheme="minorHAnsi" w:hAnsiTheme="minorHAnsi"/>
          <w:szCs w:val="24"/>
          <w:lang w:val="en-US"/>
        </w:rPr>
      </w:pPr>
    </w:p>
    <w:p w14:paraId="768FEFE5" w14:textId="77777777" w:rsidR="00880F0C" w:rsidRPr="00E027E7" w:rsidRDefault="00880F0C" w:rsidP="00880F0C">
      <w:pPr>
        <w:numPr>
          <w:ilvl w:val="0"/>
          <w:numId w:val="14"/>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High quality sensitivity</w:t>
      </w:r>
    </w:p>
    <w:p w14:paraId="0AF31CD4" w14:textId="77777777" w:rsidR="00880F0C" w:rsidRPr="00E027E7" w:rsidRDefault="00880F0C" w:rsidP="00880F0C">
      <w:pPr>
        <w:numPr>
          <w:ilvl w:val="0"/>
          <w:numId w:val="14"/>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Medium quality sensitivity</w:t>
      </w:r>
    </w:p>
    <w:p w14:paraId="2BA5B594" w14:textId="77777777" w:rsidR="00880F0C" w:rsidRPr="00E027E7" w:rsidRDefault="00880F0C" w:rsidP="00880F0C">
      <w:pPr>
        <w:numPr>
          <w:ilvl w:val="0"/>
          <w:numId w:val="14"/>
        </w:num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E027E7">
        <w:rPr>
          <w:rFonts w:asciiTheme="minorHAnsi" w:hAnsiTheme="minorHAnsi"/>
          <w:szCs w:val="24"/>
          <w:lang w:val="en-US"/>
        </w:rPr>
        <w:t>Lesser quality sensitivity</w:t>
      </w:r>
    </w:p>
    <w:p w14:paraId="0F33A9F6" w14:textId="77777777" w:rsidR="00880F0C" w:rsidRPr="00E027E7" w:rsidRDefault="00880F0C" w:rsidP="00880F0C">
      <w:pPr>
        <w:rPr>
          <w:rFonts w:asciiTheme="minorHAnsi" w:hAnsiTheme="minorHAnsi"/>
          <w:szCs w:val="24"/>
          <w:lang w:val="en-US"/>
        </w:rPr>
      </w:pPr>
    </w:p>
    <w:p w14:paraId="4C0C08E0"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t>The quality standards of specific documents are identified below.</w:t>
      </w:r>
    </w:p>
    <w:p w14:paraId="6DBE1BB2"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t xml:space="preserve">The quality sensitivity standard of a document should not limit its quality. The fact that a document is regarded as having “low quality sensitivity” does not mean that it should be of low quality. It may, in fact, and should, where possible, be of high quality. </w:t>
      </w:r>
    </w:p>
    <w:p w14:paraId="00979BEC" w14:textId="77777777" w:rsidR="00880F0C" w:rsidRPr="00E027E7" w:rsidRDefault="00880F0C" w:rsidP="00880F0C">
      <w:pPr>
        <w:rPr>
          <w:rFonts w:asciiTheme="minorHAnsi" w:eastAsia="SimSun" w:hAnsiTheme="minorHAnsi"/>
          <w:color w:val="000000"/>
          <w:szCs w:val="24"/>
          <w:lang w:val="en-US"/>
        </w:rPr>
      </w:pPr>
      <w:r w:rsidRPr="00E027E7">
        <w:rPr>
          <w:rFonts w:asciiTheme="minorHAnsi" w:eastAsia="SimSun" w:hAnsiTheme="minorHAnsi"/>
          <w:color w:val="000000"/>
          <w:szCs w:val="24"/>
          <w:lang w:val="en-US"/>
        </w:rPr>
        <w:t xml:space="preserve">The implications of quality sensitivity standards relate not to the document itself, but rather to the manner in which it is produced. In other words, the </w:t>
      </w:r>
      <w:r w:rsidRPr="00E027E7">
        <w:rPr>
          <w:rFonts w:asciiTheme="minorHAnsi" w:eastAsia="SimSun" w:hAnsiTheme="minorHAnsi"/>
          <w:color w:val="000000"/>
          <w:szCs w:val="24"/>
          <w:u w:val="single"/>
          <w:lang w:val="en-US"/>
        </w:rPr>
        <w:t>identified</w:t>
      </w:r>
      <w:r w:rsidRPr="00E027E7">
        <w:rPr>
          <w:rFonts w:asciiTheme="minorHAnsi" w:eastAsia="SimSun" w:hAnsiTheme="minorHAnsi"/>
          <w:color w:val="000000"/>
          <w:szCs w:val="24"/>
          <w:lang w:val="en-US"/>
        </w:rPr>
        <w:t xml:space="preserve"> quality sensitivity of a document would be reflected in the </w:t>
      </w:r>
      <w:r w:rsidRPr="00E027E7">
        <w:rPr>
          <w:rFonts w:asciiTheme="minorHAnsi" w:eastAsia="SimSun" w:hAnsiTheme="minorHAnsi"/>
          <w:color w:val="000000"/>
          <w:szCs w:val="24"/>
          <w:u w:val="single"/>
          <w:lang w:val="en-US"/>
        </w:rPr>
        <w:t>C&amp;P’s internal processing</w:t>
      </w:r>
      <w:r w:rsidRPr="00E027E7">
        <w:rPr>
          <w:rFonts w:asciiTheme="minorHAnsi" w:eastAsia="SimSun" w:hAnsiTheme="minorHAnsi"/>
          <w:color w:val="000000"/>
          <w:szCs w:val="24"/>
          <w:lang w:val="en-US"/>
        </w:rPr>
        <w:t xml:space="preserve"> and production of the document, </w:t>
      </w:r>
      <w:r w:rsidRPr="00E027E7">
        <w:rPr>
          <w:rFonts w:asciiTheme="minorHAnsi" w:eastAsia="SimSun" w:hAnsiTheme="minorHAnsi"/>
          <w:color w:val="000000"/>
          <w:szCs w:val="24"/>
          <w:u w:val="single"/>
          <w:lang w:val="en-US"/>
        </w:rPr>
        <w:t>taking account of the resources available to it at the time of production,</w:t>
      </w:r>
      <w:r w:rsidRPr="00E027E7">
        <w:rPr>
          <w:rFonts w:asciiTheme="minorHAnsi" w:eastAsia="SimSun" w:hAnsiTheme="minorHAnsi"/>
          <w:color w:val="000000"/>
          <w:szCs w:val="24"/>
          <w:lang w:val="en-US"/>
        </w:rPr>
        <w:t xml:space="preserve"> as illustrated in the following tables.</w:t>
      </w:r>
    </w:p>
    <w:p w14:paraId="53454FF3" w14:textId="77777777" w:rsidR="00880F0C" w:rsidRPr="00E027E7" w:rsidRDefault="00880F0C" w:rsidP="00880F0C">
      <w:pPr>
        <w:rPr>
          <w:rFonts w:asciiTheme="minorHAnsi" w:eastAsia="SimSun" w:hAnsiTheme="minorHAnsi"/>
          <w:color w:val="000000"/>
          <w:szCs w:val="24"/>
          <w:lang w:val="en-US"/>
        </w:rPr>
      </w:pPr>
    </w:p>
    <w:p w14:paraId="2519055B" w14:textId="77777777" w:rsidR="00880F0C" w:rsidRPr="00E027E7" w:rsidRDefault="00880F0C" w:rsidP="00880F0C">
      <w:pPr>
        <w:rPr>
          <w:rFonts w:asciiTheme="minorHAnsi" w:eastAsia="SimSun" w:hAnsiTheme="minorHAnsi"/>
          <w:color w:val="000000"/>
          <w:szCs w:val="24"/>
          <w:lang w:val="en-US"/>
        </w:rPr>
      </w:pPr>
    </w:p>
    <w:p w14:paraId="343C1CDE" w14:textId="77777777" w:rsidR="00880F0C" w:rsidRPr="00E027E7" w:rsidRDefault="00880F0C" w:rsidP="00880F0C">
      <w:pPr>
        <w:rPr>
          <w:rFonts w:asciiTheme="minorHAnsi" w:hAnsiTheme="minorHAnsi"/>
          <w:szCs w:val="24"/>
          <w:lang w:val="en-US"/>
        </w:rPr>
      </w:pPr>
      <w:r w:rsidRPr="00E027E7">
        <w:rPr>
          <w:rFonts w:asciiTheme="minorHAnsi" w:hAnsiTheme="minorHAnsi"/>
          <w:szCs w:val="24"/>
          <w:lang w:val="en-US"/>
        </w:rPr>
        <w:br w:type="page"/>
      </w:r>
      <w:r w:rsidRPr="00E027E7">
        <w:rPr>
          <w:rFonts w:asciiTheme="minorHAnsi" w:hAnsiTheme="minorHAnsi"/>
          <w:b/>
          <w:bCs/>
          <w:szCs w:val="24"/>
          <w:lang w:val="en-US"/>
        </w:rPr>
        <w:t>Document preparation</w:t>
      </w:r>
      <w:r w:rsidRPr="00E027E7">
        <w:rPr>
          <w:rFonts w:asciiTheme="minorHAnsi" w:hAnsiTheme="minorHAnsi"/>
          <w:szCs w:val="24"/>
          <w:lang w:val="en-US"/>
        </w:rPr>
        <w:t xml:space="preserve"> </w:t>
      </w:r>
    </w:p>
    <w:p w14:paraId="012C4EFD" w14:textId="77777777" w:rsidR="00880F0C" w:rsidRPr="00E027E7" w:rsidRDefault="00880F0C" w:rsidP="00880F0C">
      <w:pPr>
        <w:rPr>
          <w:rFonts w:asciiTheme="minorHAnsi" w:hAnsiTheme="minorHAnsi"/>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977"/>
        <w:gridCol w:w="1843"/>
        <w:gridCol w:w="1842"/>
        <w:gridCol w:w="1843"/>
      </w:tblGrid>
      <w:tr w:rsidR="00880F0C" w:rsidRPr="00E027E7" w14:paraId="709E89A3" w14:textId="77777777" w:rsidTr="00880F0C">
        <w:tc>
          <w:tcPr>
            <w:tcW w:w="1704" w:type="dxa"/>
            <w:shd w:val="clear" w:color="auto" w:fill="E6E6E6"/>
            <w:vAlign w:val="center"/>
          </w:tcPr>
          <w:p w14:paraId="1BDEE753"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Quality sensitivity level</w:t>
            </w:r>
          </w:p>
        </w:tc>
        <w:tc>
          <w:tcPr>
            <w:tcW w:w="1977" w:type="dxa"/>
            <w:shd w:val="clear" w:color="auto" w:fill="E6E6E6"/>
            <w:vAlign w:val="center"/>
          </w:tcPr>
          <w:p w14:paraId="515D2375"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Project management</w:t>
            </w:r>
          </w:p>
        </w:tc>
        <w:tc>
          <w:tcPr>
            <w:tcW w:w="1843" w:type="dxa"/>
            <w:shd w:val="clear" w:color="auto" w:fill="E6E6E6"/>
            <w:vAlign w:val="center"/>
          </w:tcPr>
          <w:p w14:paraId="7D262FB5"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Drafting</w:t>
            </w:r>
          </w:p>
        </w:tc>
        <w:tc>
          <w:tcPr>
            <w:tcW w:w="1842" w:type="dxa"/>
            <w:shd w:val="clear" w:color="auto" w:fill="E6E6E6"/>
            <w:vAlign w:val="center"/>
          </w:tcPr>
          <w:p w14:paraId="3D012000"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Editing</w:t>
            </w:r>
          </w:p>
        </w:tc>
        <w:tc>
          <w:tcPr>
            <w:tcW w:w="1843" w:type="dxa"/>
            <w:shd w:val="clear" w:color="auto" w:fill="E6E6E6"/>
            <w:vAlign w:val="center"/>
          </w:tcPr>
          <w:p w14:paraId="6F35738B"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Internal review</w:t>
            </w:r>
          </w:p>
        </w:tc>
      </w:tr>
      <w:tr w:rsidR="00880F0C" w:rsidRPr="00E027E7" w14:paraId="4AB8048E" w14:textId="77777777" w:rsidTr="00880F0C">
        <w:trPr>
          <w:cantSplit/>
        </w:trPr>
        <w:tc>
          <w:tcPr>
            <w:tcW w:w="1704" w:type="dxa"/>
            <w:vAlign w:val="center"/>
          </w:tcPr>
          <w:p w14:paraId="0D133305"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High</w:t>
            </w:r>
          </w:p>
        </w:tc>
        <w:tc>
          <w:tcPr>
            <w:tcW w:w="1977" w:type="dxa"/>
            <w:vMerge w:val="restart"/>
            <w:vAlign w:val="center"/>
          </w:tcPr>
          <w:p w14:paraId="34990396"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This activity is essential in all drafting projects, regardless of quality sensitivity. It is here that quality standard policy in respect of document preparation is applied, and that the process is managed to ensure compliance with content, length, deadline and presentation requirements, which should not be affected by different levels of quality requirements.</w:t>
            </w:r>
          </w:p>
        </w:tc>
        <w:tc>
          <w:tcPr>
            <w:tcW w:w="1843" w:type="dxa"/>
            <w:vAlign w:val="center"/>
          </w:tcPr>
          <w:p w14:paraId="6D2B50E1"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 xml:space="preserve">Requires excellent technical and drafting skills. Must be monitored while in progress to take timely remedial measures. May involve intermediate submissions, successive drafts, etc. </w:t>
            </w:r>
          </w:p>
        </w:tc>
        <w:tc>
          <w:tcPr>
            <w:tcW w:w="1842" w:type="dxa"/>
            <w:vAlign w:val="center"/>
          </w:tcPr>
          <w:p w14:paraId="31CABB34"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Essential, regardless of drafting quality. Should compensate for any technical or drafting deficiencies, and ensure that the original document is suitable for publication.</w:t>
            </w:r>
          </w:p>
        </w:tc>
        <w:tc>
          <w:tcPr>
            <w:tcW w:w="1843" w:type="dxa"/>
            <w:vAlign w:val="center"/>
          </w:tcPr>
          <w:p w14:paraId="497C9048"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Essential, and should not be delegated to other than a senior official. Should, where appropriate, involve consultations with other units.</w:t>
            </w:r>
          </w:p>
        </w:tc>
      </w:tr>
      <w:tr w:rsidR="00880F0C" w:rsidRPr="00E027E7" w14:paraId="266DEE49" w14:textId="77777777" w:rsidTr="00880F0C">
        <w:trPr>
          <w:cantSplit/>
        </w:trPr>
        <w:tc>
          <w:tcPr>
            <w:tcW w:w="1704" w:type="dxa"/>
            <w:vAlign w:val="center"/>
          </w:tcPr>
          <w:p w14:paraId="109392BB"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Medium</w:t>
            </w:r>
          </w:p>
        </w:tc>
        <w:tc>
          <w:tcPr>
            <w:tcW w:w="1977" w:type="dxa"/>
            <w:vMerge/>
            <w:vAlign w:val="center"/>
          </w:tcPr>
          <w:p w14:paraId="0870CCEE" w14:textId="77777777" w:rsidR="00880F0C" w:rsidRPr="00E027E7" w:rsidRDefault="00880F0C" w:rsidP="00E21D90">
            <w:pPr>
              <w:rPr>
                <w:rFonts w:asciiTheme="minorHAnsi" w:hAnsiTheme="minorHAnsi"/>
                <w:sz w:val="20"/>
                <w:szCs w:val="24"/>
                <w:lang w:val="en-US"/>
              </w:rPr>
            </w:pPr>
          </w:p>
        </w:tc>
        <w:tc>
          <w:tcPr>
            <w:tcW w:w="1843" w:type="dxa"/>
            <w:vAlign w:val="center"/>
          </w:tcPr>
          <w:p w14:paraId="6A727464"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Requires good technical and drafting skills. May require monitoring.</w:t>
            </w:r>
          </w:p>
        </w:tc>
        <w:tc>
          <w:tcPr>
            <w:tcW w:w="1842" w:type="dxa"/>
            <w:vAlign w:val="center"/>
          </w:tcPr>
          <w:p w14:paraId="43E8076E"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 only if needed to compensate for technical or drafting deficiencies.</w:t>
            </w:r>
          </w:p>
        </w:tc>
        <w:tc>
          <w:tcPr>
            <w:tcW w:w="1843" w:type="dxa"/>
            <w:vAlign w:val="center"/>
          </w:tcPr>
          <w:p w14:paraId="3771DE67"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Advisable, but may be delegated to an expert. Can be replaced by adequate prior briefing of Author.</w:t>
            </w:r>
          </w:p>
        </w:tc>
      </w:tr>
      <w:tr w:rsidR="00880F0C" w:rsidRPr="00E027E7" w14:paraId="643143AE" w14:textId="77777777" w:rsidTr="00880F0C">
        <w:trPr>
          <w:cantSplit/>
        </w:trPr>
        <w:tc>
          <w:tcPr>
            <w:tcW w:w="1704" w:type="dxa"/>
            <w:vAlign w:val="center"/>
          </w:tcPr>
          <w:p w14:paraId="625B2A54"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Lesser</w:t>
            </w:r>
          </w:p>
        </w:tc>
        <w:tc>
          <w:tcPr>
            <w:tcW w:w="1977" w:type="dxa"/>
            <w:vMerge/>
            <w:vAlign w:val="center"/>
          </w:tcPr>
          <w:p w14:paraId="5E73C11D" w14:textId="77777777" w:rsidR="00880F0C" w:rsidRPr="00E027E7" w:rsidRDefault="00880F0C" w:rsidP="00E21D90">
            <w:pPr>
              <w:rPr>
                <w:rFonts w:asciiTheme="minorHAnsi" w:hAnsiTheme="minorHAnsi"/>
                <w:sz w:val="20"/>
                <w:szCs w:val="24"/>
                <w:lang w:val="en-US"/>
              </w:rPr>
            </w:pPr>
          </w:p>
        </w:tc>
        <w:tc>
          <w:tcPr>
            <w:tcW w:w="1843" w:type="dxa"/>
            <w:vAlign w:val="center"/>
          </w:tcPr>
          <w:p w14:paraId="19C4654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Requires a clear understanding of the document’s purpose.</w:t>
            </w:r>
          </w:p>
        </w:tc>
        <w:tc>
          <w:tcPr>
            <w:tcW w:w="1842" w:type="dxa"/>
            <w:vAlign w:val="center"/>
          </w:tcPr>
          <w:p w14:paraId="1E6D41C9"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 only if needed to compensate for significant drafting deficiencies.</w:t>
            </w:r>
          </w:p>
        </w:tc>
        <w:tc>
          <w:tcPr>
            <w:tcW w:w="1843" w:type="dxa"/>
            <w:vAlign w:val="center"/>
          </w:tcPr>
          <w:p w14:paraId="6081875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Discretionary or cursory.</w:t>
            </w:r>
          </w:p>
        </w:tc>
      </w:tr>
    </w:tbl>
    <w:p w14:paraId="50FE63D2" w14:textId="77777777" w:rsidR="00880F0C" w:rsidRPr="00E027E7" w:rsidRDefault="00880F0C" w:rsidP="00880F0C">
      <w:pPr>
        <w:rPr>
          <w:rFonts w:asciiTheme="minorHAnsi" w:hAnsiTheme="minorHAnsi"/>
          <w:szCs w:val="24"/>
          <w:lang w:val="en-US"/>
        </w:rPr>
      </w:pPr>
    </w:p>
    <w:p w14:paraId="5107F5B9" w14:textId="77777777" w:rsidR="00880F0C" w:rsidRPr="00E027E7" w:rsidRDefault="00880F0C" w:rsidP="00880F0C">
      <w:pPr>
        <w:keepNext/>
        <w:spacing w:before="240" w:after="60"/>
        <w:outlineLvl w:val="0"/>
        <w:rPr>
          <w:rFonts w:asciiTheme="minorHAnsi" w:hAnsiTheme="minorHAnsi" w:cs="Arial"/>
          <w:b/>
          <w:bCs/>
          <w:kern w:val="32"/>
          <w:sz w:val="32"/>
          <w:szCs w:val="32"/>
          <w:lang w:val="en-US"/>
        </w:rPr>
      </w:pPr>
      <w:r w:rsidRPr="00E027E7">
        <w:rPr>
          <w:rFonts w:asciiTheme="minorHAnsi" w:hAnsiTheme="minorHAnsi" w:cs="Arial"/>
          <w:b/>
          <w:bCs/>
          <w:kern w:val="32"/>
          <w:sz w:val="32"/>
          <w:szCs w:val="32"/>
          <w:lang w:val="en-US"/>
        </w:rPr>
        <w:t>Document production – Translation</w:t>
      </w:r>
    </w:p>
    <w:p w14:paraId="396A8DD4" w14:textId="77777777" w:rsidR="00880F0C" w:rsidRPr="00E027E7" w:rsidRDefault="00880F0C" w:rsidP="00880F0C">
      <w:pPr>
        <w:rPr>
          <w:rFonts w:asciiTheme="minorHAnsi" w:hAnsiTheme="minorHAnsi"/>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842"/>
        <w:gridCol w:w="1701"/>
        <w:gridCol w:w="1701"/>
        <w:gridCol w:w="1701"/>
      </w:tblGrid>
      <w:tr w:rsidR="00880F0C" w:rsidRPr="00E027E7" w14:paraId="7206F098" w14:textId="77777777" w:rsidTr="00880F0C">
        <w:tc>
          <w:tcPr>
            <w:tcW w:w="2122" w:type="dxa"/>
            <w:shd w:val="clear" w:color="auto" w:fill="E6E6E6"/>
            <w:vAlign w:val="center"/>
          </w:tcPr>
          <w:p w14:paraId="47CFCCC4"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Quality sensitivity level</w:t>
            </w:r>
          </w:p>
        </w:tc>
        <w:tc>
          <w:tcPr>
            <w:tcW w:w="1842" w:type="dxa"/>
            <w:shd w:val="clear" w:color="auto" w:fill="E6E6E6"/>
            <w:vAlign w:val="center"/>
          </w:tcPr>
          <w:p w14:paraId="09EF5160"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Referencing</w:t>
            </w:r>
          </w:p>
        </w:tc>
        <w:tc>
          <w:tcPr>
            <w:tcW w:w="1701" w:type="dxa"/>
            <w:shd w:val="clear" w:color="auto" w:fill="E6E6E6"/>
            <w:vAlign w:val="center"/>
          </w:tcPr>
          <w:p w14:paraId="3D117F01"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Editing</w:t>
            </w:r>
          </w:p>
        </w:tc>
        <w:tc>
          <w:tcPr>
            <w:tcW w:w="1701" w:type="dxa"/>
            <w:shd w:val="clear" w:color="auto" w:fill="E6E6E6"/>
            <w:vAlign w:val="center"/>
          </w:tcPr>
          <w:p w14:paraId="63422CDE"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Revision</w:t>
            </w:r>
          </w:p>
        </w:tc>
        <w:tc>
          <w:tcPr>
            <w:tcW w:w="1701" w:type="dxa"/>
            <w:shd w:val="clear" w:color="auto" w:fill="E6E6E6"/>
            <w:vAlign w:val="center"/>
          </w:tcPr>
          <w:p w14:paraId="7CC022E0"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Multilingual Checking</w:t>
            </w:r>
          </w:p>
        </w:tc>
      </w:tr>
      <w:tr w:rsidR="00880F0C" w:rsidRPr="00E027E7" w14:paraId="6C34C502" w14:textId="77777777" w:rsidTr="00880F0C">
        <w:tc>
          <w:tcPr>
            <w:tcW w:w="2122" w:type="dxa"/>
            <w:vAlign w:val="center"/>
          </w:tcPr>
          <w:p w14:paraId="0F48F5ED"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High</w:t>
            </w:r>
          </w:p>
        </w:tc>
        <w:tc>
          <w:tcPr>
            <w:tcW w:w="1842" w:type="dxa"/>
            <w:vAlign w:val="center"/>
          </w:tcPr>
          <w:p w14:paraId="7D0F3E90"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701" w:type="dxa"/>
            <w:vAlign w:val="center"/>
          </w:tcPr>
          <w:p w14:paraId="4CE026BA"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701" w:type="dxa"/>
            <w:vAlign w:val="center"/>
          </w:tcPr>
          <w:p w14:paraId="4E3A96B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 whether translated by junior or senior translators</w:t>
            </w:r>
          </w:p>
        </w:tc>
        <w:tc>
          <w:tcPr>
            <w:tcW w:w="1701" w:type="dxa"/>
            <w:vAlign w:val="center"/>
          </w:tcPr>
          <w:p w14:paraId="38B3FE6F"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r>
      <w:tr w:rsidR="00880F0C" w:rsidRPr="00E027E7" w14:paraId="37A2A438" w14:textId="77777777" w:rsidTr="00880F0C">
        <w:tc>
          <w:tcPr>
            <w:tcW w:w="2122" w:type="dxa"/>
            <w:vAlign w:val="center"/>
          </w:tcPr>
          <w:p w14:paraId="3F76D204"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Medium</w:t>
            </w:r>
          </w:p>
        </w:tc>
        <w:tc>
          <w:tcPr>
            <w:tcW w:w="1842" w:type="dxa"/>
            <w:vAlign w:val="center"/>
          </w:tcPr>
          <w:p w14:paraId="4C63B9B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701" w:type="dxa"/>
            <w:vAlign w:val="center"/>
          </w:tcPr>
          <w:p w14:paraId="28D7BE21"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c>
          <w:tcPr>
            <w:tcW w:w="1701" w:type="dxa"/>
            <w:vAlign w:val="center"/>
          </w:tcPr>
          <w:p w14:paraId="77A5B101"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 when translated by junior translators</w:t>
            </w:r>
          </w:p>
        </w:tc>
        <w:tc>
          <w:tcPr>
            <w:tcW w:w="1701" w:type="dxa"/>
            <w:vAlign w:val="center"/>
          </w:tcPr>
          <w:p w14:paraId="2A847C55"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r>
      <w:tr w:rsidR="00880F0C" w:rsidRPr="00E027E7" w14:paraId="096DBF96" w14:textId="77777777" w:rsidTr="00880F0C">
        <w:tc>
          <w:tcPr>
            <w:tcW w:w="2122" w:type="dxa"/>
            <w:vAlign w:val="center"/>
          </w:tcPr>
          <w:p w14:paraId="7582BBED"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Lesser</w:t>
            </w:r>
          </w:p>
        </w:tc>
        <w:tc>
          <w:tcPr>
            <w:tcW w:w="1842" w:type="dxa"/>
            <w:vAlign w:val="center"/>
          </w:tcPr>
          <w:p w14:paraId="33706D28"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c>
          <w:tcPr>
            <w:tcW w:w="1701" w:type="dxa"/>
            <w:vAlign w:val="center"/>
          </w:tcPr>
          <w:p w14:paraId="7B186D5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None</w:t>
            </w:r>
          </w:p>
        </w:tc>
        <w:tc>
          <w:tcPr>
            <w:tcW w:w="1701" w:type="dxa"/>
            <w:vAlign w:val="center"/>
          </w:tcPr>
          <w:p w14:paraId="7326E22A"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c>
          <w:tcPr>
            <w:tcW w:w="1701" w:type="dxa"/>
            <w:vAlign w:val="center"/>
          </w:tcPr>
          <w:p w14:paraId="35BF5D5E"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None</w:t>
            </w:r>
          </w:p>
        </w:tc>
      </w:tr>
    </w:tbl>
    <w:p w14:paraId="349A1263" w14:textId="77777777" w:rsidR="00880F0C" w:rsidRPr="00E027E7" w:rsidRDefault="00880F0C" w:rsidP="00880F0C">
      <w:pPr>
        <w:keepNext/>
        <w:spacing w:before="240" w:after="60"/>
        <w:outlineLvl w:val="0"/>
        <w:rPr>
          <w:rFonts w:asciiTheme="minorHAnsi" w:hAnsiTheme="minorHAnsi" w:cs="Arial"/>
          <w:b/>
          <w:bCs/>
          <w:kern w:val="32"/>
          <w:sz w:val="32"/>
          <w:szCs w:val="32"/>
          <w:lang w:val="en-US"/>
        </w:rPr>
      </w:pPr>
      <w:bookmarkStart w:id="6" w:name="_Toc228673611"/>
      <w:r w:rsidRPr="00E027E7">
        <w:rPr>
          <w:rFonts w:asciiTheme="minorHAnsi" w:hAnsiTheme="minorHAnsi" w:cs="Arial"/>
          <w:b/>
          <w:bCs/>
          <w:kern w:val="32"/>
          <w:sz w:val="32"/>
          <w:szCs w:val="32"/>
          <w:lang w:val="en-US"/>
        </w:rPr>
        <w:t>Document production – Text processing</w:t>
      </w:r>
      <w:bookmarkEnd w:id="6"/>
    </w:p>
    <w:p w14:paraId="15C028B9" w14:textId="77777777" w:rsidR="00880F0C" w:rsidRPr="00E027E7" w:rsidRDefault="00880F0C" w:rsidP="00880F0C">
      <w:pPr>
        <w:rPr>
          <w:rFonts w:asciiTheme="minorHAnsi" w:hAnsiTheme="minorHAnsi"/>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974"/>
        <w:gridCol w:w="1843"/>
        <w:gridCol w:w="1842"/>
      </w:tblGrid>
      <w:tr w:rsidR="00880F0C" w:rsidRPr="00E027E7" w14:paraId="0C1AEA26" w14:textId="77777777" w:rsidTr="00880F0C">
        <w:tc>
          <w:tcPr>
            <w:tcW w:w="1704" w:type="dxa"/>
            <w:shd w:val="clear" w:color="auto" w:fill="E6E6E6"/>
            <w:vAlign w:val="center"/>
          </w:tcPr>
          <w:p w14:paraId="07E702FF"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Quality sensitivity level</w:t>
            </w:r>
          </w:p>
        </w:tc>
        <w:tc>
          <w:tcPr>
            <w:tcW w:w="1974" w:type="dxa"/>
            <w:shd w:val="clear" w:color="auto" w:fill="E6E6E6"/>
            <w:vAlign w:val="center"/>
          </w:tcPr>
          <w:p w14:paraId="4CE9DE64" w14:textId="77777777" w:rsidR="00880F0C" w:rsidRPr="00E027E7" w:rsidRDefault="00880F0C" w:rsidP="00E21D90">
            <w:pPr>
              <w:jc w:val="center"/>
              <w:rPr>
                <w:rFonts w:asciiTheme="minorHAnsi" w:hAnsiTheme="minorHAnsi"/>
                <w:b/>
                <w:bCs/>
                <w:sz w:val="20"/>
                <w:szCs w:val="24"/>
                <w:lang w:val="fr-FR"/>
              </w:rPr>
            </w:pPr>
            <w:r w:rsidRPr="00E027E7">
              <w:rPr>
                <w:rFonts w:asciiTheme="minorHAnsi" w:hAnsiTheme="minorHAnsi"/>
                <w:b/>
                <w:bCs/>
                <w:sz w:val="20"/>
                <w:szCs w:val="24"/>
                <w:lang w:val="fr-FR"/>
              </w:rPr>
              <w:t>Lecture à deux</w:t>
            </w:r>
          </w:p>
        </w:tc>
        <w:tc>
          <w:tcPr>
            <w:tcW w:w="1843" w:type="dxa"/>
            <w:shd w:val="clear" w:color="auto" w:fill="E6E6E6"/>
            <w:vAlign w:val="center"/>
          </w:tcPr>
          <w:p w14:paraId="430591BF"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Proofreading</w:t>
            </w:r>
          </w:p>
        </w:tc>
        <w:tc>
          <w:tcPr>
            <w:tcW w:w="1842" w:type="dxa"/>
            <w:shd w:val="clear" w:color="auto" w:fill="E6E6E6"/>
            <w:vAlign w:val="center"/>
          </w:tcPr>
          <w:p w14:paraId="47B52A0C" w14:textId="77777777" w:rsidR="00880F0C" w:rsidRPr="00E027E7" w:rsidRDefault="00880F0C" w:rsidP="00E21D90">
            <w:pPr>
              <w:jc w:val="center"/>
              <w:rPr>
                <w:rFonts w:asciiTheme="minorHAnsi" w:hAnsiTheme="minorHAnsi"/>
                <w:b/>
                <w:bCs/>
                <w:sz w:val="20"/>
                <w:szCs w:val="24"/>
                <w:lang w:val="en-US"/>
              </w:rPr>
            </w:pPr>
            <w:r w:rsidRPr="00E027E7">
              <w:rPr>
                <w:rFonts w:asciiTheme="minorHAnsi" w:hAnsiTheme="minorHAnsi"/>
                <w:b/>
                <w:bCs/>
                <w:sz w:val="20"/>
                <w:szCs w:val="24"/>
                <w:lang w:val="en-US"/>
              </w:rPr>
              <w:t>Consultation with editor/reviser</w:t>
            </w:r>
          </w:p>
        </w:tc>
      </w:tr>
      <w:tr w:rsidR="00880F0C" w:rsidRPr="00E027E7" w14:paraId="0103F973" w14:textId="77777777" w:rsidTr="00880F0C">
        <w:tc>
          <w:tcPr>
            <w:tcW w:w="1704" w:type="dxa"/>
            <w:vAlign w:val="center"/>
          </w:tcPr>
          <w:p w14:paraId="7F957AD5"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High</w:t>
            </w:r>
          </w:p>
        </w:tc>
        <w:tc>
          <w:tcPr>
            <w:tcW w:w="1974" w:type="dxa"/>
            <w:vAlign w:val="center"/>
          </w:tcPr>
          <w:p w14:paraId="33E4C1F2"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843" w:type="dxa"/>
            <w:vAlign w:val="center"/>
          </w:tcPr>
          <w:p w14:paraId="69F124CC"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842" w:type="dxa"/>
            <w:vAlign w:val="center"/>
          </w:tcPr>
          <w:p w14:paraId="631D95AD"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r>
      <w:tr w:rsidR="00880F0C" w:rsidRPr="00E027E7" w14:paraId="737ED92E" w14:textId="77777777" w:rsidTr="00880F0C">
        <w:tc>
          <w:tcPr>
            <w:tcW w:w="1704" w:type="dxa"/>
            <w:vAlign w:val="center"/>
          </w:tcPr>
          <w:p w14:paraId="10855DF6"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Medium</w:t>
            </w:r>
          </w:p>
        </w:tc>
        <w:tc>
          <w:tcPr>
            <w:tcW w:w="1974" w:type="dxa"/>
            <w:vAlign w:val="center"/>
          </w:tcPr>
          <w:p w14:paraId="2BF88D99"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843" w:type="dxa"/>
            <w:vAlign w:val="center"/>
          </w:tcPr>
          <w:p w14:paraId="795CE405"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c>
          <w:tcPr>
            <w:tcW w:w="1842" w:type="dxa"/>
            <w:vAlign w:val="center"/>
          </w:tcPr>
          <w:p w14:paraId="7BA491EB"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Optional</w:t>
            </w:r>
          </w:p>
        </w:tc>
      </w:tr>
      <w:tr w:rsidR="00880F0C" w:rsidRPr="00E027E7" w14:paraId="2C05AD45" w14:textId="77777777" w:rsidTr="00880F0C">
        <w:tc>
          <w:tcPr>
            <w:tcW w:w="1704" w:type="dxa"/>
            <w:vAlign w:val="center"/>
          </w:tcPr>
          <w:p w14:paraId="645EC0CE" w14:textId="77777777" w:rsidR="00880F0C" w:rsidRPr="00E027E7" w:rsidRDefault="00880F0C" w:rsidP="00E21D90">
            <w:pPr>
              <w:jc w:val="center"/>
              <w:rPr>
                <w:rFonts w:asciiTheme="minorHAnsi" w:hAnsiTheme="minorHAnsi"/>
                <w:sz w:val="20"/>
                <w:szCs w:val="24"/>
                <w:lang w:val="en-US"/>
              </w:rPr>
            </w:pPr>
            <w:r w:rsidRPr="00E027E7">
              <w:rPr>
                <w:rFonts w:asciiTheme="minorHAnsi" w:hAnsiTheme="minorHAnsi"/>
                <w:sz w:val="20"/>
                <w:szCs w:val="24"/>
                <w:lang w:val="en-US"/>
              </w:rPr>
              <w:t>Lesser</w:t>
            </w:r>
          </w:p>
        </w:tc>
        <w:tc>
          <w:tcPr>
            <w:tcW w:w="1974" w:type="dxa"/>
            <w:vAlign w:val="center"/>
          </w:tcPr>
          <w:p w14:paraId="7C5D3569"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Required</w:t>
            </w:r>
          </w:p>
        </w:tc>
        <w:tc>
          <w:tcPr>
            <w:tcW w:w="1843" w:type="dxa"/>
            <w:vAlign w:val="center"/>
          </w:tcPr>
          <w:p w14:paraId="1ED6E9B8"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None</w:t>
            </w:r>
          </w:p>
        </w:tc>
        <w:tc>
          <w:tcPr>
            <w:tcW w:w="1842" w:type="dxa"/>
            <w:vAlign w:val="center"/>
          </w:tcPr>
          <w:p w14:paraId="35D0F2F7" w14:textId="77777777" w:rsidR="00880F0C" w:rsidRPr="00E027E7" w:rsidRDefault="00880F0C" w:rsidP="00E21D90">
            <w:pPr>
              <w:rPr>
                <w:rFonts w:asciiTheme="minorHAnsi" w:hAnsiTheme="minorHAnsi"/>
                <w:sz w:val="20"/>
                <w:szCs w:val="24"/>
                <w:lang w:val="en-US"/>
              </w:rPr>
            </w:pPr>
            <w:r w:rsidRPr="00E027E7">
              <w:rPr>
                <w:rFonts w:asciiTheme="minorHAnsi" w:hAnsiTheme="minorHAnsi"/>
                <w:sz w:val="20"/>
                <w:szCs w:val="24"/>
                <w:lang w:val="en-US"/>
              </w:rPr>
              <w:t>None</w:t>
            </w:r>
          </w:p>
        </w:tc>
      </w:tr>
    </w:tbl>
    <w:p w14:paraId="70D50B1A" w14:textId="77777777" w:rsidR="00880F0C" w:rsidRPr="00E027E7" w:rsidRDefault="00880F0C" w:rsidP="00880F0C">
      <w:pPr>
        <w:keepNext/>
        <w:spacing w:before="240" w:after="60"/>
        <w:outlineLvl w:val="0"/>
        <w:rPr>
          <w:rFonts w:asciiTheme="minorHAnsi" w:hAnsiTheme="minorHAnsi" w:cs="Arial"/>
          <w:b/>
          <w:bCs/>
          <w:kern w:val="32"/>
          <w:sz w:val="32"/>
          <w:szCs w:val="32"/>
          <w:lang w:val="en-US"/>
        </w:rPr>
      </w:pPr>
      <w:r w:rsidRPr="00E027E7">
        <w:rPr>
          <w:rFonts w:asciiTheme="minorHAnsi" w:hAnsiTheme="minorHAnsi" w:cs="Arial"/>
          <w:b/>
          <w:bCs/>
          <w:kern w:val="32"/>
          <w:sz w:val="32"/>
          <w:szCs w:val="32"/>
          <w:lang w:val="en-US"/>
        </w:rPr>
        <w:t>Indication of quality sensitivity levels for translations</w:t>
      </w:r>
    </w:p>
    <w:p w14:paraId="3817D8E2" w14:textId="77777777" w:rsidR="00880F0C" w:rsidRPr="00E027E7" w:rsidRDefault="00880F0C" w:rsidP="00880F0C">
      <w:pPr>
        <w:rPr>
          <w:rFonts w:asciiTheme="minorHAnsi" w:hAnsiTheme="minorHAnsi"/>
          <w:lang w:val="en-US"/>
        </w:rPr>
      </w:pPr>
      <w:r w:rsidRPr="00E027E7">
        <w:rPr>
          <w:rFonts w:asciiTheme="minorHAnsi" w:hAnsiTheme="minorHAnsi"/>
          <w:lang w:val="en-US"/>
        </w:rPr>
        <w:t>Services are encouraged to indicate the quality sensitivity of the document for which they are requesting a translation. When selecting the level, it should be borne in mind the fact that:</w:t>
      </w:r>
    </w:p>
    <w:p w14:paraId="05E83A6F" w14:textId="77777777" w:rsidR="00880F0C" w:rsidRPr="00E027E7" w:rsidRDefault="00880F0C" w:rsidP="00880F0C">
      <w:pPr>
        <w:pStyle w:val="ListParagraph"/>
        <w:numPr>
          <w:ilvl w:val="0"/>
          <w:numId w:val="15"/>
        </w:numPr>
        <w:tabs>
          <w:tab w:val="clear" w:pos="794"/>
          <w:tab w:val="clear" w:pos="1191"/>
          <w:tab w:val="clear" w:pos="1588"/>
          <w:tab w:val="clear" w:pos="1985"/>
        </w:tabs>
        <w:overflowPunct/>
        <w:autoSpaceDE/>
        <w:autoSpaceDN/>
        <w:adjustRightInd/>
        <w:spacing w:before="0" w:after="160" w:line="259" w:lineRule="auto"/>
        <w:textAlignment w:val="auto"/>
        <w:rPr>
          <w:rFonts w:asciiTheme="minorHAnsi" w:hAnsiTheme="minorHAnsi"/>
          <w:lang w:val="en-US"/>
        </w:rPr>
      </w:pPr>
      <w:r w:rsidRPr="00E027E7">
        <w:rPr>
          <w:rFonts w:asciiTheme="minorHAnsi" w:hAnsiTheme="minorHAnsi"/>
          <w:lang w:val="en-US"/>
        </w:rPr>
        <w:t xml:space="preserve">the translation itself will anyway be of high quality, </w:t>
      </w:r>
    </w:p>
    <w:p w14:paraId="3916701E" w14:textId="77777777" w:rsidR="00880F0C" w:rsidRPr="00E027E7" w:rsidRDefault="00880F0C" w:rsidP="00880F0C">
      <w:pPr>
        <w:pStyle w:val="ListParagraph"/>
        <w:numPr>
          <w:ilvl w:val="0"/>
          <w:numId w:val="15"/>
        </w:numPr>
        <w:tabs>
          <w:tab w:val="clear" w:pos="794"/>
          <w:tab w:val="clear" w:pos="1191"/>
          <w:tab w:val="clear" w:pos="1588"/>
          <w:tab w:val="clear" w:pos="1985"/>
        </w:tabs>
        <w:overflowPunct/>
        <w:autoSpaceDE/>
        <w:autoSpaceDN/>
        <w:adjustRightInd/>
        <w:spacing w:before="0" w:after="160" w:line="259" w:lineRule="auto"/>
        <w:textAlignment w:val="auto"/>
        <w:rPr>
          <w:rFonts w:asciiTheme="minorHAnsi" w:hAnsiTheme="minorHAnsi"/>
          <w:lang w:val="en-US"/>
        </w:rPr>
      </w:pPr>
      <w:r w:rsidRPr="00E027E7">
        <w:rPr>
          <w:rFonts w:asciiTheme="minorHAnsi" w:hAnsiTheme="minorHAnsi"/>
          <w:lang w:val="en-US"/>
        </w:rPr>
        <w:t xml:space="preserve">the translation process and resources used, and hence the cost of translation, will depend on the quality sensitivity level that is selected. </w:t>
      </w:r>
    </w:p>
    <w:p w14:paraId="2CD806CA" w14:textId="77777777" w:rsidR="00880F0C" w:rsidRPr="00E027E7" w:rsidRDefault="00880F0C" w:rsidP="00880F0C">
      <w:pPr>
        <w:pStyle w:val="ListParagraph"/>
        <w:numPr>
          <w:ilvl w:val="0"/>
          <w:numId w:val="15"/>
        </w:numPr>
        <w:tabs>
          <w:tab w:val="clear" w:pos="794"/>
          <w:tab w:val="clear" w:pos="1191"/>
          <w:tab w:val="clear" w:pos="1588"/>
          <w:tab w:val="clear" w:pos="1985"/>
        </w:tabs>
        <w:overflowPunct/>
        <w:autoSpaceDE/>
        <w:autoSpaceDN/>
        <w:adjustRightInd/>
        <w:spacing w:before="0" w:after="160" w:line="259" w:lineRule="auto"/>
        <w:textAlignment w:val="auto"/>
        <w:rPr>
          <w:rFonts w:asciiTheme="minorHAnsi" w:hAnsiTheme="minorHAnsi"/>
          <w:lang w:val="en-US"/>
        </w:rPr>
      </w:pPr>
      <w:r w:rsidRPr="00E027E7">
        <w:rPr>
          <w:rFonts w:asciiTheme="minorHAnsi" w:hAnsiTheme="minorHAnsi"/>
          <w:lang w:val="en-US"/>
        </w:rPr>
        <w:t>Cost and speed</w:t>
      </w:r>
    </w:p>
    <w:p w14:paraId="76894FB1" w14:textId="77777777" w:rsidR="00880F0C" w:rsidRPr="00E027E7" w:rsidRDefault="00880F0C" w:rsidP="00525C13">
      <w:pPr>
        <w:rPr>
          <w:rFonts w:asciiTheme="minorHAnsi" w:hAnsiTheme="minorHAnsi"/>
          <w:lang w:val="en-US"/>
        </w:rPr>
      </w:pPr>
      <w:r w:rsidRPr="00E027E7">
        <w:rPr>
          <w:rFonts w:asciiTheme="minorHAnsi" w:hAnsiTheme="minorHAnsi"/>
          <w:lang w:val="en-US"/>
        </w:rPr>
        <w:t xml:space="preserve">In general, it is up to the service requesting the translation to decide if they wish for their document to go through the referencing, editing, revision or multilingual verification stages, depending on factors such as budget, life span of the document, intended audience, sensitiveness of the content and desired translation delay. </w:t>
      </w:r>
    </w:p>
    <w:p w14:paraId="02408D7B" w14:textId="3D4515CE" w:rsidR="00DD5C68" w:rsidRPr="00E027E7" w:rsidRDefault="00880F0C" w:rsidP="00525C13">
      <w:pPr>
        <w:rPr>
          <w:rFonts w:asciiTheme="minorHAnsi" w:hAnsiTheme="minorHAnsi"/>
          <w:lang w:val="en-US"/>
        </w:rPr>
      </w:pPr>
      <w:r w:rsidRPr="00E027E7">
        <w:rPr>
          <w:rFonts w:asciiTheme="minorHAnsi" w:hAnsiTheme="minorHAnsi"/>
          <w:lang w:val="en-US"/>
        </w:rPr>
        <w:t>It is not convenient to assign a default quality-sensitivity level to each of the existing ITU document types, as each document type may be used for different purposes. It would, however, be expected that legal framework documents and documents related to treaty meetings be assigned a High quality-sensitivity level, that documents related to obligations and rights or those with financial or policy content be assigned at least the Medium level, and that documents with narrative content can be assigned the Lesser level.</w:t>
      </w:r>
    </w:p>
    <w:p w14:paraId="3E2F8262" w14:textId="77777777" w:rsidR="00525C13" w:rsidRPr="00E027E7" w:rsidRDefault="00525C13" w:rsidP="00DD5C68">
      <w:pPr>
        <w:spacing w:after="120"/>
        <w:rPr>
          <w:rFonts w:asciiTheme="minorHAnsi" w:eastAsia="SimSun" w:hAnsiTheme="minorHAnsi" w:cstheme="minorHAnsi"/>
          <w:b/>
          <w:bCs/>
          <w:szCs w:val="24"/>
        </w:rPr>
      </w:pPr>
    </w:p>
    <w:p w14:paraId="6D4184F3" w14:textId="77777777" w:rsidR="001D4C27" w:rsidRPr="00E027E7" w:rsidRDefault="001D4C27" w:rsidP="00DD5C68">
      <w:pPr>
        <w:spacing w:after="120"/>
        <w:rPr>
          <w:rFonts w:asciiTheme="minorHAnsi" w:eastAsia="SimSun" w:hAnsiTheme="minorHAnsi" w:cstheme="minorHAnsi"/>
          <w:b/>
          <w:bCs/>
          <w:szCs w:val="24"/>
        </w:rPr>
      </w:pPr>
      <w:r w:rsidRPr="00E027E7">
        <w:rPr>
          <w:rFonts w:asciiTheme="minorHAnsi" w:eastAsia="SimSun" w:hAnsiTheme="minorHAnsi" w:cstheme="minorHAnsi"/>
          <w:b/>
          <w:bCs/>
          <w:szCs w:val="24"/>
        </w:rPr>
        <w:t>2</w:t>
      </w:r>
      <w:r w:rsidRPr="00E027E7">
        <w:rPr>
          <w:rFonts w:asciiTheme="minorHAnsi" w:eastAsia="SimSun" w:hAnsiTheme="minorHAnsi" w:cstheme="minorHAnsi"/>
          <w:b/>
          <w:bCs/>
          <w:szCs w:val="24"/>
        </w:rPr>
        <w:tab/>
      </w:r>
      <w:r w:rsidRPr="00E027E7">
        <w:rPr>
          <w:rFonts w:asciiTheme="minorHAnsi" w:hAnsiTheme="minorHAnsi" w:cstheme="minorHAnsi"/>
          <w:b/>
          <w:bCs/>
          <w:szCs w:val="24"/>
          <w:lang w:val="en-US"/>
        </w:rPr>
        <w:t>Update on UN organizations management of web pages</w:t>
      </w:r>
    </w:p>
    <w:p w14:paraId="1E625A50" w14:textId="77777777" w:rsidR="00525C13" w:rsidRPr="00E027E7" w:rsidRDefault="00525C13" w:rsidP="00DD5C68">
      <w:pPr>
        <w:spacing w:after="120"/>
        <w:rPr>
          <w:rFonts w:asciiTheme="minorHAnsi" w:hAnsiTheme="minorHAnsi" w:cstheme="minorHAnsi"/>
          <w:szCs w:val="24"/>
          <w:lang w:val="en-US"/>
        </w:rPr>
      </w:pPr>
    </w:p>
    <w:p w14:paraId="05964143" w14:textId="6DDC5E03" w:rsidR="001D4C27" w:rsidRPr="00E027E7" w:rsidRDefault="001D4C27" w:rsidP="00DD5C68">
      <w:pPr>
        <w:spacing w:after="120"/>
        <w:rPr>
          <w:rFonts w:asciiTheme="minorHAnsi" w:hAnsiTheme="minorHAnsi" w:cstheme="minorHAnsi"/>
          <w:szCs w:val="24"/>
          <w:lang w:val="en-US"/>
        </w:rPr>
      </w:pPr>
      <w:r w:rsidRPr="00E027E7">
        <w:rPr>
          <w:rFonts w:asciiTheme="minorHAnsi" w:hAnsiTheme="minorHAnsi" w:cstheme="minorHAnsi"/>
          <w:szCs w:val="24"/>
          <w:lang w:val="en-US"/>
        </w:rPr>
        <w:t>For information on what other similar organizations do and benchmarking, ITU is an active member of the International Annual Meeting on Language Arrangements, Documentation and Publications (IAMLADP) and of the Joint Inter-Agency Meeting on Computer-Assisted Translation and Terminology (JIAMCATT). IAMLADP is an international forum and network of managers of international organizations employing conference and l</w:t>
      </w:r>
      <w:r w:rsidR="00886EB7" w:rsidRPr="00E027E7">
        <w:rPr>
          <w:rFonts w:asciiTheme="minorHAnsi" w:hAnsiTheme="minorHAnsi" w:cstheme="minorHAnsi"/>
          <w:szCs w:val="24"/>
          <w:lang w:val="en-US"/>
        </w:rPr>
        <w:t>anguage service providers. The annual m</w:t>
      </w:r>
      <w:r w:rsidRPr="00E027E7">
        <w:rPr>
          <w:rFonts w:asciiTheme="minorHAnsi" w:hAnsiTheme="minorHAnsi" w:cstheme="minorHAnsi"/>
          <w:szCs w:val="24"/>
          <w:lang w:val="en-US"/>
        </w:rPr>
        <w:t xml:space="preserve">eetings bring together managers from over 80 member organizations to share knowledge and experiences and discuss subjects of common interest. </w:t>
      </w:r>
    </w:p>
    <w:p w14:paraId="705258DD" w14:textId="77777777" w:rsidR="001D4C27" w:rsidRPr="00E027E7" w:rsidRDefault="001D4C27" w:rsidP="00DD5C68">
      <w:pPr>
        <w:spacing w:after="120"/>
        <w:rPr>
          <w:rFonts w:asciiTheme="minorHAnsi" w:hAnsiTheme="minorHAnsi" w:cstheme="minorHAnsi"/>
          <w:szCs w:val="24"/>
          <w:lang w:val="en-US"/>
        </w:rPr>
      </w:pPr>
      <w:r w:rsidRPr="00E027E7">
        <w:rPr>
          <w:rFonts w:asciiTheme="minorHAnsi" w:hAnsiTheme="minorHAnsi" w:cstheme="minorHAnsi"/>
          <w:szCs w:val="24"/>
          <w:lang w:val="en-US"/>
        </w:rPr>
        <w:t xml:space="preserve">IAMLADP’ Working Group on Language Services mandate is to exchange information and develop good practices in regard to common challenges facing the language services of member organizations in the fields of interpretation, translation, editing, précis-writing and all related activities. </w:t>
      </w:r>
    </w:p>
    <w:p w14:paraId="222818F6" w14:textId="16C507D7" w:rsidR="001D4C27" w:rsidRPr="00E027E7" w:rsidRDefault="001D4C27" w:rsidP="00DD5C68">
      <w:pPr>
        <w:spacing w:after="120"/>
        <w:rPr>
          <w:rFonts w:asciiTheme="minorHAnsi" w:hAnsiTheme="minorHAnsi" w:cstheme="minorHAnsi"/>
          <w:szCs w:val="24"/>
          <w:lang w:val="en-US"/>
        </w:rPr>
      </w:pPr>
      <w:r w:rsidRPr="00E027E7">
        <w:rPr>
          <w:rFonts w:asciiTheme="minorHAnsi" w:hAnsiTheme="minorHAnsi" w:cstheme="minorHAnsi"/>
          <w:szCs w:val="24"/>
          <w:lang w:val="en-US"/>
        </w:rPr>
        <w:t>In the framework of IAMLADP’s Working Group on Languages, ITU launched a new topic for discussion</w:t>
      </w:r>
      <w:r w:rsidR="00886EB7" w:rsidRPr="00E027E7">
        <w:rPr>
          <w:rFonts w:asciiTheme="minorHAnsi" w:hAnsiTheme="minorHAnsi" w:cstheme="minorHAnsi"/>
          <w:szCs w:val="24"/>
          <w:lang w:val="en-US"/>
        </w:rPr>
        <w:t>:</w:t>
      </w:r>
      <w:r w:rsidRPr="00E027E7">
        <w:rPr>
          <w:rFonts w:asciiTheme="minorHAnsi" w:hAnsiTheme="minorHAnsi" w:cstheme="minorHAnsi"/>
          <w:szCs w:val="24"/>
          <w:lang w:val="en-US"/>
        </w:rPr>
        <w:t xml:space="preserve"> how IAMLADP organizations deal with Web translation/Publication. To date, only two replies were received, but members indicated that they were very interested in this topic and were planning to look into it in depth.</w:t>
      </w:r>
    </w:p>
    <w:p w14:paraId="018065CE" w14:textId="77777777" w:rsidR="00DD5C68" w:rsidRPr="00E027E7" w:rsidRDefault="00DD5C68" w:rsidP="00DD5C68">
      <w:pPr>
        <w:spacing w:after="120"/>
        <w:rPr>
          <w:rFonts w:asciiTheme="minorHAnsi" w:hAnsiTheme="minorHAnsi" w:cstheme="minorHAnsi"/>
          <w:b/>
          <w:bCs/>
          <w:szCs w:val="24"/>
          <w:lang w:val="en-US"/>
        </w:rPr>
      </w:pPr>
    </w:p>
    <w:p w14:paraId="775266D0" w14:textId="3B04F634" w:rsidR="001D4C27" w:rsidRPr="00E027E7" w:rsidRDefault="001D4C27" w:rsidP="00E027E7">
      <w:pPr>
        <w:keepNext/>
        <w:keepLines/>
        <w:spacing w:after="120"/>
        <w:rPr>
          <w:rFonts w:asciiTheme="minorHAnsi" w:hAnsiTheme="minorHAnsi" w:cstheme="minorHAnsi"/>
          <w:b/>
          <w:bCs/>
          <w:szCs w:val="24"/>
          <w:lang w:val="en-US"/>
        </w:rPr>
      </w:pPr>
      <w:r w:rsidRPr="00E027E7">
        <w:rPr>
          <w:rFonts w:asciiTheme="minorHAnsi" w:hAnsiTheme="minorHAnsi" w:cstheme="minorHAnsi"/>
          <w:b/>
          <w:bCs/>
          <w:szCs w:val="24"/>
          <w:lang w:val="en-US"/>
        </w:rPr>
        <w:t>3</w:t>
      </w:r>
      <w:r w:rsidRPr="00E027E7">
        <w:rPr>
          <w:rFonts w:asciiTheme="minorHAnsi" w:hAnsiTheme="minorHAnsi" w:cstheme="minorHAnsi"/>
          <w:b/>
          <w:bCs/>
          <w:szCs w:val="24"/>
          <w:lang w:val="en-US"/>
        </w:rPr>
        <w:tab/>
        <w:t xml:space="preserve">Status of pilot projects on automatic translation, web content management, </w:t>
      </w:r>
      <w:r w:rsidRPr="00E027E7">
        <w:rPr>
          <w:rFonts w:asciiTheme="minorHAnsi" w:hAnsiTheme="minorHAnsi" w:cstheme="minorHAnsi"/>
          <w:b/>
          <w:bCs/>
          <w:szCs w:val="24"/>
          <w:lang w:val="en-US"/>
        </w:rPr>
        <w:tab/>
      </w:r>
      <w:r w:rsidRPr="00E027E7">
        <w:rPr>
          <w:rFonts w:asciiTheme="minorHAnsi" w:hAnsiTheme="minorHAnsi" w:cstheme="minorHAnsi"/>
          <w:b/>
          <w:bCs/>
          <w:szCs w:val="24"/>
          <w:lang w:val="en-US"/>
        </w:rPr>
        <w:tab/>
      </w:r>
      <w:r w:rsidRPr="00E027E7">
        <w:rPr>
          <w:rFonts w:asciiTheme="minorHAnsi" w:hAnsiTheme="minorHAnsi" w:cstheme="minorHAnsi"/>
          <w:b/>
          <w:bCs/>
          <w:szCs w:val="24"/>
          <w:lang w:val="en-US"/>
        </w:rPr>
        <w:tab/>
        <w:t>translation of webpages by Membe</w:t>
      </w:r>
      <w:r w:rsidR="00DD5C68" w:rsidRPr="00E027E7">
        <w:rPr>
          <w:rFonts w:asciiTheme="minorHAnsi" w:hAnsiTheme="minorHAnsi" w:cstheme="minorHAnsi"/>
          <w:b/>
          <w:bCs/>
          <w:szCs w:val="24"/>
          <w:lang w:val="en-US"/>
        </w:rPr>
        <w:t>r States, remote interpretation</w:t>
      </w:r>
    </w:p>
    <w:p w14:paraId="40591ECF" w14:textId="77777777" w:rsidR="00DD5C68" w:rsidRPr="00E027E7" w:rsidRDefault="00DD5C68" w:rsidP="00E027E7">
      <w:pPr>
        <w:keepNext/>
        <w:keepLines/>
        <w:spacing w:after="120"/>
        <w:rPr>
          <w:rFonts w:asciiTheme="minorHAnsi" w:hAnsiTheme="minorHAnsi" w:cstheme="minorHAnsi"/>
          <w:b/>
          <w:bCs/>
          <w:szCs w:val="24"/>
          <w:lang w:val="en-US"/>
        </w:rPr>
      </w:pPr>
    </w:p>
    <w:p w14:paraId="44FC78AB" w14:textId="2BEF3342" w:rsidR="001D4C27" w:rsidRPr="00E027E7" w:rsidRDefault="001D4C27" w:rsidP="00E027E7">
      <w:pPr>
        <w:keepNext/>
        <w:keepLines/>
        <w:spacing w:after="120"/>
        <w:rPr>
          <w:rFonts w:asciiTheme="minorHAnsi" w:hAnsiTheme="minorHAnsi" w:cstheme="minorHAnsi"/>
          <w:szCs w:val="24"/>
          <w:lang w:val="en-US"/>
        </w:rPr>
      </w:pPr>
      <w:r w:rsidRPr="00E027E7">
        <w:rPr>
          <w:rFonts w:asciiTheme="minorHAnsi" w:hAnsiTheme="minorHAnsi" w:cstheme="minorHAnsi"/>
          <w:b/>
          <w:bCs/>
          <w:szCs w:val="24"/>
          <w:lang w:val="en-US"/>
        </w:rPr>
        <w:t>Remote interpretation</w:t>
      </w:r>
      <w:r w:rsidRPr="00E027E7">
        <w:rPr>
          <w:rFonts w:asciiTheme="minorHAnsi" w:hAnsiTheme="minorHAnsi" w:cstheme="minorHAnsi"/>
          <w:szCs w:val="24"/>
          <w:lang w:val="en-US"/>
        </w:rPr>
        <w:t>: The Group discussed the lessons learnt from the remote interpretation pilot which was conducted on</w:t>
      </w:r>
      <w:r w:rsidR="00886EB7" w:rsidRPr="00E027E7">
        <w:rPr>
          <w:rFonts w:asciiTheme="minorHAnsi" w:hAnsiTheme="minorHAnsi" w:cstheme="minorHAnsi"/>
          <w:szCs w:val="24"/>
          <w:lang w:val="en-US"/>
        </w:rPr>
        <w:t xml:space="preserve"> the</w:t>
      </w:r>
      <w:r w:rsidRPr="00E027E7">
        <w:rPr>
          <w:rFonts w:asciiTheme="minorHAnsi" w:hAnsiTheme="minorHAnsi" w:cstheme="minorHAnsi"/>
          <w:szCs w:val="24"/>
          <w:lang w:val="en-US"/>
        </w:rPr>
        <w:t xml:space="preserve"> occasion of ITU TELECOM in Bangkok in 2016. A second trial will be arranged in Q1 2018 at a small-scale event in a region, an event at which </w:t>
      </w:r>
      <w:r w:rsidR="00DD5C68" w:rsidRPr="00E027E7">
        <w:rPr>
          <w:rFonts w:asciiTheme="minorHAnsi" w:hAnsiTheme="minorHAnsi" w:cstheme="minorHAnsi"/>
          <w:szCs w:val="24"/>
          <w:lang w:val="en-US"/>
        </w:rPr>
        <w:t>interpretation</w:t>
      </w:r>
      <w:r w:rsidRPr="00E027E7">
        <w:rPr>
          <w:rFonts w:asciiTheme="minorHAnsi" w:hAnsiTheme="minorHAnsi" w:cstheme="minorHAnsi"/>
          <w:szCs w:val="24"/>
          <w:lang w:val="en-US"/>
        </w:rPr>
        <w:t xml:space="preserve"> services </w:t>
      </w:r>
      <w:r w:rsidR="00DD5C68" w:rsidRPr="00E027E7">
        <w:rPr>
          <w:rFonts w:asciiTheme="minorHAnsi" w:hAnsiTheme="minorHAnsi" w:cstheme="minorHAnsi"/>
          <w:szCs w:val="24"/>
          <w:lang w:val="en-US"/>
        </w:rPr>
        <w:t>would</w:t>
      </w:r>
      <w:r w:rsidRPr="00E027E7">
        <w:rPr>
          <w:rFonts w:asciiTheme="minorHAnsi" w:hAnsiTheme="minorHAnsi" w:cstheme="minorHAnsi"/>
          <w:szCs w:val="24"/>
          <w:lang w:val="en-US"/>
        </w:rPr>
        <w:t xml:space="preserve"> not normally be offered. The technology provider “Interprefy” that conducted the first trial will be request</w:t>
      </w:r>
      <w:r w:rsidR="00886EB7" w:rsidRPr="00E027E7">
        <w:rPr>
          <w:rFonts w:asciiTheme="minorHAnsi" w:hAnsiTheme="minorHAnsi" w:cstheme="minorHAnsi"/>
          <w:szCs w:val="24"/>
          <w:lang w:val="en-US"/>
        </w:rPr>
        <w:t>ed</w:t>
      </w:r>
      <w:r w:rsidRPr="00E027E7">
        <w:rPr>
          <w:rFonts w:asciiTheme="minorHAnsi" w:hAnsiTheme="minorHAnsi" w:cstheme="minorHAnsi"/>
          <w:szCs w:val="24"/>
          <w:lang w:val="en-US"/>
        </w:rPr>
        <w:t xml:space="preserve"> to conduct </w:t>
      </w:r>
      <w:r w:rsidR="008D5AFC" w:rsidRPr="00E027E7">
        <w:rPr>
          <w:rFonts w:asciiTheme="minorHAnsi" w:hAnsiTheme="minorHAnsi" w:cstheme="minorHAnsi"/>
          <w:szCs w:val="24"/>
          <w:lang w:val="en-US"/>
        </w:rPr>
        <w:t xml:space="preserve">another </w:t>
      </w:r>
      <w:r w:rsidRPr="00E027E7">
        <w:rPr>
          <w:rFonts w:asciiTheme="minorHAnsi" w:hAnsiTheme="minorHAnsi" w:cstheme="minorHAnsi"/>
          <w:szCs w:val="24"/>
          <w:lang w:val="en-US"/>
        </w:rPr>
        <w:t xml:space="preserve">trial again free of charge, and other potential suppliers will be contacted. </w:t>
      </w:r>
      <w:r w:rsidR="00886EB7" w:rsidRPr="00E027E7">
        <w:rPr>
          <w:rFonts w:asciiTheme="minorHAnsi" w:hAnsiTheme="minorHAnsi" w:cstheme="minorHAnsi"/>
          <w:szCs w:val="24"/>
          <w:lang w:val="en-US"/>
        </w:rPr>
        <w:t xml:space="preserve">The </w:t>
      </w:r>
      <w:r w:rsidR="00525C13" w:rsidRPr="00E027E7">
        <w:rPr>
          <w:rFonts w:asciiTheme="minorHAnsi" w:hAnsiTheme="minorHAnsi" w:cstheme="minorHAnsi"/>
          <w:szCs w:val="24"/>
          <w:lang w:val="en-US"/>
        </w:rPr>
        <w:t>group</w:t>
      </w:r>
      <w:r w:rsidRPr="00E027E7">
        <w:rPr>
          <w:rFonts w:asciiTheme="minorHAnsi" w:hAnsiTheme="minorHAnsi" w:cstheme="minorHAnsi"/>
          <w:szCs w:val="24"/>
          <w:lang w:val="en-US"/>
        </w:rPr>
        <w:t xml:space="preserve"> </w:t>
      </w:r>
      <w:r w:rsidR="00525C13" w:rsidRPr="00E027E7">
        <w:rPr>
          <w:rFonts w:asciiTheme="minorHAnsi" w:hAnsiTheme="minorHAnsi" w:cstheme="minorHAnsi"/>
          <w:szCs w:val="24"/>
          <w:lang w:val="en-US"/>
        </w:rPr>
        <w:t xml:space="preserve">has </w:t>
      </w:r>
      <w:r w:rsidRPr="00E027E7">
        <w:rPr>
          <w:rFonts w:asciiTheme="minorHAnsi" w:hAnsiTheme="minorHAnsi" w:cstheme="minorHAnsi"/>
          <w:szCs w:val="24"/>
          <w:lang w:val="en-US"/>
        </w:rPr>
        <w:t>also update</w:t>
      </w:r>
      <w:r w:rsidR="00525C13" w:rsidRPr="00E027E7">
        <w:rPr>
          <w:rFonts w:asciiTheme="minorHAnsi" w:hAnsiTheme="minorHAnsi" w:cstheme="minorHAnsi"/>
          <w:szCs w:val="24"/>
          <w:lang w:val="en-US"/>
        </w:rPr>
        <w:t>d</w:t>
      </w:r>
      <w:r w:rsidRPr="00E027E7">
        <w:rPr>
          <w:rFonts w:asciiTheme="minorHAnsi" w:hAnsiTheme="minorHAnsi" w:cstheme="minorHAnsi"/>
          <w:szCs w:val="24"/>
          <w:lang w:val="en-US"/>
        </w:rPr>
        <w:t xml:space="preserve"> the guideline on management of events using interpretation service so as to optimize the use of interpretation resources.</w:t>
      </w:r>
    </w:p>
    <w:p w14:paraId="35FFB3E1" w14:textId="77777777" w:rsidR="00DD5C68" w:rsidRPr="00E027E7" w:rsidRDefault="00DD5C68" w:rsidP="00DD5C68">
      <w:pPr>
        <w:spacing w:after="120"/>
        <w:rPr>
          <w:rFonts w:asciiTheme="minorHAnsi" w:hAnsiTheme="minorHAnsi" w:cstheme="minorHAnsi"/>
          <w:b/>
          <w:bCs/>
          <w:szCs w:val="24"/>
          <w:lang w:val="en-US"/>
        </w:rPr>
      </w:pPr>
    </w:p>
    <w:p w14:paraId="24AE066C" w14:textId="489BC381" w:rsidR="001D4C27" w:rsidRPr="00E027E7" w:rsidRDefault="001D4C27" w:rsidP="00C453BE">
      <w:pPr>
        <w:spacing w:after="120"/>
        <w:rPr>
          <w:rFonts w:asciiTheme="minorHAnsi" w:hAnsiTheme="minorHAnsi" w:cstheme="minorHAnsi"/>
          <w:szCs w:val="24"/>
          <w:lang w:val="en-US"/>
        </w:rPr>
      </w:pPr>
      <w:r w:rsidRPr="00E027E7">
        <w:rPr>
          <w:rFonts w:asciiTheme="minorHAnsi" w:hAnsiTheme="minorHAnsi" w:cstheme="minorHAnsi"/>
          <w:b/>
          <w:bCs/>
          <w:szCs w:val="24"/>
          <w:lang w:val="en-US"/>
        </w:rPr>
        <w:t>Pilot project for the translation of webpages with the help of some administrations</w:t>
      </w:r>
      <w:r w:rsidR="00886EB7" w:rsidRPr="00E027E7">
        <w:rPr>
          <w:rFonts w:asciiTheme="minorHAnsi" w:hAnsiTheme="minorHAnsi" w:cstheme="minorHAnsi"/>
          <w:b/>
          <w:bCs/>
          <w:szCs w:val="24"/>
          <w:lang w:val="en-US"/>
        </w:rPr>
        <w:t>:</w:t>
      </w:r>
      <w:r w:rsidRPr="00E027E7">
        <w:rPr>
          <w:rFonts w:asciiTheme="minorHAnsi" w:hAnsiTheme="minorHAnsi" w:cstheme="minorHAnsi"/>
          <w:szCs w:val="24"/>
          <w:lang w:val="en-US"/>
        </w:rPr>
        <w:t xml:space="preserve"> In order to make this methodology cost effective and </w:t>
      </w:r>
      <w:r w:rsidR="008D5AFC" w:rsidRPr="00E027E7">
        <w:rPr>
          <w:rFonts w:asciiTheme="minorHAnsi" w:hAnsiTheme="minorHAnsi" w:cstheme="minorHAnsi"/>
          <w:szCs w:val="24"/>
          <w:lang w:val="en-US"/>
        </w:rPr>
        <w:t>timely</w:t>
      </w:r>
      <w:r w:rsidRPr="00E027E7">
        <w:rPr>
          <w:rFonts w:asciiTheme="minorHAnsi" w:hAnsiTheme="minorHAnsi" w:cstheme="minorHAnsi"/>
          <w:szCs w:val="24"/>
          <w:lang w:val="en-US"/>
        </w:rPr>
        <w:t xml:space="preserve">, further effort </w:t>
      </w:r>
      <w:r w:rsidR="008D5AFC" w:rsidRPr="00E027E7">
        <w:rPr>
          <w:rFonts w:asciiTheme="minorHAnsi" w:hAnsiTheme="minorHAnsi" w:cstheme="minorHAnsi"/>
          <w:szCs w:val="24"/>
          <w:lang w:val="en-US"/>
        </w:rPr>
        <w:t>is necessary</w:t>
      </w:r>
      <w:r w:rsidRPr="00E027E7">
        <w:rPr>
          <w:rFonts w:asciiTheme="minorHAnsi" w:hAnsiTheme="minorHAnsi" w:cstheme="minorHAnsi"/>
          <w:szCs w:val="24"/>
          <w:lang w:val="en-US"/>
        </w:rPr>
        <w:t xml:space="preserve"> to improve the quality of the translations</w:t>
      </w:r>
      <w:r w:rsidR="00E43BE2" w:rsidRPr="00E027E7">
        <w:rPr>
          <w:rFonts w:asciiTheme="minorHAnsi" w:hAnsiTheme="minorHAnsi" w:cstheme="minorHAnsi"/>
          <w:szCs w:val="24"/>
          <w:lang w:val="en-US"/>
        </w:rPr>
        <w:t xml:space="preserve"> to </w:t>
      </w:r>
      <w:r w:rsidRPr="00E027E7">
        <w:rPr>
          <w:rFonts w:asciiTheme="minorHAnsi" w:hAnsiTheme="minorHAnsi" w:cstheme="minorHAnsi"/>
          <w:szCs w:val="24"/>
          <w:lang w:val="en-US"/>
        </w:rPr>
        <w:t>avoid the necessity of further processing by the ITU translation sections</w:t>
      </w:r>
      <w:r w:rsidR="00C453BE" w:rsidRPr="00E027E7">
        <w:rPr>
          <w:rFonts w:asciiTheme="minorHAnsi" w:hAnsiTheme="minorHAnsi" w:cstheme="minorHAnsi"/>
          <w:szCs w:val="24"/>
          <w:lang w:val="en-US"/>
        </w:rPr>
        <w:t xml:space="preserve">, and rely on </w:t>
      </w:r>
      <w:r w:rsidR="00E43BE2" w:rsidRPr="00E027E7">
        <w:rPr>
          <w:rFonts w:asciiTheme="minorHAnsi" w:hAnsiTheme="minorHAnsi" w:cstheme="minorHAnsi"/>
          <w:szCs w:val="24"/>
          <w:lang w:val="en-US"/>
        </w:rPr>
        <w:t>the</w:t>
      </w:r>
      <w:r w:rsidRPr="00E027E7">
        <w:rPr>
          <w:rFonts w:asciiTheme="minorHAnsi" w:hAnsiTheme="minorHAnsi" w:cstheme="minorHAnsi"/>
          <w:szCs w:val="24"/>
          <w:lang w:val="en-US"/>
        </w:rPr>
        <w:t xml:space="preserve"> </w:t>
      </w:r>
      <w:r w:rsidR="00C453BE" w:rsidRPr="00E027E7">
        <w:rPr>
          <w:rFonts w:asciiTheme="minorHAnsi" w:hAnsiTheme="minorHAnsi" w:cstheme="minorHAnsi"/>
          <w:szCs w:val="24"/>
          <w:lang w:val="en-US"/>
        </w:rPr>
        <w:t xml:space="preserve">responsible </w:t>
      </w:r>
      <w:r w:rsidRPr="00E027E7">
        <w:rPr>
          <w:rFonts w:asciiTheme="minorHAnsi" w:hAnsiTheme="minorHAnsi" w:cstheme="minorHAnsi"/>
          <w:szCs w:val="24"/>
          <w:lang w:val="en-US"/>
        </w:rPr>
        <w:t xml:space="preserve">Member States </w:t>
      </w:r>
      <w:r w:rsidR="00C453BE" w:rsidRPr="00E027E7">
        <w:rPr>
          <w:rFonts w:asciiTheme="minorHAnsi" w:hAnsiTheme="minorHAnsi" w:cstheme="minorHAnsi"/>
          <w:szCs w:val="24"/>
          <w:lang w:val="en-US"/>
        </w:rPr>
        <w:t>itself</w:t>
      </w:r>
      <w:r w:rsidR="00E43BE2" w:rsidRPr="00E027E7">
        <w:rPr>
          <w:rFonts w:asciiTheme="minorHAnsi" w:hAnsiTheme="minorHAnsi" w:cstheme="minorHAnsi"/>
          <w:szCs w:val="24"/>
          <w:lang w:val="en-US"/>
        </w:rPr>
        <w:t xml:space="preserve"> to </w:t>
      </w:r>
      <w:r w:rsidRPr="00E027E7">
        <w:rPr>
          <w:rFonts w:asciiTheme="minorHAnsi" w:hAnsiTheme="minorHAnsi" w:cstheme="minorHAnsi"/>
          <w:szCs w:val="24"/>
          <w:lang w:val="en-US"/>
        </w:rPr>
        <w:t xml:space="preserve">verify whether the quality is sufficient </w:t>
      </w:r>
      <w:r w:rsidR="00E43BE2" w:rsidRPr="00E027E7">
        <w:rPr>
          <w:rFonts w:asciiTheme="minorHAnsi" w:hAnsiTheme="minorHAnsi" w:cstheme="minorHAnsi"/>
          <w:szCs w:val="24"/>
          <w:lang w:val="en-US"/>
        </w:rPr>
        <w:t xml:space="preserve">and </w:t>
      </w:r>
      <w:r w:rsidR="00C453BE" w:rsidRPr="00E027E7">
        <w:rPr>
          <w:rFonts w:asciiTheme="minorHAnsi" w:hAnsiTheme="minorHAnsi" w:cstheme="minorHAnsi"/>
          <w:szCs w:val="24"/>
          <w:lang w:val="en-US"/>
        </w:rPr>
        <w:t xml:space="preserve">if so </w:t>
      </w:r>
      <w:r w:rsidR="00E43BE2" w:rsidRPr="00E027E7">
        <w:rPr>
          <w:rFonts w:asciiTheme="minorHAnsi" w:hAnsiTheme="minorHAnsi" w:cstheme="minorHAnsi"/>
          <w:szCs w:val="24"/>
          <w:lang w:val="en-US"/>
        </w:rPr>
        <w:t xml:space="preserve">to post the translated webpages directly themselves </w:t>
      </w:r>
      <w:r w:rsidRPr="00E027E7">
        <w:rPr>
          <w:rFonts w:asciiTheme="minorHAnsi" w:hAnsiTheme="minorHAnsi" w:cstheme="minorHAnsi"/>
          <w:szCs w:val="24"/>
          <w:lang w:val="en-US"/>
        </w:rPr>
        <w:t xml:space="preserve">on the ITU website. </w:t>
      </w:r>
      <w:r w:rsidR="00E43BE2" w:rsidRPr="00E027E7">
        <w:rPr>
          <w:rFonts w:asciiTheme="minorHAnsi" w:hAnsiTheme="minorHAnsi" w:cstheme="minorHAnsi"/>
          <w:szCs w:val="24"/>
          <w:lang w:val="en-US"/>
        </w:rPr>
        <w:t xml:space="preserve">CWG-LANG is asked to consider this and if supported to propose </w:t>
      </w:r>
      <w:r w:rsidR="00C453BE" w:rsidRPr="00E027E7">
        <w:rPr>
          <w:rFonts w:asciiTheme="minorHAnsi" w:hAnsiTheme="minorHAnsi" w:cstheme="minorHAnsi"/>
          <w:szCs w:val="24"/>
          <w:lang w:val="en-US"/>
        </w:rPr>
        <w:t xml:space="preserve">this </w:t>
      </w:r>
      <w:r w:rsidR="00E43BE2" w:rsidRPr="00E027E7">
        <w:rPr>
          <w:rFonts w:asciiTheme="minorHAnsi" w:hAnsiTheme="minorHAnsi" w:cstheme="minorHAnsi"/>
          <w:szCs w:val="24"/>
          <w:lang w:val="en-US"/>
        </w:rPr>
        <w:t xml:space="preserve">to Council </w:t>
      </w:r>
      <w:r w:rsidR="00C453BE" w:rsidRPr="00E027E7">
        <w:rPr>
          <w:rFonts w:asciiTheme="minorHAnsi" w:hAnsiTheme="minorHAnsi" w:cstheme="minorHAnsi"/>
          <w:szCs w:val="24"/>
          <w:lang w:val="en-US"/>
        </w:rPr>
        <w:t>as a trial</w:t>
      </w:r>
      <w:r w:rsidR="00013374" w:rsidRPr="00E027E7">
        <w:rPr>
          <w:rFonts w:asciiTheme="minorHAnsi" w:hAnsiTheme="minorHAnsi" w:cstheme="minorHAnsi"/>
          <w:szCs w:val="24"/>
          <w:lang w:val="en-US"/>
        </w:rPr>
        <w:t xml:space="preserve">. A disclaimer would be placed on the pages translated </w:t>
      </w:r>
      <w:r w:rsidR="00C453BE" w:rsidRPr="00E027E7">
        <w:rPr>
          <w:rFonts w:asciiTheme="minorHAnsi" w:hAnsiTheme="minorHAnsi" w:cstheme="minorHAnsi"/>
          <w:szCs w:val="24"/>
          <w:lang w:val="en-US"/>
        </w:rPr>
        <w:t>in this way</w:t>
      </w:r>
      <w:r w:rsidR="00013374" w:rsidRPr="00E027E7">
        <w:rPr>
          <w:rFonts w:asciiTheme="minorHAnsi" w:hAnsiTheme="minorHAnsi" w:cstheme="minorHAnsi"/>
          <w:szCs w:val="24"/>
          <w:lang w:val="en-US"/>
        </w:rPr>
        <w:t xml:space="preserve">. </w:t>
      </w:r>
    </w:p>
    <w:p w14:paraId="2DA49FEC" w14:textId="77777777" w:rsidR="00DD5C68" w:rsidRPr="00E027E7" w:rsidRDefault="00DD5C68" w:rsidP="00DD5C68">
      <w:pPr>
        <w:spacing w:after="120"/>
        <w:rPr>
          <w:rFonts w:asciiTheme="minorHAnsi" w:hAnsiTheme="minorHAnsi" w:cstheme="minorHAnsi"/>
          <w:b/>
          <w:bCs/>
          <w:szCs w:val="24"/>
          <w:lang w:val="en-US"/>
        </w:rPr>
      </w:pPr>
    </w:p>
    <w:p w14:paraId="43392FF5" w14:textId="77777777" w:rsidR="001D4C27" w:rsidRPr="00E027E7" w:rsidRDefault="001D4C27" w:rsidP="00DD5C68">
      <w:pPr>
        <w:spacing w:after="120"/>
        <w:rPr>
          <w:rFonts w:asciiTheme="minorHAnsi" w:hAnsiTheme="minorHAnsi" w:cstheme="minorHAnsi"/>
          <w:szCs w:val="24"/>
          <w:lang w:val="en-US"/>
        </w:rPr>
      </w:pPr>
      <w:r w:rsidRPr="00E027E7">
        <w:rPr>
          <w:rFonts w:asciiTheme="minorHAnsi" w:hAnsiTheme="minorHAnsi" w:cstheme="minorHAnsi"/>
          <w:b/>
          <w:bCs/>
          <w:szCs w:val="24"/>
          <w:lang w:val="en-US"/>
        </w:rPr>
        <w:t>Use of external sources for translation – The optimum mix: categorization of documents for externalization</w:t>
      </w:r>
      <w:r w:rsidRPr="00E027E7">
        <w:rPr>
          <w:rFonts w:asciiTheme="minorHAnsi" w:hAnsiTheme="minorHAnsi" w:cstheme="minorHAnsi"/>
          <w:szCs w:val="24"/>
          <w:lang w:val="en-US"/>
        </w:rPr>
        <w:t xml:space="preserve">.  The translation of documents is provided by C&amp;P, using either internal staff (permanent, fixed term and short-term) or external collaborators (individuals, companies and organizations), or a combination of the two, with a view to ensure timely delivery, cost effectiveness and required quality levels. </w:t>
      </w:r>
    </w:p>
    <w:p w14:paraId="1F97EAC4" w14:textId="77777777" w:rsidR="00DD5C68" w:rsidRPr="00E027E7" w:rsidRDefault="00DD5C68" w:rsidP="00DD5C68">
      <w:pPr>
        <w:spacing w:after="120"/>
        <w:rPr>
          <w:rFonts w:asciiTheme="minorHAnsi" w:hAnsiTheme="minorHAnsi" w:cstheme="minorHAnsi"/>
          <w:b/>
          <w:bCs/>
          <w:szCs w:val="24"/>
          <w:lang w:val="en-US"/>
        </w:rPr>
      </w:pPr>
    </w:p>
    <w:p w14:paraId="35CE3335" w14:textId="666982D8" w:rsidR="00DD5C68" w:rsidRPr="00E027E7" w:rsidRDefault="001D4C27" w:rsidP="00552E27">
      <w:pPr>
        <w:spacing w:after="120"/>
        <w:rPr>
          <w:rFonts w:asciiTheme="minorHAnsi" w:hAnsiTheme="minorHAnsi" w:cstheme="minorHAnsi"/>
          <w:szCs w:val="24"/>
          <w:lang w:val="en-US"/>
        </w:rPr>
      </w:pPr>
      <w:r w:rsidRPr="00E027E7">
        <w:rPr>
          <w:rFonts w:asciiTheme="minorHAnsi" w:hAnsiTheme="minorHAnsi" w:cstheme="minorHAnsi"/>
          <w:b/>
          <w:bCs/>
          <w:szCs w:val="24"/>
          <w:lang w:val="en-US"/>
        </w:rPr>
        <w:t>Automatic translation</w:t>
      </w:r>
      <w:r w:rsidR="00C453BE" w:rsidRPr="00E027E7">
        <w:rPr>
          <w:rFonts w:asciiTheme="minorHAnsi" w:hAnsiTheme="minorHAnsi" w:cstheme="minorHAnsi"/>
          <w:b/>
          <w:bCs/>
          <w:szCs w:val="24"/>
          <w:lang w:val="en-US"/>
        </w:rPr>
        <w:t>:</w:t>
      </w:r>
      <w:r w:rsidRPr="00E027E7">
        <w:rPr>
          <w:rFonts w:asciiTheme="minorHAnsi" w:hAnsiTheme="minorHAnsi" w:cstheme="minorHAnsi"/>
          <w:b/>
          <w:bCs/>
          <w:szCs w:val="24"/>
          <w:lang w:val="en-US"/>
        </w:rPr>
        <w:t xml:space="preserve"> </w:t>
      </w:r>
      <w:r w:rsidRPr="00E027E7">
        <w:rPr>
          <w:rFonts w:asciiTheme="minorHAnsi" w:hAnsiTheme="minorHAnsi" w:cstheme="minorHAnsi"/>
          <w:szCs w:val="24"/>
          <w:lang w:val="en-US"/>
        </w:rPr>
        <w:t xml:space="preserve">ITU has already made available the automatic translation neural system developed in collaboration with WIPO, and is evaluating two other commercial AT Tools available on the market. A company in </w:t>
      </w:r>
      <w:r w:rsidR="00552E27">
        <w:rPr>
          <w:rFonts w:asciiTheme="minorHAnsi" w:hAnsiTheme="minorHAnsi" w:cstheme="minorHAnsi"/>
          <w:szCs w:val="24"/>
          <w:lang w:val="en-US"/>
        </w:rPr>
        <w:t>Latvia</w:t>
      </w:r>
      <w:r w:rsidR="00886EB7" w:rsidRPr="00E027E7">
        <w:rPr>
          <w:rFonts w:asciiTheme="minorHAnsi" w:hAnsiTheme="minorHAnsi" w:cstheme="minorHAnsi"/>
          <w:szCs w:val="24"/>
          <w:lang w:val="en-US"/>
        </w:rPr>
        <w:t xml:space="preserve"> and another in China have</w:t>
      </w:r>
      <w:r w:rsidRPr="00E027E7">
        <w:rPr>
          <w:rFonts w:asciiTheme="minorHAnsi" w:hAnsiTheme="minorHAnsi" w:cstheme="minorHAnsi"/>
          <w:szCs w:val="24"/>
          <w:lang w:val="en-US"/>
        </w:rPr>
        <w:t xml:space="preserve"> expressed interest in carrying out trials.</w:t>
      </w:r>
    </w:p>
    <w:p w14:paraId="2B27A0C3" w14:textId="77777777" w:rsidR="00C453BE" w:rsidRPr="00E027E7" w:rsidRDefault="00C453BE" w:rsidP="00C453BE">
      <w:pPr>
        <w:spacing w:after="120"/>
        <w:rPr>
          <w:rFonts w:asciiTheme="minorHAnsi" w:hAnsiTheme="minorHAnsi" w:cstheme="minorHAnsi"/>
          <w:szCs w:val="24"/>
          <w:lang w:val="en-US"/>
        </w:rPr>
      </w:pPr>
    </w:p>
    <w:p w14:paraId="6575862D" w14:textId="00AC9218" w:rsidR="001D4C27" w:rsidRPr="00E027E7" w:rsidRDefault="001D4C27" w:rsidP="00DD5C68">
      <w:pPr>
        <w:spacing w:after="120"/>
        <w:rPr>
          <w:rFonts w:asciiTheme="minorHAnsi" w:hAnsiTheme="minorHAnsi" w:cstheme="minorHAnsi"/>
          <w:b/>
          <w:bCs/>
          <w:szCs w:val="24"/>
          <w:lang w:val="en-US"/>
        </w:rPr>
      </w:pPr>
      <w:r w:rsidRPr="00E027E7">
        <w:rPr>
          <w:rFonts w:asciiTheme="minorHAnsi" w:hAnsiTheme="minorHAnsi" w:cstheme="minorHAnsi"/>
          <w:b/>
          <w:bCs/>
          <w:szCs w:val="24"/>
          <w:lang w:val="en-US"/>
        </w:rPr>
        <w:t>4</w:t>
      </w:r>
      <w:r w:rsidRPr="00E027E7">
        <w:rPr>
          <w:rFonts w:asciiTheme="minorHAnsi" w:hAnsiTheme="minorHAnsi" w:cstheme="minorHAnsi"/>
          <w:b/>
          <w:bCs/>
          <w:szCs w:val="24"/>
          <w:lang w:val="en-US"/>
        </w:rPr>
        <w:tab/>
        <w:t>Guidance on management of event</w:t>
      </w:r>
      <w:r w:rsidR="00886EB7" w:rsidRPr="00E027E7">
        <w:rPr>
          <w:rFonts w:asciiTheme="minorHAnsi" w:hAnsiTheme="minorHAnsi" w:cstheme="minorHAnsi"/>
          <w:b/>
          <w:bCs/>
          <w:szCs w:val="24"/>
          <w:lang w:val="en-US"/>
        </w:rPr>
        <w:t>s using interpretation services</w:t>
      </w:r>
      <w:r w:rsidRPr="00E027E7">
        <w:rPr>
          <w:rFonts w:asciiTheme="minorHAnsi" w:hAnsiTheme="minorHAnsi" w:cstheme="minorHAnsi"/>
          <w:b/>
          <w:bCs/>
          <w:szCs w:val="24"/>
          <w:lang w:val="en-US"/>
        </w:rPr>
        <w:t xml:space="preserve"> </w:t>
      </w:r>
    </w:p>
    <w:p w14:paraId="68A963B5" w14:textId="22C6BCC8" w:rsidR="001D4C27" w:rsidRPr="00E027E7" w:rsidRDefault="001D4C27" w:rsidP="00886EB7">
      <w:pPr>
        <w:spacing w:after="120"/>
        <w:rPr>
          <w:rFonts w:asciiTheme="minorHAnsi" w:hAnsiTheme="minorHAnsi" w:cstheme="minorHAnsi"/>
          <w:szCs w:val="24"/>
          <w:lang w:val="en-US"/>
        </w:rPr>
      </w:pPr>
      <w:r w:rsidRPr="00E027E7">
        <w:rPr>
          <w:rFonts w:asciiTheme="minorHAnsi" w:hAnsiTheme="minorHAnsi" w:cstheme="minorHAnsi"/>
          <w:szCs w:val="24"/>
          <w:lang w:val="en-US"/>
        </w:rPr>
        <w:t xml:space="preserve">A guidance document </w:t>
      </w:r>
      <w:r w:rsidR="00DD5C68" w:rsidRPr="00E027E7">
        <w:rPr>
          <w:rFonts w:asciiTheme="minorHAnsi" w:hAnsiTheme="minorHAnsi" w:cstheme="minorHAnsi"/>
          <w:szCs w:val="24"/>
          <w:lang w:val="en-US"/>
        </w:rPr>
        <w:t xml:space="preserve">for </w:t>
      </w:r>
      <w:r w:rsidR="00013374" w:rsidRPr="00E027E7">
        <w:rPr>
          <w:rFonts w:asciiTheme="minorHAnsi" w:hAnsiTheme="minorHAnsi" w:cstheme="minorHAnsi"/>
          <w:szCs w:val="24"/>
          <w:lang w:val="en-US"/>
        </w:rPr>
        <w:t>organizers</w:t>
      </w:r>
      <w:r w:rsidRPr="00E027E7">
        <w:rPr>
          <w:rFonts w:asciiTheme="minorHAnsi" w:hAnsiTheme="minorHAnsi" w:cstheme="minorHAnsi"/>
          <w:szCs w:val="24"/>
          <w:lang w:val="en-US"/>
        </w:rPr>
        <w:t xml:space="preserve"> of meetings to </w:t>
      </w:r>
      <w:r w:rsidR="00886EB7" w:rsidRPr="00E027E7">
        <w:rPr>
          <w:rFonts w:asciiTheme="minorHAnsi" w:hAnsiTheme="minorHAnsi" w:cstheme="minorHAnsi"/>
          <w:szCs w:val="24"/>
          <w:lang w:val="en-US"/>
        </w:rPr>
        <w:t xml:space="preserve">help them </w:t>
      </w:r>
      <w:r w:rsidRPr="00E027E7">
        <w:rPr>
          <w:rFonts w:asciiTheme="minorHAnsi" w:hAnsiTheme="minorHAnsi" w:cstheme="minorHAnsi"/>
          <w:szCs w:val="24"/>
          <w:lang w:val="en-US"/>
        </w:rPr>
        <w:t xml:space="preserve">optimize the use of </w:t>
      </w:r>
      <w:r w:rsidR="00886EB7" w:rsidRPr="00E027E7">
        <w:rPr>
          <w:rFonts w:asciiTheme="minorHAnsi" w:hAnsiTheme="minorHAnsi" w:cstheme="minorHAnsi"/>
          <w:szCs w:val="24"/>
          <w:lang w:val="en-US"/>
        </w:rPr>
        <w:t>interpreters</w:t>
      </w:r>
      <w:r w:rsidRPr="00E027E7">
        <w:rPr>
          <w:rFonts w:asciiTheme="minorHAnsi" w:hAnsiTheme="minorHAnsi" w:cstheme="minorHAnsi"/>
          <w:szCs w:val="24"/>
          <w:lang w:val="en-US"/>
        </w:rPr>
        <w:t xml:space="preserve"> has been develop</w:t>
      </w:r>
      <w:r w:rsidR="00886EB7" w:rsidRPr="00E027E7">
        <w:rPr>
          <w:rFonts w:asciiTheme="minorHAnsi" w:hAnsiTheme="minorHAnsi" w:cstheme="minorHAnsi"/>
          <w:szCs w:val="24"/>
          <w:lang w:val="en-US"/>
        </w:rPr>
        <w:t>ed</w:t>
      </w:r>
      <w:r w:rsidRPr="00E027E7">
        <w:rPr>
          <w:rFonts w:asciiTheme="minorHAnsi" w:hAnsiTheme="minorHAnsi" w:cstheme="minorHAnsi"/>
          <w:szCs w:val="24"/>
          <w:lang w:val="en-US"/>
        </w:rPr>
        <w:t>, for example drawing attention to the fact that a meeting is categorized as a meeting regardless of whether it is 20 minutes or 3 hours</w:t>
      </w:r>
      <w:r w:rsidR="00886EB7" w:rsidRPr="00E027E7">
        <w:rPr>
          <w:rFonts w:asciiTheme="minorHAnsi" w:hAnsiTheme="minorHAnsi" w:cstheme="minorHAnsi"/>
          <w:szCs w:val="24"/>
          <w:lang w:val="en-US"/>
        </w:rPr>
        <w:t xml:space="preserve"> long</w:t>
      </w:r>
      <w:r w:rsidRPr="00E027E7">
        <w:rPr>
          <w:rFonts w:asciiTheme="minorHAnsi" w:hAnsiTheme="minorHAnsi" w:cstheme="minorHAnsi"/>
          <w:szCs w:val="24"/>
          <w:lang w:val="en-US"/>
        </w:rPr>
        <w:t xml:space="preserve"> (which is the maximum). There is a daily rate which is the same whether there is one or more meetings during the day</w:t>
      </w:r>
      <w:r w:rsidR="00886EB7" w:rsidRPr="00E027E7">
        <w:rPr>
          <w:rFonts w:asciiTheme="minorHAnsi" w:hAnsiTheme="minorHAnsi" w:cstheme="minorHAnsi"/>
          <w:szCs w:val="24"/>
          <w:lang w:val="en-US"/>
        </w:rPr>
        <w:t>,</w:t>
      </w:r>
      <w:r w:rsidRPr="00E027E7">
        <w:rPr>
          <w:rFonts w:asciiTheme="minorHAnsi" w:hAnsiTheme="minorHAnsi" w:cstheme="minorHAnsi"/>
          <w:szCs w:val="24"/>
          <w:lang w:val="en-US"/>
        </w:rPr>
        <w:t xml:space="preserve"> based on a maximum of 6 hours.</w:t>
      </w:r>
    </w:p>
    <w:p w14:paraId="4562FE28" w14:textId="3377F032" w:rsidR="001D4C27" w:rsidRPr="00E027E7" w:rsidRDefault="001D4C27" w:rsidP="00DD5C68">
      <w:pPr>
        <w:spacing w:after="120"/>
        <w:rPr>
          <w:rFonts w:asciiTheme="minorHAnsi" w:hAnsiTheme="minorHAnsi" w:cstheme="minorHAnsi"/>
          <w:szCs w:val="24"/>
        </w:rPr>
      </w:pPr>
      <w:r w:rsidRPr="00E027E7">
        <w:rPr>
          <w:rFonts w:asciiTheme="minorHAnsi" w:hAnsiTheme="minorHAnsi" w:cstheme="minorHAnsi"/>
          <w:szCs w:val="24"/>
          <w:lang w:val="en-US"/>
        </w:rPr>
        <w:t xml:space="preserve">A </w:t>
      </w:r>
      <w:r w:rsidR="00DD5C68" w:rsidRPr="00E027E7">
        <w:rPr>
          <w:rFonts w:asciiTheme="minorHAnsi" w:hAnsiTheme="minorHAnsi" w:cstheme="minorHAnsi"/>
          <w:szCs w:val="24"/>
          <w:lang w:val="en-US"/>
        </w:rPr>
        <w:t>guidance</w:t>
      </w:r>
      <w:r w:rsidRPr="00E027E7">
        <w:rPr>
          <w:rFonts w:asciiTheme="minorHAnsi" w:hAnsiTheme="minorHAnsi" w:cstheme="minorHAnsi"/>
          <w:szCs w:val="24"/>
          <w:lang w:val="en-US"/>
        </w:rPr>
        <w:t xml:space="preserve"> note is also being prepared for delegates</w:t>
      </w:r>
      <w:r w:rsidRPr="00E027E7">
        <w:rPr>
          <w:rFonts w:asciiTheme="minorHAnsi" w:hAnsiTheme="minorHAnsi" w:cstheme="minorHAnsi"/>
          <w:szCs w:val="24"/>
        </w:rPr>
        <w:t xml:space="preserve"> taking ILO’s as a reference. </w:t>
      </w:r>
    </w:p>
    <w:p w14:paraId="428F3889" w14:textId="77777777" w:rsidR="00DD5C68" w:rsidRPr="00E027E7" w:rsidRDefault="00DD5C68" w:rsidP="00DD5C68">
      <w:pPr>
        <w:keepNext/>
        <w:keepLines/>
        <w:snapToGrid w:val="0"/>
        <w:spacing w:after="120"/>
        <w:jc w:val="both"/>
        <w:rPr>
          <w:rFonts w:asciiTheme="minorHAnsi" w:hAnsiTheme="minorHAnsi" w:cstheme="minorHAnsi"/>
          <w:b/>
          <w:bCs/>
          <w:szCs w:val="24"/>
          <w:lang w:val="en-US"/>
        </w:rPr>
      </w:pPr>
    </w:p>
    <w:p w14:paraId="01BD117D" w14:textId="77777777" w:rsidR="001D4C27" w:rsidRPr="00E027E7" w:rsidRDefault="001D4C27" w:rsidP="00DD5C68">
      <w:pPr>
        <w:keepNext/>
        <w:keepLines/>
        <w:snapToGrid w:val="0"/>
        <w:spacing w:after="120"/>
        <w:jc w:val="both"/>
        <w:rPr>
          <w:rFonts w:asciiTheme="minorHAnsi" w:hAnsiTheme="minorHAnsi" w:cstheme="minorHAnsi"/>
          <w:b/>
          <w:bCs/>
          <w:szCs w:val="24"/>
        </w:rPr>
      </w:pPr>
      <w:r w:rsidRPr="00E027E7">
        <w:rPr>
          <w:rFonts w:asciiTheme="minorHAnsi" w:hAnsiTheme="minorHAnsi" w:cstheme="minorHAnsi"/>
          <w:b/>
          <w:bCs/>
          <w:szCs w:val="24"/>
          <w:lang w:val="en-US"/>
        </w:rPr>
        <w:t>5</w:t>
      </w:r>
      <w:r w:rsidRPr="00E027E7">
        <w:rPr>
          <w:rFonts w:asciiTheme="minorHAnsi" w:hAnsiTheme="minorHAnsi" w:cstheme="minorHAnsi"/>
          <w:b/>
          <w:bCs/>
          <w:szCs w:val="24"/>
          <w:lang w:val="en-US"/>
        </w:rPr>
        <w:tab/>
      </w:r>
      <w:r w:rsidRPr="00E027E7">
        <w:rPr>
          <w:rFonts w:asciiTheme="minorHAnsi" w:hAnsiTheme="minorHAnsi" w:cstheme="minorHAnsi"/>
          <w:b/>
          <w:bCs/>
          <w:szCs w:val="24"/>
        </w:rPr>
        <w:t xml:space="preserve">Practice of other United Nations organizations </w:t>
      </w:r>
    </w:p>
    <w:p w14:paraId="4D548A6D" w14:textId="77777777" w:rsidR="001D4C27" w:rsidRPr="00E027E7" w:rsidRDefault="001D4C27" w:rsidP="00DD5C68">
      <w:pPr>
        <w:keepNext/>
        <w:keepLines/>
        <w:snapToGrid w:val="0"/>
        <w:spacing w:after="120"/>
        <w:jc w:val="both"/>
        <w:rPr>
          <w:rFonts w:asciiTheme="minorHAnsi" w:hAnsiTheme="minorHAnsi" w:cstheme="minorHAnsi"/>
          <w:szCs w:val="24"/>
        </w:rPr>
      </w:pPr>
      <w:r w:rsidRPr="00E027E7">
        <w:rPr>
          <w:rFonts w:asciiTheme="minorHAnsi" w:hAnsiTheme="minorHAnsi" w:cstheme="minorHAnsi"/>
          <w:szCs w:val="24"/>
        </w:rPr>
        <w:t xml:space="preserve">JIAMCATT reports to IAMLADP’s Working Group on Language Services, and is a community of interested professionals from both UN and non-UN organizations, seeking to harness technologies and share knowledge to help streamline the translation and interpretation processes. </w:t>
      </w:r>
    </w:p>
    <w:p w14:paraId="3F4F6346" w14:textId="77777777" w:rsidR="001D4C27" w:rsidRPr="00E027E7" w:rsidRDefault="001D4C27" w:rsidP="00DD5C68">
      <w:pPr>
        <w:keepNext/>
        <w:keepLines/>
        <w:snapToGrid w:val="0"/>
        <w:spacing w:after="120"/>
        <w:jc w:val="both"/>
        <w:rPr>
          <w:rFonts w:asciiTheme="minorHAnsi" w:hAnsiTheme="minorHAnsi" w:cstheme="minorHAnsi"/>
          <w:szCs w:val="24"/>
        </w:rPr>
      </w:pPr>
      <w:r w:rsidRPr="00E027E7">
        <w:rPr>
          <w:rFonts w:asciiTheme="minorHAnsi" w:hAnsiTheme="minorHAnsi" w:cstheme="minorHAnsi"/>
          <w:szCs w:val="24"/>
        </w:rPr>
        <w:t>Through IAMLADP, ITU keeps abreast of procedures and IT tools adopted by other IOs and adapts its business model and procedures to the best practices resulting from such interaction. For the latest information on the practice in other UN organisations please see the Annex to this document.</w:t>
      </w:r>
    </w:p>
    <w:p w14:paraId="56E7CFDA" w14:textId="77777777" w:rsidR="001D4C27" w:rsidRPr="001D4C27" w:rsidRDefault="001D4C27" w:rsidP="001D4C27">
      <w:pPr>
        <w:spacing w:before="840"/>
        <w:jc w:val="center"/>
        <w:rPr>
          <w:rFonts w:asciiTheme="minorHAnsi" w:hAnsiTheme="minorHAnsi"/>
          <w:b/>
          <w:sz w:val="28"/>
          <w:szCs w:val="28"/>
        </w:rPr>
      </w:pPr>
    </w:p>
    <w:p w14:paraId="263B8F8F" w14:textId="77777777" w:rsidR="00AE703C" w:rsidRDefault="00AE703C">
      <w:pPr>
        <w:tabs>
          <w:tab w:val="clear" w:pos="794"/>
          <w:tab w:val="clear" w:pos="1191"/>
          <w:tab w:val="clear" w:pos="1588"/>
          <w:tab w:val="clear" w:pos="1985"/>
        </w:tabs>
        <w:overflowPunct/>
        <w:autoSpaceDE/>
        <w:autoSpaceDN/>
        <w:adjustRightInd/>
        <w:spacing w:before="0"/>
        <w:textAlignment w:val="auto"/>
        <w:rPr>
          <w:rFonts w:asciiTheme="minorHAnsi" w:hAnsiTheme="minorHAnsi"/>
          <w:b/>
          <w:bCs/>
        </w:rPr>
        <w:sectPr w:rsidR="00AE703C" w:rsidSect="004137A6">
          <w:headerReference w:type="default" r:id="rId13"/>
          <w:pgSz w:w="11907" w:h="16834"/>
          <w:pgMar w:top="1418" w:right="1134" w:bottom="1134" w:left="1134" w:header="720" w:footer="720" w:gutter="0"/>
          <w:paperSrc w:first="7" w:other="7"/>
          <w:cols w:space="720"/>
          <w:titlePg/>
          <w:docGrid w:linePitch="326"/>
        </w:sectPr>
      </w:pPr>
    </w:p>
    <w:p w14:paraId="41645C28" w14:textId="70E9E983" w:rsidR="00942F4D" w:rsidRDefault="004137A6" w:rsidP="008B0EB9">
      <w:pPr>
        <w:pStyle w:val="Annextitle"/>
        <w:rPr>
          <w:rFonts w:asciiTheme="minorHAnsi" w:hAnsiTheme="minorHAnsi"/>
          <w:b w:val="0"/>
          <w:bCs/>
        </w:rPr>
      </w:pPr>
      <w:r w:rsidRPr="008B0EB9">
        <w:rPr>
          <w:rFonts w:asciiTheme="minorHAnsi" w:hAnsiTheme="minorHAnsi"/>
          <w:b w:val="0"/>
          <w:bCs/>
        </w:rPr>
        <w:t>ANNEX</w:t>
      </w:r>
    </w:p>
    <w:p w14:paraId="678BFF0D" w14:textId="77777777" w:rsidR="001218B0" w:rsidRDefault="001218B0" w:rsidP="001218B0">
      <w:pPr>
        <w:keepNext/>
        <w:keepLines/>
        <w:snapToGrid w:val="0"/>
        <w:spacing w:after="120"/>
        <w:contextualSpacing/>
        <w:jc w:val="center"/>
        <w:rPr>
          <w:rFonts w:ascii="Calibri" w:hAnsi="Calibri"/>
          <w:b/>
          <w:bCs/>
          <w:sz w:val="28"/>
          <w:szCs w:val="28"/>
        </w:rPr>
      </w:pPr>
      <w:r w:rsidRPr="00E941D3">
        <w:rPr>
          <w:rFonts w:ascii="Calibri" w:hAnsi="Calibri"/>
          <w:b/>
          <w:bCs/>
          <w:sz w:val="28"/>
          <w:szCs w:val="28"/>
        </w:rPr>
        <w:t>Practice of other United Nations organizations</w:t>
      </w:r>
    </w:p>
    <w:p w14:paraId="637D603E" w14:textId="77777777" w:rsidR="00AE703C" w:rsidRPr="00AE7673" w:rsidRDefault="00AE703C" w:rsidP="00AE703C">
      <w:pPr>
        <w:spacing w:after="200" w:line="276" w:lineRule="auto"/>
        <w:rPr>
          <w:rFonts w:ascii="Calibri" w:eastAsia="SimSun" w:hAnsi="Calibri" w:cs="Arial"/>
          <w:sz w:val="20"/>
          <w:lang w:val="en-US"/>
        </w:rPr>
      </w:pPr>
      <w:r w:rsidRPr="00AE7673">
        <w:rPr>
          <w:rFonts w:ascii="Calibri" w:eastAsia="SimSun" w:hAnsi="Calibri" w:cs="Arial"/>
          <w:sz w:val="20"/>
          <w:lang w:val="en-US"/>
        </w:rPr>
        <w:t>Replies to an e-mail poll conducted in August 2014</w:t>
      </w:r>
    </w:p>
    <w:tbl>
      <w:tblPr>
        <w:tblStyle w:val="TableGrid"/>
        <w:tblW w:w="0" w:type="auto"/>
        <w:tblLook w:val="04A0" w:firstRow="1" w:lastRow="0" w:firstColumn="1" w:lastColumn="0" w:noHBand="0" w:noVBand="1"/>
      </w:tblPr>
      <w:tblGrid>
        <w:gridCol w:w="1011"/>
        <w:gridCol w:w="2250"/>
        <w:gridCol w:w="1725"/>
        <w:gridCol w:w="1262"/>
        <w:gridCol w:w="1262"/>
        <w:gridCol w:w="1099"/>
        <w:gridCol w:w="1322"/>
        <w:gridCol w:w="1557"/>
        <w:gridCol w:w="1122"/>
        <w:gridCol w:w="1662"/>
      </w:tblGrid>
      <w:tr w:rsidR="00AE703C" w:rsidRPr="00AE7673" w14:paraId="15B56BB1" w14:textId="77777777" w:rsidTr="00167D75">
        <w:trPr>
          <w:cantSplit/>
          <w:trHeight w:val="2097"/>
        </w:trPr>
        <w:tc>
          <w:tcPr>
            <w:tcW w:w="2115" w:type="dxa"/>
            <w:textDirection w:val="lrTbV"/>
            <w:vAlign w:val="bottom"/>
          </w:tcPr>
          <w:p w14:paraId="5BE22421" w14:textId="77777777" w:rsidR="00AE703C" w:rsidRPr="00AE7673" w:rsidRDefault="00AE703C" w:rsidP="00167D75">
            <w:pPr>
              <w:jc w:val="center"/>
              <w:rPr>
                <w:rFonts w:ascii="Calibri" w:eastAsia="SimSun" w:hAnsi="Calibri" w:cs="Arial"/>
                <w:sz w:val="16"/>
                <w:szCs w:val="16"/>
              </w:rPr>
            </w:pPr>
            <w:r w:rsidRPr="00AE7673">
              <w:rPr>
                <w:rFonts w:ascii="Calibri" w:eastAsia="SimSun" w:hAnsi="Calibri" w:cs="Arial"/>
                <w:sz w:val="16"/>
                <w:szCs w:val="16"/>
              </w:rPr>
              <w:t>Organization</w:t>
            </w:r>
          </w:p>
        </w:tc>
        <w:tc>
          <w:tcPr>
            <w:tcW w:w="2529" w:type="dxa"/>
            <w:textDirection w:val="btLr"/>
            <w:vAlign w:val="center"/>
          </w:tcPr>
          <w:p w14:paraId="0D90FEA0" w14:textId="77777777" w:rsidR="00AE703C" w:rsidRPr="00AE7673" w:rsidRDefault="00AE703C" w:rsidP="00167D75">
            <w:pPr>
              <w:rPr>
                <w:rFonts w:ascii="Calibri" w:eastAsia="SimSun" w:hAnsi="Calibri" w:cs="Arial"/>
              </w:rPr>
            </w:pPr>
            <w:r w:rsidRPr="00AE7673">
              <w:rPr>
                <w:rFonts w:ascii="Calibri" w:eastAsia="SimSun" w:hAnsi="Calibri" w:cs="Arial"/>
                <w:sz w:val="16"/>
                <w:szCs w:val="16"/>
              </w:rPr>
              <w:t xml:space="preserve">1. Does your organization have a formal/informal web language POLICY/regime? </w:t>
            </w:r>
          </w:p>
        </w:tc>
        <w:tc>
          <w:tcPr>
            <w:tcW w:w="1701" w:type="dxa"/>
            <w:textDirection w:val="btLr"/>
            <w:vAlign w:val="center"/>
          </w:tcPr>
          <w:p w14:paraId="0E85048A"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2. What percentages of pages are available in the different languages?</w:t>
            </w:r>
          </w:p>
          <w:p w14:paraId="200BCF64" w14:textId="77777777" w:rsidR="00AE703C" w:rsidRPr="00AE7673" w:rsidRDefault="00AE703C" w:rsidP="00167D75">
            <w:pPr>
              <w:ind w:left="113" w:right="113"/>
              <w:jc w:val="both"/>
              <w:rPr>
                <w:rFonts w:ascii="Calibri" w:eastAsia="SimSun" w:hAnsi="Calibri" w:cs="Arial"/>
                <w:sz w:val="16"/>
                <w:szCs w:val="16"/>
              </w:rPr>
            </w:pPr>
          </w:p>
        </w:tc>
        <w:tc>
          <w:tcPr>
            <w:tcW w:w="2115" w:type="dxa"/>
            <w:textDirection w:val="btLr"/>
            <w:vAlign w:val="center"/>
          </w:tcPr>
          <w:p w14:paraId="001FFE15"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3. Who is responsible for the web (content, posting, etc.). Is webposting centralized (has to go through a given unit) or decentralized (anyone can post)?</w:t>
            </w:r>
          </w:p>
          <w:p w14:paraId="66631B6E" w14:textId="77777777" w:rsidR="00AE703C" w:rsidRPr="00AE7673" w:rsidRDefault="00AE703C" w:rsidP="00167D75">
            <w:pPr>
              <w:ind w:left="113" w:right="113"/>
              <w:jc w:val="both"/>
              <w:rPr>
                <w:rFonts w:ascii="Calibri" w:eastAsia="SimSun" w:hAnsi="Calibri" w:cs="Arial"/>
                <w:sz w:val="16"/>
                <w:szCs w:val="16"/>
              </w:rPr>
            </w:pPr>
          </w:p>
        </w:tc>
        <w:tc>
          <w:tcPr>
            <w:tcW w:w="2115" w:type="dxa"/>
            <w:textDirection w:val="btLr"/>
            <w:vAlign w:val="center"/>
          </w:tcPr>
          <w:p w14:paraId="032046D3"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4. Is there a mechanism for ensuring that when multilingual pages are updated they are duly updated in all the languages?</w:t>
            </w:r>
          </w:p>
          <w:p w14:paraId="0849B1D2" w14:textId="77777777" w:rsidR="00AE703C" w:rsidRPr="00AE7673" w:rsidRDefault="00AE703C" w:rsidP="00167D75">
            <w:pPr>
              <w:ind w:left="113" w:right="113"/>
              <w:jc w:val="both"/>
              <w:rPr>
                <w:rFonts w:ascii="Calibri" w:eastAsia="SimSun" w:hAnsi="Calibri" w:cs="Arial"/>
                <w:sz w:val="16"/>
                <w:szCs w:val="16"/>
              </w:rPr>
            </w:pPr>
          </w:p>
        </w:tc>
        <w:tc>
          <w:tcPr>
            <w:tcW w:w="2115" w:type="dxa"/>
            <w:textDirection w:val="btLr"/>
            <w:vAlign w:val="center"/>
          </w:tcPr>
          <w:p w14:paraId="0E377C5E"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5. Do the language services do the translation? If not, how is it handled?</w:t>
            </w:r>
          </w:p>
        </w:tc>
        <w:tc>
          <w:tcPr>
            <w:tcW w:w="2115" w:type="dxa"/>
            <w:textDirection w:val="btLr"/>
            <w:vAlign w:val="center"/>
          </w:tcPr>
          <w:p w14:paraId="01AAD9AA"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6. If so, how is the work structured and budgeted, and how much resources (staff/monetary amount) does it consume?</w:t>
            </w:r>
          </w:p>
        </w:tc>
        <w:tc>
          <w:tcPr>
            <w:tcW w:w="2115" w:type="dxa"/>
            <w:textDirection w:val="btLr"/>
            <w:vAlign w:val="center"/>
          </w:tcPr>
          <w:p w14:paraId="126D09D8"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7. How do you cope with the added volatility/immediacy of the web (very short deadlines) in relation to traditional documents?</w:t>
            </w:r>
          </w:p>
        </w:tc>
        <w:tc>
          <w:tcPr>
            <w:tcW w:w="2115" w:type="dxa"/>
            <w:textDirection w:val="btLr"/>
            <w:vAlign w:val="center"/>
          </w:tcPr>
          <w:p w14:paraId="7C1F4C57" w14:textId="77777777" w:rsidR="00AE703C" w:rsidRPr="00AE7673" w:rsidRDefault="00AE703C" w:rsidP="00167D75">
            <w:pPr>
              <w:rPr>
                <w:rFonts w:ascii="Calibri" w:eastAsia="SimSun" w:hAnsi="Calibri" w:cs="Arial"/>
                <w:sz w:val="16"/>
                <w:szCs w:val="16"/>
              </w:rPr>
            </w:pPr>
            <w:r w:rsidRPr="00AE7673">
              <w:rPr>
                <w:rFonts w:ascii="Calibri" w:eastAsia="SimSun" w:hAnsi="Calibri" w:cs="Arial"/>
                <w:sz w:val="16"/>
                <w:szCs w:val="16"/>
              </w:rPr>
              <w:t>8. Do you use an “automatic translation” button at all on your website?</w:t>
            </w:r>
          </w:p>
        </w:tc>
        <w:tc>
          <w:tcPr>
            <w:tcW w:w="2115" w:type="dxa"/>
            <w:textDirection w:val="lrTbV"/>
            <w:vAlign w:val="bottom"/>
          </w:tcPr>
          <w:p w14:paraId="57C0ACE3" w14:textId="77777777" w:rsidR="00AE703C" w:rsidRPr="00AE7673" w:rsidRDefault="00AE703C" w:rsidP="00167D75">
            <w:pPr>
              <w:jc w:val="center"/>
              <w:rPr>
                <w:rFonts w:ascii="Calibri" w:eastAsia="SimSun" w:hAnsi="Calibri" w:cs="Arial"/>
                <w:sz w:val="16"/>
                <w:szCs w:val="16"/>
              </w:rPr>
            </w:pPr>
            <w:r w:rsidRPr="00AE7673">
              <w:rPr>
                <w:rFonts w:ascii="Calibri" w:eastAsia="SimSun" w:hAnsi="Calibri" w:cs="Arial"/>
                <w:sz w:val="16"/>
                <w:szCs w:val="16"/>
              </w:rPr>
              <w:t>Remarks</w:t>
            </w:r>
          </w:p>
        </w:tc>
      </w:tr>
      <w:tr w:rsidR="00AE703C" w:rsidRPr="00AE7673" w14:paraId="6DF16D28" w14:textId="77777777" w:rsidTr="00167D75">
        <w:tc>
          <w:tcPr>
            <w:tcW w:w="2115" w:type="dxa"/>
          </w:tcPr>
          <w:p w14:paraId="6BF11600" w14:textId="77777777" w:rsidR="00AE703C" w:rsidRPr="00AE7673" w:rsidRDefault="00AE703C" w:rsidP="00167D75">
            <w:pPr>
              <w:rPr>
                <w:rFonts w:ascii="Calibri" w:eastAsia="SimSun" w:hAnsi="Calibri" w:cs="Arial"/>
              </w:rPr>
            </w:pPr>
            <w:r w:rsidRPr="00AE7673">
              <w:rPr>
                <w:rFonts w:ascii="Calibri" w:eastAsia="SimSun" w:hAnsi="Calibri" w:cs="Arial"/>
              </w:rPr>
              <w:t>ICAO</w:t>
            </w:r>
          </w:p>
        </w:tc>
        <w:tc>
          <w:tcPr>
            <w:tcW w:w="2529" w:type="dxa"/>
          </w:tcPr>
          <w:p w14:paraId="1AE600C1" w14:textId="77777777" w:rsidR="00AE703C" w:rsidRPr="00AE7673" w:rsidRDefault="00AE703C" w:rsidP="00167D75">
            <w:pPr>
              <w:spacing w:before="100" w:after="100"/>
              <w:ind w:right="-108"/>
              <w:rPr>
                <w:rFonts w:ascii="Calibri" w:eastAsia="SimSun" w:hAnsi="Calibri"/>
                <w:sz w:val="16"/>
                <w:szCs w:val="16"/>
              </w:rPr>
            </w:pPr>
            <w:r w:rsidRPr="00AE7673">
              <w:rPr>
                <w:rFonts w:ascii="Calibri" w:eastAsia="SimSun" w:hAnsi="Calibri"/>
                <w:color w:val="1F497D"/>
                <w:sz w:val="16"/>
                <w:szCs w:val="16"/>
              </w:rPr>
              <w:t>ICAO has a formal web policy. However, the language versions are handled through voluntary contributions. For the moment, main pages (levels 0 and 1) are translated in French and Chinese. Spanish will be included shortly.</w:t>
            </w:r>
          </w:p>
          <w:p w14:paraId="04B79E3F" w14:textId="77777777" w:rsidR="00AE703C" w:rsidRPr="00AE7673" w:rsidRDefault="00AE703C" w:rsidP="00167D75">
            <w:pPr>
              <w:rPr>
                <w:rFonts w:ascii="Calibri" w:eastAsia="SimSun" w:hAnsi="Calibri" w:cs="Arial"/>
              </w:rPr>
            </w:pPr>
          </w:p>
        </w:tc>
        <w:tc>
          <w:tcPr>
            <w:tcW w:w="1701" w:type="dxa"/>
          </w:tcPr>
          <w:p w14:paraId="133E77DC" w14:textId="77777777" w:rsidR="00AE703C" w:rsidRPr="00AE7673" w:rsidRDefault="00AE703C" w:rsidP="00167D75">
            <w:pPr>
              <w:tabs>
                <w:tab w:val="clear" w:pos="1588"/>
                <w:tab w:val="left" w:pos="1485"/>
                <w:tab w:val="left" w:pos="1593"/>
              </w:tabs>
              <w:spacing w:before="100" w:after="100"/>
              <w:ind w:right="-108"/>
              <w:rPr>
                <w:rFonts w:ascii="Calibri" w:eastAsia="SimSun" w:hAnsi="Calibri"/>
                <w:sz w:val="16"/>
                <w:szCs w:val="16"/>
              </w:rPr>
            </w:pPr>
            <w:r w:rsidRPr="00AE7673">
              <w:rPr>
                <w:rFonts w:ascii="Calibri" w:eastAsia="SimSun" w:hAnsi="Calibri"/>
                <w:color w:val="1F497D"/>
                <w:sz w:val="16"/>
                <w:szCs w:val="16"/>
              </w:rPr>
              <w:t>Not available</w:t>
            </w:r>
          </w:p>
          <w:p w14:paraId="5E88E366" w14:textId="77777777" w:rsidR="00AE703C" w:rsidRPr="00AE7673" w:rsidRDefault="00AE703C" w:rsidP="00167D75">
            <w:pPr>
              <w:rPr>
                <w:rFonts w:ascii="Calibri" w:eastAsia="SimSun" w:hAnsi="Calibri" w:cs="Arial"/>
              </w:rPr>
            </w:pPr>
          </w:p>
        </w:tc>
        <w:tc>
          <w:tcPr>
            <w:tcW w:w="2115" w:type="dxa"/>
          </w:tcPr>
          <w:p w14:paraId="4488ADE6" w14:textId="77777777" w:rsidR="00AE703C" w:rsidRPr="00AE7673" w:rsidRDefault="00AE703C" w:rsidP="00167D75">
            <w:pPr>
              <w:tabs>
                <w:tab w:val="left" w:pos="1899"/>
              </w:tabs>
              <w:spacing w:before="100" w:after="100"/>
              <w:ind w:right="22"/>
              <w:rPr>
                <w:rFonts w:ascii="Calibri" w:eastAsia="SimSun" w:hAnsi="Calibri"/>
                <w:sz w:val="16"/>
                <w:szCs w:val="16"/>
              </w:rPr>
            </w:pPr>
            <w:r w:rsidRPr="00AE7673">
              <w:rPr>
                <w:rFonts w:ascii="Calibri" w:eastAsia="SimSun" w:hAnsi="Calibri"/>
                <w:color w:val="1F497D"/>
                <w:sz w:val="16"/>
                <w:szCs w:val="16"/>
              </w:rPr>
              <w:t>Content owners are responsible for web posting in their corresponding sites. These are normally not main pages (levels 0 and 1) therefore not translated. Main pages (levels 0 and 1) are managed by the Web Unit.</w:t>
            </w:r>
          </w:p>
          <w:p w14:paraId="4A843555" w14:textId="77777777" w:rsidR="00AE703C" w:rsidRPr="00AE7673" w:rsidRDefault="00AE703C" w:rsidP="00167D75">
            <w:pPr>
              <w:ind w:right="22"/>
              <w:rPr>
                <w:rFonts w:ascii="Calibri" w:eastAsia="SimSun" w:hAnsi="Calibri" w:cs="Arial"/>
              </w:rPr>
            </w:pPr>
          </w:p>
        </w:tc>
        <w:tc>
          <w:tcPr>
            <w:tcW w:w="2115" w:type="dxa"/>
          </w:tcPr>
          <w:p w14:paraId="4CFEE37B" w14:textId="77777777" w:rsidR="00AE703C" w:rsidRPr="00AE7673" w:rsidRDefault="00AE703C" w:rsidP="00167D75">
            <w:pPr>
              <w:tabs>
                <w:tab w:val="left" w:pos="1899"/>
              </w:tabs>
              <w:spacing w:before="100" w:after="100"/>
              <w:rPr>
                <w:rFonts w:ascii="Calibri" w:eastAsia="SimSun" w:hAnsi="Calibri"/>
                <w:sz w:val="16"/>
                <w:szCs w:val="16"/>
              </w:rPr>
            </w:pPr>
            <w:r w:rsidRPr="00AE7673">
              <w:rPr>
                <w:rFonts w:ascii="Calibri" w:eastAsia="SimSun" w:hAnsi="Calibri"/>
                <w:color w:val="1F497D"/>
                <w:sz w:val="16"/>
                <w:szCs w:val="16"/>
              </w:rPr>
              <w:t xml:space="preserve">There is an agreed process to send for translation updates to the webpages. </w:t>
            </w:r>
          </w:p>
          <w:p w14:paraId="6969CB36" w14:textId="77777777" w:rsidR="00AE703C" w:rsidRPr="00AE7673" w:rsidRDefault="00AE703C" w:rsidP="00167D75">
            <w:pPr>
              <w:tabs>
                <w:tab w:val="left" w:pos="1899"/>
              </w:tabs>
              <w:rPr>
                <w:rFonts w:ascii="Calibri" w:eastAsia="SimSun" w:hAnsi="Calibri" w:cs="Arial"/>
              </w:rPr>
            </w:pPr>
          </w:p>
        </w:tc>
        <w:tc>
          <w:tcPr>
            <w:tcW w:w="2115" w:type="dxa"/>
          </w:tcPr>
          <w:p w14:paraId="1AA5B52E" w14:textId="77777777" w:rsidR="00AE703C" w:rsidRPr="00AE7673" w:rsidRDefault="00AE703C" w:rsidP="00167D75">
            <w:pPr>
              <w:spacing w:before="100" w:after="100"/>
              <w:ind w:right="-12"/>
              <w:rPr>
                <w:rFonts w:ascii="Calibri" w:eastAsia="SimSun" w:hAnsi="Calibri"/>
                <w:color w:val="1F497D"/>
                <w:sz w:val="16"/>
                <w:szCs w:val="16"/>
              </w:rPr>
            </w:pPr>
            <w:r w:rsidRPr="00AE7673">
              <w:rPr>
                <w:rFonts w:ascii="Calibri" w:eastAsia="SimSun" w:hAnsi="Calibri"/>
                <w:color w:val="1F497D"/>
                <w:sz w:val="16"/>
                <w:szCs w:val="16"/>
              </w:rPr>
              <w:t>Updates to translated webpages are handled as any other regular request for translation services. They submit the request on a word documents showing the changes to the previously translated texts</w:t>
            </w:r>
          </w:p>
        </w:tc>
        <w:tc>
          <w:tcPr>
            <w:tcW w:w="2115" w:type="dxa"/>
          </w:tcPr>
          <w:p w14:paraId="62246207" w14:textId="77777777" w:rsidR="00AE703C" w:rsidRPr="00AE7673" w:rsidRDefault="00AE703C" w:rsidP="00167D75">
            <w:pPr>
              <w:spacing w:before="100" w:after="100"/>
              <w:ind w:right="-12"/>
              <w:rPr>
                <w:rFonts w:ascii="Calibri" w:eastAsia="SimSun" w:hAnsi="Calibri"/>
                <w:sz w:val="16"/>
                <w:szCs w:val="16"/>
              </w:rPr>
            </w:pPr>
            <w:r w:rsidRPr="00AE7673">
              <w:rPr>
                <w:rFonts w:ascii="Calibri" w:eastAsia="SimSun" w:hAnsi="Calibri"/>
                <w:color w:val="1F497D"/>
                <w:sz w:val="16"/>
                <w:szCs w:val="16"/>
              </w:rPr>
              <w:t>Until now this has been handled through our regular structure as the effort is not considerable. See also reply to Q5.</w:t>
            </w:r>
          </w:p>
          <w:p w14:paraId="28D188DA" w14:textId="77777777" w:rsidR="00AE703C" w:rsidRPr="00AE7673" w:rsidRDefault="00AE703C" w:rsidP="00167D75">
            <w:pPr>
              <w:ind w:right="-12"/>
              <w:rPr>
                <w:rFonts w:ascii="Calibri" w:eastAsia="SimSun" w:hAnsi="Calibri" w:cs="Arial"/>
              </w:rPr>
            </w:pPr>
          </w:p>
        </w:tc>
        <w:tc>
          <w:tcPr>
            <w:tcW w:w="2115" w:type="dxa"/>
          </w:tcPr>
          <w:p w14:paraId="097BD2AA" w14:textId="77777777" w:rsidR="00AE703C" w:rsidRPr="00AE7673" w:rsidRDefault="00AE703C" w:rsidP="00167D75">
            <w:pPr>
              <w:spacing w:before="100" w:after="100"/>
              <w:ind w:right="-23"/>
              <w:rPr>
                <w:rFonts w:ascii="Calibri" w:eastAsia="SimSun" w:hAnsi="Calibri"/>
                <w:sz w:val="16"/>
                <w:szCs w:val="16"/>
              </w:rPr>
            </w:pPr>
            <w:r w:rsidRPr="00AE7673">
              <w:rPr>
                <w:rFonts w:ascii="Calibri" w:eastAsia="SimSun" w:hAnsi="Calibri"/>
                <w:color w:val="1F497D"/>
                <w:sz w:val="16"/>
                <w:szCs w:val="16"/>
              </w:rPr>
              <w:t>Priority is given in accordance to the importance of the subject and the importance of the other already scheduled work.</w:t>
            </w:r>
          </w:p>
          <w:p w14:paraId="6E4D7176" w14:textId="77777777" w:rsidR="00AE703C" w:rsidRPr="00AE7673" w:rsidRDefault="00AE703C" w:rsidP="00167D75">
            <w:pPr>
              <w:ind w:right="-23"/>
              <w:rPr>
                <w:rFonts w:ascii="Calibri" w:eastAsia="SimSun" w:hAnsi="Calibri" w:cs="Arial"/>
              </w:rPr>
            </w:pPr>
          </w:p>
        </w:tc>
        <w:tc>
          <w:tcPr>
            <w:tcW w:w="2115" w:type="dxa"/>
          </w:tcPr>
          <w:p w14:paraId="2C06B46E" w14:textId="77777777" w:rsidR="00AE703C" w:rsidRPr="00AE7673" w:rsidRDefault="00AE703C" w:rsidP="00167D75">
            <w:pPr>
              <w:spacing w:before="100" w:after="100"/>
              <w:ind w:right="720"/>
              <w:rPr>
                <w:rFonts w:ascii="Calibri" w:eastAsia="SimSun" w:hAnsi="Calibri"/>
                <w:sz w:val="16"/>
                <w:szCs w:val="16"/>
              </w:rPr>
            </w:pPr>
            <w:r w:rsidRPr="00AE7673">
              <w:rPr>
                <w:rFonts w:ascii="Calibri" w:eastAsia="SimSun" w:hAnsi="Calibri"/>
                <w:color w:val="1F497D"/>
                <w:sz w:val="16"/>
                <w:szCs w:val="16"/>
              </w:rPr>
              <w:t>No.</w:t>
            </w:r>
          </w:p>
          <w:p w14:paraId="18449D7B" w14:textId="77777777" w:rsidR="00AE703C" w:rsidRPr="00AE7673" w:rsidRDefault="00AE703C" w:rsidP="00167D75">
            <w:pPr>
              <w:rPr>
                <w:rFonts w:ascii="Calibri" w:eastAsia="SimSun" w:hAnsi="Calibri" w:cs="Arial"/>
              </w:rPr>
            </w:pPr>
          </w:p>
        </w:tc>
        <w:tc>
          <w:tcPr>
            <w:tcW w:w="2115" w:type="dxa"/>
          </w:tcPr>
          <w:p w14:paraId="1B5A3008" w14:textId="77777777" w:rsidR="00AE703C" w:rsidRPr="00AE7673" w:rsidRDefault="00AE703C" w:rsidP="00167D75">
            <w:pPr>
              <w:rPr>
                <w:rFonts w:ascii="Calibri" w:eastAsia="SimSun" w:hAnsi="Calibri" w:cs="Arial"/>
              </w:rPr>
            </w:pPr>
          </w:p>
        </w:tc>
      </w:tr>
      <w:tr w:rsidR="00AE703C" w:rsidRPr="00AE7673" w14:paraId="458829F0" w14:textId="77777777" w:rsidTr="00167D75">
        <w:tc>
          <w:tcPr>
            <w:tcW w:w="2115" w:type="dxa"/>
          </w:tcPr>
          <w:p w14:paraId="61F597F5" w14:textId="77777777" w:rsidR="00AE703C" w:rsidRPr="00AE7673" w:rsidRDefault="00AE703C" w:rsidP="00167D75">
            <w:pPr>
              <w:rPr>
                <w:rFonts w:ascii="Calibri" w:eastAsia="SimSun" w:hAnsi="Calibri" w:cs="Arial"/>
              </w:rPr>
            </w:pPr>
            <w:r w:rsidRPr="00AE7673">
              <w:rPr>
                <w:rFonts w:ascii="Calibri" w:eastAsia="SimSun" w:hAnsi="Calibri" w:cs="Arial"/>
              </w:rPr>
              <w:t>UNOV</w:t>
            </w:r>
          </w:p>
        </w:tc>
        <w:tc>
          <w:tcPr>
            <w:tcW w:w="2529" w:type="dxa"/>
          </w:tcPr>
          <w:p w14:paraId="25D378BC"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No formal policy, but the UNOV public website is available in the six official languages and German (with Arabic being launched in the next few week</w:t>
            </w:r>
          </w:p>
        </w:tc>
        <w:tc>
          <w:tcPr>
            <w:tcW w:w="1701" w:type="dxa"/>
          </w:tcPr>
          <w:p w14:paraId="3CCB78E6"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All pages are available in the languages mentioned in answer 1</w:t>
            </w:r>
          </w:p>
        </w:tc>
        <w:tc>
          <w:tcPr>
            <w:tcW w:w="2115" w:type="dxa"/>
          </w:tcPr>
          <w:p w14:paraId="64E9D6A9"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Web posting is centralized; a content master controls what is posted on the website, via a content management system. For Arabic, Chinese and Russian the content master works with members of the relevant translation sections to update text.</w:t>
            </w:r>
          </w:p>
        </w:tc>
        <w:tc>
          <w:tcPr>
            <w:tcW w:w="2115" w:type="dxa"/>
          </w:tcPr>
          <w:p w14:paraId="79DCF9B1" w14:textId="77777777" w:rsidR="00AE703C" w:rsidRPr="00AE7673" w:rsidRDefault="00AE703C" w:rsidP="00167D75">
            <w:pPr>
              <w:tabs>
                <w:tab w:val="left" w:pos="1899"/>
              </w:tabs>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The content master supervises and controls this function.</w:t>
            </w:r>
          </w:p>
        </w:tc>
        <w:tc>
          <w:tcPr>
            <w:tcW w:w="2115" w:type="dxa"/>
          </w:tcPr>
          <w:p w14:paraId="2D63F583"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Yes, UNOV Translation Sections do this. The content master organizes the translation required.</w:t>
            </w:r>
          </w:p>
        </w:tc>
        <w:tc>
          <w:tcPr>
            <w:tcW w:w="2115" w:type="dxa"/>
          </w:tcPr>
          <w:p w14:paraId="6ECE5FF4"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The translations are included in the normal workflow via DCPMS. The translations are prioritized: documentation and publications take preference.</w:t>
            </w:r>
          </w:p>
        </w:tc>
        <w:tc>
          <w:tcPr>
            <w:tcW w:w="2115" w:type="dxa"/>
          </w:tcPr>
          <w:p w14:paraId="7E440AC6"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Updated information is uploaded in English first and the translations are implemented as and when they are ready.</w:t>
            </w:r>
          </w:p>
        </w:tc>
        <w:tc>
          <w:tcPr>
            <w:tcW w:w="2115" w:type="dxa"/>
          </w:tcPr>
          <w:p w14:paraId="135E46F1"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No.</w:t>
            </w:r>
          </w:p>
        </w:tc>
        <w:tc>
          <w:tcPr>
            <w:tcW w:w="2115" w:type="dxa"/>
          </w:tcPr>
          <w:p w14:paraId="22D44C84" w14:textId="77777777" w:rsidR="00AE703C" w:rsidRPr="00AE7673" w:rsidRDefault="00AE703C" w:rsidP="00167D75">
            <w:pPr>
              <w:spacing w:before="100" w:after="100"/>
              <w:ind w:right="-108"/>
              <w:rPr>
                <w:rFonts w:ascii="Calibri" w:eastAsia="SimSun" w:hAnsi="Calibri"/>
                <w:color w:val="1F497D"/>
                <w:sz w:val="16"/>
                <w:szCs w:val="16"/>
              </w:rPr>
            </w:pPr>
          </w:p>
        </w:tc>
      </w:tr>
      <w:tr w:rsidR="00AE703C" w:rsidRPr="00AE7673" w14:paraId="24608319" w14:textId="77777777" w:rsidTr="00167D75">
        <w:tc>
          <w:tcPr>
            <w:tcW w:w="2115" w:type="dxa"/>
          </w:tcPr>
          <w:p w14:paraId="13BDA8B1" w14:textId="77777777" w:rsidR="00AE703C" w:rsidRPr="00AE7673" w:rsidRDefault="00AE703C" w:rsidP="00167D75">
            <w:pPr>
              <w:rPr>
                <w:rFonts w:ascii="Calibri" w:eastAsia="SimSun" w:hAnsi="Calibri" w:cs="Arial"/>
              </w:rPr>
            </w:pPr>
            <w:r w:rsidRPr="00AE7673">
              <w:rPr>
                <w:rFonts w:ascii="Calibri" w:eastAsia="SimSun" w:hAnsi="Calibri" w:cs="Arial"/>
              </w:rPr>
              <w:t>WIPO</w:t>
            </w:r>
          </w:p>
        </w:tc>
        <w:tc>
          <w:tcPr>
            <w:tcW w:w="2529" w:type="dxa"/>
          </w:tcPr>
          <w:p w14:paraId="6DFD533B"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xml:space="preserve">We do not have a formal language policy for the website, but WIPO endeavours to publish as much content as possible in the 6 working languages, i.e. Arabic, Chinese, English, French, Russian and Spanish.  Portuguese is used since 2000 for promotional material only regarding WIPO-administered treaties, and therefore WIPO’s website offers publications in Portuguese.  </w:t>
            </w:r>
          </w:p>
          <w:p w14:paraId="2A6F02D5"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The website is made of 6 main subdivisions, and they are in all 6 working languages (IP Services, Policy, Cooperation, Reference, About IP and Inside WIPO).  But some of the contents of those main subdivisions are not in all of the 6 working languages. For instance, under About IP one finds the webpage of the WIPO Magazine, but this publication is only produced in EN, ES and FR.</w:t>
            </w:r>
          </w:p>
          <w:p w14:paraId="7FCC7DB7"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Under IP Services, one finds the Arbitration and Mediation Center, whose portal is in all 6 languages. But once there, if one wants to find out more about the Uniform Domain Name Dispute Resolution Policy, the webpages on this policy appear only in EN, FR and ES.</w:t>
            </w:r>
          </w:p>
          <w:p w14:paraId="62FFDB9A"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xml:space="preserve">In another subdivision, Reference, one can find the meeting documents for all main WIPO bodies. And those documents are all in the 6 languages. In the same subdivision, one finds the WIPO-administered treaties, and they are also in the 6 languages. There is also the WIPO Lex webpage in this subdivision, which is a one-stop search facility for national laws on intellectual property. Its content, though, is not in the 6 languages, but one can consult the language versions of a national law, which are provided by Google Translate.  </w:t>
            </w:r>
          </w:p>
          <w:p w14:paraId="0C98822F"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xml:space="preserve">Another example, under IP Services, one gets to the International Patent System portal whose main pages, but not all, are in the 6 languages plus German, Korean, Japanese and Portuguese. This is due to the fact that WIPO accepts patent applications in those additional languages in conformity with the Patent Cooperation Treaty. Yet, another pillar of the Organization, the Madrid System, has a portal with the main pages in the 6 languages, but the deeper you go into it, the content appears only in EN, FR and ES. </w:t>
            </w:r>
          </w:p>
        </w:tc>
        <w:tc>
          <w:tcPr>
            <w:tcW w:w="1701" w:type="dxa"/>
          </w:tcPr>
          <w:p w14:paraId="51C6F361"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xml:space="preserve">We cannot offer a precise figure, but one can roughly estimate that 100% is in EN, 98% in FR, 90% in ES, and 60% in AR, ZH and RU. </w:t>
            </w:r>
          </w:p>
          <w:p w14:paraId="5873B3D1" w14:textId="77777777" w:rsidR="00AE703C" w:rsidRPr="00AE7673" w:rsidRDefault="00AE703C" w:rsidP="00167D75">
            <w:pPr>
              <w:spacing w:before="100" w:after="100"/>
              <w:ind w:right="-108"/>
              <w:rPr>
                <w:rFonts w:ascii="Calibri" w:eastAsia="SimSun" w:hAnsi="Calibri"/>
                <w:color w:val="1F497D"/>
                <w:sz w:val="16"/>
                <w:szCs w:val="16"/>
              </w:rPr>
            </w:pPr>
          </w:p>
        </w:tc>
        <w:tc>
          <w:tcPr>
            <w:tcW w:w="2115" w:type="dxa"/>
          </w:tcPr>
          <w:p w14:paraId="69C6421F"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Webposting is centralized</w:t>
            </w:r>
          </w:p>
        </w:tc>
        <w:tc>
          <w:tcPr>
            <w:tcW w:w="2115" w:type="dxa"/>
          </w:tcPr>
          <w:p w14:paraId="75E3A05C"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There is a service for that, the Web Communications Section.</w:t>
            </w:r>
          </w:p>
        </w:tc>
        <w:tc>
          <w:tcPr>
            <w:tcW w:w="2115" w:type="dxa"/>
          </w:tcPr>
          <w:p w14:paraId="388BE85A"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With the exception of national laws for WIPO Lex (see reply to Q1), the Language Division handles the translation work.</w:t>
            </w:r>
          </w:p>
          <w:p w14:paraId="6A5D9325" w14:textId="77777777" w:rsidR="00AE703C" w:rsidRPr="00AE7673" w:rsidRDefault="00AE703C" w:rsidP="00167D75">
            <w:pPr>
              <w:spacing w:before="100" w:after="100"/>
              <w:ind w:right="-108"/>
              <w:rPr>
                <w:rFonts w:ascii="Calibri" w:eastAsia="SimSun" w:hAnsi="Calibri"/>
                <w:color w:val="1F497D"/>
                <w:sz w:val="16"/>
                <w:szCs w:val="16"/>
              </w:rPr>
            </w:pPr>
          </w:p>
        </w:tc>
        <w:tc>
          <w:tcPr>
            <w:tcW w:w="2115" w:type="dxa"/>
          </w:tcPr>
          <w:p w14:paraId="22E2D31A"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Work for the website appears in the same workflow as meeting documents, and is processed accordingly.</w:t>
            </w:r>
          </w:p>
          <w:p w14:paraId="72C94C0F" w14:textId="77777777" w:rsidR="00AE703C" w:rsidRPr="00AE7673" w:rsidRDefault="00AE703C" w:rsidP="00167D75">
            <w:pPr>
              <w:spacing w:before="100" w:after="100"/>
              <w:ind w:right="-108"/>
              <w:rPr>
                <w:rFonts w:ascii="Calibri" w:eastAsia="SimSun" w:hAnsi="Calibri"/>
                <w:color w:val="1F497D"/>
                <w:sz w:val="16"/>
                <w:szCs w:val="16"/>
              </w:rPr>
            </w:pPr>
          </w:p>
        </w:tc>
        <w:tc>
          <w:tcPr>
            <w:tcW w:w="2115" w:type="dxa"/>
          </w:tcPr>
          <w:p w14:paraId="2F77BD75"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 xml:space="preserve">The only short deadlines are the ones for the press pages, and they are short texts. Their translation in the other 5 languages is requested every Thursday by the Web Communications Section, for delivery by the following Tuesday at the latest. </w:t>
            </w:r>
          </w:p>
          <w:p w14:paraId="1FABFB76" w14:textId="77777777" w:rsidR="00AE703C" w:rsidRPr="00AE7673" w:rsidRDefault="00AE703C" w:rsidP="00167D75">
            <w:pPr>
              <w:spacing w:before="100" w:after="100"/>
              <w:ind w:right="-108"/>
              <w:rPr>
                <w:rFonts w:ascii="Calibri" w:eastAsia="SimSun" w:hAnsi="Calibri"/>
                <w:color w:val="1F497D"/>
                <w:sz w:val="16"/>
                <w:szCs w:val="16"/>
              </w:rPr>
            </w:pPr>
          </w:p>
          <w:p w14:paraId="23DA9C0F" w14:textId="77777777" w:rsidR="00AE703C" w:rsidRPr="00AE7673" w:rsidRDefault="00AE703C" w:rsidP="00167D75">
            <w:pPr>
              <w:spacing w:before="100" w:after="100"/>
              <w:ind w:right="-108"/>
              <w:rPr>
                <w:rFonts w:ascii="Calibri" w:eastAsia="SimSun" w:hAnsi="Calibri"/>
                <w:color w:val="1F497D"/>
                <w:sz w:val="16"/>
                <w:szCs w:val="16"/>
              </w:rPr>
            </w:pPr>
          </w:p>
        </w:tc>
        <w:tc>
          <w:tcPr>
            <w:tcW w:w="2115" w:type="dxa"/>
          </w:tcPr>
          <w:p w14:paraId="14A1BC26" w14:textId="77777777" w:rsidR="00AE703C" w:rsidRPr="00AE7673" w:rsidRDefault="00AE703C" w:rsidP="00167D75">
            <w:pPr>
              <w:spacing w:before="100" w:after="100"/>
              <w:ind w:right="-108"/>
              <w:rPr>
                <w:rFonts w:ascii="Calibri" w:eastAsia="SimSun" w:hAnsi="Calibri"/>
                <w:color w:val="1F497D"/>
                <w:sz w:val="16"/>
                <w:szCs w:val="16"/>
              </w:rPr>
            </w:pPr>
            <w:r w:rsidRPr="00AE7673">
              <w:rPr>
                <w:rFonts w:ascii="Calibri" w:eastAsia="SimSun" w:hAnsi="Calibri"/>
                <w:color w:val="1F497D"/>
                <w:sz w:val="16"/>
                <w:szCs w:val="16"/>
              </w:rPr>
              <w:t>Yes, in the WIPO Lex portal (see reply to Q1).</w:t>
            </w:r>
          </w:p>
          <w:p w14:paraId="1BBBC956" w14:textId="77777777" w:rsidR="00AE703C" w:rsidRPr="00AE7673" w:rsidRDefault="00AE703C" w:rsidP="00167D75">
            <w:pPr>
              <w:spacing w:before="100" w:after="100"/>
              <w:ind w:right="-108"/>
              <w:rPr>
                <w:rFonts w:ascii="Calibri" w:eastAsia="SimSun" w:hAnsi="Calibri"/>
                <w:color w:val="1F497D"/>
                <w:sz w:val="16"/>
                <w:szCs w:val="16"/>
              </w:rPr>
            </w:pPr>
          </w:p>
          <w:p w14:paraId="0E279F51" w14:textId="77777777" w:rsidR="00AE703C" w:rsidRPr="00AE7673" w:rsidRDefault="00AE703C" w:rsidP="00167D75">
            <w:pPr>
              <w:spacing w:before="100" w:after="100"/>
              <w:ind w:right="-108"/>
              <w:rPr>
                <w:rFonts w:ascii="Calibri" w:eastAsia="SimSun" w:hAnsi="Calibri"/>
                <w:color w:val="1F497D"/>
                <w:sz w:val="16"/>
                <w:szCs w:val="16"/>
              </w:rPr>
            </w:pPr>
          </w:p>
        </w:tc>
        <w:tc>
          <w:tcPr>
            <w:tcW w:w="2115" w:type="dxa"/>
          </w:tcPr>
          <w:p w14:paraId="2117AD4F" w14:textId="77777777" w:rsidR="00AE703C" w:rsidRPr="00AE7673" w:rsidRDefault="00AE703C" w:rsidP="00167D75">
            <w:pPr>
              <w:spacing w:before="100" w:after="100"/>
              <w:ind w:right="-108"/>
              <w:rPr>
                <w:rFonts w:ascii="Calibri" w:eastAsia="SimSun" w:hAnsi="Calibri"/>
                <w:color w:val="1F497D"/>
                <w:sz w:val="16"/>
                <w:szCs w:val="16"/>
              </w:rPr>
            </w:pPr>
          </w:p>
        </w:tc>
      </w:tr>
      <w:tr w:rsidR="00AE703C" w:rsidRPr="00AE7673" w14:paraId="496BED95" w14:textId="77777777" w:rsidTr="00167D75">
        <w:tc>
          <w:tcPr>
            <w:tcW w:w="2115" w:type="dxa"/>
          </w:tcPr>
          <w:p w14:paraId="25920FEE" w14:textId="77777777" w:rsidR="00AE703C" w:rsidRPr="00AE7673" w:rsidRDefault="00AE703C" w:rsidP="00167D75">
            <w:pPr>
              <w:rPr>
                <w:rFonts w:ascii="Calibri" w:eastAsia="SimSun" w:hAnsi="Calibri" w:cs="Arial"/>
              </w:rPr>
            </w:pPr>
            <w:r w:rsidRPr="00AE7673">
              <w:rPr>
                <w:rFonts w:ascii="Calibri" w:eastAsia="SimSun" w:hAnsi="Calibri" w:cs="Arial"/>
              </w:rPr>
              <w:t>WMO</w:t>
            </w:r>
          </w:p>
        </w:tc>
        <w:tc>
          <w:tcPr>
            <w:tcW w:w="2529" w:type="dxa"/>
          </w:tcPr>
          <w:p w14:paraId="6F79D9A0"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WMO has an informal policy regarding WMO website. Selected pages are translated into the six official languages of the Organization, such as the homepage, the introductory pages of WMO scientific and technical programmes, media centre information, WMO corporate information and WMO meeting pages. Generally speaking, the pages with static content were translated when the website was launched, and updated later on if necessary.  </w:t>
            </w:r>
          </w:p>
        </w:tc>
        <w:tc>
          <w:tcPr>
            <w:tcW w:w="1701" w:type="dxa"/>
          </w:tcPr>
          <w:p w14:paraId="309EC9DC"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There are no exact figures available, but possibly about 20 per cent of the Web content is translated.  Since WMO has no Content Management System (CMS) for the Web, it is extremely difficult to keep track of the number of pages in any language. </w:t>
            </w:r>
          </w:p>
          <w:p w14:paraId="56B2C4C7" w14:textId="77777777" w:rsidR="00AE703C" w:rsidRPr="00AE7673" w:rsidRDefault="00AE703C" w:rsidP="00167D75">
            <w:pPr>
              <w:rPr>
                <w:rFonts w:ascii="Calibri" w:eastAsia="SimSun" w:hAnsi="Calibri"/>
                <w:color w:val="1F497D"/>
                <w:sz w:val="16"/>
                <w:szCs w:val="16"/>
              </w:rPr>
            </w:pPr>
          </w:p>
        </w:tc>
        <w:tc>
          <w:tcPr>
            <w:tcW w:w="2115" w:type="dxa"/>
          </w:tcPr>
          <w:p w14:paraId="2333E78D"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Communications and Public Affairs (CPA) are responsible for the web. The webposting is decentralized: some content is posted by CPA (particularly, information under the “media centre” section and corporate information, i.e. general information on WMO) ; the pages or content translated by WMO language service is posted by the language service itself (there are web focal points per language section); and content regarding WMO scientific and technical programmes in English is posted by the corresponding departments. Though web posting is decentralized, access rights need to be previously given by WMO web master to the designated Web focal point. There can be one or many Web focal points in any department</w:t>
            </w:r>
          </w:p>
        </w:tc>
        <w:tc>
          <w:tcPr>
            <w:tcW w:w="2115" w:type="dxa"/>
          </w:tcPr>
          <w:p w14:paraId="1946DD39" w14:textId="77777777" w:rsidR="00AE703C" w:rsidRPr="00AE7673" w:rsidRDefault="00AE703C" w:rsidP="00167D75">
            <w:pPr>
              <w:tabs>
                <w:tab w:val="left" w:pos="1899"/>
              </w:tabs>
              <w:rPr>
                <w:rFonts w:ascii="Calibri" w:eastAsia="SimSun" w:hAnsi="Calibri"/>
                <w:color w:val="1F497D"/>
                <w:sz w:val="16"/>
                <w:szCs w:val="16"/>
              </w:rPr>
            </w:pPr>
            <w:r w:rsidRPr="00AE7673">
              <w:rPr>
                <w:rFonts w:ascii="Calibri" w:eastAsia="SimSun" w:hAnsi="Calibri"/>
                <w:color w:val="1F497D"/>
                <w:sz w:val="16"/>
                <w:szCs w:val="16"/>
              </w:rPr>
              <w:t>Yes, however the limited resources available do not allow for an immediate update in all languages. Updates may come at different times for the different languages.</w:t>
            </w:r>
          </w:p>
        </w:tc>
        <w:tc>
          <w:tcPr>
            <w:tcW w:w="2115" w:type="dxa"/>
          </w:tcPr>
          <w:p w14:paraId="4EA194BF"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Yes, it is the WMO language service that provides the translation.</w:t>
            </w:r>
          </w:p>
        </w:tc>
        <w:tc>
          <w:tcPr>
            <w:tcW w:w="2115" w:type="dxa"/>
          </w:tcPr>
          <w:p w14:paraId="27D43057" w14:textId="77777777" w:rsidR="00AE703C" w:rsidRPr="00AE7673" w:rsidRDefault="00AE703C" w:rsidP="00167D75">
            <w:pPr>
              <w:ind w:right="-12"/>
              <w:rPr>
                <w:rFonts w:ascii="Calibri" w:eastAsia="SimSun" w:hAnsi="Calibri"/>
                <w:color w:val="1F497D"/>
                <w:sz w:val="16"/>
                <w:szCs w:val="16"/>
              </w:rPr>
            </w:pPr>
            <w:r w:rsidRPr="00AE7673">
              <w:rPr>
                <w:rFonts w:ascii="Calibri" w:eastAsia="SimSun" w:hAnsi="Calibri"/>
                <w:color w:val="1F497D"/>
                <w:sz w:val="16"/>
                <w:szCs w:val="16"/>
              </w:rPr>
              <w:t>The work is budgeted in the Translation Service and also in CPA. It is a separate workflow from translation of documents which take the priority. Usually, it is done by the same translators. It represents approximately 10 to 20% of the translation work per language. There is a written agreement between CPA and WMO language service on how to manage the requests for translating web content and on how to communicate these requests to WMO language service. Unfortunately, the lack of a CMS and resources make it difficult to manage this type of work appropriately.</w:t>
            </w:r>
          </w:p>
        </w:tc>
        <w:tc>
          <w:tcPr>
            <w:tcW w:w="2115" w:type="dxa"/>
          </w:tcPr>
          <w:p w14:paraId="124F41FD" w14:textId="77777777" w:rsidR="00AE703C" w:rsidRPr="00AE7673" w:rsidRDefault="00AE703C" w:rsidP="00167D75">
            <w:pPr>
              <w:ind w:right="-23"/>
              <w:rPr>
                <w:rFonts w:ascii="Calibri" w:eastAsia="SimSun" w:hAnsi="Calibri"/>
                <w:color w:val="1F497D"/>
                <w:sz w:val="16"/>
                <w:szCs w:val="16"/>
              </w:rPr>
            </w:pPr>
            <w:r w:rsidRPr="00AE7673">
              <w:rPr>
                <w:rFonts w:ascii="Calibri" w:eastAsia="SimSun" w:hAnsi="Calibri"/>
                <w:color w:val="1F497D"/>
                <w:sz w:val="16"/>
                <w:szCs w:val="16"/>
              </w:rPr>
              <w:t>By having specific translators assigned to the website or, in case of very short deadlines and high importance, by assigning the work to in-house translators. However, since the translation of web content is not considered a top priority, web translations are published usually late, except for urgent and important information.</w:t>
            </w:r>
          </w:p>
        </w:tc>
        <w:tc>
          <w:tcPr>
            <w:tcW w:w="2115" w:type="dxa"/>
          </w:tcPr>
          <w:p w14:paraId="05A34C3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Yes. "Google translate" is available throughout the WMO website. </w:t>
            </w:r>
          </w:p>
        </w:tc>
        <w:tc>
          <w:tcPr>
            <w:tcW w:w="2115" w:type="dxa"/>
          </w:tcPr>
          <w:p w14:paraId="64AFDADB" w14:textId="77777777" w:rsidR="00AE703C" w:rsidRPr="00AE7673" w:rsidRDefault="00AE703C" w:rsidP="00167D75">
            <w:pPr>
              <w:rPr>
                <w:rFonts w:ascii="Calibri" w:eastAsia="SimSun" w:hAnsi="Calibri"/>
                <w:color w:val="1F497D"/>
                <w:sz w:val="16"/>
                <w:szCs w:val="16"/>
              </w:rPr>
            </w:pPr>
          </w:p>
        </w:tc>
      </w:tr>
      <w:tr w:rsidR="00AE703C" w:rsidRPr="00AE7673" w14:paraId="71F6E3F9" w14:textId="77777777" w:rsidTr="00167D75">
        <w:tc>
          <w:tcPr>
            <w:tcW w:w="2115" w:type="dxa"/>
          </w:tcPr>
          <w:p w14:paraId="4C8647CB" w14:textId="77777777" w:rsidR="00AE703C" w:rsidRPr="00AE7673" w:rsidRDefault="00AE703C" w:rsidP="00167D75">
            <w:pPr>
              <w:rPr>
                <w:rFonts w:ascii="Calibri" w:eastAsia="SimSun" w:hAnsi="Calibri" w:cs="Arial"/>
              </w:rPr>
            </w:pPr>
            <w:r w:rsidRPr="00AE7673">
              <w:rPr>
                <w:rFonts w:ascii="Calibri" w:eastAsia="SimSun" w:hAnsi="Calibri" w:cs="Arial"/>
              </w:rPr>
              <w:t>UNHQ (DPI)</w:t>
            </w:r>
          </w:p>
        </w:tc>
        <w:tc>
          <w:tcPr>
            <w:tcW w:w="2529" w:type="dxa"/>
          </w:tcPr>
          <w:p w14:paraId="567D0858"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DPI strives to ensure that all web content produced by the Department is maintained in all official languages.  Web Service Section (WSS) work to maintain key web pages on UN.ORG in the six official languages and News Service Section (NSS) and UN Radio likewise ensure language parity is maintained on the UN News and UN Radio websites.  In addition, the UN Radio website is available in Portuguese, Kiswahili, Urdu, Hindi and Bangla.  The web multilingual guidelines published by WSS can be accessed here : </w:t>
            </w:r>
            <w:hyperlink r:id="rId14" w:history="1">
              <w:r w:rsidRPr="00AE7673">
                <w:rPr>
                  <w:rFonts w:ascii="Calibri" w:eastAsia="SimSun" w:hAnsi="Calibri"/>
                  <w:color w:val="1F497D"/>
                  <w:sz w:val="16"/>
                  <w:szCs w:val="16"/>
                </w:rPr>
                <w:t>www.un.org/en/webgovernance</w:t>
              </w:r>
            </w:hyperlink>
          </w:p>
        </w:tc>
        <w:tc>
          <w:tcPr>
            <w:tcW w:w="1701" w:type="dxa"/>
          </w:tcPr>
          <w:p w14:paraId="15B5EA65"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Nearly all web pages for which News and Media Division (NMD) are responsible for are maintained in all official languages. We do not have the exact percentage but it would be very high.  It should be noted that not all web pages under UN.ORG are the responsibility of DPI.  The degree of language parity of web pages maintained by other departments varies considerably.</w:t>
            </w:r>
          </w:p>
        </w:tc>
        <w:tc>
          <w:tcPr>
            <w:tcW w:w="2115" w:type="dxa"/>
          </w:tcPr>
          <w:p w14:paraId="7EEDD0AC"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Decentralised posting is supported by FTP.  Some degree of centralised posting is nearly always required in order to support language parity.  For example, the 1540 security council committee post their own English content, but Web Services Section posts the content in the other five languages.</w:t>
            </w:r>
          </w:p>
        </w:tc>
        <w:tc>
          <w:tcPr>
            <w:tcW w:w="2115" w:type="dxa"/>
          </w:tcPr>
          <w:p w14:paraId="046B483B" w14:textId="77777777" w:rsidR="00AE703C" w:rsidRPr="00AE7673" w:rsidRDefault="00AE703C" w:rsidP="00167D75">
            <w:pPr>
              <w:tabs>
                <w:tab w:val="left" w:pos="1899"/>
              </w:tabs>
              <w:rPr>
                <w:rFonts w:ascii="Calibri" w:eastAsia="SimSun" w:hAnsi="Calibri"/>
                <w:color w:val="1F497D"/>
                <w:sz w:val="16"/>
                <w:szCs w:val="16"/>
              </w:rPr>
            </w:pPr>
            <w:r w:rsidRPr="00AE7673">
              <w:rPr>
                <w:rFonts w:ascii="Calibri" w:eastAsia="SimSun" w:hAnsi="Calibri"/>
                <w:color w:val="1F497D"/>
                <w:sz w:val="16"/>
                <w:szCs w:val="16"/>
              </w:rPr>
              <w:t>The coordination is done via email messages at present.  WSS is adopting Drupal CMS technology will will allow the automation of the notification process for language updates</w:t>
            </w:r>
          </w:p>
        </w:tc>
        <w:tc>
          <w:tcPr>
            <w:tcW w:w="2115" w:type="dxa"/>
          </w:tcPr>
          <w:p w14:paraId="22BEA8B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In terms of organisational responsibility, WSS do not translate the web content ;  translations are provided by the authoring department.  On an exceptional basis, WSS may provide courtesy translation but this is not a core duty of the section.  WSS do translate web components such as menu navigation, banners, graphics, page footers, forms, site maps etc</w:t>
            </w:r>
          </w:p>
        </w:tc>
        <w:tc>
          <w:tcPr>
            <w:tcW w:w="2115" w:type="dxa"/>
          </w:tcPr>
          <w:p w14:paraId="075B77E9" w14:textId="77777777" w:rsidR="00AE703C" w:rsidRPr="00AE7673" w:rsidRDefault="00AE703C" w:rsidP="00167D75">
            <w:pPr>
              <w:ind w:right="-12"/>
              <w:rPr>
                <w:rFonts w:ascii="Calibri" w:eastAsia="SimSun" w:hAnsi="Calibri"/>
                <w:color w:val="1F497D"/>
                <w:sz w:val="16"/>
                <w:szCs w:val="16"/>
              </w:rPr>
            </w:pPr>
            <w:r w:rsidRPr="00AE7673">
              <w:rPr>
                <w:rFonts w:ascii="Calibri" w:eastAsia="SimSun" w:hAnsi="Calibri"/>
                <w:color w:val="1F497D"/>
                <w:sz w:val="16"/>
                <w:szCs w:val="16"/>
              </w:rPr>
              <w:t>The cost of translation is borne by the authoring departments.  WSS have worked to establish relationships with universities to provide pro-bono translations for authoring departments.</w:t>
            </w:r>
          </w:p>
        </w:tc>
        <w:tc>
          <w:tcPr>
            <w:tcW w:w="2115" w:type="dxa"/>
          </w:tcPr>
          <w:p w14:paraId="5B13C9AF" w14:textId="77777777" w:rsidR="00AE703C" w:rsidRPr="00AE7673" w:rsidRDefault="00AE703C" w:rsidP="00167D75">
            <w:pPr>
              <w:ind w:right="-23"/>
              <w:rPr>
                <w:rFonts w:ascii="Calibri" w:eastAsia="SimSun" w:hAnsi="Calibri"/>
                <w:color w:val="1F497D"/>
                <w:sz w:val="16"/>
                <w:szCs w:val="16"/>
              </w:rPr>
            </w:pPr>
            <w:r w:rsidRPr="00AE7673">
              <w:rPr>
                <w:rFonts w:ascii="Calibri" w:eastAsia="SimSun" w:hAnsi="Calibri"/>
                <w:color w:val="1F497D"/>
                <w:sz w:val="16"/>
                <w:szCs w:val="16"/>
              </w:rPr>
              <w:t>The need for quick turnaround is managed by having established units to handle the language requirements. WSS has units for each language as does Radio / News .</w:t>
            </w:r>
          </w:p>
        </w:tc>
        <w:tc>
          <w:tcPr>
            <w:tcW w:w="2115" w:type="dxa"/>
          </w:tcPr>
          <w:p w14:paraId="212D2694"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 we never use this. The quality of machine translation is nowhere near sufficient quality for publication on an official UN web site</w:t>
            </w:r>
          </w:p>
        </w:tc>
        <w:tc>
          <w:tcPr>
            <w:tcW w:w="2115" w:type="dxa"/>
          </w:tcPr>
          <w:p w14:paraId="5C2DB3BC"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For additional information on the latest GA resolutions relating to multilingualism I am attaching i) COI report with resolutions, ii) the latest Multilingualism Resolution and iii) the latest Multilingualism Report draft (kindly note that this report is yet to be adopted).</w:t>
            </w:r>
          </w:p>
          <w:p w14:paraId="6055276F" w14:textId="77777777" w:rsidR="00AE703C" w:rsidRPr="00AE7673" w:rsidRDefault="00AE703C" w:rsidP="00167D75">
            <w:pPr>
              <w:rPr>
                <w:rFonts w:ascii="Calibri" w:eastAsia="SimSun" w:hAnsi="Calibri"/>
                <w:color w:val="1F497D"/>
                <w:sz w:val="16"/>
                <w:szCs w:val="16"/>
              </w:rPr>
            </w:pPr>
          </w:p>
          <w:p w14:paraId="3DD6BBFE"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object w:dxaOrig="1533" w:dyaOrig="973" w14:anchorId="50258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5" o:title=""/>
                </v:shape>
                <o:OLEObject Type="Embed" ProgID="AcroExch.Document.7" ShapeID="_x0000_i1025" DrawAspect="Icon" ObjectID="_1577596500" r:id="rId16"/>
              </w:object>
            </w:r>
            <w:r w:rsidRPr="00AE7673">
              <w:rPr>
                <w:rFonts w:ascii="Calibri" w:eastAsia="SimSun" w:hAnsi="Calibri"/>
                <w:color w:val="1F497D"/>
                <w:sz w:val="16"/>
                <w:szCs w:val="16"/>
              </w:rPr>
              <w:object w:dxaOrig="1533" w:dyaOrig="973" w14:anchorId="4A5B81D9">
                <v:shape id="_x0000_i1026" type="#_x0000_t75" style="width:75.75pt;height:48.75pt" o:ole="">
                  <v:imagedata r:id="rId17" o:title=""/>
                </v:shape>
                <o:OLEObject Type="Embed" ProgID="AcroExch.Document.7" ShapeID="_x0000_i1026" DrawAspect="Icon" ObjectID="_1577596501" r:id="rId18"/>
              </w:object>
            </w:r>
            <w:r w:rsidRPr="00AE7673">
              <w:rPr>
                <w:rFonts w:ascii="Calibri" w:eastAsia="SimSun" w:hAnsi="Calibri"/>
                <w:color w:val="1F497D"/>
                <w:sz w:val="16"/>
                <w:szCs w:val="16"/>
              </w:rPr>
              <w:object w:dxaOrig="1533" w:dyaOrig="973" w14:anchorId="33912D23">
                <v:shape id="_x0000_i1027" type="#_x0000_t75" style="width:75.75pt;height:48.75pt" o:ole="">
                  <v:imagedata r:id="rId19" o:title=""/>
                </v:shape>
                <o:OLEObject Type="Embed" ProgID="AcroExch.Document.7" ShapeID="_x0000_i1027" DrawAspect="Icon" ObjectID="_1577596502" r:id="rId20"/>
              </w:object>
            </w:r>
          </w:p>
        </w:tc>
      </w:tr>
      <w:tr w:rsidR="00AE703C" w:rsidRPr="00AE7673" w14:paraId="532A7A3C" w14:textId="77777777" w:rsidTr="00167D75">
        <w:tc>
          <w:tcPr>
            <w:tcW w:w="2115" w:type="dxa"/>
          </w:tcPr>
          <w:p w14:paraId="2794CC75" w14:textId="77777777" w:rsidR="00AE703C" w:rsidRPr="00AE7673" w:rsidRDefault="00AE703C" w:rsidP="00167D75">
            <w:pPr>
              <w:rPr>
                <w:rFonts w:ascii="Calibri" w:eastAsia="SimSun" w:hAnsi="Calibri" w:cs="Arial"/>
              </w:rPr>
            </w:pPr>
            <w:r w:rsidRPr="00AE7673">
              <w:rPr>
                <w:rFonts w:ascii="Calibri" w:eastAsia="SimSun" w:hAnsi="Calibri" w:cs="Arial"/>
              </w:rPr>
              <w:t>WTO</w:t>
            </w:r>
          </w:p>
        </w:tc>
        <w:tc>
          <w:tcPr>
            <w:tcW w:w="2529" w:type="dxa"/>
          </w:tcPr>
          <w:p w14:paraId="127467DE"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Informal policy, agreed with Language Services. </w:t>
            </w:r>
          </w:p>
          <w:p w14:paraId="16C16E71"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Public Website: everything appears in the 3 official languages, with a few exceptions (presentations for special events, programmes for some symposia or seminars, powerpoint submissions… which are posted in English).</w:t>
            </w:r>
          </w:p>
          <w:p w14:paraId="15B6A0C6"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English versions are posted on the site first, and translations are posted when ready. But headlines are translated immediately through an application called Transweb (100 words maximum, immediate translation).</w:t>
            </w:r>
          </w:p>
        </w:tc>
        <w:tc>
          <w:tcPr>
            <w:tcW w:w="1701" w:type="dxa"/>
          </w:tcPr>
          <w:p w14:paraId="1A42767E"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More than 90 per cent of all pages are translated in the other 2 official languages.</w:t>
            </w:r>
          </w:p>
          <w:p w14:paraId="02C879D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Only some old news items have not been translated.</w:t>
            </w:r>
          </w:p>
        </w:tc>
        <w:tc>
          <w:tcPr>
            <w:tcW w:w="2115" w:type="dxa"/>
          </w:tcPr>
          <w:p w14:paraId="5FF7248A"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The WebTeam is responsible for all matters relating to the Website, with the Head of Operations, Internet and Intranet, coordinating the webposting and the Head of Editorial, Internet and Publications who can make any editorial change he thinks is necessary.</w:t>
            </w:r>
          </w:p>
        </w:tc>
        <w:tc>
          <w:tcPr>
            <w:tcW w:w="2115" w:type="dxa"/>
          </w:tcPr>
          <w:p w14:paraId="2741B082" w14:textId="77777777" w:rsidR="00AE703C" w:rsidRPr="00AE7673" w:rsidRDefault="00AE703C" w:rsidP="00167D75">
            <w:pPr>
              <w:tabs>
                <w:tab w:val="left" w:pos="1899"/>
              </w:tabs>
              <w:rPr>
                <w:rFonts w:ascii="Calibri" w:eastAsia="SimSun" w:hAnsi="Calibri"/>
                <w:color w:val="1F497D"/>
                <w:sz w:val="16"/>
                <w:szCs w:val="16"/>
              </w:rPr>
            </w:pPr>
            <w:r w:rsidRPr="00AE7673">
              <w:rPr>
                <w:rFonts w:ascii="Calibri" w:eastAsia="SimSun" w:hAnsi="Calibri"/>
                <w:color w:val="1F497D"/>
                <w:sz w:val="16"/>
                <w:szCs w:val="16"/>
              </w:rPr>
              <w:t>No multilingual pages but parallel sites for the 3 languages. Usually, link to new documents in case of updating.</w:t>
            </w:r>
          </w:p>
        </w:tc>
        <w:tc>
          <w:tcPr>
            <w:tcW w:w="2115" w:type="dxa"/>
          </w:tcPr>
          <w:p w14:paraId="1E1D24B3"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Yes.</w:t>
            </w:r>
          </w:p>
        </w:tc>
        <w:tc>
          <w:tcPr>
            <w:tcW w:w="2115" w:type="dxa"/>
          </w:tcPr>
          <w:p w14:paraId="5F15A6B7" w14:textId="77777777" w:rsidR="00AE703C" w:rsidRPr="00AE7673" w:rsidRDefault="00AE703C" w:rsidP="00167D75">
            <w:pPr>
              <w:ind w:right="-12"/>
              <w:rPr>
                <w:rFonts w:ascii="Calibri" w:eastAsia="SimSun" w:hAnsi="Calibri"/>
                <w:color w:val="1F497D"/>
                <w:sz w:val="16"/>
                <w:szCs w:val="16"/>
              </w:rPr>
            </w:pPr>
            <w:r w:rsidRPr="00AE7673">
              <w:rPr>
                <w:rFonts w:ascii="Calibri" w:eastAsia="SimSun" w:hAnsi="Calibri"/>
                <w:color w:val="1F497D"/>
                <w:sz w:val="16"/>
                <w:szCs w:val="16"/>
              </w:rPr>
              <w:t>Web translations are considered as regular work and are financed by the Division regular budget. Same workflow and same translators, except for the team in charge of the Transweb (who translate headlines, etc. on top of their usual work).</w:t>
            </w:r>
          </w:p>
        </w:tc>
        <w:tc>
          <w:tcPr>
            <w:tcW w:w="2115" w:type="dxa"/>
          </w:tcPr>
          <w:p w14:paraId="5CA9A374" w14:textId="77777777" w:rsidR="00AE703C" w:rsidRPr="00AE7673" w:rsidRDefault="00AE703C" w:rsidP="00167D75">
            <w:pPr>
              <w:ind w:right="-23"/>
              <w:rPr>
                <w:rFonts w:ascii="Calibri" w:eastAsia="SimSun" w:hAnsi="Calibri"/>
                <w:color w:val="1F497D"/>
                <w:sz w:val="16"/>
                <w:szCs w:val="16"/>
              </w:rPr>
            </w:pPr>
            <w:r w:rsidRPr="00AE7673">
              <w:rPr>
                <w:rFonts w:ascii="Calibri" w:eastAsia="SimSun" w:hAnsi="Calibri"/>
                <w:color w:val="1F497D"/>
                <w:sz w:val="16"/>
                <w:szCs w:val="16"/>
              </w:rPr>
              <w:t>See above.  As WTO has a relatively important team of translators, it usually copes with the additional workload.</w:t>
            </w:r>
          </w:p>
        </w:tc>
        <w:tc>
          <w:tcPr>
            <w:tcW w:w="2115" w:type="dxa"/>
          </w:tcPr>
          <w:p w14:paraId="72F08556"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w:t>
            </w:r>
          </w:p>
        </w:tc>
        <w:tc>
          <w:tcPr>
            <w:tcW w:w="2115" w:type="dxa"/>
          </w:tcPr>
          <w:p w14:paraId="1038192D" w14:textId="77777777" w:rsidR="00AE703C" w:rsidRPr="00AE7673" w:rsidRDefault="00AE703C" w:rsidP="00167D75">
            <w:pPr>
              <w:rPr>
                <w:rFonts w:ascii="Calibri" w:eastAsia="SimSun" w:hAnsi="Calibri" w:cs="Arial"/>
              </w:rPr>
            </w:pPr>
          </w:p>
        </w:tc>
      </w:tr>
      <w:tr w:rsidR="00AE703C" w:rsidRPr="00AE7673" w14:paraId="693A4479" w14:textId="77777777" w:rsidTr="00167D75">
        <w:tc>
          <w:tcPr>
            <w:tcW w:w="2115" w:type="dxa"/>
          </w:tcPr>
          <w:p w14:paraId="1FA0340E" w14:textId="77777777" w:rsidR="00AE703C" w:rsidRPr="00AE7673" w:rsidRDefault="00AE703C" w:rsidP="00167D75">
            <w:pPr>
              <w:rPr>
                <w:rFonts w:ascii="Calibri" w:eastAsia="SimSun" w:hAnsi="Calibri" w:cs="Arial"/>
              </w:rPr>
            </w:pPr>
            <w:r w:rsidRPr="00AE7673">
              <w:rPr>
                <w:rFonts w:ascii="Calibri" w:eastAsia="SimSun" w:hAnsi="Calibri" w:cs="Arial"/>
              </w:rPr>
              <w:t>IAEA</w:t>
            </w:r>
          </w:p>
        </w:tc>
        <w:tc>
          <w:tcPr>
            <w:tcW w:w="2529" w:type="dxa"/>
          </w:tcPr>
          <w:p w14:paraId="5FF9B1E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 formal policy. Documents related to the Policy-Making Organs are translated into the 5 langs and posted either on the restricted site (Board documents) or the Public site (General Conference docs and Information Circulars. The IAEA Bulletin is also translated into the 5 langs and posted. Some publications are translated and posted.</w:t>
            </w:r>
          </w:p>
          <w:p w14:paraId="092B13A9" w14:textId="77777777" w:rsidR="00AE703C" w:rsidRPr="00AE7673" w:rsidRDefault="00AE703C" w:rsidP="00167D75">
            <w:pPr>
              <w:rPr>
                <w:rFonts w:ascii="Calibri" w:eastAsia="SimSun" w:hAnsi="Calibri"/>
                <w:color w:val="1F497D"/>
                <w:sz w:val="16"/>
                <w:szCs w:val="16"/>
              </w:rPr>
            </w:pPr>
          </w:p>
          <w:p w14:paraId="549DEFF8"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The actual web pages as such are not currently translated although our Office of Public Information and Communication (OPIC) has recently issued a vacancy notice for a consultant to decide which web pages should be translated and “to populate these pages with the relevant language content”. The consultant is supposed to coordinate the translation work with the IAEA’s Language Services. It is not at all clear how this would work in practice and whether OPIC actually has the resources to fund the translation.</w:t>
            </w:r>
          </w:p>
          <w:p w14:paraId="4A0BD210" w14:textId="77777777" w:rsidR="00AE703C" w:rsidRPr="00AE7673" w:rsidRDefault="00AE703C" w:rsidP="00167D75">
            <w:pPr>
              <w:rPr>
                <w:rFonts w:ascii="Calibri" w:eastAsia="SimSun" w:hAnsi="Calibri"/>
                <w:color w:val="1F497D"/>
                <w:sz w:val="16"/>
                <w:szCs w:val="16"/>
              </w:rPr>
            </w:pPr>
          </w:p>
        </w:tc>
        <w:tc>
          <w:tcPr>
            <w:tcW w:w="1701" w:type="dxa"/>
          </w:tcPr>
          <w:p w14:paraId="428688E7"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Close to zero in terms of the actual web pages as opposed to documents/publications being posted in various langs.</w:t>
            </w:r>
          </w:p>
        </w:tc>
        <w:tc>
          <w:tcPr>
            <w:tcW w:w="2115" w:type="dxa"/>
          </w:tcPr>
          <w:p w14:paraId="3E3EDEA2"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Not sure. I think at the moment it is decentralized but OPIC is trying to get things more centralized.</w:t>
            </w:r>
          </w:p>
        </w:tc>
        <w:tc>
          <w:tcPr>
            <w:tcW w:w="2115" w:type="dxa"/>
          </w:tcPr>
          <w:p w14:paraId="0CEFC917" w14:textId="77777777" w:rsidR="00AE703C" w:rsidRPr="00AE7673" w:rsidRDefault="00AE703C" w:rsidP="00167D75">
            <w:pPr>
              <w:tabs>
                <w:tab w:val="left" w:pos="1899"/>
              </w:tabs>
              <w:rPr>
                <w:rFonts w:ascii="Calibri" w:eastAsia="SimSun" w:hAnsi="Calibri"/>
                <w:color w:val="1F497D"/>
                <w:sz w:val="16"/>
                <w:szCs w:val="16"/>
              </w:rPr>
            </w:pPr>
            <w:r w:rsidRPr="00AE7673">
              <w:rPr>
                <w:rFonts w:ascii="Calibri" w:eastAsia="SimSun" w:hAnsi="Calibri"/>
                <w:color w:val="1F497D"/>
                <w:sz w:val="16"/>
                <w:szCs w:val="16"/>
              </w:rPr>
              <w:t>No</w:t>
            </w:r>
          </w:p>
        </w:tc>
        <w:tc>
          <w:tcPr>
            <w:tcW w:w="2115" w:type="dxa"/>
          </w:tcPr>
          <w:p w14:paraId="660241D5"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See answer to Q1</w:t>
            </w:r>
          </w:p>
        </w:tc>
        <w:tc>
          <w:tcPr>
            <w:tcW w:w="2115" w:type="dxa"/>
          </w:tcPr>
          <w:p w14:paraId="7FA47758" w14:textId="77777777" w:rsidR="00AE703C" w:rsidRPr="00AE7673" w:rsidRDefault="00AE703C" w:rsidP="00167D75">
            <w:pPr>
              <w:ind w:right="-12"/>
              <w:rPr>
                <w:rFonts w:ascii="Calibri" w:eastAsia="SimSun" w:hAnsi="Calibri"/>
                <w:color w:val="1F497D"/>
                <w:sz w:val="16"/>
                <w:szCs w:val="16"/>
              </w:rPr>
            </w:pPr>
            <w:r w:rsidRPr="00AE7673">
              <w:rPr>
                <w:rFonts w:ascii="Calibri" w:eastAsia="SimSun" w:hAnsi="Calibri"/>
                <w:color w:val="1F497D"/>
                <w:sz w:val="16"/>
                <w:szCs w:val="16"/>
              </w:rPr>
              <w:t>Not yet clear</w:t>
            </w:r>
          </w:p>
        </w:tc>
        <w:tc>
          <w:tcPr>
            <w:tcW w:w="2115" w:type="dxa"/>
          </w:tcPr>
          <w:p w14:paraId="63836B8B" w14:textId="77777777" w:rsidR="00AE703C" w:rsidRPr="00AE7673" w:rsidRDefault="00AE703C" w:rsidP="00167D75">
            <w:pPr>
              <w:ind w:right="-23"/>
              <w:rPr>
                <w:rFonts w:ascii="Calibri" w:eastAsia="SimSun" w:hAnsi="Calibri"/>
                <w:color w:val="1F497D"/>
                <w:sz w:val="16"/>
                <w:szCs w:val="16"/>
              </w:rPr>
            </w:pPr>
            <w:r w:rsidRPr="00AE7673">
              <w:rPr>
                <w:rFonts w:ascii="Calibri" w:eastAsia="SimSun" w:hAnsi="Calibri"/>
                <w:color w:val="1F497D"/>
                <w:sz w:val="16"/>
                <w:szCs w:val="16"/>
              </w:rPr>
              <w:t>Not yet clear</w:t>
            </w:r>
          </w:p>
        </w:tc>
        <w:tc>
          <w:tcPr>
            <w:tcW w:w="2115" w:type="dxa"/>
          </w:tcPr>
          <w:p w14:paraId="43C1A802"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w:t>
            </w:r>
          </w:p>
        </w:tc>
        <w:tc>
          <w:tcPr>
            <w:tcW w:w="2115" w:type="dxa"/>
          </w:tcPr>
          <w:p w14:paraId="77573FDF" w14:textId="77777777" w:rsidR="00AE703C" w:rsidRPr="00AE7673" w:rsidRDefault="00AE703C" w:rsidP="00167D75">
            <w:pPr>
              <w:rPr>
                <w:rFonts w:ascii="Calibri" w:eastAsia="SimSun" w:hAnsi="Calibri" w:cs="Arial"/>
              </w:rPr>
            </w:pPr>
          </w:p>
        </w:tc>
      </w:tr>
      <w:tr w:rsidR="00AE703C" w:rsidRPr="00AE7673" w14:paraId="28DA6B89" w14:textId="77777777" w:rsidTr="00167D75">
        <w:tc>
          <w:tcPr>
            <w:tcW w:w="2115" w:type="dxa"/>
          </w:tcPr>
          <w:p w14:paraId="7B61B689" w14:textId="77777777" w:rsidR="00AE703C" w:rsidRPr="00AE7673" w:rsidRDefault="00AE703C" w:rsidP="00167D75">
            <w:pPr>
              <w:rPr>
                <w:rFonts w:ascii="Calibri" w:eastAsia="SimSun" w:hAnsi="Calibri" w:cs="Arial"/>
              </w:rPr>
            </w:pPr>
            <w:r w:rsidRPr="00AE7673">
              <w:rPr>
                <w:rFonts w:ascii="Calibri" w:eastAsia="SimSun" w:hAnsi="Calibri" w:cs="Arial"/>
              </w:rPr>
              <w:t>UPU</w:t>
            </w:r>
          </w:p>
        </w:tc>
        <w:tc>
          <w:tcPr>
            <w:tcW w:w="2529" w:type="dxa"/>
          </w:tcPr>
          <w:p w14:paraId="6EA4AB24"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Our website is in English and in French generally. When we can post documents or tools in other languages, we do. For example, our development cooperation department produces regional development plans for our various regions. The Latin American plan is in Spanish as well as in English. Same for Arab region and Eastern Europe in Russian. </w:t>
            </w:r>
          </w:p>
          <w:p w14:paraId="3E466A35" w14:textId="77777777" w:rsidR="00AE703C" w:rsidRPr="00AE7673" w:rsidRDefault="00AE703C" w:rsidP="00167D75">
            <w:pPr>
              <w:rPr>
                <w:rFonts w:ascii="Calibri" w:eastAsia="SimSun" w:hAnsi="Calibri"/>
                <w:color w:val="1F497D"/>
                <w:sz w:val="16"/>
                <w:szCs w:val="16"/>
              </w:rPr>
            </w:pPr>
          </w:p>
          <w:p w14:paraId="2E653CE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Our communication tools for World Post Day or the letter-writing competition can be found in various languages. </w:t>
            </w:r>
          </w:p>
          <w:p w14:paraId="7CDE7F52" w14:textId="77777777" w:rsidR="00AE703C" w:rsidRPr="00AE7673" w:rsidRDefault="00AE703C" w:rsidP="00167D75">
            <w:pPr>
              <w:rPr>
                <w:rFonts w:ascii="Calibri" w:eastAsia="SimSun" w:hAnsi="Calibri"/>
                <w:color w:val="1F497D"/>
                <w:sz w:val="16"/>
                <w:szCs w:val="16"/>
              </w:rPr>
            </w:pPr>
          </w:p>
          <w:p w14:paraId="7EC77455"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Our flagship magazine is in seven languages, available on the website in PDF format. </w:t>
            </w:r>
          </w:p>
          <w:p w14:paraId="44C6D159" w14:textId="77777777" w:rsidR="00AE703C" w:rsidRPr="00AE7673" w:rsidRDefault="00AE703C" w:rsidP="00167D75">
            <w:pPr>
              <w:rPr>
                <w:rFonts w:ascii="Calibri" w:eastAsia="SimSun" w:hAnsi="Calibri"/>
                <w:color w:val="1F497D"/>
                <w:sz w:val="16"/>
                <w:szCs w:val="16"/>
              </w:rPr>
            </w:pPr>
          </w:p>
          <w:p w14:paraId="1A5A0F89"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Our member countries wanted us to have a multilingual site, but we showed them that going this route would require more resources and budget and that put an end to the debate for the moment. But as I said, when we can put materials in languages other than English and French, we do.</w:t>
            </w:r>
          </w:p>
        </w:tc>
        <w:tc>
          <w:tcPr>
            <w:tcW w:w="1701" w:type="dxa"/>
          </w:tcPr>
          <w:p w14:paraId="0C12CA32"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Half and half.</w:t>
            </w:r>
          </w:p>
        </w:tc>
        <w:tc>
          <w:tcPr>
            <w:tcW w:w="2115" w:type="dxa"/>
          </w:tcPr>
          <w:p w14:paraId="47E3A852"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 xml:space="preserve">Communication is responsible for the website and its content. We work with internal clients to put material online. Some staff, because of the technical nature of their work, have rights to put specific documents online themselves, but any copy must be vetted by Communication. </w:t>
            </w:r>
          </w:p>
          <w:p w14:paraId="03BD288F" w14:textId="77777777" w:rsidR="00AE703C" w:rsidRPr="00AE7673" w:rsidRDefault="00AE703C" w:rsidP="00167D75">
            <w:pPr>
              <w:rPr>
                <w:rFonts w:ascii="Calibri" w:eastAsia="SimSun" w:hAnsi="Calibri"/>
                <w:color w:val="1F497D"/>
                <w:sz w:val="16"/>
                <w:szCs w:val="16"/>
              </w:rPr>
            </w:pPr>
          </w:p>
        </w:tc>
        <w:tc>
          <w:tcPr>
            <w:tcW w:w="2115" w:type="dxa"/>
          </w:tcPr>
          <w:p w14:paraId="0AC9B677" w14:textId="77777777" w:rsidR="00AE703C" w:rsidRPr="00AE7673" w:rsidRDefault="00AE703C" w:rsidP="00167D75">
            <w:pPr>
              <w:tabs>
                <w:tab w:val="left" w:pos="1899"/>
              </w:tabs>
              <w:rPr>
                <w:rFonts w:ascii="Calibri" w:eastAsia="SimSun" w:hAnsi="Calibri"/>
                <w:color w:val="1F497D"/>
                <w:sz w:val="16"/>
                <w:szCs w:val="16"/>
              </w:rPr>
            </w:pPr>
            <w:r w:rsidRPr="00AE7673">
              <w:rPr>
                <w:rFonts w:ascii="Calibri" w:eastAsia="SimSun" w:hAnsi="Calibri"/>
                <w:color w:val="1F497D"/>
                <w:sz w:val="16"/>
                <w:szCs w:val="16"/>
              </w:rPr>
              <w:t xml:space="preserve">The Web editor monitors this and makes changes and updates appropriately. </w:t>
            </w:r>
          </w:p>
          <w:p w14:paraId="7769B5C4" w14:textId="77777777" w:rsidR="00AE703C" w:rsidRPr="00AE7673" w:rsidRDefault="00AE703C" w:rsidP="00167D75">
            <w:pPr>
              <w:tabs>
                <w:tab w:val="left" w:pos="1899"/>
              </w:tabs>
              <w:rPr>
                <w:rFonts w:ascii="Calibri" w:eastAsia="SimSun" w:hAnsi="Calibri"/>
                <w:color w:val="1F497D"/>
                <w:sz w:val="16"/>
                <w:szCs w:val="16"/>
              </w:rPr>
            </w:pPr>
          </w:p>
        </w:tc>
        <w:tc>
          <w:tcPr>
            <w:tcW w:w="2115" w:type="dxa"/>
          </w:tcPr>
          <w:p w14:paraId="2D6F056F"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We use our internal translation units for translation; some texts are written and adapted by Comms people</w:t>
            </w:r>
          </w:p>
        </w:tc>
        <w:tc>
          <w:tcPr>
            <w:tcW w:w="2115" w:type="dxa"/>
          </w:tcPr>
          <w:p w14:paraId="17303617" w14:textId="77777777" w:rsidR="00AE703C" w:rsidRPr="00AE7673" w:rsidRDefault="00AE703C" w:rsidP="00167D75">
            <w:pPr>
              <w:ind w:right="-12"/>
              <w:rPr>
                <w:rFonts w:ascii="Calibri" w:eastAsia="SimSun" w:hAnsi="Calibri"/>
                <w:color w:val="1F497D"/>
                <w:sz w:val="16"/>
                <w:szCs w:val="16"/>
              </w:rPr>
            </w:pPr>
            <w:r w:rsidRPr="00AE7673">
              <w:rPr>
                <w:rFonts w:ascii="Calibri" w:eastAsia="SimSun" w:hAnsi="Calibri"/>
                <w:color w:val="1F497D"/>
                <w:sz w:val="16"/>
                <w:szCs w:val="16"/>
              </w:rPr>
              <w:t xml:space="preserve">Same workflow as the one for translation of documents. We specify when the matter is urgent and the managers of the units make accommodations. </w:t>
            </w:r>
          </w:p>
          <w:p w14:paraId="2F97BDC3" w14:textId="77777777" w:rsidR="00AE703C" w:rsidRPr="00AE7673" w:rsidRDefault="00AE703C" w:rsidP="00167D75">
            <w:pPr>
              <w:ind w:right="-12"/>
              <w:rPr>
                <w:rFonts w:ascii="Calibri" w:eastAsia="SimSun" w:hAnsi="Calibri"/>
                <w:color w:val="1F497D"/>
                <w:sz w:val="16"/>
                <w:szCs w:val="16"/>
              </w:rPr>
            </w:pPr>
          </w:p>
        </w:tc>
        <w:tc>
          <w:tcPr>
            <w:tcW w:w="2115" w:type="dxa"/>
          </w:tcPr>
          <w:p w14:paraId="6B57BE86" w14:textId="77777777" w:rsidR="00AE703C" w:rsidRPr="00AE7673" w:rsidRDefault="00AE703C" w:rsidP="00167D75">
            <w:pPr>
              <w:ind w:right="-23"/>
              <w:rPr>
                <w:rFonts w:ascii="Calibri" w:eastAsia="SimSun" w:hAnsi="Calibri"/>
                <w:color w:val="1F497D"/>
                <w:sz w:val="16"/>
                <w:szCs w:val="16"/>
              </w:rPr>
            </w:pPr>
            <w:r w:rsidRPr="00AE7673">
              <w:rPr>
                <w:rFonts w:ascii="Calibri" w:eastAsia="SimSun" w:hAnsi="Calibri"/>
                <w:color w:val="1F497D"/>
                <w:sz w:val="16"/>
                <w:szCs w:val="16"/>
              </w:rPr>
              <w:t xml:space="preserve">That’s the nature of the work. We need to write quickly, verify info and data and post as quickly as possible when dealing with news items or timely issues. For information on regular web pages, we have more lead time. </w:t>
            </w:r>
          </w:p>
          <w:p w14:paraId="20350EF8" w14:textId="77777777" w:rsidR="00AE703C" w:rsidRPr="00AE7673" w:rsidRDefault="00AE703C" w:rsidP="00167D75">
            <w:pPr>
              <w:ind w:right="-23"/>
              <w:rPr>
                <w:rFonts w:ascii="Calibri" w:eastAsia="SimSun" w:hAnsi="Calibri"/>
                <w:color w:val="1F497D"/>
                <w:sz w:val="16"/>
                <w:szCs w:val="16"/>
              </w:rPr>
            </w:pPr>
          </w:p>
        </w:tc>
        <w:tc>
          <w:tcPr>
            <w:tcW w:w="2115" w:type="dxa"/>
          </w:tcPr>
          <w:p w14:paraId="2E8C1656" w14:textId="77777777" w:rsidR="00AE703C" w:rsidRPr="00AE7673" w:rsidRDefault="00AE703C" w:rsidP="00167D75">
            <w:pPr>
              <w:rPr>
                <w:rFonts w:ascii="Calibri" w:eastAsia="SimSun" w:hAnsi="Calibri"/>
                <w:color w:val="1F497D"/>
                <w:sz w:val="16"/>
                <w:szCs w:val="16"/>
              </w:rPr>
            </w:pPr>
            <w:r w:rsidRPr="00AE7673">
              <w:rPr>
                <w:rFonts w:ascii="Calibri" w:eastAsia="SimSun" w:hAnsi="Calibri"/>
                <w:color w:val="1F497D"/>
                <w:sz w:val="16"/>
                <w:szCs w:val="16"/>
              </w:rPr>
              <w:t>No</w:t>
            </w:r>
          </w:p>
          <w:p w14:paraId="4F41BDB4" w14:textId="77777777" w:rsidR="00AE703C" w:rsidRPr="00AE7673" w:rsidRDefault="00AE703C" w:rsidP="00167D75">
            <w:pPr>
              <w:rPr>
                <w:rFonts w:ascii="Calibri" w:eastAsia="SimSun" w:hAnsi="Calibri"/>
                <w:color w:val="1F497D"/>
                <w:sz w:val="16"/>
                <w:szCs w:val="16"/>
              </w:rPr>
            </w:pPr>
          </w:p>
        </w:tc>
        <w:tc>
          <w:tcPr>
            <w:tcW w:w="2115" w:type="dxa"/>
          </w:tcPr>
          <w:p w14:paraId="281781C7" w14:textId="77777777" w:rsidR="00AE703C" w:rsidRPr="00AE7673" w:rsidRDefault="00AE703C" w:rsidP="00167D75">
            <w:pPr>
              <w:rPr>
                <w:rFonts w:ascii="Calibri" w:eastAsia="SimSun" w:hAnsi="Calibri" w:cs="Arial"/>
              </w:rPr>
            </w:pPr>
          </w:p>
        </w:tc>
      </w:tr>
    </w:tbl>
    <w:p w14:paraId="00C476FC" w14:textId="629E813B" w:rsidR="001218B0" w:rsidRPr="00E027E7" w:rsidRDefault="00AE703C" w:rsidP="00E027E7">
      <w:pPr>
        <w:keepNext/>
        <w:keepLines/>
        <w:snapToGrid w:val="0"/>
        <w:spacing w:before="720"/>
        <w:jc w:val="center"/>
        <w:rPr>
          <w:rFonts w:ascii="Calibri" w:hAnsi="Calibri"/>
          <w:lang w:val="en-US"/>
        </w:rPr>
      </w:pPr>
      <w:r w:rsidRPr="00AE703C">
        <w:rPr>
          <w:rFonts w:ascii="Calibri" w:hAnsi="Calibri"/>
          <w:lang w:val="en-US"/>
        </w:rPr>
        <w:t>___________________________</w:t>
      </w:r>
    </w:p>
    <w:sectPr w:rsidR="001218B0" w:rsidRPr="00E027E7" w:rsidSect="00AE703C">
      <w:pgSz w:w="16834" w:h="11907" w:orient="landscape"/>
      <w:pgMar w:top="1134" w:right="1418" w:bottom="1134" w:left="1134"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F77CD" w14:textId="77777777" w:rsidR="002D0312" w:rsidRDefault="002D0312">
      <w:r>
        <w:separator/>
      </w:r>
    </w:p>
  </w:endnote>
  <w:endnote w:type="continuationSeparator" w:id="0">
    <w:p w14:paraId="0283A1DD" w14:textId="77777777" w:rsidR="002D0312" w:rsidRDefault="002D0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D0B88" w14:textId="77777777" w:rsidR="002D0312" w:rsidRDefault="002D0312">
      <w:r>
        <w:t>____________________</w:t>
      </w:r>
    </w:p>
  </w:footnote>
  <w:footnote w:type="continuationSeparator" w:id="0">
    <w:p w14:paraId="6702FFD9" w14:textId="77777777" w:rsidR="002D0312" w:rsidRDefault="002D0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7EB33" w14:textId="7EE18B50" w:rsidR="008B0EB9" w:rsidRPr="008B0EB9" w:rsidRDefault="008B0EB9" w:rsidP="008B0EB9">
    <w:pPr>
      <w:pStyle w:val="Header"/>
      <w:spacing w:after="240"/>
      <w:rPr>
        <w:rFonts w:asciiTheme="minorHAnsi" w:hAnsiTheme="minorHAnsi"/>
      </w:rPr>
    </w:pPr>
    <w:r w:rsidRPr="008B0EB9">
      <w:rPr>
        <w:rFonts w:asciiTheme="minorHAnsi" w:hAnsiTheme="minorHAnsi"/>
      </w:rPr>
      <w:fldChar w:fldCharType="begin"/>
    </w:r>
    <w:r w:rsidRPr="008B0EB9">
      <w:rPr>
        <w:rFonts w:asciiTheme="minorHAnsi" w:hAnsiTheme="minorHAnsi"/>
      </w:rPr>
      <w:instrText xml:space="preserve"> PAGE  \* Arabic  \* MERGEFORMAT </w:instrText>
    </w:r>
    <w:r w:rsidRPr="008B0EB9">
      <w:rPr>
        <w:rFonts w:asciiTheme="minorHAnsi" w:hAnsiTheme="minorHAnsi"/>
      </w:rPr>
      <w:fldChar w:fldCharType="separate"/>
    </w:r>
    <w:r w:rsidR="00D80925">
      <w:rPr>
        <w:rFonts w:asciiTheme="minorHAnsi" w:hAnsiTheme="minorHAnsi"/>
        <w:noProof/>
      </w:rPr>
      <w:t>13</w:t>
    </w:r>
    <w:r w:rsidRPr="008B0EB9">
      <w:rPr>
        <w:rFonts w:asciiTheme="minorHAnsi" w:hAnsiTheme="minorHAns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307D4"/>
    <w:multiLevelType w:val="hybridMultilevel"/>
    <w:tmpl w:val="8E8066DE"/>
    <w:lvl w:ilvl="0" w:tplc="57F0E8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D44352"/>
    <w:multiLevelType w:val="hybridMultilevel"/>
    <w:tmpl w:val="E6666F6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47F7D"/>
    <w:multiLevelType w:val="hybridMultilevel"/>
    <w:tmpl w:val="8A6AA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B53E4"/>
    <w:multiLevelType w:val="hybridMultilevel"/>
    <w:tmpl w:val="23F48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766621"/>
    <w:multiLevelType w:val="hybridMultilevel"/>
    <w:tmpl w:val="DFE0329A"/>
    <w:lvl w:ilvl="0" w:tplc="9EA4A99A">
      <w:start w:val="1"/>
      <w:numFmt w:val="decimal"/>
      <w:lvlText w:val="%1."/>
      <w:lvlJc w:val="left"/>
      <w:pPr>
        <w:ind w:left="360" w:hanging="360"/>
      </w:pPr>
      <w:rPr>
        <w:rFonts w:hint="default"/>
        <w:b/>
        <w:bCs/>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122DC"/>
    <w:multiLevelType w:val="hybridMultilevel"/>
    <w:tmpl w:val="99F85190"/>
    <w:lvl w:ilvl="0" w:tplc="0409000F">
      <w:start w:val="1"/>
      <w:numFmt w:val="decimal"/>
      <w:lvlText w:val="%1."/>
      <w:lvlJc w:val="left"/>
      <w:pPr>
        <w:ind w:left="720" w:hanging="360"/>
      </w:pPr>
      <w:rPr>
        <w:rFonts w:hint="default"/>
      </w:rPr>
    </w:lvl>
    <w:lvl w:ilvl="1" w:tplc="F3D82B76">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27CF8"/>
    <w:multiLevelType w:val="hybridMultilevel"/>
    <w:tmpl w:val="2F16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B1546"/>
    <w:multiLevelType w:val="hybridMultilevel"/>
    <w:tmpl w:val="21E01392"/>
    <w:lvl w:ilvl="0" w:tplc="0D5A76BA">
      <w:start w:val="121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2666D"/>
    <w:multiLevelType w:val="hybridMultilevel"/>
    <w:tmpl w:val="CD54C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D0D15"/>
    <w:multiLevelType w:val="hybridMultilevel"/>
    <w:tmpl w:val="9184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36975"/>
    <w:multiLevelType w:val="hybridMultilevel"/>
    <w:tmpl w:val="F6F83A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E4658"/>
    <w:multiLevelType w:val="hybridMultilevel"/>
    <w:tmpl w:val="4EFC6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2D0263"/>
    <w:multiLevelType w:val="hybridMultilevel"/>
    <w:tmpl w:val="990E466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59D21AB8"/>
    <w:multiLevelType w:val="hybridMultilevel"/>
    <w:tmpl w:val="5E58E36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B52280"/>
    <w:multiLevelType w:val="hybridMultilevel"/>
    <w:tmpl w:val="7DC46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8"/>
  </w:num>
  <w:num w:numId="4">
    <w:abstractNumId w:val="6"/>
  </w:num>
  <w:num w:numId="5">
    <w:abstractNumId w:val="12"/>
  </w:num>
  <w:num w:numId="6">
    <w:abstractNumId w:val="10"/>
  </w:num>
  <w:num w:numId="7">
    <w:abstractNumId w:val="5"/>
  </w:num>
  <w:num w:numId="8">
    <w:abstractNumId w:val="0"/>
  </w:num>
  <w:num w:numId="9">
    <w:abstractNumId w:val="1"/>
  </w:num>
  <w:num w:numId="10">
    <w:abstractNumId w:val="13"/>
  </w:num>
  <w:num w:numId="11">
    <w:abstractNumId w:val="11"/>
  </w:num>
  <w:num w:numId="12">
    <w:abstractNumId w:val="2"/>
  </w:num>
  <w:num w:numId="13">
    <w:abstractNumId w:val="14"/>
  </w:num>
  <w:num w:numId="14">
    <w:abstractNumId w:val="3"/>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06"/>
    <w:rsid w:val="00006803"/>
    <w:rsid w:val="00013374"/>
    <w:rsid w:val="00017D5F"/>
    <w:rsid w:val="00022BBD"/>
    <w:rsid w:val="00023E69"/>
    <w:rsid w:val="00024DD2"/>
    <w:rsid w:val="00025E8E"/>
    <w:rsid w:val="0003367B"/>
    <w:rsid w:val="00033C1E"/>
    <w:rsid w:val="000363F6"/>
    <w:rsid w:val="000406CF"/>
    <w:rsid w:val="000406DA"/>
    <w:rsid w:val="000431D8"/>
    <w:rsid w:val="00044742"/>
    <w:rsid w:val="000478D5"/>
    <w:rsid w:val="0005330D"/>
    <w:rsid w:val="00053979"/>
    <w:rsid w:val="0005586D"/>
    <w:rsid w:val="0006006C"/>
    <w:rsid w:val="00060490"/>
    <w:rsid w:val="00060642"/>
    <w:rsid w:val="000625EC"/>
    <w:rsid w:val="000639EA"/>
    <w:rsid w:val="00064B17"/>
    <w:rsid w:val="000726CF"/>
    <w:rsid w:val="00080890"/>
    <w:rsid w:val="00082487"/>
    <w:rsid w:val="00085CF2"/>
    <w:rsid w:val="00087BB2"/>
    <w:rsid w:val="00090DB1"/>
    <w:rsid w:val="000914EE"/>
    <w:rsid w:val="00093BFA"/>
    <w:rsid w:val="00096678"/>
    <w:rsid w:val="000A1906"/>
    <w:rsid w:val="000A523E"/>
    <w:rsid w:val="000A6C3C"/>
    <w:rsid w:val="000B1705"/>
    <w:rsid w:val="000B1804"/>
    <w:rsid w:val="000C0550"/>
    <w:rsid w:val="000C199E"/>
    <w:rsid w:val="000C5062"/>
    <w:rsid w:val="000D034D"/>
    <w:rsid w:val="000D1B19"/>
    <w:rsid w:val="000E53E0"/>
    <w:rsid w:val="000F5A05"/>
    <w:rsid w:val="001108A9"/>
    <w:rsid w:val="001121F5"/>
    <w:rsid w:val="00112A2E"/>
    <w:rsid w:val="00115BC4"/>
    <w:rsid w:val="001217F7"/>
    <w:rsid w:val="001218B0"/>
    <w:rsid w:val="00124605"/>
    <w:rsid w:val="0012638C"/>
    <w:rsid w:val="00126AF0"/>
    <w:rsid w:val="00126E5D"/>
    <w:rsid w:val="00132D99"/>
    <w:rsid w:val="00133A76"/>
    <w:rsid w:val="00140589"/>
    <w:rsid w:val="00141B6D"/>
    <w:rsid w:val="00143A98"/>
    <w:rsid w:val="00143CC0"/>
    <w:rsid w:val="00144EB6"/>
    <w:rsid w:val="0014539F"/>
    <w:rsid w:val="00155EF2"/>
    <w:rsid w:val="0015615B"/>
    <w:rsid w:val="00157923"/>
    <w:rsid w:val="00157E22"/>
    <w:rsid w:val="00164E99"/>
    <w:rsid w:val="00164F90"/>
    <w:rsid w:val="00167DF3"/>
    <w:rsid w:val="00171B5B"/>
    <w:rsid w:val="001750DE"/>
    <w:rsid w:val="0017539C"/>
    <w:rsid w:val="0017609F"/>
    <w:rsid w:val="00176B0B"/>
    <w:rsid w:val="00180641"/>
    <w:rsid w:val="0019164E"/>
    <w:rsid w:val="00191F72"/>
    <w:rsid w:val="001947CC"/>
    <w:rsid w:val="00196510"/>
    <w:rsid w:val="00197BEB"/>
    <w:rsid w:val="001A258D"/>
    <w:rsid w:val="001A44BC"/>
    <w:rsid w:val="001A4F5D"/>
    <w:rsid w:val="001A532E"/>
    <w:rsid w:val="001A5A86"/>
    <w:rsid w:val="001B1348"/>
    <w:rsid w:val="001B404B"/>
    <w:rsid w:val="001B731C"/>
    <w:rsid w:val="001C20D1"/>
    <w:rsid w:val="001C2533"/>
    <w:rsid w:val="001C628E"/>
    <w:rsid w:val="001D0282"/>
    <w:rsid w:val="001D311E"/>
    <w:rsid w:val="001D4C27"/>
    <w:rsid w:val="001D66EF"/>
    <w:rsid w:val="001E0873"/>
    <w:rsid w:val="001E0F7B"/>
    <w:rsid w:val="001E3D67"/>
    <w:rsid w:val="001E5A96"/>
    <w:rsid w:val="001E5BEE"/>
    <w:rsid w:val="001F212B"/>
    <w:rsid w:val="001F4859"/>
    <w:rsid w:val="001F565C"/>
    <w:rsid w:val="001F59DB"/>
    <w:rsid w:val="002009E4"/>
    <w:rsid w:val="002034FE"/>
    <w:rsid w:val="0020628E"/>
    <w:rsid w:val="00207B40"/>
    <w:rsid w:val="00211C39"/>
    <w:rsid w:val="00213E72"/>
    <w:rsid w:val="002178B8"/>
    <w:rsid w:val="002231A4"/>
    <w:rsid w:val="00223D03"/>
    <w:rsid w:val="00224812"/>
    <w:rsid w:val="00224D2B"/>
    <w:rsid w:val="00224F52"/>
    <w:rsid w:val="002323A7"/>
    <w:rsid w:val="0023345C"/>
    <w:rsid w:val="00233546"/>
    <w:rsid w:val="002350DF"/>
    <w:rsid w:val="002372ED"/>
    <w:rsid w:val="00241C31"/>
    <w:rsid w:val="002461BA"/>
    <w:rsid w:val="002509C9"/>
    <w:rsid w:val="00251792"/>
    <w:rsid w:val="00252CDA"/>
    <w:rsid w:val="00265875"/>
    <w:rsid w:val="002664D2"/>
    <w:rsid w:val="00266544"/>
    <w:rsid w:val="00266A38"/>
    <w:rsid w:val="0026797B"/>
    <w:rsid w:val="0027303B"/>
    <w:rsid w:val="00275642"/>
    <w:rsid w:val="0028109B"/>
    <w:rsid w:val="002866D2"/>
    <w:rsid w:val="00287A69"/>
    <w:rsid w:val="00290553"/>
    <w:rsid w:val="00290E00"/>
    <w:rsid w:val="00292600"/>
    <w:rsid w:val="00294CEE"/>
    <w:rsid w:val="0029642F"/>
    <w:rsid w:val="00296819"/>
    <w:rsid w:val="002975E0"/>
    <w:rsid w:val="002A04DD"/>
    <w:rsid w:val="002A170F"/>
    <w:rsid w:val="002A181F"/>
    <w:rsid w:val="002A1F81"/>
    <w:rsid w:val="002A3A0A"/>
    <w:rsid w:val="002B09AE"/>
    <w:rsid w:val="002B42B9"/>
    <w:rsid w:val="002B470F"/>
    <w:rsid w:val="002B6674"/>
    <w:rsid w:val="002C18FA"/>
    <w:rsid w:val="002C1C67"/>
    <w:rsid w:val="002C1C7A"/>
    <w:rsid w:val="002D0312"/>
    <w:rsid w:val="002D3CA6"/>
    <w:rsid w:val="002D448E"/>
    <w:rsid w:val="002D47F7"/>
    <w:rsid w:val="002D59DF"/>
    <w:rsid w:val="002D7FCC"/>
    <w:rsid w:val="002E0872"/>
    <w:rsid w:val="002E0FE1"/>
    <w:rsid w:val="002E5A5D"/>
    <w:rsid w:val="002E5AC3"/>
    <w:rsid w:val="002F17BD"/>
    <w:rsid w:val="002F4015"/>
    <w:rsid w:val="00302EB0"/>
    <w:rsid w:val="00304118"/>
    <w:rsid w:val="003104AE"/>
    <w:rsid w:val="00311C3B"/>
    <w:rsid w:val="00311DA1"/>
    <w:rsid w:val="003125F4"/>
    <w:rsid w:val="0031367D"/>
    <w:rsid w:val="003137E7"/>
    <w:rsid w:val="00314813"/>
    <w:rsid w:val="00314D4F"/>
    <w:rsid w:val="003160B2"/>
    <w:rsid w:val="003208D6"/>
    <w:rsid w:val="003216FF"/>
    <w:rsid w:val="0032203B"/>
    <w:rsid w:val="003221B7"/>
    <w:rsid w:val="003242DF"/>
    <w:rsid w:val="003259C3"/>
    <w:rsid w:val="00325F02"/>
    <w:rsid w:val="0033378B"/>
    <w:rsid w:val="0033535B"/>
    <w:rsid w:val="0034515A"/>
    <w:rsid w:val="00346A46"/>
    <w:rsid w:val="00361DCA"/>
    <w:rsid w:val="0036205D"/>
    <w:rsid w:val="00362FE9"/>
    <w:rsid w:val="003642D8"/>
    <w:rsid w:val="0036799C"/>
    <w:rsid w:val="00370861"/>
    <w:rsid w:val="00375038"/>
    <w:rsid w:val="00375CE5"/>
    <w:rsid w:val="00384EED"/>
    <w:rsid w:val="00385B66"/>
    <w:rsid w:val="00390C61"/>
    <w:rsid w:val="00393BAC"/>
    <w:rsid w:val="003942D4"/>
    <w:rsid w:val="003958A8"/>
    <w:rsid w:val="0039606B"/>
    <w:rsid w:val="003969A8"/>
    <w:rsid w:val="003A0C32"/>
    <w:rsid w:val="003A0D4B"/>
    <w:rsid w:val="003A4E18"/>
    <w:rsid w:val="003A6515"/>
    <w:rsid w:val="003A77D9"/>
    <w:rsid w:val="003A7BA2"/>
    <w:rsid w:val="003B21FB"/>
    <w:rsid w:val="003B791A"/>
    <w:rsid w:val="003C10F2"/>
    <w:rsid w:val="003C1736"/>
    <w:rsid w:val="003C3D8D"/>
    <w:rsid w:val="003C5406"/>
    <w:rsid w:val="003C6C7B"/>
    <w:rsid w:val="003D34FB"/>
    <w:rsid w:val="003D5EE4"/>
    <w:rsid w:val="003E103B"/>
    <w:rsid w:val="003E417E"/>
    <w:rsid w:val="003E52FA"/>
    <w:rsid w:val="003E6D41"/>
    <w:rsid w:val="003F5F61"/>
    <w:rsid w:val="004002BF"/>
    <w:rsid w:val="004137A6"/>
    <w:rsid w:val="00415966"/>
    <w:rsid w:val="0041645E"/>
    <w:rsid w:val="0041739B"/>
    <w:rsid w:val="00421A21"/>
    <w:rsid w:val="00422F6E"/>
    <w:rsid w:val="00423CF3"/>
    <w:rsid w:val="0042461B"/>
    <w:rsid w:val="0042520B"/>
    <w:rsid w:val="00431EC5"/>
    <w:rsid w:val="00433CE8"/>
    <w:rsid w:val="00436B3B"/>
    <w:rsid w:val="00440A2A"/>
    <w:rsid w:val="00447830"/>
    <w:rsid w:val="004522A4"/>
    <w:rsid w:val="004524CB"/>
    <w:rsid w:val="004544D9"/>
    <w:rsid w:val="00454720"/>
    <w:rsid w:val="00454CE8"/>
    <w:rsid w:val="00455692"/>
    <w:rsid w:val="00462702"/>
    <w:rsid w:val="0046399B"/>
    <w:rsid w:val="00466356"/>
    <w:rsid w:val="00474091"/>
    <w:rsid w:val="00476CBB"/>
    <w:rsid w:val="00476EAD"/>
    <w:rsid w:val="004776F4"/>
    <w:rsid w:val="004804F3"/>
    <w:rsid w:val="004824B2"/>
    <w:rsid w:val="004874EE"/>
    <w:rsid w:val="004912A7"/>
    <w:rsid w:val="004921C8"/>
    <w:rsid w:val="00494F0E"/>
    <w:rsid w:val="00497457"/>
    <w:rsid w:val="004A00A2"/>
    <w:rsid w:val="004A0168"/>
    <w:rsid w:val="004A2D22"/>
    <w:rsid w:val="004A7476"/>
    <w:rsid w:val="004B7CF2"/>
    <w:rsid w:val="004C1374"/>
    <w:rsid w:val="004C25DC"/>
    <w:rsid w:val="004C4CD5"/>
    <w:rsid w:val="004C581A"/>
    <w:rsid w:val="004C5F8D"/>
    <w:rsid w:val="004E038A"/>
    <w:rsid w:val="004E1229"/>
    <w:rsid w:val="004E1578"/>
    <w:rsid w:val="004E1AA9"/>
    <w:rsid w:val="004E1AEE"/>
    <w:rsid w:val="004E276F"/>
    <w:rsid w:val="004E2EA5"/>
    <w:rsid w:val="004E3A5D"/>
    <w:rsid w:val="004E7D16"/>
    <w:rsid w:val="004F1575"/>
    <w:rsid w:val="004F3682"/>
    <w:rsid w:val="0050223C"/>
    <w:rsid w:val="005030F2"/>
    <w:rsid w:val="0051396C"/>
    <w:rsid w:val="005166BA"/>
    <w:rsid w:val="00516BE8"/>
    <w:rsid w:val="00525421"/>
    <w:rsid w:val="00525C13"/>
    <w:rsid w:val="0052758B"/>
    <w:rsid w:val="005314DE"/>
    <w:rsid w:val="00532810"/>
    <w:rsid w:val="00534E85"/>
    <w:rsid w:val="005352F1"/>
    <w:rsid w:val="00535D61"/>
    <w:rsid w:val="00542420"/>
    <w:rsid w:val="005431C5"/>
    <w:rsid w:val="00546E2C"/>
    <w:rsid w:val="00547125"/>
    <w:rsid w:val="00552E27"/>
    <w:rsid w:val="00553A09"/>
    <w:rsid w:val="0055443D"/>
    <w:rsid w:val="005546E9"/>
    <w:rsid w:val="00555654"/>
    <w:rsid w:val="00555EAA"/>
    <w:rsid w:val="00556B4E"/>
    <w:rsid w:val="00557E06"/>
    <w:rsid w:val="0056199E"/>
    <w:rsid w:val="00563D37"/>
    <w:rsid w:val="00564FBC"/>
    <w:rsid w:val="005703B3"/>
    <w:rsid w:val="00571358"/>
    <w:rsid w:val="00571C93"/>
    <w:rsid w:val="0057486A"/>
    <w:rsid w:val="00577EE5"/>
    <w:rsid w:val="00582442"/>
    <w:rsid w:val="0059379A"/>
    <w:rsid w:val="00594700"/>
    <w:rsid w:val="005A07F8"/>
    <w:rsid w:val="005A1CA3"/>
    <w:rsid w:val="005A473B"/>
    <w:rsid w:val="005A5501"/>
    <w:rsid w:val="005A56BD"/>
    <w:rsid w:val="005A5763"/>
    <w:rsid w:val="005A6AA8"/>
    <w:rsid w:val="005B36EF"/>
    <w:rsid w:val="005B385F"/>
    <w:rsid w:val="005B448B"/>
    <w:rsid w:val="005B6760"/>
    <w:rsid w:val="005B71D2"/>
    <w:rsid w:val="005C11F1"/>
    <w:rsid w:val="005C54BE"/>
    <w:rsid w:val="005C68C8"/>
    <w:rsid w:val="005C7EFB"/>
    <w:rsid w:val="005D2735"/>
    <w:rsid w:val="005D45E4"/>
    <w:rsid w:val="005D5545"/>
    <w:rsid w:val="005D7471"/>
    <w:rsid w:val="005D7D11"/>
    <w:rsid w:val="005E1D6F"/>
    <w:rsid w:val="005E2754"/>
    <w:rsid w:val="005F0BF9"/>
    <w:rsid w:val="005F1222"/>
    <w:rsid w:val="005F1DE7"/>
    <w:rsid w:val="006016CC"/>
    <w:rsid w:val="0060217F"/>
    <w:rsid w:val="006025D3"/>
    <w:rsid w:val="006036D2"/>
    <w:rsid w:val="00605375"/>
    <w:rsid w:val="006061F6"/>
    <w:rsid w:val="0060738E"/>
    <w:rsid w:val="00607A8F"/>
    <w:rsid w:val="00611121"/>
    <w:rsid w:val="006124AB"/>
    <w:rsid w:val="0061529A"/>
    <w:rsid w:val="006245BD"/>
    <w:rsid w:val="00624FD2"/>
    <w:rsid w:val="00625110"/>
    <w:rsid w:val="00625313"/>
    <w:rsid w:val="00631445"/>
    <w:rsid w:val="006353F4"/>
    <w:rsid w:val="00640350"/>
    <w:rsid w:val="00641642"/>
    <w:rsid w:val="00642818"/>
    <w:rsid w:val="00643010"/>
    <w:rsid w:val="00644588"/>
    <w:rsid w:val="006467EB"/>
    <w:rsid w:val="00650641"/>
    <w:rsid w:val="00651182"/>
    <w:rsid w:val="00651E41"/>
    <w:rsid w:val="00653B59"/>
    <w:rsid w:val="00654E72"/>
    <w:rsid w:val="006560E2"/>
    <w:rsid w:val="00662984"/>
    <w:rsid w:val="006642E5"/>
    <w:rsid w:val="006664D0"/>
    <w:rsid w:val="00667AD7"/>
    <w:rsid w:val="00670161"/>
    <w:rsid w:val="006765A3"/>
    <w:rsid w:val="00676AC3"/>
    <w:rsid w:val="006808CF"/>
    <w:rsid w:val="00685352"/>
    <w:rsid w:val="00687324"/>
    <w:rsid w:val="006A0E9D"/>
    <w:rsid w:val="006A1507"/>
    <w:rsid w:val="006A5907"/>
    <w:rsid w:val="006B4A4B"/>
    <w:rsid w:val="006B6DCC"/>
    <w:rsid w:val="006C1FE5"/>
    <w:rsid w:val="006C4D1A"/>
    <w:rsid w:val="006C6ECC"/>
    <w:rsid w:val="006C7C0C"/>
    <w:rsid w:val="006D0D77"/>
    <w:rsid w:val="006D2FDD"/>
    <w:rsid w:val="006D40B2"/>
    <w:rsid w:val="006D55D4"/>
    <w:rsid w:val="006E05BC"/>
    <w:rsid w:val="006E1542"/>
    <w:rsid w:val="006E32FA"/>
    <w:rsid w:val="006E3BFF"/>
    <w:rsid w:val="006E6810"/>
    <w:rsid w:val="006F1998"/>
    <w:rsid w:val="006F73CB"/>
    <w:rsid w:val="007010ED"/>
    <w:rsid w:val="00703A3D"/>
    <w:rsid w:val="00706E25"/>
    <w:rsid w:val="0070796C"/>
    <w:rsid w:val="00720059"/>
    <w:rsid w:val="00723E17"/>
    <w:rsid w:val="00730711"/>
    <w:rsid w:val="007316F5"/>
    <w:rsid w:val="00732908"/>
    <w:rsid w:val="00733006"/>
    <w:rsid w:val="00733E52"/>
    <w:rsid w:val="00733F5A"/>
    <w:rsid w:val="0073494A"/>
    <w:rsid w:val="0073528C"/>
    <w:rsid w:val="00735ECA"/>
    <w:rsid w:val="00736B61"/>
    <w:rsid w:val="0074173F"/>
    <w:rsid w:val="007419A0"/>
    <w:rsid w:val="00743B89"/>
    <w:rsid w:val="0075057F"/>
    <w:rsid w:val="007509F8"/>
    <w:rsid w:val="0075359A"/>
    <w:rsid w:val="00754CD7"/>
    <w:rsid w:val="007579C3"/>
    <w:rsid w:val="00761159"/>
    <w:rsid w:val="00763AC3"/>
    <w:rsid w:val="00764C43"/>
    <w:rsid w:val="0076793A"/>
    <w:rsid w:val="00770A2A"/>
    <w:rsid w:val="00770E42"/>
    <w:rsid w:val="00775FCA"/>
    <w:rsid w:val="00776BD3"/>
    <w:rsid w:val="0077710D"/>
    <w:rsid w:val="0077759E"/>
    <w:rsid w:val="00782469"/>
    <w:rsid w:val="00782AF6"/>
    <w:rsid w:val="007902B3"/>
    <w:rsid w:val="00790BCE"/>
    <w:rsid w:val="00794BEC"/>
    <w:rsid w:val="00795CBD"/>
    <w:rsid w:val="0079687E"/>
    <w:rsid w:val="007969E9"/>
    <w:rsid w:val="00796FA5"/>
    <w:rsid w:val="007972A9"/>
    <w:rsid w:val="007A05E1"/>
    <w:rsid w:val="007A3DA8"/>
    <w:rsid w:val="007A3F35"/>
    <w:rsid w:val="007B0746"/>
    <w:rsid w:val="007B3091"/>
    <w:rsid w:val="007B48FF"/>
    <w:rsid w:val="007B6A8D"/>
    <w:rsid w:val="007C33FA"/>
    <w:rsid w:val="007C5F67"/>
    <w:rsid w:val="007C7D3F"/>
    <w:rsid w:val="007D1B5F"/>
    <w:rsid w:val="007D5356"/>
    <w:rsid w:val="007E1756"/>
    <w:rsid w:val="007E73DD"/>
    <w:rsid w:val="007F0840"/>
    <w:rsid w:val="007F2124"/>
    <w:rsid w:val="007F3F26"/>
    <w:rsid w:val="00805138"/>
    <w:rsid w:val="00811C37"/>
    <w:rsid w:val="00817A3A"/>
    <w:rsid w:val="00824F12"/>
    <w:rsid w:val="00827136"/>
    <w:rsid w:val="00831957"/>
    <w:rsid w:val="00833550"/>
    <w:rsid w:val="00835301"/>
    <w:rsid w:val="0083581B"/>
    <w:rsid w:val="00840993"/>
    <w:rsid w:val="0084140B"/>
    <w:rsid w:val="00841698"/>
    <w:rsid w:val="0084318B"/>
    <w:rsid w:val="00843FFC"/>
    <w:rsid w:val="00844A08"/>
    <w:rsid w:val="0086214B"/>
    <w:rsid w:val="008629E7"/>
    <w:rsid w:val="00862A59"/>
    <w:rsid w:val="00870B34"/>
    <w:rsid w:val="00871F1B"/>
    <w:rsid w:val="008802BD"/>
    <w:rsid w:val="00880C96"/>
    <w:rsid w:val="00880F0C"/>
    <w:rsid w:val="00880F43"/>
    <w:rsid w:val="00882198"/>
    <w:rsid w:val="00886EB7"/>
    <w:rsid w:val="00893913"/>
    <w:rsid w:val="00894A8D"/>
    <w:rsid w:val="0089781C"/>
    <w:rsid w:val="008A22C5"/>
    <w:rsid w:val="008A453D"/>
    <w:rsid w:val="008A5FDD"/>
    <w:rsid w:val="008B0EB9"/>
    <w:rsid w:val="008B1F57"/>
    <w:rsid w:val="008B1F62"/>
    <w:rsid w:val="008B2466"/>
    <w:rsid w:val="008B2F6E"/>
    <w:rsid w:val="008B4F08"/>
    <w:rsid w:val="008C30F7"/>
    <w:rsid w:val="008C561E"/>
    <w:rsid w:val="008C5A49"/>
    <w:rsid w:val="008D0AB2"/>
    <w:rsid w:val="008D2D0A"/>
    <w:rsid w:val="008D494D"/>
    <w:rsid w:val="008D5AFC"/>
    <w:rsid w:val="008E2C5F"/>
    <w:rsid w:val="008E5A16"/>
    <w:rsid w:val="008E6086"/>
    <w:rsid w:val="008E66A4"/>
    <w:rsid w:val="008F3EA7"/>
    <w:rsid w:val="00902374"/>
    <w:rsid w:val="009030F6"/>
    <w:rsid w:val="0090483B"/>
    <w:rsid w:val="00905846"/>
    <w:rsid w:val="00905D9B"/>
    <w:rsid w:val="0090693C"/>
    <w:rsid w:val="009108A1"/>
    <w:rsid w:val="00911F7D"/>
    <w:rsid w:val="00912C48"/>
    <w:rsid w:val="00912E33"/>
    <w:rsid w:val="009166A2"/>
    <w:rsid w:val="00916E39"/>
    <w:rsid w:val="009173EF"/>
    <w:rsid w:val="00917ABA"/>
    <w:rsid w:val="00925131"/>
    <w:rsid w:val="009266F9"/>
    <w:rsid w:val="00930A68"/>
    <w:rsid w:val="00932906"/>
    <w:rsid w:val="00937661"/>
    <w:rsid w:val="0094130F"/>
    <w:rsid w:val="009419D1"/>
    <w:rsid w:val="00942F4D"/>
    <w:rsid w:val="00945D18"/>
    <w:rsid w:val="009520EE"/>
    <w:rsid w:val="009539B3"/>
    <w:rsid w:val="00961B0B"/>
    <w:rsid w:val="00962938"/>
    <w:rsid w:val="00963226"/>
    <w:rsid w:val="009632AA"/>
    <w:rsid w:val="009659F0"/>
    <w:rsid w:val="00966A1B"/>
    <w:rsid w:val="00975D5B"/>
    <w:rsid w:val="00981F5D"/>
    <w:rsid w:val="009821AE"/>
    <w:rsid w:val="00984458"/>
    <w:rsid w:val="00987F7A"/>
    <w:rsid w:val="00992CA8"/>
    <w:rsid w:val="00997952"/>
    <w:rsid w:val="009A069F"/>
    <w:rsid w:val="009A1597"/>
    <w:rsid w:val="009A6F1D"/>
    <w:rsid w:val="009B048E"/>
    <w:rsid w:val="009B637E"/>
    <w:rsid w:val="009D3B98"/>
    <w:rsid w:val="009D6EA5"/>
    <w:rsid w:val="009D7C98"/>
    <w:rsid w:val="009E0CD7"/>
    <w:rsid w:val="009E17BD"/>
    <w:rsid w:val="009E3EED"/>
    <w:rsid w:val="009E6868"/>
    <w:rsid w:val="009E7651"/>
    <w:rsid w:val="009E7DE0"/>
    <w:rsid w:val="009F15C5"/>
    <w:rsid w:val="009F1D4D"/>
    <w:rsid w:val="009F4DF7"/>
    <w:rsid w:val="009F5BC3"/>
    <w:rsid w:val="00A02D2D"/>
    <w:rsid w:val="00A04CEC"/>
    <w:rsid w:val="00A066D8"/>
    <w:rsid w:val="00A12C68"/>
    <w:rsid w:val="00A20884"/>
    <w:rsid w:val="00A22278"/>
    <w:rsid w:val="00A22591"/>
    <w:rsid w:val="00A24BAF"/>
    <w:rsid w:val="00A27F92"/>
    <w:rsid w:val="00A305AA"/>
    <w:rsid w:val="00A32654"/>
    <w:rsid w:val="00A33971"/>
    <w:rsid w:val="00A35E16"/>
    <w:rsid w:val="00A44101"/>
    <w:rsid w:val="00A5383B"/>
    <w:rsid w:val="00A54DD4"/>
    <w:rsid w:val="00A55622"/>
    <w:rsid w:val="00A556C2"/>
    <w:rsid w:val="00A602CD"/>
    <w:rsid w:val="00A63031"/>
    <w:rsid w:val="00A63C6C"/>
    <w:rsid w:val="00A71E8E"/>
    <w:rsid w:val="00A77EA6"/>
    <w:rsid w:val="00A806F2"/>
    <w:rsid w:val="00A8261D"/>
    <w:rsid w:val="00A82D0D"/>
    <w:rsid w:val="00A87B50"/>
    <w:rsid w:val="00A91DE4"/>
    <w:rsid w:val="00A94AD4"/>
    <w:rsid w:val="00AA3A1C"/>
    <w:rsid w:val="00AA5496"/>
    <w:rsid w:val="00AB0340"/>
    <w:rsid w:val="00AB42F6"/>
    <w:rsid w:val="00AC1E55"/>
    <w:rsid w:val="00AC2591"/>
    <w:rsid w:val="00AC6F74"/>
    <w:rsid w:val="00AD0AE5"/>
    <w:rsid w:val="00AD278E"/>
    <w:rsid w:val="00AD3E23"/>
    <w:rsid w:val="00AD5D3C"/>
    <w:rsid w:val="00AD7201"/>
    <w:rsid w:val="00AD7909"/>
    <w:rsid w:val="00AE115E"/>
    <w:rsid w:val="00AE26D6"/>
    <w:rsid w:val="00AE35CD"/>
    <w:rsid w:val="00AE703C"/>
    <w:rsid w:val="00AF2509"/>
    <w:rsid w:val="00AF2963"/>
    <w:rsid w:val="00B024D2"/>
    <w:rsid w:val="00B13315"/>
    <w:rsid w:val="00B2270F"/>
    <w:rsid w:val="00B23E7E"/>
    <w:rsid w:val="00B24669"/>
    <w:rsid w:val="00B25B41"/>
    <w:rsid w:val="00B27123"/>
    <w:rsid w:val="00B27228"/>
    <w:rsid w:val="00B30DB1"/>
    <w:rsid w:val="00B31C27"/>
    <w:rsid w:val="00B371AF"/>
    <w:rsid w:val="00B40A81"/>
    <w:rsid w:val="00B4207A"/>
    <w:rsid w:val="00B44910"/>
    <w:rsid w:val="00B54B8F"/>
    <w:rsid w:val="00B576FA"/>
    <w:rsid w:val="00B60212"/>
    <w:rsid w:val="00B7000E"/>
    <w:rsid w:val="00B72267"/>
    <w:rsid w:val="00B750EB"/>
    <w:rsid w:val="00B76EB6"/>
    <w:rsid w:val="00B77B71"/>
    <w:rsid w:val="00B824C8"/>
    <w:rsid w:val="00B82A28"/>
    <w:rsid w:val="00B8318C"/>
    <w:rsid w:val="00B84652"/>
    <w:rsid w:val="00B8578D"/>
    <w:rsid w:val="00B86295"/>
    <w:rsid w:val="00B8714F"/>
    <w:rsid w:val="00B902F2"/>
    <w:rsid w:val="00B94549"/>
    <w:rsid w:val="00BA1CA1"/>
    <w:rsid w:val="00BA1CAA"/>
    <w:rsid w:val="00BA3A82"/>
    <w:rsid w:val="00BA7087"/>
    <w:rsid w:val="00BB0863"/>
    <w:rsid w:val="00BB0E88"/>
    <w:rsid w:val="00BC2C12"/>
    <w:rsid w:val="00BC5A8A"/>
    <w:rsid w:val="00BD032B"/>
    <w:rsid w:val="00BE012E"/>
    <w:rsid w:val="00BE02D1"/>
    <w:rsid w:val="00BE1922"/>
    <w:rsid w:val="00BE2640"/>
    <w:rsid w:val="00BE355F"/>
    <w:rsid w:val="00BF1C91"/>
    <w:rsid w:val="00BF1FFF"/>
    <w:rsid w:val="00BF2BF9"/>
    <w:rsid w:val="00BF370B"/>
    <w:rsid w:val="00C01189"/>
    <w:rsid w:val="00C03AD5"/>
    <w:rsid w:val="00C104DD"/>
    <w:rsid w:val="00C108D2"/>
    <w:rsid w:val="00C14446"/>
    <w:rsid w:val="00C17270"/>
    <w:rsid w:val="00C17609"/>
    <w:rsid w:val="00C17AF8"/>
    <w:rsid w:val="00C203E4"/>
    <w:rsid w:val="00C301A8"/>
    <w:rsid w:val="00C321B4"/>
    <w:rsid w:val="00C33313"/>
    <w:rsid w:val="00C367FD"/>
    <w:rsid w:val="00C36D0F"/>
    <w:rsid w:val="00C374DE"/>
    <w:rsid w:val="00C4152B"/>
    <w:rsid w:val="00C44DA7"/>
    <w:rsid w:val="00C453BE"/>
    <w:rsid w:val="00C472F3"/>
    <w:rsid w:val="00C50344"/>
    <w:rsid w:val="00C512A0"/>
    <w:rsid w:val="00C51F07"/>
    <w:rsid w:val="00C53A28"/>
    <w:rsid w:val="00C577E9"/>
    <w:rsid w:val="00C65214"/>
    <w:rsid w:val="00C667DB"/>
    <w:rsid w:val="00C66E21"/>
    <w:rsid w:val="00C707CB"/>
    <w:rsid w:val="00C7397E"/>
    <w:rsid w:val="00C73A8D"/>
    <w:rsid w:val="00C90506"/>
    <w:rsid w:val="00C94145"/>
    <w:rsid w:val="00C9560A"/>
    <w:rsid w:val="00CA0003"/>
    <w:rsid w:val="00CA1BFF"/>
    <w:rsid w:val="00CA2A00"/>
    <w:rsid w:val="00CA4EB5"/>
    <w:rsid w:val="00CA6393"/>
    <w:rsid w:val="00CB1BB5"/>
    <w:rsid w:val="00CB45D7"/>
    <w:rsid w:val="00CB5846"/>
    <w:rsid w:val="00CB688A"/>
    <w:rsid w:val="00CC02B8"/>
    <w:rsid w:val="00CC1EB2"/>
    <w:rsid w:val="00CC2057"/>
    <w:rsid w:val="00CD0C08"/>
    <w:rsid w:val="00CD5BBD"/>
    <w:rsid w:val="00CD66E3"/>
    <w:rsid w:val="00CE0C9F"/>
    <w:rsid w:val="00CE222A"/>
    <w:rsid w:val="00CE554A"/>
    <w:rsid w:val="00CE566C"/>
    <w:rsid w:val="00CF203C"/>
    <w:rsid w:val="00CF33F3"/>
    <w:rsid w:val="00CF3EC3"/>
    <w:rsid w:val="00CF6AD5"/>
    <w:rsid w:val="00CF7B85"/>
    <w:rsid w:val="00D01238"/>
    <w:rsid w:val="00D01634"/>
    <w:rsid w:val="00D04FD6"/>
    <w:rsid w:val="00D06183"/>
    <w:rsid w:val="00D10EA5"/>
    <w:rsid w:val="00D12D29"/>
    <w:rsid w:val="00D1374F"/>
    <w:rsid w:val="00D15841"/>
    <w:rsid w:val="00D16269"/>
    <w:rsid w:val="00D175B3"/>
    <w:rsid w:val="00D208E0"/>
    <w:rsid w:val="00D2236C"/>
    <w:rsid w:val="00D22C42"/>
    <w:rsid w:val="00D2455D"/>
    <w:rsid w:val="00D2484B"/>
    <w:rsid w:val="00D27B70"/>
    <w:rsid w:val="00D309CF"/>
    <w:rsid w:val="00D30A39"/>
    <w:rsid w:val="00D3308E"/>
    <w:rsid w:val="00D336EE"/>
    <w:rsid w:val="00D411AC"/>
    <w:rsid w:val="00D43B52"/>
    <w:rsid w:val="00D4769E"/>
    <w:rsid w:val="00D534B0"/>
    <w:rsid w:val="00D5786C"/>
    <w:rsid w:val="00D57E69"/>
    <w:rsid w:val="00D617BD"/>
    <w:rsid w:val="00D7144D"/>
    <w:rsid w:val="00D7225A"/>
    <w:rsid w:val="00D7501A"/>
    <w:rsid w:val="00D76A33"/>
    <w:rsid w:val="00D80925"/>
    <w:rsid w:val="00D84E0B"/>
    <w:rsid w:val="00D86145"/>
    <w:rsid w:val="00D9217C"/>
    <w:rsid w:val="00DA1A79"/>
    <w:rsid w:val="00DA313D"/>
    <w:rsid w:val="00DA3E70"/>
    <w:rsid w:val="00DA4F9A"/>
    <w:rsid w:val="00DA5B1F"/>
    <w:rsid w:val="00DB088B"/>
    <w:rsid w:val="00DB6388"/>
    <w:rsid w:val="00DC0E33"/>
    <w:rsid w:val="00DC429C"/>
    <w:rsid w:val="00DC4A08"/>
    <w:rsid w:val="00DC7DF6"/>
    <w:rsid w:val="00DC7F3A"/>
    <w:rsid w:val="00DD06C6"/>
    <w:rsid w:val="00DD5C68"/>
    <w:rsid w:val="00DE06EB"/>
    <w:rsid w:val="00DE52DC"/>
    <w:rsid w:val="00DE7D5E"/>
    <w:rsid w:val="00E027E7"/>
    <w:rsid w:val="00E07153"/>
    <w:rsid w:val="00E07718"/>
    <w:rsid w:val="00E10E80"/>
    <w:rsid w:val="00E124F0"/>
    <w:rsid w:val="00E137BC"/>
    <w:rsid w:val="00E17990"/>
    <w:rsid w:val="00E17CE7"/>
    <w:rsid w:val="00E237EC"/>
    <w:rsid w:val="00E2526B"/>
    <w:rsid w:val="00E342CF"/>
    <w:rsid w:val="00E3640B"/>
    <w:rsid w:val="00E3711C"/>
    <w:rsid w:val="00E40B6E"/>
    <w:rsid w:val="00E4141B"/>
    <w:rsid w:val="00E43BE2"/>
    <w:rsid w:val="00E4442D"/>
    <w:rsid w:val="00E475F6"/>
    <w:rsid w:val="00E544AC"/>
    <w:rsid w:val="00E55559"/>
    <w:rsid w:val="00E60E60"/>
    <w:rsid w:val="00E65650"/>
    <w:rsid w:val="00E66D61"/>
    <w:rsid w:val="00E720B9"/>
    <w:rsid w:val="00E77551"/>
    <w:rsid w:val="00E828D5"/>
    <w:rsid w:val="00E8417D"/>
    <w:rsid w:val="00E849B4"/>
    <w:rsid w:val="00EB2232"/>
    <w:rsid w:val="00EB2ED4"/>
    <w:rsid w:val="00EB43C8"/>
    <w:rsid w:val="00EB4849"/>
    <w:rsid w:val="00EB5878"/>
    <w:rsid w:val="00EB66CD"/>
    <w:rsid w:val="00EB76AC"/>
    <w:rsid w:val="00EC3551"/>
    <w:rsid w:val="00EC426F"/>
    <w:rsid w:val="00EC5292"/>
    <w:rsid w:val="00ED029B"/>
    <w:rsid w:val="00ED063D"/>
    <w:rsid w:val="00ED1BE1"/>
    <w:rsid w:val="00ED308F"/>
    <w:rsid w:val="00ED4F5F"/>
    <w:rsid w:val="00ED50E7"/>
    <w:rsid w:val="00ED6491"/>
    <w:rsid w:val="00ED66A1"/>
    <w:rsid w:val="00ED6E70"/>
    <w:rsid w:val="00EE0185"/>
    <w:rsid w:val="00EE620A"/>
    <w:rsid w:val="00EF00BD"/>
    <w:rsid w:val="00EF7D55"/>
    <w:rsid w:val="00F00274"/>
    <w:rsid w:val="00F01FC4"/>
    <w:rsid w:val="00F02689"/>
    <w:rsid w:val="00F02CE5"/>
    <w:rsid w:val="00F03FB0"/>
    <w:rsid w:val="00F046BB"/>
    <w:rsid w:val="00F05772"/>
    <w:rsid w:val="00F07765"/>
    <w:rsid w:val="00F124B1"/>
    <w:rsid w:val="00F1489D"/>
    <w:rsid w:val="00F15957"/>
    <w:rsid w:val="00F17005"/>
    <w:rsid w:val="00F1776B"/>
    <w:rsid w:val="00F2150A"/>
    <w:rsid w:val="00F23CA9"/>
    <w:rsid w:val="00F33243"/>
    <w:rsid w:val="00F335A4"/>
    <w:rsid w:val="00F3600D"/>
    <w:rsid w:val="00F40C9B"/>
    <w:rsid w:val="00F43265"/>
    <w:rsid w:val="00F44B19"/>
    <w:rsid w:val="00F5168B"/>
    <w:rsid w:val="00F523CD"/>
    <w:rsid w:val="00F5243E"/>
    <w:rsid w:val="00F524E4"/>
    <w:rsid w:val="00F538B2"/>
    <w:rsid w:val="00F569DD"/>
    <w:rsid w:val="00F6550B"/>
    <w:rsid w:val="00F6647A"/>
    <w:rsid w:val="00F70C1F"/>
    <w:rsid w:val="00F71EF8"/>
    <w:rsid w:val="00F73F0D"/>
    <w:rsid w:val="00F77CB0"/>
    <w:rsid w:val="00F83017"/>
    <w:rsid w:val="00F83B99"/>
    <w:rsid w:val="00F84005"/>
    <w:rsid w:val="00F910A2"/>
    <w:rsid w:val="00F915D8"/>
    <w:rsid w:val="00F96900"/>
    <w:rsid w:val="00FA3032"/>
    <w:rsid w:val="00FA4E5B"/>
    <w:rsid w:val="00FB2684"/>
    <w:rsid w:val="00FB3CFA"/>
    <w:rsid w:val="00FB4929"/>
    <w:rsid w:val="00FB4F5B"/>
    <w:rsid w:val="00FC307D"/>
    <w:rsid w:val="00FC4153"/>
    <w:rsid w:val="00FC4B12"/>
    <w:rsid w:val="00FD0557"/>
    <w:rsid w:val="00FD0BB9"/>
    <w:rsid w:val="00FD0E17"/>
    <w:rsid w:val="00FD3677"/>
    <w:rsid w:val="00FE12EA"/>
    <w:rsid w:val="00FE176F"/>
    <w:rsid w:val="00FE2E6C"/>
    <w:rsid w:val="00FE38D0"/>
    <w:rsid w:val="00FE6AD0"/>
    <w:rsid w:val="00FE7501"/>
    <w:rsid w:val="00FE77D2"/>
    <w:rsid w:val="00FF071A"/>
    <w:rsid w:val="00FF117D"/>
    <w:rsid w:val="00FF3934"/>
    <w:rsid w:val="00FF6044"/>
    <w:rsid w:val="00FF6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32B5AA"/>
  <w15:docId w15:val="{7620F335-3DAC-41FF-BBCE-8EFDE1C7A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6C2"/>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480"/>
      <w:ind w:left="794" w:hanging="794"/>
      <w:outlineLvl w:val="0"/>
    </w:pPr>
    <w:rPr>
      <w:b/>
      <w:sz w:val="28"/>
    </w:rPr>
  </w:style>
  <w:style w:type="paragraph" w:styleId="Heading2">
    <w:name w:val="heading 2"/>
    <w:basedOn w:val="Heading1"/>
    <w:next w:val="Normal"/>
    <w:qFormat/>
    <w:pPr>
      <w:spacing w:before="320"/>
      <w:outlineLvl w:val="1"/>
    </w:pPr>
    <w:rPr>
      <w:sz w:val="24"/>
    </w:rPr>
  </w:style>
  <w:style w:type="paragraph" w:styleId="Heading3">
    <w:name w:val="heading 3"/>
    <w:basedOn w:val="Heading1"/>
    <w:next w:val="Normal"/>
    <w:qFormat/>
    <w:pPr>
      <w:spacing w:before="200"/>
      <w:ind w:left="0" w:firstLine="0"/>
      <w:outlineLvl w:val="2"/>
    </w:pPr>
    <w:rPr>
      <w:rFonts w:ascii="Times New Roman Bold" w:hAnsi="Times New Roman Bold"/>
      <w:i/>
      <w:sz w:val="24"/>
    </w:rPr>
  </w:style>
  <w:style w:type="paragraph" w:styleId="Heading4">
    <w:name w:val="heading 4"/>
    <w:basedOn w:val="Heading3"/>
    <w:next w:val="Normal"/>
    <w:qFormat/>
    <w:pPr>
      <w:tabs>
        <w:tab w:val="clear" w:pos="794"/>
        <w:tab w:val="clear" w:pos="1191"/>
        <w:tab w:val="clear" w:pos="1588"/>
        <w:tab w:val="clear" w:pos="1985"/>
      </w:tabs>
      <w:outlineLvl w:val="3"/>
    </w:pPr>
    <w:rPr>
      <w:b w:val="0"/>
    </w:r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tyle>
  <w:style w:type="paragraph" w:styleId="TOC4">
    <w:name w:val="toc 4"/>
    <w:basedOn w:val="TOC3"/>
    <w:pPr>
      <w:spacing w:before="80"/>
    </w:pPr>
  </w:style>
  <w:style w:type="paragraph" w:styleId="TOC3">
    <w:name w:val="toc 3"/>
    <w:basedOn w:val="TOC2"/>
  </w:style>
  <w:style w:type="paragraph" w:styleId="TOC2">
    <w:name w:val="toc 2"/>
    <w:basedOn w:val="TOC1"/>
    <w:pPr>
      <w:spacing w:before="160"/>
    </w:pPr>
  </w:style>
  <w:style w:type="paragraph" w:styleId="TOC1">
    <w:name w:val="toc 1"/>
    <w:basedOn w:val="Normal"/>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tyle>
  <w:style w:type="paragraph" w:styleId="TOC6">
    <w:name w:val="toc 6"/>
    <w:basedOn w:val="TOC4"/>
  </w:style>
  <w:style w:type="paragraph" w:styleId="TOC5">
    <w:name w:val="toc 5"/>
    <w:basedOn w:val="TOC4"/>
  </w:style>
  <w:style w:type="paragraph" w:styleId="Index7">
    <w:name w:val="index 7"/>
    <w:basedOn w:val="Normal"/>
    <w:next w:val="Normal"/>
    <w:pPr>
      <w:ind w:left="1698"/>
    </w:pPr>
  </w:style>
  <w:style w:type="paragraph" w:styleId="Index6">
    <w:name w:val="index 6"/>
    <w:basedOn w:val="Normal"/>
    <w:next w:val="Normal"/>
    <w:pPr>
      <w:ind w:left="1415"/>
    </w:pPr>
  </w:style>
  <w:style w:type="paragraph" w:styleId="Index5">
    <w:name w:val="index 5"/>
    <w:basedOn w:val="Normal"/>
    <w:next w:val="Normal"/>
    <w:pPr>
      <w:ind w:left="1132"/>
    </w:pPr>
  </w:style>
  <w:style w:type="paragraph" w:styleId="Index4">
    <w:name w:val="index 4"/>
    <w:basedOn w:val="Normal"/>
    <w:next w:val="Normal"/>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pPr>
      <w:tabs>
        <w:tab w:val="clear" w:pos="794"/>
        <w:tab w:val="clear" w:pos="1191"/>
        <w:tab w:val="clear" w:pos="1588"/>
        <w:tab w:val="clear" w:pos="1985"/>
      </w:tabs>
      <w:spacing w:before="0"/>
      <w:jc w:val="center"/>
    </w:pPr>
    <w:rPr>
      <w:sz w:val="18"/>
      <w:lang w:val="fr-FR"/>
    </w:rPr>
  </w:style>
  <w:style w:type="character" w:styleId="FootnoteReference">
    <w:name w:val="footnote reference"/>
    <w:rPr>
      <w:position w:val="6"/>
      <w:sz w:val="18"/>
    </w:rPr>
  </w:style>
  <w:style w:type="paragraph" w:styleId="FootnoteText">
    <w:name w:val="footnote text"/>
    <w:basedOn w:val="Normal"/>
    <w:pPr>
      <w:keepLines/>
      <w:tabs>
        <w:tab w:val="left" w:pos="255"/>
      </w:tabs>
      <w:ind w:left="255" w:hanging="255"/>
    </w:pPr>
  </w:style>
  <w:style w:type="paragraph" w:styleId="NormalIndent">
    <w:name w:val="Normal Indent"/>
    <w:basedOn w:val="Normal"/>
    <w:pPr>
      <w:ind w:left="794"/>
    </w:pPr>
  </w:style>
  <w:style w:type="paragraph" w:customStyle="1" w:styleId="enumlev1">
    <w:name w:val="enumlev1"/>
    <w:basedOn w:val="Normal"/>
    <w:pPr>
      <w:tabs>
        <w:tab w:val="left" w:pos="2608"/>
        <w:tab w:val="left" w:pos="3345"/>
      </w:tabs>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 after title"/>
    <w:basedOn w:val="Normal"/>
    <w:next w:val="Normal"/>
    <w:pPr>
      <w:spacing w:before="320"/>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Head">
    <w:name w:val="Head"/>
    <w:basedOn w:val="Normal"/>
    <w:pPr>
      <w:tabs>
        <w:tab w:val="left" w:pos="6663"/>
      </w:tabs>
      <w:overflowPunct/>
      <w:autoSpaceDE/>
      <w:autoSpaceDN/>
      <w:adjustRightInd/>
      <w:spacing w:before="0"/>
      <w:textAlignment w:val="auto"/>
    </w:pPr>
  </w:style>
  <w:style w:type="paragraph" w:customStyle="1" w:styleId="toc0">
    <w:name w:val="toc 0"/>
    <w:basedOn w:val="Normal"/>
    <w:next w:val="TOC1"/>
    <w:pPr>
      <w:tabs>
        <w:tab w:val="clear" w:pos="1191"/>
        <w:tab w:val="clear" w:pos="1588"/>
        <w:tab w:val="clear" w:pos="1985"/>
        <w:tab w:val="center" w:pos="8789"/>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pPr>
      <w:spacing w:before="480"/>
      <w:jc w:val="center"/>
    </w:pPr>
    <w:rPr>
      <w:b/>
      <w:sz w:val="28"/>
    </w:rPr>
  </w:style>
  <w:style w:type="paragraph" w:customStyle="1" w:styleId="meeting">
    <w:name w:val="meeting"/>
    <w:basedOn w:val="Head"/>
    <w:next w:val="Head"/>
    <w:pPr>
      <w:tabs>
        <w:tab w:val="left" w:pos="7371"/>
      </w:tabs>
      <w:spacing w:after="567"/>
    </w:pPr>
  </w:style>
  <w:style w:type="paragraph" w:customStyle="1" w:styleId="Subject">
    <w:name w:val="Subject"/>
    <w:basedOn w:val="Normal"/>
    <w:next w:val="Source"/>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style>
  <w:style w:type="paragraph" w:customStyle="1" w:styleId="Data">
    <w:name w:val="Data"/>
    <w:basedOn w:val="Subject"/>
    <w:next w:val="Subject"/>
  </w:style>
  <w:style w:type="paragraph" w:customStyle="1" w:styleId="Reasons">
    <w:name w:val="Reasons"/>
    <w:basedOn w:val="Normal"/>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rPr>
      <w:color w:val="0000FF"/>
      <w:u w:val="single"/>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pPr>
      <w:tabs>
        <w:tab w:val="clear" w:pos="794"/>
        <w:tab w:val="clear" w:pos="1191"/>
        <w:tab w:val="clear" w:pos="1588"/>
        <w:tab w:val="clear" w:pos="1985"/>
      </w:tabs>
      <w:spacing w:before="80"/>
    </w:pPr>
  </w:style>
  <w:style w:type="paragraph" w:styleId="TOC9">
    <w:name w:val="toc 9"/>
    <w:basedOn w:val="TOC4"/>
  </w:style>
  <w:style w:type="paragraph" w:customStyle="1" w:styleId="Headingb">
    <w:name w:val="Heading_b"/>
    <w:basedOn w:val="Heading3"/>
    <w:next w:val="Normal"/>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rPr>
      <w:color w:val="800080"/>
      <w:u w:val="single"/>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dnum">
    <w:name w:val="dnum"/>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Table">
    <w:name w:val="Table_#"/>
    <w:basedOn w:val="Normal"/>
    <w:next w:val="Normal"/>
    <w:pPr>
      <w:keepNext/>
      <w:overflowPunct/>
      <w:autoSpaceDE/>
      <w:autoSpaceDN/>
      <w:adjustRightInd/>
      <w:spacing w:before="560" w:after="120"/>
      <w:jc w:val="center"/>
      <w:textAlignment w:val="auto"/>
    </w:pPr>
    <w:rPr>
      <w:caps/>
    </w:rPr>
  </w:style>
  <w:style w:type="paragraph" w:customStyle="1" w:styleId="AnnexNo">
    <w:name w:val="Annex_No"/>
    <w:basedOn w:val="Normal"/>
    <w:next w:val="Annextitle"/>
    <w:pPr>
      <w:keepNext/>
      <w:keepLines/>
      <w:spacing w:before="480" w:after="80"/>
      <w:jc w:val="center"/>
    </w:pPr>
    <w:rPr>
      <w:caps/>
      <w:sz w:val="28"/>
    </w:rPr>
  </w:style>
  <w:style w:type="paragraph" w:customStyle="1" w:styleId="Annextitle">
    <w:name w:val="Annex_title"/>
    <w:basedOn w:val="Normal"/>
    <w:next w:val="Annexref"/>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pPr>
      <w:keepNext/>
      <w:keepLines/>
      <w:spacing w:after="280"/>
      <w:jc w:val="center"/>
    </w:pPr>
  </w:style>
  <w:style w:type="paragraph" w:customStyle="1" w:styleId="AppendixNo">
    <w:name w:val="Appendix_No"/>
    <w:basedOn w:val="AnnexNo"/>
    <w:next w:val="Appendixtitle"/>
  </w:style>
  <w:style w:type="paragraph" w:customStyle="1" w:styleId="Appendixtitle">
    <w:name w:val="Appendix_title"/>
    <w:basedOn w:val="Annextitle"/>
    <w:next w:val="Appendixref"/>
  </w:style>
  <w:style w:type="paragraph" w:customStyle="1" w:styleId="Appendixref">
    <w:name w:val="Appendix_ref"/>
    <w:basedOn w:val="Annexref"/>
    <w:next w:val="Normalaftertitle"/>
  </w:style>
  <w:style w:type="paragraph" w:customStyle="1" w:styleId="Call">
    <w:name w:val="Call"/>
    <w:basedOn w:val="Normal"/>
    <w:next w:val="Normal"/>
    <w:pPr>
      <w:keepNext/>
      <w:keepLines/>
      <w:spacing w:before="160"/>
      <w:ind w:left="794"/>
    </w:pPr>
    <w:rPr>
      <w:i/>
    </w:rPr>
  </w:style>
  <w:style w:type="character" w:styleId="EndnoteReference">
    <w:name w:val="endnote reference"/>
    <w:rPr>
      <w:vertAlign w:val="superscript"/>
    </w:rPr>
  </w:style>
  <w:style w:type="paragraph" w:customStyle="1" w:styleId="Equationlegend">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pPr>
      <w:keepNext/>
      <w:keepLines/>
      <w:spacing w:after="120"/>
      <w:jc w:val="center"/>
    </w:pPr>
  </w:style>
  <w:style w:type="paragraph" w:customStyle="1" w:styleId="Figuretitle">
    <w:name w:val="Figure_title"/>
    <w:basedOn w:val="Tabletitle"/>
    <w:next w:val="Normalaftertitle"/>
    <w:pPr>
      <w:spacing w:before="240" w:after="480"/>
    </w:pPr>
  </w:style>
  <w:style w:type="paragraph" w:customStyle="1" w:styleId="Tabletitle">
    <w:name w:val="Table_title"/>
    <w:basedOn w:val="TableNo"/>
    <w:next w:val="Tabletext"/>
    <w:pPr>
      <w:spacing w:before="0"/>
    </w:pPr>
    <w:rPr>
      <w:rFonts w:ascii="Times New Roman Bold" w:hAnsi="Times New Roman Bold"/>
      <w:b/>
      <w:caps w:val="0"/>
    </w:rPr>
  </w:style>
  <w:style w:type="paragraph" w:customStyle="1" w:styleId="TableNo">
    <w:name w:val="Table_No"/>
    <w:basedOn w:val="Normal"/>
    <w:next w:val="Tabletitle"/>
    <w:pPr>
      <w:keepNext/>
      <w:spacing w:before="360" w:after="120"/>
      <w:jc w:val="center"/>
    </w:pPr>
    <w:rPr>
      <w:cap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240" w:after="120"/>
      <w:jc w:val="center"/>
    </w:pPr>
    <w:rPr>
      <w:caps/>
    </w:rPr>
  </w:style>
  <w:style w:type="paragraph" w:customStyle="1" w:styleId="Figurewithouttitle">
    <w:name w:val="Figure_without_title"/>
    <w:basedOn w:val="Figure"/>
    <w:next w:val="Normalaftertitle"/>
    <w:pPr>
      <w:keepNext w:val="0"/>
      <w:spacing w:after="240"/>
    </w:pPr>
  </w:style>
  <w:style w:type="paragraph" w:customStyle="1" w:styleId="Headingi">
    <w:name w:val="Heading_i"/>
    <w:basedOn w:val="Heading3"/>
    <w:next w:val="Normal"/>
    <w:pPr>
      <w:spacing w:before="160"/>
    </w:pPr>
    <w:rPr>
      <w:b w:val="0"/>
    </w:rPr>
  </w:style>
  <w:style w:type="character" w:styleId="PageNumber">
    <w:name w:val="page number"/>
    <w:basedOn w:val="DefaultParagraphFont"/>
  </w:style>
  <w:style w:type="paragraph" w:customStyle="1" w:styleId="PartNo">
    <w:name w:val="Part_No"/>
    <w:basedOn w:val="AnnexNo"/>
    <w:next w:val="Parttitle"/>
  </w:style>
  <w:style w:type="paragraph" w:customStyle="1" w:styleId="Parttitle">
    <w:name w:val="Part_title"/>
    <w:basedOn w:val="Annextitle"/>
    <w:next w:val="Partref"/>
  </w:style>
  <w:style w:type="paragraph" w:customStyle="1" w:styleId="Partref">
    <w:name w:val="Part_ref"/>
    <w:basedOn w:val="Annexref"/>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ref">
    <w:name w:val="Question_ref"/>
    <w:basedOn w:val="Recref"/>
    <w:next w:val="Questiondate"/>
  </w:style>
  <w:style w:type="paragraph" w:customStyle="1" w:styleId="Questiontitle">
    <w:name w:val="Question_title"/>
    <w:basedOn w:val="Rectitle"/>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AnnexNo"/>
    <w:next w:val="Sectiontitle"/>
  </w:style>
  <w:style w:type="paragraph" w:customStyle="1" w:styleId="Sectiontitle">
    <w:name w:val="Section_title"/>
    <w:basedOn w:val="Normal"/>
    <w:next w:val="Normalaftertitle"/>
    <w:rPr>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pPr>
      <w:keepNext/>
      <w:spacing w:before="80" w:after="80"/>
      <w:jc w:val="center"/>
    </w:pPr>
    <w:rPr>
      <w:b/>
    </w:rPr>
  </w:style>
  <w:style w:type="paragraph" w:customStyle="1" w:styleId="Tablelegend">
    <w:name w:val="Table_legend"/>
    <w:basedOn w:val="Tabletext"/>
    <w:pPr>
      <w:spacing w:before="120"/>
    </w:pPr>
  </w:style>
  <w:style w:type="paragraph" w:customStyle="1" w:styleId="Tableref">
    <w:name w:val="Table_ref"/>
    <w:basedOn w:val="Normal"/>
    <w:next w:val="Tabletitle"/>
    <w:pPr>
      <w:keepNext/>
      <w:spacing w:before="567"/>
      <w:jc w:val="center"/>
    </w:pPr>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styleId="BodyText2">
    <w:name w:val="Body Text 2"/>
    <w:basedOn w:val="Normal"/>
    <w:rsid w:val="008802BD"/>
    <w:pPr>
      <w:widowControl w:val="0"/>
    </w:pPr>
    <w:rPr>
      <w:sz w:val="20"/>
    </w:rPr>
  </w:style>
  <w:style w:type="paragraph" w:customStyle="1" w:styleId="ASN1">
    <w:name w:val="ASN.1"/>
    <w:basedOn w:val="Normal"/>
    <w:rsid w:val="008802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b/>
      <w:noProof/>
      <w:sz w:val="20"/>
    </w:rPr>
  </w:style>
  <w:style w:type="paragraph" w:customStyle="1" w:styleId="Normalaftertitle0">
    <w:name w:val="Normal_after_title"/>
    <w:basedOn w:val="Normal"/>
    <w:next w:val="Normal"/>
    <w:rsid w:val="008802BD"/>
    <w:pPr>
      <w:spacing w:before="360"/>
    </w:pPr>
  </w:style>
  <w:style w:type="paragraph" w:customStyle="1" w:styleId="Formal">
    <w:name w:val="Formal"/>
    <w:basedOn w:val="ASN1"/>
    <w:rsid w:val="008802BD"/>
    <w:pPr>
      <w:tabs>
        <w:tab w:val="left" w:pos="794"/>
        <w:tab w:val="left" w:pos="1191"/>
        <w:tab w:val="left" w:pos="1588"/>
        <w:tab w:val="left" w:pos="1985"/>
      </w:tabs>
      <w:overflowPunct w:val="0"/>
      <w:autoSpaceDE w:val="0"/>
      <w:autoSpaceDN w:val="0"/>
      <w:adjustRightInd w:val="0"/>
      <w:textAlignment w:val="baseline"/>
    </w:pPr>
    <w:rPr>
      <w:rFonts w:ascii="Courier New" w:hAnsi="Courier New"/>
      <w:b w:val="0"/>
    </w:rPr>
  </w:style>
  <w:style w:type="paragraph" w:customStyle="1" w:styleId="TableText0">
    <w:name w:val="Table_Text"/>
    <w:basedOn w:val="Normal"/>
    <w:rsid w:val="008802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styleId="BalloonText">
    <w:name w:val="Balloon Text"/>
    <w:basedOn w:val="Normal"/>
    <w:semiHidden/>
    <w:rsid w:val="009A069F"/>
    <w:rPr>
      <w:rFonts w:ascii="Tahoma" w:hAnsi="Tahoma" w:cs="Tahoma"/>
      <w:sz w:val="16"/>
      <w:szCs w:val="16"/>
    </w:rPr>
  </w:style>
  <w:style w:type="table" w:styleId="TableGrid">
    <w:name w:val="Table Grid"/>
    <w:basedOn w:val="TableNormal"/>
    <w:uiPriority w:val="59"/>
    <w:rsid w:val="00997952"/>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5352F1"/>
  </w:style>
  <w:style w:type="character" w:customStyle="1" w:styleId="DateChar">
    <w:name w:val="Date Char"/>
    <w:link w:val="Date"/>
    <w:rsid w:val="005352F1"/>
    <w:rPr>
      <w:rFonts w:ascii="Times New Roman" w:hAnsi="Times New Roman"/>
      <w:sz w:val="24"/>
      <w:lang w:val="en-GB" w:eastAsia="en-US"/>
    </w:rPr>
  </w:style>
  <w:style w:type="paragraph" w:styleId="ListParagraph">
    <w:name w:val="List Paragraph"/>
    <w:basedOn w:val="Normal"/>
    <w:uiPriority w:val="34"/>
    <w:qFormat/>
    <w:rsid w:val="003A7BA2"/>
    <w:pPr>
      <w:ind w:left="720"/>
      <w:contextualSpacing/>
    </w:pPr>
  </w:style>
  <w:style w:type="character" w:styleId="Emphasis">
    <w:name w:val="Emphasis"/>
    <w:basedOn w:val="DefaultParagraphFont"/>
    <w:qFormat/>
    <w:rsid w:val="00D208E0"/>
    <w:rPr>
      <w:i/>
      <w:iCs/>
    </w:rPr>
  </w:style>
  <w:style w:type="character" w:customStyle="1" w:styleId="HeaderChar">
    <w:name w:val="Header Char"/>
    <w:basedOn w:val="DefaultParagraphFont"/>
    <w:link w:val="Header"/>
    <w:rsid w:val="00421A21"/>
    <w:rPr>
      <w:rFonts w:ascii="Times New Roman" w:hAnsi="Times New Roman"/>
      <w:sz w:val="18"/>
      <w:lang w:val="fr-FR" w:eastAsia="en-US"/>
    </w:rPr>
  </w:style>
  <w:style w:type="character" w:customStyle="1" w:styleId="FooterChar">
    <w:name w:val="Footer Char"/>
    <w:basedOn w:val="DefaultParagraphFont"/>
    <w:link w:val="Footer"/>
    <w:uiPriority w:val="99"/>
    <w:rsid w:val="00A22278"/>
    <w:rPr>
      <w:rFonts w:ascii="Times New Roman" w:hAnsi="Times New Roman"/>
      <w:caps/>
      <w:noProof/>
      <w:sz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38242">
      <w:bodyDiv w:val="1"/>
      <w:marLeft w:val="0"/>
      <w:marRight w:val="0"/>
      <w:marTop w:val="0"/>
      <w:marBottom w:val="0"/>
      <w:divBdr>
        <w:top w:val="none" w:sz="0" w:space="0" w:color="auto"/>
        <w:left w:val="none" w:sz="0" w:space="0" w:color="auto"/>
        <w:bottom w:val="none" w:sz="0" w:space="0" w:color="auto"/>
        <w:right w:val="none" w:sz="0" w:space="0" w:color="auto"/>
      </w:divBdr>
    </w:div>
    <w:div w:id="433483617">
      <w:bodyDiv w:val="1"/>
      <w:marLeft w:val="0"/>
      <w:marRight w:val="0"/>
      <w:marTop w:val="0"/>
      <w:marBottom w:val="0"/>
      <w:divBdr>
        <w:top w:val="none" w:sz="0" w:space="0" w:color="auto"/>
        <w:left w:val="none" w:sz="0" w:space="0" w:color="auto"/>
        <w:bottom w:val="none" w:sz="0" w:space="0" w:color="auto"/>
        <w:right w:val="none" w:sz="0" w:space="0" w:color="auto"/>
      </w:divBdr>
    </w:div>
    <w:div w:id="861825679">
      <w:bodyDiv w:val="1"/>
      <w:marLeft w:val="0"/>
      <w:marRight w:val="0"/>
      <w:marTop w:val="0"/>
      <w:marBottom w:val="0"/>
      <w:divBdr>
        <w:top w:val="none" w:sz="0" w:space="0" w:color="auto"/>
        <w:left w:val="none" w:sz="0" w:space="0" w:color="auto"/>
        <w:bottom w:val="none" w:sz="0" w:space="0" w:color="auto"/>
        <w:right w:val="none" w:sz="0" w:space="0" w:color="auto"/>
      </w:divBdr>
    </w:div>
    <w:div w:id="922835743">
      <w:bodyDiv w:val="1"/>
      <w:marLeft w:val="0"/>
      <w:marRight w:val="0"/>
      <w:marTop w:val="0"/>
      <w:marBottom w:val="0"/>
      <w:divBdr>
        <w:top w:val="none" w:sz="0" w:space="0" w:color="auto"/>
        <w:left w:val="none" w:sz="0" w:space="0" w:color="auto"/>
        <w:bottom w:val="none" w:sz="0" w:space="0" w:color="auto"/>
        <w:right w:val="none" w:sz="0" w:space="0" w:color="auto"/>
      </w:divBdr>
    </w:div>
    <w:div w:id="1033190761">
      <w:bodyDiv w:val="1"/>
      <w:marLeft w:val="0"/>
      <w:marRight w:val="0"/>
      <w:marTop w:val="0"/>
      <w:marBottom w:val="0"/>
      <w:divBdr>
        <w:top w:val="none" w:sz="0" w:space="0" w:color="auto"/>
        <w:left w:val="none" w:sz="0" w:space="0" w:color="auto"/>
        <w:bottom w:val="none" w:sz="0" w:space="0" w:color="auto"/>
        <w:right w:val="none" w:sz="0" w:space="0" w:color="auto"/>
      </w:divBdr>
    </w:div>
    <w:div w:id="1041440097">
      <w:bodyDiv w:val="1"/>
      <w:marLeft w:val="0"/>
      <w:marRight w:val="0"/>
      <w:marTop w:val="0"/>
      <w:marBottom w:val="0"/>
      <w:divBdr>
        <w:top w:val="none" w:sz="0" w:space="0" w:color="auto"/>
        <w:left w:val="none" w:sz="0" w:space="0" w:color="auto"/>
        <w:bottom w:val="none" w:sz="0" w:space="0" w:color="auto"/>
        <w:right w:val="none" w:sz="0" w:space="0" w:color="auto"/>
      </w:divBdr>
    </w:div>
    <w:div w:id="1188642182">
      <w:bodyDiv w:val="1"/>
      <w:marLeft w:val="0"/>
      <w:marRight w:val="0"/>
      <w:marTop w:val="0"/>
      <w:marBottom w:val="0"/>
      <w:divBdr>
        <w:top w:val="none" w:sz="0" w:space="0" w:color="auto"/>
        <w:left w:val="none" w:sz="0" w:space="0" w:color="auto"/>
        <w:bottom w:val="none" w:sz="0" w:space="0" w:color="auto"/>
        <w:right w:val="none" w:sz="0" w:space="0" w:color="auto"/>
      </w:divBdr>
    </w:div>
    <w:div w:id="1235311453">
      <w:bodyDiv w:val="1"/>
      <w:marLeft w:val="0"/>
      <w:marRight w:val="0"/>
      <w:marTop w:val="0"/>
      <w:marBottom w:val="0"/>
      <w:divBdr>
        <w:top w:val="none" w:sz="0" w:space="0" w:color="auto"/>
        <w:left w:val="none" w:sz="0" w:space="0" w:color="auto"/>
        <w:bottom w:val="none" w:sz="0" w:space="0" w:color="auto"/>
        <w:right w:val="none" w:sz="0" w:space="0" w:color="auto"/>
      </w:divBdr>
    </w:div>
    <w:div w:id="1349211692">
      <w:bodyDiv w:val="1"/>
      <w:marLeft w:val="0"/>
      <w:marRight w:val="0"/>
      <w:marTop w:val="0"/>
      <w:marBottom w:val="0"/>
      <w:divBdr>
        <w:top w:val="none" w:sz="0" w:space="0" w:color="auto"/>
        <w:left w:val="none" w:sz="0" w:space="0" w:color="auto"/>
        <w:bottom w:val="none" w:sz="0" w:space="0" w:color="auto"/>
        <w:right w:val="none" w:sz="0" w:space="0" w:color="auto"/>
      </w:divBdr>
    </w:div>
    <w:div w:id="1640569260">
      <w:bodyDiv w:val="1"/>
      <w:marLeft w:val="0"/>
      <w:marRight w:val="0"/>
      <w:marTop w:val="0"/>
      <w:marBottom w:val="0"/>
      <w:divBdr>
        <w:top w:val="none" w:sz="0" w:space="0" w:color="auto"/>
        <w:left w:val="none" w:sz="0" w:space="0" w:color="auto"/>
        <w:bottom w:val="none" w:sz="0" w:space="0" w:color="auto"/>
        <w:right w:val="none" w:sz="0" w:space="0" w:color="auto"/>
      </w:divBdr>
    </w:div>
    <w:div w:id="2026323680">
      <w:bodyDiv w:val="1"/>
      <w:marLeft w:val="0"/>
      <w:marRight w:val="0"/>
      <w:marTop w:val="0"/>
      <w:marBottom w:val="0"/>
      <w:divBdr>
        <w:top w:val="none" w:sz="0" w:space="0" w:color="auto"/>
        <w:left w:val="none" w:sz="0" w:space="0" w:color="auto"/>
        <w:bottom w:val="none" w:sz="0" w:space="0" w:color="auto"/>
        <w:right w:val="none" w:sz="0" w:space="0" w:color="auto"/>
      </w:divBdr>
    </w:div>
    <w:div w:id="2030178606">
      <w:bodyDiv w:val="1"/>
      <w:marLeft w:val="0"/>
      <w:marRight w:val="0"/>
      <w:marTop w:val="0"/>
      <w:marBottom w:val="0"/>
      <w:divBdr>
        <w:top w:val="none" w:sz="0" w:space="0" w:color="auto"/>
        <w:left w:val="none" w:sz="0" w:space="0" w:color="auto"/>
        <w:bottom w:val="none" w:sz="0" w:space="0" w:color="auto"/>
        <w:right w:val="none" w:sz="0" w:space="0" w:color="auto"/>
      </w:divBdr>
    </w:div>
    <w:div w:id="210398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md/S17-CL-C-0108/en"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herbini\AppData\Local\Microsoft\Windows\Temporary%20Internet%20Files\Content.Outlook\AY1MV88I\www.un.org\en\webgovernanc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tt\Local%20Settings\Temporary%20Internet%20Files\OLKFA\PE_C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A1F13F961AB246A6293F334B48452B" ma:contentTypeVersion="1" ma:contentTypeDescription="Create a new document." ma:contentTypeScope="" ma:versionID="0295d511ef6e2fb068dd0fbdedd58c89">
  <xsd:schema xmlns:xsd="http://www.w3.org/2001/XMLSchema" xmlns:xs="http://www.w3.org/2001/XMLSchema" xmlns:p="http://schemas.microsoft.com/office/2006/metadata/properties" xmlns:ns1="http://schemas.microsoft.com/sharepoint/v3" targetNamespace="http://schemas.microsoft.com/office/2006/metadata/properties" ma:root="true" ma:fieldsID="47702c99b0592ceb5bf7269db54c0d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49F27-A036-4472-9DE6-CF8C693FB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6D89E4-4F8D-4E94-9019-69F1DDE7A6CC}">
  <ds:schemaRefs>
    <ds:schemaRef ds:uri="http://purl.org/dc/elements/1.1/"/>
    <ds:schemaRef ds:uri="http://schemas.microsoft.com/office/2006/documentManagement/types"/>
    <ds:schemaRef ds:uri="http://schemas.microsoft.com/office/2006/metadata/properties"/>
    <ds:schemaRef ds:uri="http://purl.org/dc/dcmitype/"/>
    <ds:schemaRef ds:uri="http://schemas.microsoft.com/sharepoint/v3"/>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E57B879-BAF4-4E2A-A8E4-5D46110D705B}">
  <ds:schemaRefs>
    <ds:schemaRef ds:uri="http://schemas.microsoft.com/sharepoint/v3/contenttype/forms"/>
  </ds:schemaRefs>
</ds:datastoreItem>
</file>

<file path=customXml/itemProps4.xml><?xml version="1.0" encoding="utf-8"?>
<ds:datastoreItem xmlns:ds="http://schemas.openxmlformats.org/officeDocument/2006/customXml" ds:itemID="{61A48D09-FEA6-4166-9CE4-DD616680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PE_C07.DOT</Template>
  <TotalTime>0</TotalTime>
  <Pages>13</Pages>
  <Words>4125</Words>
  <Characters>22665</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CDPG-C07/24-SCHEDULING OF COUNCIL SESSIONS AND PLENIPOTENTIARY CONFERENCES</vt:lpstr>
    </vt:vector>
  </TitlesOfParts>
  <Manager>General Secretariat - Pool</Manager>
  <Company>International Telecommunication Union (ITU)</Company>
  <LinksUpToDate>false</LinksUpToDate>
  <CharactersWithSpaces>26737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CDPG-C07/24-SCHEDULING OF COUNCIL SESSIONS AND PLENIPOTENTIARY CONFERENCES</dc:title>
  <dc:subject>Council 2006</dc:subject>
  <dc:creator>Report by the Secretary-General</dc:creator>
  <cp:keywords>C2006, C06</cp:keywords>
  <cp:lastModifiedBy>Janin</cp:lastModifiedBy>
  <cp:revision>2</cp:revision>
  <cp:lastPrinted>2017-11-30T14:05:00Z</cp:lastPrinted>
  <dcterms:created xsi:type="dcterms:W3CDTF">2018-01-16T07:28:00Z</dcterms:created>
  <dcterms:modified xsi:type="dcterms:W3CDTF">2018-01-16T07:28:00Z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C07/XX-E</vt:lpwstr>
  </property>
  <property fmtid="{D5CDD505-2E9C-101B-9397-08002B2CF9AE}" pid="3" name="Docdate">
    <vt:lpwstr>May 2007</vt:lpwstr>
  </property>
  <property fmtid="{D5CDD505-2E9C-101B-9397-08002B2CF9AE}" pid="4" name="Docorlang">
    <vt:lpwstr>Original: English</vt:lpwstr>
  </property>
  <property fmtid="{D5CDD505-2E9C-101B-9397-08002B2CF9AE}" pid="5" name="Docbluepink">
    <vt:lpwstr/>
  </property>
  <property fmtid="{D5CDD505-2E9C-101B-9397-08002B2CF9AE}" pid="6" name="Docdest">
    <vt:lpwstr>Agenda item: PL</vt:lpwstr>
  </property>
  <property fmtid="{D5CDD505-2E9C-101B-9397-08002B2CF9AE}" pid="7" name="Docauthor">
    <vt:lpwstr>Report by the Secretary-General</vt:lpwstr>
  </property>
</Properties>
</file>