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7B4614" w14:paraId="27C11CAE" w14:textId="77777777" w:rsidTr="004E3DDD">
        <w:trPr>
          <w:cantSplit/>
        </w:trPr>
        <w:tc>
          <w:tcPr>
            <w:tcW w:w="6521" w:type="dxa"/>
          </w:tcPr>
          <w:p w14:paraId="45D474E7" w14:textId="77777777" w:rsidR="007B4614" w:rsidRDefault="007B4614" w:rsidP="004E3DDD">
            <w:pPr>
              <w:spacing w:before="240" w:after="48"/>
              <w:rPr>
                <w:rFonts w:asciiTheme="minorHAnsi" w:hAnsiTheme="minorHAnsi"/>
                <w:b/>
                <w:position w:val="6"/>
                <w:sz w:val="30"/>
                <w:szCs w:val="30"/>
              </w:rPr>
            </w:pPr>
            <w:r w:rsidRPr="000F2E67">
              <w:rPr>
                <w:rFonts w:asciiTheme="minorHAnsi" w:hAnsiTheme="minorHAnsi"/>
                <w:b/>
                <w:position w:val="6"/>
                <w:sz w:val="30"/>
                <w:szCs w:val="30"/>
              </w:rPr>
              <w:t>Council Working Group on</w:t>
            </w:r>
            <w:r>
              <w:rPr>
                <w:rFonts w:asciiTheme="minorHAnsi" w:hAnsiTheme="minorHAnsi"/>
                <w:b/>
                <w:position w:val="6"/>
                <w:sz w:val="30"/>
                <w:szCs w:val="30"/>
              </w:rPr>
              <w:t xml:space="preserve"> the use of </w:t>
            </w:r>
            <w:r>
              <w:rPr>
                <w:rFonts w:asciiTheme="minorHAnsi" w:hAnsiTheme="minorHAnsi"/>
                <w:b/>
                <w:position w:val="6"/>
                <w:sz w:val="30"/>
                <w:szCs w:val="30"/>
              </w:rPr>
              <w:br/>
              <w:t>the six official languages of the Union</w:t>
            </w:r>
          </w:p>
          <w:p w14:paraId="029598B0" w14:textId="77777777" w:rsidR="007B4614" w:rsidRPr="00D613F6" w:rsidRDefault="007B4614" w:rsidP="004E3DDD">
            <w:pPr>
              <w:spacing w:after="120"/>
              <w:rPr>
                <w:rFonts w:asciiTheme="minorHAnsi" w:hAnsiTheme="minorHAnsi"/>
                <w:b/>
                <w:position w:val="6"/>
                <w:sz w:val="26"/>
                <w:szCs w:val="26"/>
              </w:rPr>
            </w:pPr>
            <w:r>
              <w:rPr>
                <w:rFonts w:asciiTheme="minorHAnsi" w:hAnsiTheme="minorHAnsi" w:cs="Times New Roman Bold"/>
                <w:b/>
              </w:rPr>
              <w:t>Eighth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16</w:t>
            </w:r>
            <w:r w:rsidRPr="000F2E67">
              <w:rPr>
                <w:rFonts w:asciiTheme="minorHAnsi" w:hAnsiTheme="minorHAnsi" w:cs="Times New Roman Bold"/>
                <w:b/>
              </w:rPr>
              <w:t xml:space="preserve"> </w:t>
            </w:r>
            <w:r>
              <w:rPr>
                <w:rFonts w:asciiTheme="minorHAnsi" w:hAnsiTheme="minorHAnsi" w:cs="Times New Roman Bold"/>
                <w:b/>
              </w:rPr>
              <w:t>January 2018</w:t>
            </w:r>
          </w:p>
        </w:tc>
        <w:tc>
          <w:tcPr>
            <w:tcW w:w="3793" w:type="dxa"/>
          </w:tcPr>
          <w:p w14:paraId="400F5873" w14:textId="77777777" w:rsidR="007B4614" w:rsidRPr="00D613F6" w:rsidRDefault="007B4614" w:rsidP="004E3DDD">
            <w:pPr>
              <w:spacing w:line="240" w:lineRule="atLeast"/>
            </w:pPr>
            <w:bookmarkStart w:id="0" w:name="ditulogo"/>
            <w:bookmarkEnd w:id="0"/>
            <w:r>
              <w:rPr>
                <w:noProof/>
                <w:lang w:val="en-US" w:eastAsia="zh-CN"/>
              </w:rPr>
              <w:drawing>
                <wp:inline distT="0" distB="0" distL="0" distR="0" wp14:anchorId="1B785646" wp14:editId="729269F5">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7B4614" w:rsidRPr="00617BE4" w14:paraId="662BE4E0" w14:textId="77777777" w:rsidTr="004E3DDD">
        <w:trPr>
          <w:cantSplit/>
        </w:trPr>
        <w:tc>
          <w:tcPr>
            <w:tcW w:w="6521" w:type="dxa"/>
            <w:tcBorders>
              <w:top w:val="single" w:sz="12" w:space="0" w:color="auto"/>
            </w:tcBorders>
          </w:tcPr>
          <w:p w14:paraId="36761514" w14:textId="77777777" w:rsidR="007B4614" w:rsidRPr="00D613F6" w:rsidRDefault="007B4614" w:rsidP="007B4614">
            <w:pPr>
              <w:snapToGrid w:val="0"/>
              <w:spacing w:before="0"/>
              <w:rPr>
                <w:b/>
                <w:smallCaps/>
              </w:rPr>
            </w:pPr>
          </w:p>
        </w:tc>
        <w:tc>
          <w:tcPr>
            <w:tcW w:w="3793" w:type="dxa"/>
            <w:tcBorders>
              <w:top w:val="single" w:sz="12" w:space="0" w:color="auto"/>
            </w:tcBorders>
          </w:tcPr>
          <w:p w14:paraId="6B13803F" w14:textId="77777777" w:rsidR="007B4614" w:rsidRPr="00D613F6" w:rsidRDefault="007B4614" w:rsidP="007B4614">
            <w:pPr>
              <w:snapToGrid w:val="0"/>
              <w:spacing w:before="0"/>
              <w:ind w:left="209"/>
              <w:rPr>
                <w:rFonts w:ascii="Verdana" w:hAnsi="Verdana"/>
              </w:rPr>
            </w:pPr>
          </w:p>
        </w:tc>
      </w:tr>
      <w:tr w:rsidR="007B4614" w:rsidRPr="000126D0" w14:paraId="59C0D7FF" w14:textId="77777777" w:rsidTr="004E3DDD">
        <w:trPr>
          <w:cantSplit/>
          <w:trHeight w:val="23"/>
        </w:trPr>
        <w:tc>
          <w:tcPr>
            <w:tcW w:w="6521" w:type="dxa"/>
            <w:vMerge w:val="restart"/>
          </w:tcPr>
          <w:p w14:paraId="3CF8461C" w14:textId="77777777" w:rsidR="007B4614" w:rsidRPr="00D613F6" w:rsidRDefault="007B4614" w:rsidP="007B4614">
            <w:pPr>
              <w:snapToGrid w:val="0"/>
              <w:spacing w:before="0"/>
              <w:rPr>
                <w:rFonts w:asciiTheme="minorHAnsi" w:hAnsiTheme="minorHAnsi"/>
                <w:b/>
              </w:rPr>
            </w:pPr>
            <w:bookmarkStart w:id="1" w:name="dmeeting" w:colFirst="0" w:colLast="0"/>
            <w:bookmarkStart w:id="2" w:name="dnum" w:colFirst="1" w:colLast="1"/>
          </w:p>
        </w:tc>
        <w:tc>
          <w:tcPr>
            <w:tcW w:w="3793" w:type="dxa"/>
          </w:tcPr>
          <w:p w14:paraId="1BA666C2" w14:textId="63B9FF48" w:rsidR="007B4614" w:rsidRPr="000F2E67" w:rsidRDefault="007B4614" w:rsidP="002D7662">
            <w:pPr>
              <w:snapToGrid w:val="0"/>
              <w:spacing w:before="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Lang-8</w:t>
            </w:r>
            <w:r w:rsidRPr="000F2E67">
              <w:rPr>
                <w:rFonts w:asciiTheme="minorHAnsi" w:hAnsiTheme="minorHAnsi" w:cs="Times New Roman Bold"/>
                <w:b/>
                <w:spacing w:val="-4"/>
                <w:lang w:val="de-CH"/>
              </w:rPr>
              <w:t>/</w:t>
            </w:r>
            <w:r w:rsidR="002D7662">
              <w:rPr>
                <w:rFonts w:asciiTheme="minorHAnsi" w:hAnsiTheme="minorHAnsi" w:cs="Times New Roman Bold"/>
                <w:b/>
                <w:spacing w:val="-4"/>
                <w:lang w:val="de-CH"/>
              </w:rPr>
              <w:t>2</w:t>
            </w:r>
            <w:r w:rsidRPr="000F2E67">
              <w:rPr>
                <w:rFonts w:asciiTheme="minorHAnsi" w:hAnsiTheme="minorHAnsi" w:cs="Times New Roman Bold"/>
                <w:b/>
                <w:spacing w:val="-4"/>
                <w:lang w:val="de-CH"/>
              </w:rPr>
              <w:t>-E</w:t>
            </w:r>
          </w:p>
        </w:tc>
      </w:tr>
      <w:tr w:rsidR="007B4614" w:rsidRPr="00E544AC" w14:paraId="10BCEA52" w14:textId="77777777" w:rsidTr="004E3DDD">
        <w:trPr>
          <w:cantSplit/>
          <w:trHeight w:val="23"/>
        </w:trPr>
        <w:tc>
          <w:tcPr>
            <w:tcW w:w="6521" w:type="dxa"/>
            <w:vMerge/>
          </w:tcPr>
          <w:p w14:paraId="562B4254" w14:textId="77777777" w:rsidR="007B4614" w:rsidRPr="00D613F6" w:rsidRDefault="007B4614" w:rsidP="007B4614">
            <w:pPr>
              <w:snapToGrid w:val="0"/>
              <w:spacing w:before="0"/>
              <w:rPr>
                <w:rFonts w:asciiTheme="minorHAnsi" w:hAnsiTheme="minorHAnsi"/>
                <w:b/>
                <w:lang w:val="de-CH"/>
              </w:rPr>
            </w:pPr>
            <w:bookmarkStart w:id="3" w:name="ddate" w:colFirst="1" w:colLast="1"/>
            <w:bookmarkEnd w:id="1"/>
            <w:bookmarkEnd w:id="2"/>
          </w:p>
        </w:tc>
        <w:tc>
          <w:tcPr>
            <w:tcW w:w="3793" w:type="dxa"/>
          </w:tcPr>
          <w:p w14:paraId="549C718C" w14:textId="700B8B9E" w:rsidR="007B4614" w:rsidRPr="000F2E67" w:rsidRDefault="007B4614" w:rsidP="007B4614">
            <w:pPr>
              <w:snapToGrid w:val="0"/>
              <w:spacing w:before="0"/>
              <w:ind w:left="57"/>
              <w:rPr>
                <w:rFonts w:asciiTheme="minorHAnsi" w:hAnsiTheme="minorHAnsi"/>
                <w:b/>
              </w:rPr>
            </w:pPr>
            <w:r>
              <w:rPr>
                <w:rFonts w:asciiTheme="minorHAnsi" w:hAnsiTheme="minorHAnsi"/>
                <w:b/>
              </w:rPr>
              <w:t>21 December 2017</w:t>
            </w:r>
          </w:p>
        </w:tc>
      </w:tr>
      <w:tr w:rsidR="007B4614" w:rsidRPr="00E544AC" w14:paraId="2002836B" w14:textId="77777777" w:rsidTr="004E3DDD">
        <w:trPr>
          <w:cantSplit/>
          <w:trHeight w:val="80"/>
        </w:trPr>
        <w:tc>
          <w:tcPr>
            <w:tcW w:w="6521" w:type="dxa"/>
            <w:vMerge/>
          </w:tcPr>
          <w:p w14:paraId="3A75F2D4" w14:textId="77777777" w:rsidR="007B4614" w:rsidRPr="00E544AC" w:rsidRDefault="007B4614" w:rsidP="007B4614">
            <w:pPr>
              <w:snapToGrid w:val="0"/>
              <w:spacing w:before="0"/>
              <w:rPr>
                <w:rFonts w:asciiTheme="minorHAnsi" w:hAnsiTheme="minorHAnsi"/>
                <w:b/>
              </w:rPr>
            </w:pPr>
            <w:bookmarkStart w:id="4" w:name="dorlang" w:colFirst="1" w:colLast="1"/>
            <w:bookmarkEnd w:id="3"/>
          </w:p>
        </w:tc>
        <w:tc>
          <w:tcPr>
            <w:tcW w:w="3793" w:type="dxa"/>
          </w:tcPr>
          <w:p w14:paraId="59F17AD8" w14:textId="77777777" w:rsidR="007B4614" w:rsidRPr="000F2E67" w:rsidRDefault="007B4614" w:rsidP="007B4614">
            <w:pPr>
              <w:snapToGrid w:val="0"/>
              <w:spacing w:before="0"/>
              <w:ind w:left="57"/>
              <w:rPr>
                <w:rFonts w:asciiTheme="minorHAnsi" w:hAnsiTheme="minorHAnsi"/>
                <w:b/>
              </w:rPr>
            </w:pPr>
            <w:r w:rsidRPr="000F2E67">
              <w:rPr>
                <w:rFonts w:asciiTheme="minorHAnsi" w:hAnsiTheme="minorHAnsi"/>
                <w:b/>
              </w:rPr>
              <w:t>English only</w:t>
            </w:r>
          </w:p>
        </w:tc>
      </w:tr>
    </w:tbl>
    <w:bookmarkEnd w:id="4"/>
    <w:p w14:paraId="17A9E28C" w14:textId="49C9F11C" w:rsidR="007F0840" w:rsidRPr="006016CC" w:rsidRDefault="00224D2B" w:rsidP="008B0EB9">
      <w:pPr>
        <w:spacing w:before="840"/>
        <w:jc w:val="center"/>
        <w:rPr>
          <w:rFonts w:asciiTheme="minorHAnsi" w:hAnsiTheme="minorHAnsi"/>
          <w:b/>
          <w:sz w:val="28"/>
          <w:szCs w:val="28"/>
        </w:rPr>
      </w:pPr>
      <w:r w:rsidRPr="006016CC">
        <w:rPr>
          <w:rFonts w:asciiTheme="minorHAnsi" w:hAnsiTheme="minorHAnsi"/>
          <w:b/>
          <w:sz w:val="28"/>
          <w:szCs w:val="28"/>
        </w:rPr>
        <w:t>Report by the Secretary-General</w:t>
      </w:r>
    </w:p>
    <w:p w14:paraId="6B64CB7B" w14:textId="77777777" w:rsidR="00224D2B" w:rsidRPr="006016CC" w:rsidRDefault="00ED4F5F" w:rsidP="003216FF">
      <w:pPr>
        <w:spacing w:before="240"/>
        <w:jc w:val="center"/>
        <w:rPr>
          <w:rFonts w:asciiTheme="minorHAnsi" w:hAnsiTheme="minorHAnsi"/>
          <w:sz w:val="28"/>
          <w:szCs w:val="28"/>
        </w:rPr>
      </w:pPr>
      <w:r w:rsidRPr="006016CC">
        <w:rPr>
          <w:rFonts w:asciiTheme="minorHAnsi" w:hAnsiTheme="minorHAnsi"/>
          <w:bCs/>
          <w:sz w:val="28"/>
          <w:szCs w:val="28"/>
        </w:rPr>
        <w:t xml:space="preserve">PURSUANT TO </w:t>
      </w:r>
      <w:r w:rsidR="00224D2B" w:rsidRPr="006016CC">
        <w:rPr>
          <w:rFonts w:asciiTheme="minorHAnsi" w:hAnsiTheme="minorHAnsi"/>
          <w:bCs/>
          <w:sz w:val="28"/>
          <w:szCs w:val="28"/>
        </w:rPr>
        <w:t>RESOLUTION 154 (REV. BUSAN, 2014</w:t>
      </w:r>
      <w:proofErr w:type="gramStart"/>
      <w:r w:rsidR="00224D2B" w:rsidRPr="006016CC">
        <w:rPr>
          <w:rFonts w:asciiTheme="minorHAnsi" w:hAnsiTheme="minorHAnsi"/>
          <w:bCs/>
          <w:sz w:val="28"/>
          <w:szCs w:val="28"/>
        </w:rPr>
        <w:t>)</w:t>
      </w:r>
      <w:proofErr w:type="gramEnd"/>
      <w:r w:rsidR="00CC1EB2" w:rsidRPr="006016CC">
        <w:rPr>
          <w:rFonts w:asciiTheme="minorHAnsi" w:hAnsiTheme="minorHAnsi"/>
          <w:bCs/>
          <w:sz w:val="28"/>
          <w:szCs w:val="28"/>
        </w:rPr>
        <w:br/>
      </w:r>
      <w:r w:rsidR="00CE0C9F" w:rsidRPr="006016CC">
        <w:rPr>
          <w:rFonts w:asciiTheme="minorHAnsi" w:hAnsiTheme="minorHAnsi"/>
          <w:bCs/>
          <w:sz w:val="28"/>
          <w:szCs w:val="28"/>
        </w:rPr>
        <w:t xml:space="preserve">AND </w:t>
      </w:r>
      <w:r w:rsidRPr="006016CC">
        <w:rPr>
          <w:rFonts w:asciiTheme="minorHAnsi" w:hAnsiTheme="minorHAnsi"/>
          <w:bCs/>
          <w:sz w:val="28"/>
          <w:szCs w:val="28"/>
        </w:rPr>
        <w:t>RESOLUTION 1372</w:t>
      </w:r>
    </w:p>
    <w:p w14:paraId="14DF177C" w14:textId="77777777" w:rsidR="00421A21" w:rsidRPr="006016CC" w:rsidRDefault="00C14446" w:rsidP="008B0EB9">
      <w:pPr>
        <w:spacing w:before="240"/>
        <w:jc w:val="both"/>
        <w:rPr>
          <w:rFonts w:asciiTheme="minorHAnsi" w:hAnsiTheme="minorHAnsi"/>
          <w:szCs w:val="24"/>
          <w:lang w:val="en-US"/>
        </w:rPr>
      </w:pPr>
      <w:r w:rsidRPr="006016CC">
        <w:rPr>
          <w:rFonts w:asciiTheme="minorHAnsi" w:hAnsiTheme="minorHAnsi"/>
          <w:spacing w:val="-2"/>
          <w:szCs w:val="24"/>
          <w:lang w:val="en-US"/>
        </w:rPr>
        <w:t>The present report, submitted by the Secretary-General through the good offices of the</w:t>
      </w:r>
      <w:r w:rsidRPr="006016CC">
        <w:rPr>
          <w:rFonts w:asciiTheme="minorHAnsi" w:hAnsiTheme="minorHAnsi"/>
          <w:spacing w:val="4"/>
          <w:szCs w:val="24"/>
          <w:lang w:val="en-US"/>
        </w:rPr>
        <w:t xml:space="preserve"> CWG-LANG, aims at updating the ITU Council on the implementation of Resolution 154 (Rev. Busan, 2014)</w:t>
      </w:r>
      <w:r w:rsidR="00CA0003" w:rsidRPr="006016CC">
        <w:rPr>
          <w:rFonts w:asciiTheme="minorHAnsi" w:hAnsiTheme="minorHAnsi"/>
          <w:spacing w:val="4"/>
          <w:szCs w:val="24"/>
          <w:lang w:val="en-US"/>
        </w:rPr>
        <w:t xml:space="preserve"> </w:t>
      </w:r>
      <w:r w:rsidR="005314DE" w:rsidRPr="006016CC">
        <w:rPr>
          <w:rFonts w:asciiTheme="minorHAnsi" w:hAnsiTheme="minorHAnsi"/>
          <w:spacing w:val="4"/>
          <w:szCs w:val="24"/>
          <w:lang w:val="en-US"/>
        </w:rPr>
        <w:t>regarding the use of ITU’s six official languages on an equal footing</w:t>
      </w:r>
      <w:r w:rsidR="00754CD7" w:rsidRPr="006016CC">
        <w:rPr>
          <w:rFonts w:asciiTheme="minorHAnsi" w:hAnsiTheme="minorHAnsi"/>
          <w:spacing w:val="4"/>
          <w:szCs w:val="24"/>
          <w:lang w:val="en-US"/>
        </w:rPr>
        <w:t xml:space="preserve"> </w:t>
      </w:r>
      <w:r w:rsidR="005314DE" w:rsidRPr="006016CC">
        <w:rPr>
          <w:rFonts w:asciiTheme="minorHAnsi" w:hAnsiTheme="minorHAnsi"/>
          <w:szCs w:val="24"/>
          <w:lang w:val="en-US"/>
        </w:rPr>
        <w:t xml:space="preserve">and adheres, further, to provisions in </w:t>
      </w:r>
      <w:r w:rsidR="003160B2" w:rsidRPr="006016CC">
        <w:rPr>
          <w:rFonts w:asciiTheme="minorHAnsi" w:hAnsiTheme="minorHAnsi"/>
          <w:szCs w:val="24"/>
          <w:lang w:val="en-US"/>
        </w:rPr>
        <w:t xml:space="preserve">Council </w:t>
      </w:r>
      <w:r w:rsidR="005314DE" w:rsidRPr="006016CC">
        <w:rPr>
          <w:rFonts w:asciiTheme="minorHAnsi" w:hAnsiTheme="minorHAnsi"/>
          <w:szCs w:val="24"/>
          <w:lang w:val="en-US"/>
        </w:rPr>
        <w:t>Resolution 1372</w:t>
      </w:r>
      <w:r w:rsidR="00992CA8" w:rsidRPr="006016CC">
        <w:rPr>
          <w:rFonts w:asciiTheme="minorHAnsi" w:hAnsiTheme="minorHAnsi"/>
          <w:szCs w:val="24"/>
          <w:lang w:val="en-US"/>
        </w:rPr>
        <w:t>, as revised in 2016</w:t>
      </w:r>
      <w:r w:rsidR="005314DE" w:rsidRPr="006016CC">
        <w:rPr>
          <w:rFonts w:asciiTheme="minorHAnsi" w:hAnsiTheme="minorHAnsi"/>
          <w:szCs w:val="24"/>
          <w:lang w:val="en-US"/>
        </w:rPr>
        <w:t>.</w:t>
      </w:r>
    </w:p>
    <w:p w14:paraId="4D94B5CE" w14:textId="77777777" w:rsidR="005314DE" w:rsidRPr="006016CC" w:rsidRDefault="005314DE" w:rsidP="005314DE">
      <w:pPr>
        <w:rPr>
          <w:rFonts w:asciiTheme="minorHAnsi" w:hAnsiTheme="minorHAnsi"/>
          <w:szCs w:val="24"/>
        </w:rPr>
      </w:pPr>
      <w:r w:rsidRPr="006016CC">
        <w:rPr>
          <w:rFonts w:asciiTheme="minorHAnsi" w:hAnsiTheme="minorHAnsi"/>
          <w:szCs w:val="24"/>
          <w:lang w:val="en-US"/>
        </w:rPr>
        <w:t>The Secretariat is pleased to note that steady progress continues to be made on all fronts leading to full, equitable use of ITU’s six official languages, as evidenced below:</w:t>
      </w:r>
    </w:p>
    <w:p w14:paraId="3659CC68" w14:textId="6BACC25A" w:rsidR="008B4F08" w:rsidRPr="00EA18E3" w:rsidRDefault="000431D8" w:rsidP="00EA18E3">
      <w:pPr>
        <w:pStyle w:val="ListParagraph"/>
        <w:numPr>
          <w:ilvl w:val="0"/>
          <w:numId w:val="12"/>
        </w:numPr>
        <w:snapToGrid w:val="0"/>
        <w:spacing w:before="360" w:after="240"/>
        <w:rPr>
          <w:rFonts w:asciiTheme="minorHAnsi" w:hAnsiTheme="minorHAnsi"/>
          <w:b/>
          <w:bCs/>
          <w:sz w:val="28"/>
          <w:szCs w:val="28"/>
        </w:rPr>
      </w:pPr>
      <w:r w:rsidRPr="00EA18E3">
        <w:rPr>
          <w:rFonts w:asciiTheme="minorHAnsi" w:hAnsiTheme="minorHAnsi"/>
          <w:b/>
          <w:bCs/>
          <w:sz w:val="28"/>
          <w:szCs w:val="28"/>
          <w:lang w:val="en-US"/>
        </w:rPr>
        <w:t>Evolution</w:t>
      </w:r>
      <w:r w:rsidR="00421A21" w:rsidRPr="00EA18E3">
        <w:rPr>
          <w:rFonts w:asciiTheme="minorHAnsi" w:hAnsiTheme="minorHAnsi"/>
          <w:b/>
          <w:bCs/>
          <w:sz w:val="28"/>
          <w:szCs w:val="28"/>
          <w:lang w:val="en-US"/>
        </w:rPr>
        <w:t xml:space="preserve"> of the budget for translation of documents to the six official languages of the Union since 2010</w:t>
      </w:r>
      <w:r w:rsidR="009030F6" w:rsidRPr="00EA18E3">
        <w:rPr>
          <w:rFonts w:asciiTheme="minorHAnsi" w:hAnsiTheme="minorHAnsi"/>
          <w:b/>
          <w:bCs/>
          <w:sz w:val="28"/>
          <w:szCs w:val="28"/>
          <w:lang w:val="en-US"/>
        </w:rPr>
        <w:t xml:space="preserve"> </w:t>
      </w:r>
    </w:p>
    <w:p w14:paraId="2DA2AB29" w14:textId="3B485F77" w:rsidR="006A761A" w:rsidRDefault="0054057D" w:rsidP="00CA426F">
      <w:pPr>
        <w:snapToGrid w:val="0"/>
        <w:spacing w:before="360" w:after="240"/>
        <w:rPr>
          <w:rFonts w:asciiTheme="minorHAnsi" w:hAnsiTheme="minorHAnsi"/>
          <w:szCs w:val="24"/>
        </w:rPr>
      </w:pPr>
      <w:r w:rsidRPr="0054057D">
        <w:rPr>
          <w:rFonts w:asciiTheme="minorHAnsi" w:hAnsiTheme="minorHAnsi"/>
          <w:szCs w:val="24"/>
        </w:rPr>
        <w:t xml:space="preserve">As requested by CWG-LANG, budgetary figures for translation services are submitted </w:t>
      </w:r>
      <w:r w:rsidR="00CA426F">
        <w:rPr>
          <w:rFonts w:asciiTheme="minorHAnsi" w:hAnsiTheme="minorHAnsi"/>
          <w:szCs w:val="24"/>
        </w:rPr>
        <w:t>broken down in</w:t>
      </w:r>
      <w:r w:rsidRPr="0054057D">
        <w:rPr>
          <w:rFonts w:asciiTheme="minorHAnsi" w:hAnsiTheme="minorHAnsi"/>
          <w:szCs w:val="24"/>
        </w:rPr>
        <w:t xml:space="preserve"> three items</w:t>
      </w:r>
      <w:r w:rsidR="00CA426F">
        <w:rPr>
          <w:rFonts w:asciiTheme="minorHAnsi" w:hAnsiTheme="minorHAnsi"/>
          <w:szCs w:val="24"/>
        </w:rPr>
        <w:t>:</w:t>
      </w:r>
      <w:r w:rsidRPr="0054057D">
        <w:rPr>
          <w:rFonts w:asciiTheme="minorHAnsi" w:hAnsiTheme="minorHAnsi"/>
          <w:szCs w:val="24"/>
        </w:rPr>
        <w:t xml:space="preserve"> cost of translation, cost of associated services and total cost</w:t>
      </w:r>
      <w:r w:rsidR="00CA426F">
        <w:rPr>
          <w:rFonts w:asciiTheme="minorHAnsi" w:hAnsiTheme="minorHAnsi"/>
          <w:szCs w:val="24"/>
        </w:rPr>
        <w:t>.</w:t>
      </w:r>
    </w:p>
    <w:tbl>
      <w:tblPr>
        <w:tblW w:w="9766" w:type="dxa"/>
        <w:tblInd w:w="-157" w:type="dxa"/>
        <w:tblLook w:val="04A0" w:firstRow="1" w:lastRow="0" w:firstColumn="1" w:lastColumn="0" w:noHBand="0" w:noVBand="1"/>
      </w:tblPr>
      <w:tblGrid>
        <w:gridCol w:w="1503"/>
        <w:gridCol w:w="1032"/>
        <w:gridCol w:w="1033"/>
        <w:gridCol w:w="1033"/>
        <w:gridCol w:w="1033"/>
        <w:gridCol w:w="1033"/>
        <w:gridCol w:w="1033"/>
        <w:gridCol w:w="1033"/>
        <w:gridCol w:w="1033"/>
      </w:tblGrid>
      <w:tr w:rsidR="00771751" w:rsidRPr="004F3329" w14:paraId="7FA8D8FF"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962847" w14:textId="7E13CE7A" w:rsidR="00CA426F" w:rsidRPr="00CA426F" w:rsidRDefault="00CA426F" w:rsidP="00771751">
            <w:p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cstheme="minorHAnsi"/>
                <w:b/>
                <w:bCs/>
                <w:sz w:val="16"/>
                <w:szCs w:val="16"/>
                <w:lang w:eastAsia="zh-CN"/>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1942122"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C7DA0F"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00560F2"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964E22E"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E45D660"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3E0EA6"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FC4ADD3"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4D6858" w14:textId="7777777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2017</w:t>
            </w:r>
          </w:p>
        </w:tc>
      </w:tr>
      <w:tr w:rsidR="00771751" w:rsidRPr="004F3329" w14:paraId="4478D5B5"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99B776" w14:textId="5985D39B" w:rsidR="00CA426F" w:rsidRPr="00CA426F" w:rsidRDefault="00FF5CC4" w:rsidP="00CA426F">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16"/>
                <w:szCs w:val="16"/>
                <w:lang w:eastAsia="zh-CN"/>
              </w:rPr>
            </w:pPr>
            <w:r>
              <w:rPr>
                <w:rFonts w:ascii="Calibri" w:hAnsi="Calibri" w:cs="Calibri"/>
                <w:color w:val="000000"/>
                <w:sz w:val="16"/>
                <w:szCs w:val="16"/>
                <w:lang w:eastAsia="zh-CN"/>
              </w:rPr>
              <w:t>T</w:t>
            </w:r>
            <w:r w:rsidR="00CA426F" w:rsidRPr="00CA426F">
              <w:rPr>
                <w:rFonts w:ascii="Calibri" w:hAnsi="Calibri" w:cs="Calibri"/>
                <w:color w:val="000000"/>
                <w:sz w:val="16"/>
                <w:szCs w:val="16"/>
                <w:lang w:eastAsia="zh-CN"/>
              </w:rPr>
              <w:t>ranslation</w:t>
            </w:r>
            <w:r>
              <w:rPr>
                <w:rFonts w:ascii="Calibri" w:hAnsi="Calibri" w:cs="Calibri"/>
                <w:color w:val="000000"/>
                <w:sz w:val="16"/>
                <w:szCs w:val="16"/>
                <w:lang w:eastAsia="zh-CN"/>
              </w:rPr>
              <w:t xml:space="preserve">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1FD10F" w14:textId="0A751C1D"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581</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6A3DFDA" w14:textId="196B21A4"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655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7CF78E7" w14:textId="2CB19258"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030</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D5DED10" w14:textId="6D4F9356"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188</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5C7306" w14:textId="0A305510"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860</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B5A2D2" w14:textId="474B5710"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9</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819</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3340CA9" w14:textId="35F04464"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249</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ED675FA" w14:textId="0E126231"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8</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432</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974</w:t>
            </w:r>
          </w:p>
        </w:tc>
      </w:tr>
      <w:tr w:rsidR="00771751" w:rsidRPr="004F3329" w14:paraId="006894C4"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AB4B15" w14:textId="66CE4380" w:rsidR="00CA426F" w:rsidRPr="00CA426F" w:rsidRDefault="00CA426F" w:rsidP="00D466A4">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 xml:space="preserve">Associated </w:t>
            </w:r>
            <w:r w:rsidR="00D466A4">
              <w:rPr>
                <w:rFonts w:ascii="Calibri" w:hAnsi="Calibri" w:cs="Calibri"/>
                <w:color w:val="000000"/>
                <w:sz w:val="16"/>
                <w:szCs w:val="16"/>
                <w:lang w:eastAsia="zh-CN"/>
              </w:rPr>
              <w:t>services</w:t>
            </w:r>
            <w:r w:rsidR="00FF5CC4">
              <w:rPr>
                <w:rFonts w:ascii="Calibri" w:hAnsi="Calibri" w:cs="Calibri"/>
                <w:color w:val="000000"/>
                <w:sz w:val="16"/>
                <w:szCs w:val="16"/>
                <w:lang w:eastAsia="zh-CN"/>
              </w:rPr>
              <w:t xml:space="preserve">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6C45A9" w14:textId="0985A72B"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6</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732</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CB946D9" w14:textId="1EF298F3"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6</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633</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DFE698" w14:textId="1A0E249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901</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A9E477C" w14:textId="7ACFAB9C"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545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5293A0A" w14:textId="32CEB0A8"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841</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9A44AE0" w14:textId="654C2686"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841</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D96AE2" w14:textId="76961137"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645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E65570" w14:textId="2CF2AC2C"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CA426F">
              <w:rPr>
                <w:rFonts w:ascii="Calibri" w:hAnsi="Calibri" w:cs="Calibri"/>
                <w:color w:val="000000"/>
                <w:sz w:val="16"/>
                <w:szCs w:val="16"/>
                <w:lang w:eastAsia="zh-CN"/>
              </w:rPr>
              <w:t>5</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716</w:t>
            </w:r>
            <w:r w:rsidR="004F3329" w:rsidRPr="004F3329">
              <w:rPr>
                <w:rFonts w:ascii="Calibri" w:hAnsi="Calibri" w:cs="Calibri"/>
                <w:color w:val="000000"/>
                <w:sz w:val="16"/>
                <w:szCs w:val="16"/>
                <w:lang w:eastAsia="zh-CN"/>
              </w:rPr>
              <w:t>,</w:t>
            </w:r>
            <w:r w:rsidRPr="00CA426F">
              <w:rPr>
                <w:rFonts w:ascii="Calibri" w:hAnsi="Calibri" w:cs="Calibri"/>
                <w:color w:val="000000"/>
                <w:sz w:val="16"/>
                <w:szCs w:val="16"/>
                <w:lang w:eastAsia="zh-CN"/>
              </w:rPr>
              <w:t>247</w:t>
            </w:r>
          </w:p>
        </w:tc>
      </w:tr>
      <w:tr w:rsidR="00771751" w:rsidRPr="004F3329" w14:paraId="5CB81ACC"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1FC5F8" w14:textId="34956FEC" w:rsidR="00CA426F" w:rsidRPr="00CA426F" w:rsidRDefault="00CA426F" w:rsidP="004F3329">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 xml:space="preserve">Total </w:t>
            </w:r>
            <w:r w:rsidR="004F3329" w:rsidRPr="00771751">
              <w:rPr>
                <w:rFonts w:ascii="Calibri" w:hAnsi="Calibri" w:cs="Calibri"/>
                <w:b/>
                <w:bCs/>
                <w:color w:val="000000"/>
                <w:sz w:val="16"/>
                <w:szCs w:val="16"/>
                <w:lang w:eastAsia="zh-CN"/>
              </w:rPr>
              <w:t>Translation</w:t>
            </w:r>
            <w:r w:rsidR="00FF5CC4">
              <w:rPr>
                <w:rFonts w:ascii="Calibri" w:hAnsi="Calibri" w:cs="Calibri"/>
                <w:b/>
                <w:bCs/>
                <w:color w:val="000000"/>
                <w:sz w:val="16"/>
                <w:szCs w:val="16"/>
                <w:lang w:eastAsia="zh-CN"/>
              </w:rPr>
              <w:t xml:space="preserve">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FA9FBA" w14:textId="0805FD86"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16</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314</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1CE6243" w14:textId="50E5A928"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15</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289</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9C66F3" w14:textId="680B80CF"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14</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931</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C266479" w14:textId="2DF2D989"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13</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734</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E95AE3" w14:textId="2E1EC0C5"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15</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701</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E5083B7" w14:textId="6B6062E5"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15</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660</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D9E7BD" w14:textId="1248C242"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13</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895</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F9BF2A3" w14:textId="1D6D9CEF" w:rsidR="00CA426F" w:rsidRPr="00CA426F" w:rsidRDefault="00CA426F"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CA426F">
              <w:rPr>
                <w:rFonts w:ascii="Calibri" w:hAnsi="Calibri" w:cs="Calibri"/>
                <w:b/>
                <w:bCs/>
                <w:color w:val="000000"/>
                <w:sz w:val="16"/>
                <w:szCs w:val="16"/>
                <w:lang w:eastAsia="zh-CN"/>
              </w:rPr>
              <w:t>14</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149</w:t>
            </w:r>
            <w:r w:rsidR="004F3329" w:rsidRPr="004F3329">
              <w:rPr>
                <w:rFonts w:ascii="Calibri" w:hAnsi="Calibri" w:cs="Calibri"/>
                <w:b/>
                <w:bCs/>
                <w:color w:val="000000"/>
                <w:sz w:val="16"/>
                <w:szCs w:val="16"/>
                <w:lang w:eastAsia="zh-CN"/>
              </w:rPr>
              <w:t>,</w:t>
            </w:r>
            <w:r w:rsidRPr="00CA426F">
              <w:rPr>
                <w:rFonts w:ascii="Calibri" w:hAnsi="Calibri" w:cs="Calibri"/>
                <w:b/>
                <w:bCs/>
                <w:color w:val="000000"/>
                <w:sz w:val="16"/>
                <w:szCs w:val="16"/>
                <w:lang w:eastAsia="zh-CN"/>
              </w:rPr>
              <w:t>220</w:t>
            </w:r>
          </w:p>
        </w:tc>
      </w:tr>
      <w:tr w:rsidR="00771751" w:rsidRPr="004F3329" w14:paraId="54C6EDA0"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F4FC937" w14:textId="1176D6CF" w:rsidR="006F7925" w:rsidRPr="004F3329" w:rsidRDefault="006F7925" w:rsidP="00CA426F">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Interpretation</w:t>
            </w:r>
            <w:r w:rsidR="00FF5CC4">
              <w:rPr>
                <w:rFonts w:ascii="Calibri" w:hAnsi="Calibri" w:cs="Calibri"/>
                <w:color w:val="000000"/>
                <w:sz w:val="16"/>
                <w:szCs w:val="16"/>
                <w:lang w:eastAsia="zh-CN"/>
              </w:rPr>
              <w:t xml:space="preserve">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2E6F57B" w14:textId="7AEB1035"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3,011,402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6459DC" w14:textId="33944CEC"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2,116,911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D80F2A" w14:textId="262588C2"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4,396,547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8CA6140" w14:textId="5AAFC17E"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1,943,702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701B2EB" w14:textId="43C76FC7"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3,242,056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739CAB8" w14:textId="65923F39"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3,743,931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F22DD86" w14:textId="73EE0C9B"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2,027,299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79907A4" w14:textId="7376A5F6" w:rsidR="006F7925"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 w:val="16"/>
                <w:szCs w:val="16"/>
                <w:lang w:eastAsia="zh-CN"/>
              </w:rPr>
            </w:pPr>
            <w:r w:rsidRPr="004F3329">
              <w:rPr>
                <w:rFonts w:ascii="Calibri" w:hAnsi="Calibri" w:cs="Calibri"/>
                <w:color w:val="000000"/>
                <w:sz w:val="16"/>
                <w:szCs w:val="16"/>
                <w:lang w:eastAsia="zh-CN"/>
              </w:rPr>
              <w:t>2,228,510</w:t>
            </w:r>
          </w:p>
        </w:tc>
      </w:tr>
      <w:tr w:rsidR="00771751" w:rsidRPr="004F3329" w14:paraId="161E16D6"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A6F78FA" w14:textId="16311F2A" w:rsidR="004F3329" w:rsidRPr="00771751" w:rsidRDefault="004F3329" w:rsidP="00CA426F">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sz w:val="16"/>
                <w:szCs w:val="16"/>
                <w:lang w:eastAsia="zh-CN"/>
              </w:rPr>
            </w:pPr>
            <w:r w:rsidRPr="00771751">
              <w:rPr>
                <w:rFonts w:ascii="Calibri" w:hAnsi="Calibri" w:cs="Calibri"/>
                <w:b/>
                <w:bCs/>
                <w:color w:val="000000"/>
                <w:sz w:val="16"/>
                <w:szCs w:val="16"/>
                <w:lang w:eastAsia="zh-CN"/>
              </w:rPr>
              <w:t>Total Language services</w:t>
            </w:r>
            <w:r w:rsidR="00FF5CC4">
              <w:rPr>
                <w:rFonts w:ascii="Calibri" w:hAnsi="Calibri" w:cs="Calibri"/>
                <w:b/>
                <w:bCs/>
                <w:color w:val="000000"/>
                <w:sz w:val="16"/>
                <w:szCs w:val="16"/>
                <w:lang w:eastAsia="zh-CN"/>
              </w:rPr>
              <w:t xml:space="preserve">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80F327" w14:textId="497497EC"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19,325,613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AFCDAF6" w14:textId="01AF17C4"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17,405,920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168E742" w14:textId="55099187"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19,328,528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07CB6C1" w14:textId="2FFF2CE8"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15,677,993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B7BD38C" w14:textId="47631023"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18,943,996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86F55A2" w14:textId="00C410E1"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19,404,554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2351565" w14:textId="4AED1058" w:rsidR="004F3329" w:rsidRPr="004F3329" w:rsidRDefault="004F3329"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4F3329">
              <w:rPr>
                <w:rFonts w:ascii="Calibri" w:hAnsi="Calibri" w:cs="Calibri"/>
                <w:b/>
                <w:bCs/>
                <w:color w:val="000000"/>
                <w:sz w:val="16"/>
                <w:szCs w:val="16"/>
                <w:lang w:eastAsia="zh-CN"/>
              </w:rPr>
              <w:t>15,922,795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982B31D" w14:textId="03E92024" w:rsidR="004F3329" w:rsidRPr="004F3329" w:rsidRDefault="00771751" w:rsidP="00CA426F">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771751">
              <w:rPr>
                <w:rFonts w:ascii="Calibri" w:hAnsi="Calibri" w:cs="Calibri"/>
                <w:b/>
                <w:bCs/>
                <w:color w:val="000000"/>
                <w:sz w:val="16"/>
                <w:szCs w:val="16"/>
                <w:lang w:eastAsia="zh-CN"/>
              </w:rPr>
              <w:t>16,377,730</w:t>
            </w:r>
          </w:p>
        </w:tc>
      </w:tr>
      <w:tr w:rsidR="00FF5CC4" w:rsidRPr="004F3329" w14:paraId="46DB80CD"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061202C" w14:textId="758558E2" w:rsidR="00FF5CC4" w:rsidRPr="00771751" w:rsidRDefault="00FF5CC4" w:rsidP="00FF5CC4">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sz w:val="16"/>
                <w:szCs w:val="16"/>
                <w:lang w:eastAsia="zh-CN"/>
              </w:rPr>
            </w:pPr>
            <w:r>
              <w:rPr>
                <w:rFonts w:ascii="Calibri" w:hAnsi="Calibri" w:cs="Calibri"/>
                <w:b/>
                <w:bCs/>
                <w:color w:val="000000"/>
                <w:sz w:val="16"/>
                <w:szCs w:val="16"/>
                <w:lang w:eastAsia="zh-CN"/>
              </w:rPr>
              <w:t>Actual spending</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1C2B39" w14:textId="31C28EC7"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17,281,464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B311A2" w14:textId="0FEC4402"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16,831,837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B84B37" w14:textId="75F9C0CA"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18,203,894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2A753D" w14:textId="0965EAD7"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13,778,584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E09387" w14:textId="25EEEB7C"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16,110,043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688913D" w14:textId="59CCC26C"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16,474,229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03899EB" w14:textId="1F4B82ED"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13,749,273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758E28" w14:textId="2EEA81D6" w:rsidR="00FF5CC4" w:rsidRPr="00771751"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 13,750,291 </w:t>
            </w:r>
          </w:p>
        </w:tc>
      </w:tr>
      <w:tr w:rsidR="00FF5CC4" w:rsidRPr="004F3329" w14:paraId="2FB597E1" w14:textId="77777777" w:rsidTr="00FF5CC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3CB0FB" w14:textId="17AFD303" w:rsidR="00FF5CC4" w:rsidRPr="00771751" w:rsidRDefault="00FF5CC4" w:rsidP="00FF5CC4">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sz w:val="16"/>
                <w:szCs w:val="16"/>
                <w:lang w:eastAsia="zh-CN"/>
              </w:rPr>
            </w:pPr>
            <w:r>
              <w:rPr>
                <w:rFonts w:ascii="Calibri" w:hAnsi="Calibri" w:cs="Calibri"/>
                <w:b/>
                <w:bCs/>
                <w:color w:val="000000"/>
                <w:sz w:val="16"/>
                <w:szCs w:val="16"/>
                <w:lang w:eastAsia="zh-CN"/>
              </w:rPr>
              <w:t>Savings</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5E41B6" w14:textId="3A8FDFEF"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2,044,149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0BA341" w14:textId="3C8E940A"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574,083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982E108" w14:textId="44D210A9"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1,124,634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FFE9BD" w14:textId="49D5F2BE"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1,899,409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0B6DED6" w14:textId="2FCE4A93"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2,833,953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8F9626" w14:textId="180FC44B"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2,930,325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802AEA" w14:textId="2FEA3163" w:rsidR="00FF5CC4" w:rsidRPr="004F3329"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2,173,522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FB1732" w14:textId="46756906" w:rsidR="00FF5CC4" w:rsidRPr="00771751" w:rsidRDefault="00FF5CC4" w:rsidP="00FF5CC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color w:val="000000"/>
                <w:sz w:val="16"/>
                <w:szCs w:val="16"/>
                <w:lang w:eastAsia="zh-CN"/>
              </w:rPr>
            </w:pPr>
            <w:r w:rsidRPr="00FF5CC4">
              <w:rPr>
                <w:rFonts w:ascii="Calibri" w:hAnsi="Calibri" w:cs="Calibri"/>
                <w:b/>
                <w:bCs/>
                <w:color w:val="000000"/>
                <w:sz w:val="16"/>
                <w:szCs w:val="16"/>
                <w:lang w:eastAsia="zh-CN"/>
              </w:rPr>
              <w:t xml:space="preserve">2,627,439 </w:t>
            </w:r>
          </w:p>
        </w:tc>
      </w:tr>
    </w:tbl>
    <w:p w14:paraId="6E9FB25E" w14:textId="6F3A7428" w:rsidR="00E60E60" w:rsidRDefault="006016CC" w:rsidP="00700238">
      <w:pPr>
        <w:spacing w:before="360" w:after="120"/>
        <w:jc w:val="both"/>
        <w:rPr>
          <w:rFonts w:asciiTheme="minorHAnsi" w:hAnsiTheme="minorHAnsi"/>
          <w:szCs w:val="24"/>
        </w:rPr>
      </w:pPr>
      <w:r w:rsidRPr="006016CC">
        <w:rPr>
          <w:rFonts w:asciiTheme="minorHAnsi" w:hAnsiTheme="minorHAnsi"/>
          <w:szCs w:val="24"/>
        </w:rPr>
        <w:t>Translation volumes continue to reflect full equality of treatment of all 6 ITU official languages. Translation output figures between 1 January 201</w:t>
      </w:r>
      <w:r w:rsidR="00765E7A">
        <w:rPr>
          <w:rFonts w:asciiTheme="minorHAnsi" w:hAnsiTheme="minorHAnsi"/>
          <w:szCs w:val="24"/>
        </w:rPr>
        <w:t>7</w:t>
      </w:r>
      <w:r w:rsidRPr="006016CC">
        <w:rPr>
          <w:rFonts w:asciiTheme="minorHAnsi" w:hAnsiTheme="minorHAnsi"/>
          <w:szCs w:val="24"/>
        </w:rPr>
        <w:t xml:space="preserve"> and 30 </w:t>
      </w:r>
      <w:r w:rsidR="00700238">
        <w:rPr>
          <w:rFonts w:asciiTheme="minorHAnsi" w:hAnsiTheme="minorHAnsi"/>
          <w:szCs w:val="24"/>
        </w:rPr>
        <w:t>October</w:t>
      </w:r>
      <w:r w:rsidRPr="006016CC">
        <w:rPr>
          <w:rFonts w:asciiTheme="minorHAnsi" w:hAnsiTheme="minorHAnsi"/>
          <w:szCs w:val="24"/>
        </w:rPr>
        <w:t xml:space="preserve"> 201</w:t>
      </w:r>
      <w:r w:rsidR="00765E7A">
        <w:rPr>
          <w:rFonts w:asciiTheme="minorHAnsi" w:hAnsiTheme="minorHAnsi"/>
          <w:szCs w:val="24"/>
        </w:rPr>
        <w:t>7</w:t>
      </w:r>
      <w:r w:rsidRPr="006016CC">
        <w:rPr>
          <w:rFonts w:asciiTheme="minorHAnsi" w:hAnsiTheme="minorHAnsi"/>
          <w:szCs w:val="24"/>
        </w:rPr>
        <w:t xml:space="preserve"> are as follows</w:t>
      </w:r>
      <w:r w:rsidR="00C3310D">
        <w:rPr>
          <w:rFonts w:asciiTheme="minorHAnsi" w:hAnsiTheme="minorHAnsi"/>
          <w:szCs w:val="24"/>
        </w:rPr>
        <w:t xml:space="preserve"> </w:t>
      </w:r>
    </w:p>
    <w:tbl>
      <w:tblPr>
        <w:tblpPr w:leftFromText="180" w:rightFromText="180" w:vertAnchor="text" w:horzAnchor="margin" w:tblpY="-21"/>
        <w:tblW w:w="8923" w:type="dxa"/>
        <w:tblCellMar>
          <w:left w:w="0" w:type="dxa"/>
          <w:right w:w="0" w:type="dxa"/>
        </w:tblCellMar>
        <w:tblLook w:val="04A0" w:firstRow="1" w:lastRow="0" w:firstColumn="1" w:lastColumn="0" w:noHBand="0" w:noVBand="1"/>
      </w:tblPr>
      <w:tblGrid>
        <w:gridCol w:w="2526"/>
        <w:gridCol w:w="837"/>
        <w:gridCol w:w="984"/>
        <w:gridCol w:w="903"/>
        <w:gridCol w:w="884"/>
        <w:gridCol w:w="957"/>
        <w:gridCol w:w="969"/>
        <w:gridCol w:w="863"/>
      </w:tblGrid>
      <w:tr w:rsidR="006016CC" w:rsidRPr="006016CC" w14:paraId="6111C588" w14:textId="77777777" w:rsidTr="006016CC">
        <w:trPr>
          <w:trHeight w:val="282"/>
        </w:trPr>
        <w:tc>
          <w:tcPr>
            <w:tcW w:w="2526" w:type="dxa"/>
            <w:noWrap/>
            <w:tcMar>
              <w:top w:w="0" w:type="dxa"/>
              <w:left w:w="108" w:type="dxa"/>
              <w:bottom w:w="0" w:type="dxa"/>
              <w:right w:w="108" w:type="dxa"/>
            </w:tcMar>
            <w:vAlign w:val="bottom"/>
            <w:hideMark/>
          </w:tcPr>
          <w:p w14:paraId="7F8AA11A" w14:textId="77777777" w:rsidR="006016CC" w:rsidRPr="006016CC" w:rsidRDefault="006016CC" w:rsidP="008A3702">
            <w:pPr>
              <w:keepNext/>
              <w:jc w:val="center"/>
              <w:rPr>
                <w:rFonts w:asciiTheme="minorHAnsi" w:hAnsiTheme="minorHAnsi"/>
                <w:szCs w:val="24"/>
              </w:rPr>
            </w:pPr>
          </w:p>
        </w:tc>
        <w:tc>
          <w:tcPr>
            <w:tcW w:w="837" w:type="dxa"/>
            <w:tcBorders>
              <w:top w:val="nil"/>
              <w:left w:val="nil"/>
              <w:bottom w:val="single" w:sz="8" w:space="0" w:color="auto"/>
              <w:right w:val="nil"/>
            </w:tcBorders>
            <w:noWrap/>
            <w:tcMar>
              <w:top w:w="0" w:type="dxa"/>
              <w:left w:w="108" w:type="dxa"/>
              <w:bottom w:w="0" w:type="dxa"/>
              <w:right w:w="108" w:type="dxa"/>
            </w:tcMar>
            <w:vAlign w:val="bottom"/>
            <w:hideMark/>
          </w:tcPr>
          <w:p w14:paraId="04536473"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84" w:type="dxa"/>
            <w:tcBorders>
              <w:top w:val="nil"/>
              <w:left w:val="nil"/>
              <w:bottom w:val="single" w:sz="8" w:space="0" w:color="auto"/>
              <w:right w:val="nil"/>
            </w:tcBorders>
            <w:noWrap/>
            <w:tcMar>
              <w:top w:w="0" w:type="dxa"/>
              <w:left w:w="108" w:type="dxa"/>
              <w:bottom w:w="0" w:type="dxa"/>
              <w:right w:w="108" w:type="dxa"/>
            </w:tcMar>
            <w:vAlign w:val="bottom"/>
            <w:hideMark/>
          </w:tcPr>
          <w:p w14:paraId="0E4148F3"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03" w:type="dxa"/>
            <w:tcBorders>
              <w:top w:val="nil"/>
              <w:left w:val="nil"/>
              <w:bottom w:val="single" w:sz="8" w:space="0" w:color="auto"/>
              <w:right w:val="nil"/>
            </w:tcBorders>
            <w:noWrap/>
            <w:tcMar>
              <w:top w:w="0" w:type="dxa"/>
              <w:left w:w="108" w:type="dxa"/>
              <w:bottom w:w="0" w:type="dxa"/>
              <w:right w:w="108" w:type="dxa"/>
            </w:tcMar>
            <w:vAlign w:val="bottom"/>
            <w:hideMark/>
          </w:tcPr>
          <w:p w14:paraId="79985C74"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884" w:type="dxa"/>
            <w:tcBorders>
              <w:top w:val="nil"/>
              <w:left w:val="nil"/>
              <w:bottom w:val="single" w:sz="8" w:space="0" w:color="auto"/>
              <w:right w:val="nil"/>
            </w:tcBorders>
            <w:noWrap/>
            <w:tcMar>
              <w:top w:w="0" w:type="dxa"/>
              <w:left w:w="108" w:type="dxa"/>
              <w:bottom w:w="0" w:type="dxa"/>
              <w:right w:w="108" w:type="dxa"/>
            </w:tcMar>
            <w:vAlign w:val="bottom"/>
            <w:hideMark/>
          </w:tcPr>
          <w:p w14:paraId="651FC799"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57" w:type="dxa"/>
            <w:tcBorders>
              <w:top w:val="nil"/>
              <w:left w:val="nil"/>
              <w:bottom w:val="single" w:sz="8" w:space="0" w:color="auto"/>
              <w:right w:val="nil"/>
            </w:tcBorders>
            <w:noWrap/>
            <w:tcMar>
              <w:top w:w="0" w:type="dxa"/>
              <w:left w:w="108" w:type="dxa"/>
              <w:bottom w:w="0" w:type="dxa"/>
              <w:right w:w="108" w:type="dxa"/>
            </w:tcMar>
            <w:vAlign w:val="bottom"/>
            <w:hideMark/>
          </w:tcPr>
          <w:p w14:paraId="0F39235C"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969" w:type="dxa"/>
            <w:tcBorders>
              <w:top w:val="nil"/>
              <w:left w:val="nil"/>
              <w:bottom w:val="single" w:sz="8" w:space="0" w:color="auto"/>
              <w:right w:val="nil"/>
            </w:tcBorders>
            <w:noWrap/>
            <w:tcMar>
              <w:top w:w="0" w:type="dxa"/>
              <w:left w:w="108" w:type="dxa"/>
              <w:bottom w:w="0" w:type="dxa"/>
              <w:right w:w="108" w:type="dxa"/>
            </w:tcMar>
            <w:vAlign w:val="bottom"/>
            <w:hideMark/>
          </w:tcPr>
          <w:p w14:paraId="1E0E2DAE"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c>
          <w:tcPr>
            <w:tcW w:w="863" w:type="dxa"/>
            <w:tcBorders>
              <w:top w:val="nil"/>
              <w:left w:val="nil"/>
              <w:bottom w:val="single" w:sz="8" w:space="0" w:color="auto"/>
              <w:right w:val="nil"/>
            </w:tcBorders>
            <w:noWrap/>
            <w:tcMar>
              <w:top w:w="0" w:type="dxa"/>
              <w:left w:w="108" w:type="dxa"/>
              <w:bottom w:w="0" w:type="dxa"/>
              <w:right w:w="108" w:type="dxa"/>
            </w:tcMar>
            <w:vAlign w:val="bottom"/>
            <w:hideMark/>
          </w:tcPr>
          <w:p w14:paraId="20FB3AF6" w14:textId="77777777" w:rsidR="006016CC" w:rsidRPr="006016CC" w:rsidRDefault="006016CC" w:rsidP="008A3702">
            <w:pPr>
              <w:keepNext/>
              <w:overflowPunct/>
              <w:autoSpaceDE/>
              <w:autoSpaceDN/>
              <w:spacing w:before="0"/>
              <w:jc w:val="center"/>
              <w:rPr>
                <w:rFonts w:asciiTheme="minorHAnsi" w:hAnsiTheme="minorHAnsi"/>
                <w:szCs w:val="24"/>
                <w:lang w:eastAsia="zh-CN"/>
              </w:rPr>
            </w:pPr>
          </w:p>
        </w:tc>
      </w:tr>
      <w:tr w:rsidR="006016CC" w:rsidRPr="006016CC" w14:paraId="72DC249C" w14:textId="77777777" w:rsidTr="006016CC">
        <w:trPr>
          <w:trHeight w:val="210"/>
        </w:trPr>
        <w:tc>
          <w:tcPr>
            <w:tcW w:w="25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D3EE44" w14:textId="32ACADF9" w:rsidR="006016CC" w:rsidRPr="006016CC" w:rsidRDefault="006016CC" w:rsidP="008A3702">
            <w:pPr>
              <w:keepNext/>
              <w:overflowPunct/>
              <w:autoSpaceDE/>
              <w:spacing w:before="0"/>
              <w:jc w:val="center"/>
              <w:rPr>
                <w:rFonts w:asciiTheme="minorHAnsi" w:eastAsiaTheme="minorEastAsia" w:hAnsiTheme="minorHAnsi"/>
                <w:b/>
                <w:bCs/>
                <w:szCs w:val="24"/>
                <w:lang w:eastAsia="zh-CN"/>
              </w:rPr>
            </w:pPr>
          </w:p>
        </w:tc>
        <w:tc>
          <w:tcPr>
            <w:tcW w:w="83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3A6863D8"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Arabic</w:t>
            </w:r>
          </w:p>
        </w:tc>
        <w:tc>
          <w:tcPr>
            <w:tcW w:w="9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51CB37B4"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Chinese</w:t>
            </w:r>
          </w:p>
        </w:tc>
        <w:tc>
          <w:tcPr>
            <w:tcW w:w="90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C24C3E3"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English</w:t>
            </w:r>
          </w:p>
        </w:tc>
        <w:tc>
          <w:tcPr>
            <w:tcW w:w="8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97BD0F4"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French</w:t>
            </w:r>
          </w:p>
        </w:tc>
        <w:tc>
          <w:tcPr>
            <w:tcW w:w="95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0E0BF34A"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Russian</w:t>
            </w:r>
          </w:p>
        </w:tc>
        <w:tc>
          <w:tcPr>
            <w:tcW w:w="969"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B811EC4" w14:textId="77777777" w:rsidR="006016CC" w:rsidRPr="006016CC" w:rsidRDefault="006016CC" w:rsidP="008A3702">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Spanish</w:t>
            </w:r>
          </w:p>
        </w:tc>
        <w:tc>
          <w:tcPr>
            <w:tcW w:w="86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38650F2" w14:textId="77777777" w:rsidR="006016CC" w:rsidRPr="006016CC" w:rsidRDefault="006016CC" w:rsidP="008A3702">
            <w:pPr>
              <w:keepNext/>
              <w:overflowPunct/>
              <w:autoSpaceDE/>
              <w:spacing w:before="0"/>
              <w:jc w:val="center"/>
              <w:rPr>
                <w:rFonts w:asciiTheme="minorHAnsi" w:hAnsiTheme="minorHAnsi"/>
                <w:b/>
                <w:bCs/>
                <w:szCs w:val="24"/>
                <w:lang w:eastAsia="zh-CN"/>
              </w:rPr>
            </w:pPr>
            <w:r w:rsidRPr="006016CC">
              <w:rPr>
                <w:rFonts w:asciiTheme="minorHAnsi" w:hAnsiTheme="minorHAnsi"/>
                <w:b/>
                <w:bCs/>
                <w:szCs w:val="24"/>
                <w:lang w:eastAsia="zh-CN"/>
              </w:rPr>
              <w:t>TOTAL</w:t>
            </w:r>
          </w:p>
        </w:tc>
      </w:tr>
      <w:tr w:rsidR="00615DF3" w:rsidRPr="006016CC" w14:paraId="4791C965" w14:textId="77777777" w:rsidTr="00BB0DA6">
        <w:trPr>
          <w:trHeight w:val="240"/>
        </w:trPr>
        <w:tc>
          <w:tcPr>
            <w:tcW w:w="252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2756691" w14:textId="79F701D4" w:rsidR="00615DF3" w:rsidRPr="006E7C2B" w:rsidRDefault="00EC052E" w:rsidP="008A3702">
            <w:pPr>
              <w:keepNext/>
              <w:overflowPunct/>
              <w:autoSpaceDE/>
              <w:spacing w:before="0"/>
              <w:jc w:val="center"/>
              <w:rPr>
                <w:rFonts w:asciiTheme="minorHAnsi" w:hAnsiTheme="minorHAnsi"/>
                <w:szCs w:val="24"/>
                <w:lang w:eastAsia="zh-CN"/>
              </w:rPr>
            </w:pPr>
            <w:r w:rsidRPr="006E7C2B">
              <w:rPr>
                <w:rFonts w:asciiTheme="minorHAnsi" w:hAnsiTheme="minorHAnsi"/>
                <w:szCs w:val="24"/>
                <w:lang w:eastAsia="zh-CN"/>
              </w:rPr>
              <w:t>Output translation</w:t>
            </w:r>
          </w:p>
        </w:tc>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EC7FBF" w14:textId="7EDDC966" w:rsidR="00615DF3" w:rsidRPr="006E7C2B" w:rsidRDefault="00615DF3" w:rsidP="008A3702">
            <w:pPr>
              <w:keepNext/>
              <w:overflowPunct/>
              <w:autoSpaceDE/>
              <w:spacing w:before="0"/>
              <w:jc w:val="center"/>
              <w:rPr>
                <w:rFonts w:asciiTheme="minorHAnsi" w:hAnsiTheme="minorHAnsi" w:cstheme="minorHAnsi"/>
                <w:szCs w:val="24"/>
                <w:lang w:eastAsia="zh-CN"/>
              </w:rPr>
            </w:pPr>
            <w:r w:rsidRPr="006E7C2B">
              <w:rPr>
                <w:rFonts w:asciiTheme="minorHAnsi" w:hAnsiTheme="minorHAnsi" w:cstheme="minorHAnsi"/>
              </w:rPr>
              <w:t>6543</w:t>
            </w:r>
          </w:p>
        </w:tc>
        <w:tc>
          <w:tcPr>
            <w:tcW w:w="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7EDAFA2" w14:textId="783C65D3" w:rsidR="00615DF3" w:rsidRPr="006E7C2B" w:rsidRDefault="00615DF3" w:rsidP="008A3702">
            <w:pPr>
              <w:keepNext/>
              <w:overflowPunct/>
              <w:autoSpaceDE/>
              <w:spacing w:before="0"/>
              <w:jc w:val="center"/>
              <w:rPr>
                <w:rFonts w:asciiTheme="minorHAnsi" w:hAnsiTheme="minorHAnsi" w:cstheme="minorHAnsi"/>
                <w:szCs w:val="24"/>
                <w:lang w:eastAsia="zh-CN"/>
              </w:rPr>
            </w:pPr>
            <w:r w:rsidRPr="006E7C2B">
              <w:rPr>
                <w:rFonts w:asciiTheme="minorHAnsi" w:hAnsiTheme="minorHAnsi" w:cstheme="minorHAnsi"/>
              </w:rPr>
              <w:t>6595</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14:paraId="0477C454" w14:textId="73B66C29" w:rsidR="00615DF3" w:rsidRPr="006E7C2B" w:rsidRDefault="00615DF3" w:rsidP="008A3702">
            <w:pPr>
              <w:keepNext/>
              <w:overflowPunct/>
              <w:autoSpaceDE/>
              <w:spacing w:before="0"/>
              <w:jc w:val="center"/>
              <w:rPr>
                <w:rFonts w:asciiTheme="minorHAnsi" w:hAnsiTheme="minorHAnsi" w:cstheme="minorHAnsi"/>
                <w:szCs w:val="24"/>
                <w:lang w:eastAsia="zh-CN"/>
              </w:rPr>
            </w:pPr>
            <w:r w:rsidRPr="006E7C2B">
              <w:rPr>
                <w:rFonts w:asciiTheme="minorHAnsi" w:hAnsiTheme="minorHAnsi" w:cstheme="minorHAnsi"/>
              </w:rPr>
              <w:t>1603</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hideMark/>
          </w:tcPr>
          <w:p w14:paraId="01B38244" w14:textId="63B376D3" w:rsidR="00615DF3" w:rsidRPr="006E7C2B" w:rsidRDefault="00615DF3" w:rsidP="008A3702">
            <w:pPr>
              <w:keepNext/>
              <w:overflowPunct/>
              <w:autoSpaceDE/>
              <w:spacing w:before="0"/>
              <w:jc w:val="center"/>
              <w:rPr>
                <w:rFonts w:asciiTheme="minorHAnsi" w:hAnsiTheme="minorHAnsi" w:cstheme="minorHAnsi"/>
                <w:szCs w:val="24"/>
                <w:lang w:eastAsia="zh-CN"/>
              </w:rPr>
            </w:pPr>
            <w:r w:rsidRPr="006E7C2B">
              <w:rPr>
                <w:rFonts w:asciiTheme="minorHAnsi" w:hAnsiTheme="minorHAnsi" w:cstheme="minorHAnsi"/>
              </w:rPr>
              <w:t>6494</w:t>
            </w:r>
          </w:p>
        </w:tc>
        <w:tc>
          <w:tcPr>
            <w:tcW w:w="957" w:type="dxa"/>
            <w:tcBorders>
              <w:top w:val="nil"/>
              <w:left w:val="nil"/>
              <w:bottom w:val="single" w:sz="8" w:space="0" w:color="auto"/>
              <w:right w:val="single" w:sz="8" w:space="0" w:color="auto"/>
            </w:tcBorders>
            <w:noWrap/>
            <w:tcMar>
              <w:top w:w="0" w:type="dxa"/>
              <w:left w:w="108" w:type="dxa"/>
              <w:bottom w:w="0" w:type="dxa"/>
              <w:right w:w="108" w:type="dxa"/>
            </w:tcMar>
            <w:hideMark/>
          </w:tcPr>
          <w:p w14:paraId="5E992392" w14:textId="6880DEE0" w:rsidR="00615DF3" w:rsidRPr="006E7C2B" w:rsidRDefault="00615DF3" w:rsidP="008A3702">
            <w:pPr>
              <w:keepNext/>
              <w:overflowPunct/>
              <w:autoSpaceDE/>
              <w:spacing w:before="0"/>
              <w:jc w:val="center"/>
              <w:rPr>
                <w:rFonts w:asciiTheme="minorHAnsi" w:hAnsiTheme="minorHAnsi" w:cstheme="minorHAnsi"/>
                <w:szCs w:val="24"/>
                <w:lang w:eastAsia="zh-CN"/>
              </w:rPr>
            </w:pPr>
            <w:r w:rsidRPr="006E7C2B">
              <w:rPr>
                <w:rFonts w:asciiTheme="minorHAnsi" w:hAnsiTheme="minorHAnsi" w:cstheme="minorHAnsi"/>
              </w:rPr>
              <w:t>6393</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hideMark/>
          </w:tcPr>
          <w:p w14:paraId="33F69313" w14:textId="3796BB37" w:rsidR="00615DF3" w:rsidRPr="006E7C2B" w:rsidRDefault="00615DF3" w:rsidP="008A3702">
            <w:pPr>
              <w:keepNext/>
              <w:overflowPunct/>
              <w:autoSpaceDE/>
              <w:spacing w:before="0"/>
              <w:jc w:val="center"/>
              <w:rPr>
                <w:rFonts w:asciiTheme="minorHAnsi" w:hAnsiTheme="minorHAnsi" w:cstheme="minorHAnsi"/>
                <w:szCs w:val="24"/>
                <w:lang w:eastAsia="zh-CN"/>
              </w:rPr>
            </w:pPr>
            <w:r w:rsidRPr="006E7C2B">
              <w:rPr>
                <w:rFonts w:asciiTheme="minorHAnsi" w:hAnsiTheme="minorHAnsi" w:cstheme="minorHAnsi"/>
              </w:rPr>
              <w:t>6654</w:t>
            </w:r>
          </w:p>
        </w:tc>
        <w:tc>
          <w:tcPr>
            <w:tcW w:w="863" w:type="dxa"/>
            <w:tcBorders>
              <w:top w:val="nil"/>
              <w:left w:val="nil"/>
              <w:bottom w:val="single" w:sz="8" w:space="0" w:color="auto"/>
              <w:right w:val="single" w:sz="8" w:space="0" w:color="auto"/>
            </w:tcBorders>
            <w:noWrap/>
            <w:tcMar>
              <w:top w:w="0" w:type="dxa"/>
              <w:left w:w="108" w:type="dxa"/>
              <w:bottom w:w="0" w:type="dxa"/>
              <w:right w:w="108" w:type="dxa"/>
            </w:tcMar>
            <w:hideMark/>
          </w:tcPr>
          <w:p w14:paraId="15751420" w14:textId="038B1047" w:rsidR="00615DF3" w:rsidRPr="006E7C2B" w:rsidRDefault="00615DF3" w:rsidP="008A3702">
            <w:pPr>
              <w:keepNext/>
              <w:overflowPunct/>
              <w:autoSpaceDE/>
              <w:spacing w:before="0"/>
              <w:jc w:val="center"/>
              <w:rPr>
                <w:rFonts w:asciiTheme="minorHAnsi" w:hAnsiTheme="minorHAnsi" w:cstheme="minorHAnsi"/>
                <w:b/>
                <w:bCs/>
                <w:szCs w:val="24"/>
                <w:lang w:eastAsia="zh-CN"/>
              </w:rPr>
            </w:pPr>
            <w:r w:rsidRPr="006E7C2B">
              <w:rPr>
                <w:rFonts w:asciiTheme="minorHAnsi" w:hAnsiTheme="minorHAnsi" w:cstheme="minorHAnsi"/>
                <w:b/>
                <w:bCs/>
              </w:rPr>
              <w:t>34282</w:t>
            </w:r>
          </w:p>
        </w:tc>
      </w:tr>
    </w:tbl>
    <w:p w14:paraId="3EE80341" w14:textId="77777777" w:rsidR="006016CC" w:rsidRDefault="006016CC" w:rsidP="008A3702">
      <w:pPr>
        <w:spacing w:before="0" w:after="240"/>
        <w:jc w:val="center"/>
        <w:rPr>
          <w:rFonts w:asciiTheme="minorHAnsi" w:hAnsiTheme="minorHAnsi"/>
          <w:szCs w:val="24"/>
        </w:rPr>
      </w:pPr>
    </w:p>
    <w:p w14:paraId="65D1AD1A" w14:textId="77777777" w:rsidR="006016CC" w:rsidRPr="006016CC" w:rsidRDefault="006016CC" w:rsidP="008A3702">
      <w:pPr>
        <w:spacing w:before="0" w:after="240"/>
        <w:rPr>
          <w:rFonts w:asciiTheme="minorHAnsi" w:hAnsiTheme="minorHAnsi"/>
          <w:szCs w:val="24"/>
        </w:rPr>
      </w:pPr>
    </w:p>
    <w:p w14:paraId="37EAAC24" w14:textId="77777777" w:rsidR="00144EB6" w:rsidRPr="006016CC" w:rsidRDefault="00144EB6" w:rsidP="00553A09"/>
    <w:p w14:paraId="21CEA038" w14:textId="27424805" w:rsidR="00421A21" w:rsidRPr="008A3702" w:rsidRDefault="00144EB6" w:rsidP="00FF5CC4">
      <w:pPr>
        <w:tabs>
          <w:tab w:val="clear" w:pos="794"/>
          <w:tab w:val="clear" w:pos="1191"/>
          <w:tab w:val="clear" w:pos="1588"/>
          <w:tab w:val="clear" w:pos="1985"/>
        </w:tabs>
        <w:overflowPunct/>
        <w:autoSpaceDE/>
        <w:adjustRightInd/>
        <w:spacing w:before="240" w:after="120" w:line="252" w:lineRule="auto"/>
        <w:textAlignment w:val="auto"/>
        <w:rPr>
          <w:rFonts w:asciiTheme="minorHAnsi" w:hAnsiTheme="minorHAnsi"/>
          <w:szCs w:val="24"/>
        </w:rPr>
      </w:pPr>
      <w:r w:rsidRPr="00E975A1">
        <w:rPr>
          <w:rFonts w:asciiTheme="minorHAnsi" w:hAnsiTheme="minorHAnsi"/>
          <w:szCs w:val="24"/>
        </w:rPr>
        <w:lastRenderedPageBreak/>
        <w:t xml:space="preserve">On average, </w:t>
      </w:r>
      <w:r w:rsidR="00EC052E" w:rsidRPr="00E975A1">
        <w:rPr>
          <w:rFonts w:asciiTheme="minorHAnsi" w:hAnsiTheme="minorHAnsi"/>
          <w:szCs w:val="24"/>
        </w:rPr>
        <w:t>more than</w:t>
      </w:r>
      <w:r w:rsidRPr="00E975A1">
        <w:rPr>
          <w:rFonts w:asciiTheme="minorHAnsi" w:hAnsiTheme="minorHAnsi"/>
          <w:szCs w:val="24"/>
        </w:rPr>
        <w:t xml:space="preserve"> </w:t>
      </w:r>
      <w:r w:rsidR="00EC052E" w:rsidRPr="00E975A1">
        <w:rPr>
          <w:rFonts w:asciiTheme="minorHAnsi" w:hAnsiTheme="minorHAnsi"/>
          <w:b/>
          <w:bCs/>
          <w:szCs w:val="24"/>
        </w:rPr>
        <w:t>26</w:t>
      </w:r>
      <w:r w:rsidRPr="00E975A1">
        <w:rPr>
          <w:rFonts w:asciiTheme="minorHAnsi" w:hAnsiTheme="minorHAnsi"/>
          <w:b/>
          <w:bCs/>
          <w:szCs w:val="24"/>
        </w:rPr>
        <w:t>%</w:t>
      </w:r>
      <w:r w:rsidRPr="00E975A1">
        <w:rPr>
          <w:rFonts w:asciiTheme="minorHAnsi" w:hAnsiTheme="minorHAnsi"/>
          <w:szCs w:val="24"/>
        </w:rPr>
        <w:t xml:space="preserve"> of the work was outsourced. </w:t>
      </w:r>
      <w:r w:rsidR="00FF5CC4">
        <w:rPr>
          <w:rFonts w:asciiTheme="minorHAnsi" w:hAnsiTheme="minorHAnsi"/>
          <w:szCs w:val="24"/>
        </w:rPr>
        <w:t>Language services</w:t>
      </w:r>
      <w:r w:rsidR="00905846" w:rsidRPr="008A3702">
        <w:rPr>
          <w:rFonts w:asciiTheme="minorHAnsi" w:hAnsiTheme="minorHAnsi"/>
          <w:szCs w:val="24"/>
        </w:rPr>
        <w:t xml:space="preserve"> operations continue to show consistent savings, with actual disbursements revealing savings of as much as </w:t>
      </w:r>
      <w:r w:rsidR="00481DBC" w:rsidRPr="008A3702">
        <w:rPr>
          <w:rFonts w:asciiTheme="minorHAnsi" w:hAnsiTheme="minorHAnsi"/>
          <w:b/>
          <w:bCs/>
          <w:szCs w:val="24"/>
        </w:rPr>
        <w:t>1</w:t>
      </w:r>
      <w:r w:rsidR="00BB2987" w:rsidRPr="008A3702">
        <w:rPr>
          <w:rFonts w:asciiTheme="minorHAnsi" w:hAnsiTheme="minorHAnsi"/>
          <w:b/>
          <w:bCs/>
          <w:szCs w:val="24"/>
        </w:rPr>
        <w:t>6</w:t>
      </w:r>
      <w:r w:rsidR="003216FF" w:rsidRPr="008A3702">
        <w:rPr>
          <w:rFonts w:asciiTheme="minorHAnsi" w:hAnsiTheme="minorHAnsi"/>
          <w:b/>
          <w:bCs/>
          <w:szCs w:val="24"/>
        </w:rPr>
        <w:t>%</w:t>
      </w:r>
      <w:r w:rsidR="003216FF" w:rsidRPr="008A3702">
        <w:rPr>
          <w:rFonts w:asciiTheme="minorHAnsi" w:hAnsiTheme="minorHAnsi"/>
          <w:szCs w:val="24"/>
        </w:rPr>
        <w:t xml:space="preserve"> for 201</w:t>
      </w:r>
      <w:r w:rsidR="00765E7A" w:rsidRPr="008A3702">
        <w:rPr>
          <w:rFonts w:asciiTheme="minorHAnsi" w:hAnsiTheme="minorHAnsi"/>
          <w:szCs w:val="24"/>
        </w:rPr>
        <w:t>7</w:t>
      </w:r>
      <w:r w:rsidR="00BB2987">
        <w:rPr>
          <w:rStyle w:val="FootnoteReference"/>
          <w:rFonts w:asciiTheme="minorHAnsi" w:hAnsiTheme="minorHAnsi"/>
          <w:szCs w:val="24"/>
        </w:rPr>
        <w:footnoteReference w:id="1"/>
      </w:r>
      <w:r w:rsidR="00905846" w:rsidRPr="008A3702">
        <w:rPr>
          <w:rFonts w:asciiTheme="minorHAnsi" w:hAnsiTheme="minorHAnsi"/>
          <w:szCs w:val="24"/>
        </w:rPr>
        <w:t xml:space="preserve">. </w:t>
      </w:r>
    </w:p>
    <w:p w14:paraId="0EE542C3" w14:textId="46B6D81A" w:rsidR="00421A21" w:rsidRPr="00EA18E3" w:rsidRDefault="00EA18E3" w:rsidP="00EA18E3">
      <w:pPr>
        <w:snapToGrid w:val="0"/>
        <w:spacing w:before="360" w:after="120"/>
        <w:rPr>
          <w:rFonts w:asciiTheme="minorHAnsi" w:hAnsiTheme="minorHAnsi"/>
          <w:b/>
          <w:bCs/>
          <w:i/>
          <w:iCs/>
          <w:szCs w:val="24"/>
          <w:lang w:val="en-US"/>
        </w:rPr>
      </w:pPr>
      <w:r>
        <w:rPr>
          <w:rFonts w:asciiTheme="minorHAnsi" w:hAnsiTheme="minorHAnsi"/>
          <w:b/>
          <w:bCs/>
          <w:sz w:val="28"/>
          <w:szCs w:val="28"/>
        </w:rPr>
        <w:t>2.</w:t>
      </w:r>
      <w:r>
        <w:rPr>
          <w:rFonts w:asciiTheme="minorHAnsi" w:hAnsiTheme="minorHAnsi"/>
          <w:b/>
          <w:bCs/>
          <w:sz w:val="28"/>
          <w:szCs w:val="28"/>
        </w:rPr>
        <w:tab/>
      </w:r>
      <w:r w:rsidR="00421A21" w:rsidRPr="00EA18E3">
        <w:rPr>
          <w:rFonts w:asciiTheme="minorHAnsi" w:hAnsiTheme="minorHAnsi"/>
          <w:b/>
          <w:bCs/>
          <w:sz w:val="28"/>
          <w:szCs w:val="28"/>
          <w:lang w:val="en-US"/>
        </w:rPr>
        <w:t xml:space="preserve">Procedures adopted by other international organizations inside and outside </w:t>
      </w:r>
      <w:r>
        <w:rPr>
          <w:rFonts w:asciiTheme="minorHAnsi" w:hAnsiTheme="minorHAnsi"/>
          <w:b/>
          <w:bCs/>
          <w:sz w:val="28"/>
          <w:szCs w:val="28"/>
          <w:lang w:val="en-US"/>
        </w:rPr>
        <w:tab/>
      </w:r>
      <w:r w:rsidR="00421A21" w:rsidRPr="00EA18E3">
        <w:rPr>
          <w:rFonts w:asciiTheme="minorHAnsi" w:hAnsiTheme="minorHAnsi"/>
          <w:b/>
          <w:bCs/>
          <w:sz w:val="28"/>
          <w:szCs w:val="28"/>
          <w:lang w:val="en-US"/>
        </w:rPr>
        <w:t>of the United</w:t>
      </w:r>
      <w:r w:rsidR="00421A21" w:rsidRPr="00EA18E3">
        <w:rPr>
          <w:rFonts w:asciiTheme="minorHAnsi" w:hAnsiTheme="minorHAnsi"/>
          <w:b/>
          <w:bCs/>
          <w:i/>
          <w:iCs/>
          <w:szCs w:val="24"/>
          <w:lang w:val="en-US"/>
        </w:rPr>
        <w:t xml:space="preserve"> </w:t>
      </w:r>
      <w:r w:rsidR="00421A21" w:rsidRPr="00EA18E3">
        <w:rPr>
          <w:rFonts w:asciiTheme="minorHAnsi" w:hAnsiTheme="minorHAnsi"/>
          <w:b/>
          <w:bCs/>
          <w:sz w:val="28"/>
          <w:szCs w:val="28"/>
          <w:lang w:val="en-US"/>
        </w:rPr>
        <w:t xml:space="preserve">Nations system and benchmark studies on their costs of </w:t>
      </w:r>
      <w:r>
        <w:rPr>
          <w:rFonts w:asciiTheme="minorHAnsi" w:hAnsiTheme="minorHAnsi"/>
          <w:b/>
          <w:bCs/>
          <w:sz w:val="28"/>
          <w:szCs w:val="28"/>
          <w:lang w:val="en-US"/>
        </w:rPr>
        <w:tab/>
      </w:r>
      <w:r w:rsidR="00421A21" w:rsidRPr="00EA18E3">
        <w:rPr>
          <w:rFonts w:asciiTheme="minorHAnsi" w:hAnsiTheme="minorHAnsi"/>
          <w:b/>
          <w:bCs/>
          <w:sz w:val="28"/>
          <w:szCs w:val="28"/>
          <w:lang w:val="en-US"/>
        </w:rPr>
        <w:t>translation</w:t>
      </w:r>
      <w:r w:rsidR="00987F7A" w:rsidRPr="00EA18E3">
        <w:rPr>
          <w:rFonts w:asciiTheme="minorHAnsi" w:hAnsiTheme="minorHAnsi"/>
          <w:b/>
          <w:bCs/>
          <w:i/>
          <w:iCs/>
          <w:szCs w:val="24"/>
          <w:lang w:val="en-US"/>
        </w:rPr>
        <w:t xml:space="preserve"> </w:t>
      </w:r>
    </w:p>
    <w:p w14:paraId="0C3EF215" w14:textId="77777777" w:rsidR="00A22278" w:rsidRPr="006016CC" w:rsidRDefault="00871F1B" w:rsidP="008B0EB9">
      <w:pPr>
        <w:snapToGrid w:val="0"/>
        <w:spacing w:after="120"/>
        <w:jc w:val="both"/>
        <w:rPr>
          <w:rFonts w:asciiTheme="minorHAnsi" w:hAnsiTheme="minorHAnsi"/>
          <w:szCs w:val="24"/>
          <w:lang w:val="en-US" w:eastAsia="zh-CN"/>
        </w:rPr>
      </w:pPr>
      <w:r w:rsidRPr="006016CC">
        <w:rPr>
          <w:rFonts w:asciiTheme="minorHAnsi" w:hAnsiTheme="minorHAnsi"/>
          <w:szCs w:val="24"/>
        </w:rPr>
        <w:t>Through its</w:t>
      </w:r>
      <w:r w:rsidR="003160B2" w:rsidRPr="006016CC">
        <w:rPr>
          <w:rFonts w:asciiTheme="minorHAnsi" w:hAnsiTheme="minorHAnsi"/>
          <w:szCs w:val="24"/>
        </w:rPr>
        <w:t xml:space="preserve"> active</w:t>
      </w:r>
      <w:r w:rsidRPr="006016CC">
        <w:rPr>
          <w:rFonts w:asciiTheme="minorHAnsi" w:hAnsiTheme="minorHAnsi"/>
          <w:szCs w:val="24"/>
        </w:rPr>
        <w:t xml:space="preserve"> participation in the International Annual Meeting on Language Arrangements, Documentation and Publications (IAMLADP) and </w:t>
      </w:r>
      <w:r w:rsidR="003242DF" w:rsidRPr="006016CC">
        <w:rPr>
          <w:rFonts w:asciiTheme="minorHAnsi" w:hAnsiTheme="minorHAnsi"/>
          <w:szCs w:val="24"/>
        </w:rPr>
        <w:t>its working groups and task-forces, plus the</w:t>
      </w:r>
      <w:r w:rsidRPr="006016CC">
        <w:rPr>
          <w:rFonts w:asciiTheme="minorHAnsi" w:hAnsiTheme="minorHAnsi"/>
          <w:szCs w:val="24"/>
        </w:rPr>
        <w:t xml:space="preserve"> </w:t>
      </w:r>
      <w:r w:rsidR="00144EB6" w:rsidRPr="006016CC">
        <w:rPr>
          <w:rFonts w:asciiTheme="minorHAnsi" w:hAnsiTheme="minorHAnsi"/>
          <w:szCs w:val="24"/>
        </w:rPr>
        <w:t>Joint Inter-Agency Meeting on Computer-Aided Translation and Terminology (JIAMCATT), ITU keeps abreast of procedures and IT tools adopted by other IOs</w:t>
      </w:r>
      <w:r w:rsidR="006D2FDD" w:rsidRPr="006016CC">
        <w:rPr>
          <w:rFonts w:asciiTheme="minorHAnsi" w:hAnsiTheme="minorHAnsi"/>
          <w:szCs w:val="24"/>
        </w:rPr>
        <w:t xml:space="preserve"> and</w:t>
      </w:r>
      <w:r w:rsidR="00144EB6" w:rsidRPr="006016CC">
        <w:rPr>
          <w:rFonts w:asciiTheme="minorHAnsi" w:hAnsiTheme="minorHAnsi"/>
          <w:szCs w:val="24"/>
        </w:rPr>
        <w:t xml:space="preserve"> adapt</w:t>
      </w:r>
      <w:r w:rsidR="00770E42" w:rsidRPr="006016CC">
        <w:rPr>
          <w:rFonts w:asciiTheme="minorHAnsi" w:hAnsiTheme="minorHAnsi"/>
          <w:szCs w:val="24"/>
        </w:rPr>
        <w:t>s</w:t>
      </w:r>
      <w:r w:rsidR="00144EB6" w:rsidRPr="006016CC">
        <w:rPr>
          <w:rFonts w:asciiTheme="minorHAnsi" w:hAnsiTheme="minorHAnsi"/>
          <w:szCs w:val="24"/>
        </w:rPr>
        <w:t xml:space="preserve"> its business model and procedures to the best practices resulting from such interaction.</w:t>
      </w:r>
    </w:p>
    <w:p w14:paraId="14BA2121" w14:textId="365C4B42" w:rsidR="004F0527" w:rsidRDefault="004F0527" w:rsidP="00280530">
      <w:pPr>
        <w:snapToGrid w:val="0"/>
        <w:spacing w:after="120"/>
        <w:jc w:val="both"/>
        <w:rPr>
          <w:rFonts w:asciiTheme="minorHAnsi" w:hAnsiTheme="minorHAnsi"/>
          <w:szCs w:val="24"/>
        </w:rPr>
      </w:pPr>
      <w:r>
        <w:rPr>
          <w:rFonts w:asciiTheme="minorHAnsi" w:hAnsiTheme="minorHAnsi"/>
          <w:szCs w:val="24"/>
        </w:rPr>
        <w:t xml:space="preserve">The </w:t>
      </w:r>
      <w:r w:rsidR="00280530">
        <w:rPr>
          <w:rFonts w:asciiTheme="minorHAnsi" w:hAnsiTheme="minorHAnsi"/>
          <w:szCs w:val="24"/>
        </w:rPr>
        <w:t xml:space="preserve">2017 </w:t>
      </w:r>
      <w:r w:rsidRPr="004F0527">
        <w:rPr>
          <w:rFonts w:asciiTheme="minorHAnsi" w:hAnsiTheme="minorHAnsi"/>
          <w:szCs w:val="24"/>
        </w:rPr>
        <w:t xml:space="preserve">International Annual Meeting on Language Arrangements, </w:t>
      </w:r>
      <w:r>
        <w:rPr>
          <w:rFonts w:asciiTheme="minorHAnsi" w:hAnsiTheme="minorHAnsi"/>
          <w:szCs w:val="24"/>
        </w:rPr>
        <w:t xml:space="preserve">Documentation and Publications </w:t>
      </w:r>
      <w:r w:rsidRPr="004F0527">
        <w:rPr>
          <w:rFonts w:asciiTheme="minorHAnsi" w:hAnsiTheme="minorHAnsi"/>
          <w:szCs w:val="24"/>
        </w:rPr>
        <w:t xml:space="preserve">(IAMLADP) </w:t>
      </w:r>
      <w:r>
        <w:rPr>
          <w:rFonts w:asciiTheme="minorHAnsi" w:hAnsiTheme="minorHAnsi"/>
          <w:szCs w:val="24"/>
        </w:rPr>
        <w:t>took place in</w:t>
      </w:r>
      <w:r w:rsidRPr="004F0527">
        <w:rPr>
          <w:rFonts w:asciiTheme="minorHAnsi" w:hAnsiTheme="minorHAnsi"/>
          <w:szCs w:val="24"/>
        </w:rPr>
        <w:t xml:space="preserve"> Bangkok, Thailand</w:t>
      </w:r>
      <w:r>
        <w:rPr>
          <w:rFonts w:asciiTheme="minorHAnsi" w:hAnsiTheme="minorHAnsi"/>
          <w:szCs w:val="24"/>
        </w:rPr>
        <w:t xml:space="preserve">, from </w:t>
      </w:r>
      <w:r w:rsidRPr="004F0527">
        <w:rPr>
          <w:rFonts w:asciiTheme="minorHAnsi" w:hAnsiTheme="minorHAnsi"/>
          <w:szCs w:val="24"/>
        </w:rPr>
        <w:t>19</w:t>
      </w:r>
      <w:r>
        <w:rPr>
          <w:rFonts w:asciiTheme="minorHAnsi" w:hAnsiTheme="minorHAnsi"/>
          <w:szCs w:val="24"/>
        </w:rPr>
        <w:t xml:space="preserve"> to </w:t>
      </w:r>
      <w:r w:rsidRPr="004F0527">
        <w:rPr>
          <w:rFonts w:asciiTheme="minorHAnsi" w:hAnsiTheme="minorHAnsi"/>
          <w:szCs w:val="24"/>
        </w:rPr>
        <w:t>21 June</w:t>
      </w:r>
      <w:r>
        <w:rPr>
          <w:rFonts w:asciiTheme="minorHAnsi" w:hAnsiTheme="minorHAnsi"/>
          <w:szCs w:val="24"/>
        </w:rPr>
        <w:t>.</w:t>
      </w:r>
    </w:p>
    <w:p w14:paraId="1288F028" w14:textId="5AF44549" w:rsidR="004F0527" w:rsidRPr="004F0527" w:rsidRDefault="004F0527" w:rsidP="00280530">
      <w:pPr>
        <w:snapToGrid w:val="0"/>
        <w:spacing w:after="120"/>
        <w:jc w:val="both"/>
        <w:rPr>
          <w:rFonts w:asciiTheme="minorHAnsi" w:hAnsiTheme="minorHAnsi"/>
          <w:szCs w:val="24"/>
        </w:rPr>
      </w:pPr>
      <w:r w:rsidRPr="004F0527">
        <w:rPr>
          <w:rFonts w:asciiTheme="minorHAnsi" w:hAnsiTheme="minorHAnsi"/>
          <w:szCs w:val="24"/>
        </w:rPr>
        <w:t>IAMLADP members note</w:t>
      </w:r>
      <w:r>
        <w:rPr>
          <w:rFonts w:asciiTheme="minorHAnsi" w:hAnsiTheme="minorHAnsi"/>
          <w:szCs w:val="24"/>
        </w:rPr>
        <w:t>d</w:t>
      </w:r>
      <w:r w:rsidRPr="004F0527">
        <w:rPr>
          <w:rFonts w:asciiTheme="minorHAnsi" w:hAnsiTheme="minorHAnsi"/>
          <w:szCs w:val="24"/>
        </w:rPr>
        <w:t xml:space="preserve"> that the continuous evolution of technology and working methods calls for a versatile and flexible work force, comprising both permanent and temporary, on-site and off-site, staff. Language staff in particular will increasingly be required to have multiple skills, perform multiple functions and assume multiple responsibilities. </w:t>
      </w:r>
      <w:r>
        <w:rPr>
          <w:rFonts w:asciiTheme="minorHAnsi" w:hAnsiTheme="minorHAnsi"/>
          <w:szCs w:val="24"/>
        </w:rPr>
        <w:t>T</w:t>
      </w:r>
      <w:r w:rsidRPr="004F0527">
        <w:rPr>
          <w:rFonts w:asciiTheme="minorHAnsi" w:hAnsiTheme="minorHAnsi"/>
          <w:szCs w:val="24"/>
        </w:rPr>
        <w:t>he development of technological tools must be driven by the conference services themselves, working in partnership with IT services</w:t>
      </w:r>
      <w:r>
        <w:rPr>
          <w:rFonts w:asciiTheme="minorHAnsi" w:hAnsiTheme="minorHAnsi"/>
          <w:szCs w:val="24"/>
        </w:rPr>
        <w:t xml:space="preserve">. Attention of Member States was drawn </w:t>
      </w:r>
      <w:r w:rsidRPr="004F0527">
        <w:rPr>
          <w:rFonts w:asciiTheme="minorHAnsi" w:hAnsiTheme="minorHAnsi"/>
          <w:szCs w:val="24"/>
        </w:rPr>
        <w:t>to the need to provide dedicated resources to their language and conference services so that they can harness the potential of recent technological advances and invest in the tools that will optimize their operations and enable them to fulfil their mandates more effectively and efficiently</w:t>
      </w:r>
      <w:r>
        <w:rPr>
          <w:rFonts w:asciiTheme="minorHAnsi" w:hAnsiTheme="minorHAnsi"/>
          <w:szCs w:val="24"/>
        </w:rPr>
        <w:t xml:space="preserve">. </w:t>
      </w:r>
      <w:r w:rsidR="00280530">
        <w:rPr>
          <w:rFonts w:asciiTheme="minorHAnsi" w:hAnsiTheme="minorHAnsi"/>
          <w:szCs w:val="24"/>
        </w:rPr>
        <w:t xml:space="preserve">IAMLADP members </w:t>
      </w:r>
      <w:r w:rsidRPr="004F0527">
        <w:rPr>
          <w:rFonts w:asciiTheme="minorHAnsi" w:hAnsiTheme="minorHAnsi"/>
          <w:szCs w:val="24"/>
        </w:rPr>
        <w:t>reinstate</w:t>
      </w:r>
      <w:r w:rsidR="00280530">
        <w:rPr>
          <w:rFonts w:asciiTheme="minorHAnsi" w:hAnsiTheme="minorHAnsi"/>
          <w:szCs w:val="24"/>
        </w:rPr>
        <w:t>d</w:t>
      </w:r>
      <w:r w:rsidRPr="004F0527">
        <w:rPr>
          <w:rFonts w:asciiTheme="minorHAnsi" w:hAnsiTheme="minorHAnsi"/>
          <w:szCs w:val="24"/>
        </w:rPr>
        <w:t xml:space="preserve"> the importance of multilingualism for Member Organizations and their Member States, and to obtain from the respective Governing Bodies the promulgation of a clear multilingualism policy framework</w:t>
      </w:r>
      <w:r>
        <w:rPr>
          <w:rFonts w:asciiTheme="minorHAnsi" w:hAnsiTheme="minorHAnsi"/>
          <w:szCs w:val="24"/>
        </w:rPr>
        <w:t>.</w:t>
      </w:r>
    </w:p>
    <w:p w14:paraId="6FDF204E" w14:textId="45BCEDD4" w:rsidR="002F4015" w:rsidRPr="006016CC" w:rsidRDefault="002F4015" w:rsidP="00601672">
      <w:pPr>
        <w:snapToGrid w:val="0"/>
        <w:spacing w:after="120"/>
        <w:jc w:val="both"/>
        <w:rPr>
          <w:rFonts w:asciiTheme="minorHAnsi" w:hAnsiTheme="minorHAnsi"/>
          <w:szCs w:val="24"/>
          <w:lang w:val="en-US" w:eastAsia="zh-CN"/>
        </w:rPr>
      </w:pPr>
      <w:r w:rsidRPr="006016CC">
        <w:rPr>
          <w:rFonts w:asciiTheme="minorHAnsi" w:hAnsiTheme="minorHAnsi"/>
          <w:szCs w:val="24"/>
          <w:lang w:val="en-US" w:eastAsia="zh-CN"/>
        </w:rPr>
        <w:t>The system-wide Agreement governing the hiring of short-term interpreters by the UN agencies expire</w:t>
      </w:r>
      <w:r w:rsidR="00BB2987">
        <w:rPr>
          <w:rFonts w:asciiTheme="minorHAnsi" w:hAnsiTheme="minorHAnsi"/>
          <w:szCs w:val="24"/>
          <w:lang w:val="en-US" w:eastAsia="zh-CN"/>
        </w:rPr>
        <w:t>d</w:t>
      </w:r>
      <w:r w:rsidRPr="006016CC">
        <w:rPr>
          <w:rFonts w:asciiTheme="minorHAnsi" w:hAnsiTheme="minorHAnsi"/>
          <w:szCs w:val="24"/>
          <w:lang w:val="en-US" w:eastAsia="zh-CN"/>
        </w:rPr>
        <w:t xml:space="preserve"> at the end of June, 2017. Formal negotiations </w:t>
      </w:r>
      <w:r w:rsidR="00BB2987">
        <w:rPr>
          <w:rFonts w:asciiTheme="minorHAnsi" w:hAnsiTheme="minorHAnsi"/>
          <w:szCs w:val="24"/>
          <w:lang w:val="en-US" w:eastAsia="zh-CN"/>
        </w:rPr>
        <w:t>were</w:t>
      </w:r>
      <w:r w:rsidRPr="006016CC">
        <w:rPr>
          <w:rFonts w:asciiTheme="minorHAnsi" w:hAnsiTheme="minorHAnsi"/>
          <w:szCs w:val="24"/>
          <w:lang w:val="en-US" w:eastAsia="zh-CN"/>
        </w:rPr>
        <w:t xml:space="preserve"> underway between the UN organizations and AIIC (the International Association of Conference Interpreters) with a view to redrafting the Agreement that </w:t>
      </w:r>
      <w:r w:rsidR="00BB2987">
        <w:rPr>
          <w:rFonts w:asciiTheme="minorHAnsi" w:hAnsiTheme="minorHAnsi"/>
          <w:szCs w:val="24"/>
          <w:lang w:val="en-US" w:eastAsia="zh-CN"/>
        </w:rPr>
        <w:t>would</w:t>
      </w:r>
      <w:r w:rsidRPr="006016CC">
        <w:rPr>
          <w:rFonts w:asciiTheme="minorHAnsi" w:hAnsiTheme="minorHAnsi"/>
          <w:szCs w:val="24"/>
          <w:lang w:val="en-US" w:eastAsia="zh-CN"/>
        </w:rPr>
        <w:t xml:space="preserve"> be enforced for five years </w:t>
      </w:r>
      <w:r w:rsidR="00AD278E" w:rsidRPr="006016CC">
        <w:rPr>
          <w:rFonts w:asciiTheme="minorHAnsi" w:hAnsiTheme="minorHAnsi"/>
          <w:szCs w:val="24"/>
          <w:lang w:val="en-US" w:eastAsia="zh-CN"/>
        </w:rPr>
        <w:t>as of</w:t>
      </w:r>
      <w:r w:rsidRPr="006016CC">
        <w:rPr>
          <w:rFonts w:asciiTheme="minorHAnsi" w:hAnsiTheme="minorHAnsi"/>
          <w:szCs w:val="24"/>
          <w:lang w:val="en-US" w:eastAsia="zh-CN"/>
        </w:rPr>
        <w:t xml:space="preserve"> July</w:t>
      </w:r>
      <w:r w:rsidR="00AD278E" w:rsidRPr="006016CC">
        <w:rPr>
          <w:rFonts w:asciiTheme="minorHAnsi" w:hAnsiTheme="minorHAnsi"/>
          <w:szCs w:val="24"/>
          <w:lang w:val="en-US" w:eastAsia="zh-CN"/>
        </w:rPr>
        <w:t xml:space="preserve"> 2017</w:t>
      </w:r>
      <w:r w:rsidRPr="006016CC">
        <w:rPr>
          <w:rFonts w:asciiTheme="minorHAnsi" w:hAnsiTheme="minorHAnsi"/>
          <w:szCs w:val="24"/>
          <w:lang w:val="en-US" w:eastAsia="zh-CN"/>
        </w:rPr>
        <w:t xml:space="preserve">. Under the leadership of the UN DGACM, ITU </w:t>
      </w:r>
      <w:r w:rsidR="00601672">
        <w:rPr>
          <w:rFonts w:asciiTheme="minorHAnsi" w:hAnsiTheme="minorHAnsi"/>
          <w:szCs w:val="24"/>
          <w:lang w:val="en-US" w:eastAsia="zh-CN"/>
        </w:rPr>
        <w:t>articulated</w:t>
      </w:r>
      <w:r w:rsidRPr="006016CC">
        <w:rPr>
          <w:rFonts w:asciiTheme="minorHAnsi" w:hAnsiTheme="minorHAnsi"/>
          <w:szCs w:val="24"/>
          <w:lang w:val="en-US" w:eastAsia="zh-CN"/>
        </w:rPr>
        <w:t xml:space="preserve"> with its sister agencies a common framework of measures towards more economical and streamlined provisions. </w:t>
      </w:r>
      <w:r w:rsidR="00601672" w:rsidRPr="00601672">
        <w:rPr>
          <w:rFonts w:asciiTheme="minorHAnsi" w:hAnsiTheme="minorHAnsi"/>
          <w:szCs w:val="24"/>
          <w:lang w:val="en-US" w:eastAsia="zh-CN"/>
        </w:rPr>
        <w:t xml:space="preserve">The negotiations were inconclusive and the terms and conditions of the old Agreement are still being </w:t>
      </w:r>
      <w:r w:rsidR="00601672">
        <w:rPr>
          <w:rFonts w:asciiTheme="minorHAnsi" w:hAnsiTheme="minorHAnsi"/>
          <w:szCs w:val="24"/>
          <w:lang w:val="en-US" w:eastAsia="zh-CN"/>
        </w:rPr>
        <w:t>applied</w:t>
      </w:r>
      <w:r w:rsidR="00601672" w:rsidRPr="00601672">
        <w:rPr>
          <w:rFonts w:asciiTheme="minorHAnsi" w:hAnsiTheme="minorHAnsi"/>
          <w:szCs w:val="24"/>
          <w:lang w:val="en-US" w:eastAsia="zh-CN"/>
        </w:rPr>
        <w:t xml:space="preserve"> until a new agreement or a new arrangement is </w:t>
      </w:r>
      <w:r w:rsidR="00601672">
        <w:rPr>
          <w:rFonts w:asciiTheme="minorHAnsi" w:hAnsiTheme="minorHAnsi"/>
          <w:szCs w:val="24"/>
          <w:lang w:val="en-US" w:eastAsia="zh-CN"/>
        </w:rPr>
        <w:t>established</w:t>
      </w:r>
      <w:r w:rsidR="00601672" w:rsidRPr="00601672">
        <w:rPr>
          <w:rFonts w:asciiTheme="minorHAnsi" w:hAnsiTheme="minorHAnsi"/>
          <w:szCs w:val="24"/>
          <w:lang w:val="en-US" w:eastAsia="zh-CN"/>
        </w:rPr>
        <w:t xml:space="preserve"> in the first half of 2018.</w:t>
      </w:r>
    </w:p>
    <w:p w14:paraId="5DE73304" w14:textId="3A70EF9E" w:rsidR="00421A21" w:rsidRPr="00EA18E3" w:rsidRDefault="00EA18E3" w:rsidP="00EA18E3">
      <w:pPr>
        <w:tabs>
          <w:tab w:val="clear" w:pos="794"/>
          <w:tab w:val="clear" w:pos="1191"/>
          <w:tab w:val="clear" w:pos="1588"/>
          <w:tab w:val="clear" w:pos="1985"/>
        </w:tabs>
        <w:snapToGrid w:val="0"/>
        <w:spacing w:before="360" w:after="120"/>
        <w:rPr>
          <w:rFonts w:asciiTheme="minorHAnsi" w:hAnsiTheme="minorHAnsi" w:cs="Times New Roman Bold"/>
          <w:b/>
          <w:bCs/>
          <w:spacing w:val="-2"/>
          <w:sz w:val="28"/>
          <w:szCs w:val="28"/>
          <w:lang w:val="en-US"/>
        </w:rPr>
      </w:pPr>
      <w:r>
        <w:rPr>
          <w:rFonts w:asciiTheme="minorHAnsi" w:hAnsiTheme="minorHAnsi" w:cs="Times New Roman Bold"/>
          <w:b/>
          <w:bCs/>
          <w:spacing w:val="-2"/>
          <w:sz w:val="28"/>
          <w:szCs w:val="28"/>
          <w:lang w:val="en-US"/>
        </w:rPr>
        <w:t>3.</w:t>
      </w:r>
      <w:r>
        <w:rPr>
          <w:rFonts w:asciiTheme="minorHAnsi" w:hAnsiTheme="minorHAnsi" w:cs="Times New Roman Bold"/>
          <w:b/>
          <w:bCs/>
          <w:spacing w:val="-2"/>
          <w:sz w:val="28"/>
          <w:szCs w:val="28"/>
          <w:lang w:val="en-US"/>
        </w:rPr>
        <w:tab/>
      </w:r>
      <w:r w:rsidR="00653B59" w:rsidRPr="00EA18E3">
        <w:rPr>
          <w:rFonts w:asciiTheme="minorHAnsi" w:hAnsiTheme="minorHAnsi" w:cs="Times New Roman Bold"/>
          <w:b/>
          <w:bCs/>
          <w:spacing w:val="-2"/>
          <w:sz w:val="28"/>
          <w:szCs w:val="28"/>
          <w:lang w:val="en-US"/>
        </w:rPr>
        <w:t>In</w:t>
      </w:r>
      <w:r w:rsidR="00421A21" w:rsidRPr="00EA18E3">
        <w:rPr>
          <w:rFonts w:asciiTheme="minorHAnsi" w:hAnsiTheme="minorHAnsi" w:cs="Times New Roman Bold"/>
          <w:b/>
          <w:bCs/>
          <w:spacing w:val="-2"/>
          <w:sz w:val="28"/>
          <w:szCs w:val="28"/>
          <w:lang w:val="en-US"/>
        </w:rPr>
        <w:t xml:space="preserve">itiatives undertaken by the General Secretariat and the three Bureaux to </w:t>
      </w:r>
      <w:r>
        <w:rPr>
          <w:rFonts w:asciiTheme="minorHAnsi" w:hAnsiTheme="minorHAnsi" w:cs="Times New Roman Bold"/>
          <w:b/>
          <w:bCs/>
          <w:spacing w:val="-2"/>
          <w:sz w:val="28"/>
          <w:szCs w:val="28"/>
          <w:lang w:val="en-US"/>
        </w:rPr>
        <w:tab/>
      </w:r>
      <w:r w:rsidR="00421A21" w:rsidRPr="00EA18E3">
        <w:rPr>
          <w:rFonts w:asciiTheme="minorHAnsi" w:hAnsiTheme="minorHAnsi" w:cs="Times New Roman Bold"/>
          <w:b/>
          <w:bCs/>
          <w:spacing w:val="-2"/>
          <w:sz w:val="28"/>
          <w:szCs w:val="28"/>
          <w:lang w:val="en-US"/>
        </w:rPr>
        <w:t xml:space="preserve">increase efficiencies and cost savings on the implementation of </w:t>
      </w:r>
      <w:r w:rsidR="00CA0003" w:rsidRPr="00EA18E3">
        <w:rPr>
          <w:rFonts w:asciiTheme="minorHAnsi" w:hAnsiTheme="minorHAnsi" w:cs="Times New Roman Bold"/>
          <w:b/>
          <w:bCs/>
          <w:spacing w:val="-2"/>
          <w:sz w:val="28"/>
          <w:szCs w:val="28"/>
          <w:lang w:val="en-US"/>
        </w:rPr>
        <w:t>Res.154 (R</w:t>
      </w:r>
      <w:r w:rsidR="00775FCA" w:rsidRPr="00EA18E3">
        <w:rPr>
          <w:rFonts w:asciiTheme="minorHAnsi" w:hAnsiTheme="minorHAnsi" w:cs="Times New Roman Bold"/>
          <w:b/>
          <w:bCs/>
          <w:spacing w:val="-2"/>
          <w:sz w:val="28"/>
          <w:szCs w:val="28"/>
          <w:lang w:val="en-US"/>
        </w:rPr>
        <w:t xml:space="preserve">ev. </w:t>
      </w:r>
      <w:r>
        <w:rPr>
          <w:rFonts w:asciiTheme="minorHAnsi" w:hAnsiTheme="minorHAnsi" w:cs="Times New Roman Bold"/>
          <w:b/>
          <w:bCs/>
          <w:spacing w:val="-2"/>
          <w:sz w:val="28"/>
          <w:szCs w:val="28"/>
          <w:lang w:val="en-US"/>
        </w:rPr>
        <w:tab/>
      </w:r>
      <w:r w:rsidR="00775FCA" w:rsidRPr="00EA18E3">
        <w:rPr>
          <w:rFonts w:asciiTheme="minorHAnsi" w:hAnsiTheme="minorHAnsi" w:cs="Times New Roman Bold"/>
          <w:b/>
          <w:bCs/>
          <w:spacing w:val="-2"/>
          <w:sz w:val="28"/>
          <w:szCs w:val="28"/>
          <w:lang w:val="en-US"/>
        </w:rPr>
        <w:t>Busan, 2014) and Res.</w:t>
      </w:r>
      <w:r w:rsidR="000726CF" w:rsidRPr="00EA18E3">
        <w:rPr>
          <w:rFonts w:asciiTheme="minorHAnsi" w:hAnsiTheme="minorHAnsi" w:cs="Times New Roman Bold"/>
          <w:b/>
          <w:bCs/>
          <w:spacing w:val="-2"/>
          <w:sz w:val="28"/>
          <w:szCs w:val="28"/>
          <w:lang w:val="en-US"/>
        </w:rPr>
        <w:t> </w:t>
      </w:r>
      <w:r w:rsidR="00775FCA" w:rsidRPr="00EA18E3">
        <w:rPr>
          <w:rFonts w:asciiTheme="minorHAnsi" w:hAnsiTheme="minorHAnsi" w:cs="Times New Roman Bold"/>
          <w:b/>
          <w:bCs/>
          <w:spacing w:val="-2"/>
          <w:sz w:val="28"/>
          <w:szCs w:val="28"/>
          <w:lang w:val="en-US"/>
        </w:rPr>
        <w:t>1372</w:t>
      </w:r>
      <w:r w:rsidR="00987F7A" w:rsidRPr="00EA18E3">
        <w:rPr>
          <w:rFonts w:asciiTheme="minorHAnsi" w:hAnsiTheme="minorHAnsi" w:cs="Times New Roman Bold"/>
          <w:b/>
          <w:bCs/>
          <w:spacing w:val="-2"/>
          <w:sz w:val="28"/>
          <w:szCs w:val="28"/>
          <w:lang w:val="en-US"/>
        </w:rPr>
        <w:t xml:space="preserve"> </w:t>
      </w:r>
    </w:p>
    <w:p w14:paraId="099D02D6" w14:textId="77777777" w:rsidR="00D1374F" w:rsidRPr="006016CC" w:rsidRDefault="006D2FDD" w:rsidP="008B0EB9">
      <w:pPr>
        <w:snapToGrid w:val="0"/>
        <w:spacing w:after="120"/>
        <w:jc w:val="both"/>
        <w:rPr>
          <w:rFonts w:asciiTheme="minorHAnsi" w:hAnsiTheme="minorHAnsi"/>
          <w:szCs w:val="24"/>
          <w:lang w:val="en-US"/>
        </w:rPr>
      </w:pPr>
      <w:r w:rsidRPr="006016CC">
        <w:rPr>
          <w:rFonts w:asciiTheme="minorHAnsi" w:hAnsiTheme="minorHAnsi"/>
          <w:szCs w:val="24"/>
          <w:lang w:val="en-US"/>
        </w:rPr>
        <w:t>In 2016</w:t>
      </w:r>
      <w:r w:rsidR="00D16269" w:rsidRPr="006016CC">
        <w:rPr>
          <w:rFonts w:asciiTheme="minorHAnsi" w:hAnsiTheme="minorHAnsi"/>
          <w:szCs w:val="24"/>
          <w:lang w:val="en-US"/>
        </w:rPr>
        <w:t>, the Secretariat introduced a</w:t>
      </w:r>
      <w:r w:rsidRPr="006016CC">
        <w:rPr>
          <w:rFonts w:asciiTheme="minorHAnsi" w:hAnsiTheme="minorHAnsi"/>
          <w:szCs w:val="24"/>
          <w:lang w:val="en-US"/>
        </w:rPr>
        <w:t>nother</w:t>
      </w:r>
      <w:r w:rsidR="00D16269" w:rsidRPr="006016CC">
        <w:rPr>
          <w:rFonts w:asciiTheme="minorHAnsi" w:hAnsiTheme="minorHAnsi"/>
          <w:szCs w:val="24"/>
          <w:lang w:val="en-US"/>
        </w:rPr>
        <w:t xml:space="preserve"> </w:t>
      </w:r>
      <w:r w:rsidR="003160B2" w:rsidRPr="006016CC">
        <w:rPr>
          <w:rFonts w:asciiTheme="minorHAnsi" w:hAnsiTheme="minorHAnsi"/>
          <w:szCs w:val="24"/>
          <w:lang w:val="en-US"/>
        </w:rPr>
        <w:t xml:space="preserve">set </w:t>
      </w:r>
      <w:r w:rsidR="00D16269" w:rsidRPr="006016CC">
        <w:rPr>
          <w:rFonts w:asciiTheme="minorHAnsi" w:hAnsiTheme="minorHAnsi"/>
          <w:szCs w:val="24"/>
          <w:lang w:val="en-US"/>
        </w:rPr>
        <w:t xml:space="preserve">of initiatives </w:t>
      </w:r>
      <w:r w:rsidR="00D1374F" w:rsidRPr="006016CC">
        <w:rPr>
          <w:rFonts w:asciiTheme="minorHAnsi" w:hAnsiTheme="minorHAnsi"/>
          <w:szCs w:val="24"/>
          <w:lang w:val="en-US"/>
        </w:rPr>
        <w:t xml:space="preserve">aiming </w:t>
      </w:r>
      <w:r w:rsidR="00D16269" w:rsidRPr="006016CC">
        <w:rPr>
          <w:rFonts w:asciiTheme="minorHAnsi" w:hAnsiTheme="minorHAnsi"/>
          <w:szCs w:val="24"/>
          <w:lang w:val="en-US"/>
        </w:rPr>
        <w:t xml:space="preserve">to increase efficiency and reduce costs while promoting the equitable use of ITU official languages. The Secretariat notes, with satisfaction, that </w:t>
      </w:r>
      <w:r w:rsidR="00D1374F" w:rsidRPr="006016CC">
        <w:rPr>
          <w:rFonts w:asciiTheme="minorHAnsi" w:hAnsiTheme="minorHAnsi"/>
          <w:szCs w:val="24"/>
          <w:lang w:val="en-US"/>
        </w:rPr>
        <w:t xml:space="preserve">all </w:t>
      </w:r>
      <w:r w:rsidR="00D16269" w:rsidRPr="006016CC">
        <w:rPr>
          <w:rFonts w:asciiTheme="minorHAnsi" w:hAnsiTheme="minorHAnsi"/>
          <w:szCs w:val="24"/>
          <w:lang w:val="en-US"/>
        </w:rPr>
        <w:t>proposed measures have</w:t>
      </w:r>
      <w:r w:rsidR="00D1374F" w:rsidRPr="006016CC">
        <w:rPr>
          <w:rFonts w:asciiTheme="minorHAnsi" w:hAnsiTheme="minorHAnsi"/>
          <w:szCs w:val="24"/>
          <w:lang w:val="en-US"/>
        </w:rPr>
        <w:t xml:space="preserve"> attained the intended results partly or fully, as noted below: </w:t>
      </w:r>
    </w:p>
    <w:p w14:paraId="6782922C" w14:textId="56B4451A" w:rsidR="00AF2509" w:rsidRPr="006016CC" w:rsidRDefault="0026000E" w:rsidP="0026000E">
      <w:pPr>
        <w:pStyle w:val="ListParagraph"/>
        <w:numPr>
          <w:ilvl w:val="0"/>
          <w:numId w:val="2"/>
        </w:numPr>
        <w:snapToGrid w:val="0"/>
        <w:spacing w:after="120"/>
        <w:contextualSpacing w:val="0"/>
        <w:jc w:val="both"/>
        <w:rPr>
          <w:rFonts w:asciiTheme="minorHAnsi" w:hAnsiTheme="minorHAnsi"/>
          <w:szCs w:val="24"/>
        </w:rPr>
      </w:pPr>
      <w:r>
        <w:rPr>
          <w:rFonts w:asciiTheme="minorHAnsi" w:hAnsiTheme="minorHAnsi"/>
          <w:szCs w:val="24"/>
        </w:rPr>
        <w:t xml:space="preserve">The roll-out of the basic version of DCPMS, the </w:t>
      </w:r>
      <w:r w:rsidRPr="006016CC">
        <w:rPr>
          <w:rFonts w:asciiTheme="minorHAnsi" w:hAnsiTheme="minorHAnsi"/>
          <w:b/>
          <w:bCs/>
          <w:szCs w:val="24"/>
        </w:rPr>
        <w:t>Document Production System</w:t>
      </w:r>
      <w:r w:rsidRPr="006016CC">
        <w:rPr>
          <w:rFonts w:asciiTheme="minorHAnsi" w:hAnsiTheme="minorHAnsi"/>
          <w:szCs w:val="24"/>
        </w:rPr>
        <w:t xml:space="preserve"> developed by UNODC in Vienna</w:t>
      </w:r>
      <w:r>
        <w:rPr>
          <w:rFonts w:asciiTheme="minorHAnsi" w:hAnsiTheme="minorHAnsi"/>
          <w:szCs w:val="24"/>
        </w:rPr>
        <w:t xml:space="preserve"> mentioned in the previous report, took place in</w:t>
      </w:r>
      <w:r w:rsidR="00765E7A">
        <w:rPr>
          <w:rFonts w:asciiTheme="minorHAnsi" w:hAnsiTheme="minorHAnsi"/>
          <w:szCs w:val="24"/>
        </w:rPr>
        <w:t xml:space="preserve"> July 2017</w:t>
      </w:r>
      <w:r w:rsidR="00455692" w:rsidRPr="006016CC">
        <w:rPr>
          <w:rFonts w:asciiTheme="minorHAnsi" w:hAnsiTheme="minorHAnsi"/>
          <w:szCs w:val="24"/>
        </w:rPr>
        <w:t>. This software is already in use in UN Vienna, UN New York, UNECA in Addis</w:t>
      </w:r>
      <w:r w:rsidR="006F73CB" w:rsidRPr="006016CC">
        <w:rPr>
          <w:rFonts w:asciiTheme="minorHAnsi" w:hAnsiTheme="minorHAnsi"/>
          <w:szCs w:val="24"/>
        </w:rPr>
        <w:t xml:space="preserve"> </w:t>
      </w:r>
      <w:r w:rsidR="00650641" w:rsidRPr="006016CC">
        <w:rPr>
          <w:rFonts w:asciiTheme="minorHAnsi" w:hAnsiTheme="minorHAnsi"/>
          <w:szCs w:val="24"/>
        </w:rPr>
        <w:t>Ababa</w:t>
      </w:r>
      <w:r w:rsidR="00455692" w:rsidRPr="006016CC">
        <w:rPr>
          <w:rFonts w:asciiTheme="minorHAnsi" w:hAnsiTheme="minorHAnsi"/>
          <w:szCs w:val="24"/>
        </w:rPr>
        <w:t xml:space="preserve"> and UN Geneva for this purpose. The </w:t>
      </w:r>
      <w:r w:rsidR="00765E7A">
        <w:rPr>
          <w:rFonts w:asciiTheme="minorHAnsi" w:hAnsiTheme="minorHAnsi"/>
          <w:szCs w:val="24"/>
        </w:rPr>
        <w:t>process leading to the customization of the tool</w:t>
      </w:r>
      <w:r w:rsidR="00D378D7">
        <w:rPr>
          <w:rFonts w:asciiTheme="minorHAnsi" w:hAnsiTheme="minorHAnsi"/>
          <w:szCs w:val="24"/>
        </w:rPr>
        <w:t>,</w:t>
      </w:r>
      <w:r w:rsidR="00765E7A">
        <w:rPr>
          <w:rFonts w:asciiTheme="minorHAnsi" w:hAnsiTheme="minorHAnsi"/>
          <w:szCs w:val="24"/>
        </w:rPr>
        <w:t xml:space="preserve"> </w:t>
      </w:r>
      <w:r>
        <w:rPr>
          <w:rFonts w:asciiTheme="minorHAnsi" w:hAnsiTheme="minorHAnsi"/>
          <w:szCs w:val="24"/>
        </w:rPr>
        <w:t xml:space="preserve">so that it </w:t>
      </w:r>
      <w:r w:rsidR="00D378D7">
        <w:rPr>
          <w:rFonts w:asciiTheme="minorHAnsi" w:hAnsiTheme="minorHAnsi"/>
          <w:szCs w:val="24"/>
        </w:rPr>
        <w:t xml:space="preserve">fully </w:t>
      </w:r>
      <w:r>
        <w:rPr>
          <w:rFonts w:asciiTheme="minorHAnsi" w:hAnsiTheme="minorHAnsi"/>
          <w:szCs w:val="24"/>
        </w:rPr>
        <w:t xml:space="preserve">responds </w:t>
      </w:r>
      <w:r w:rsidR="00765E7A">
        <w:rPr>
          <w:rFonts w:asciiTheme="minorHAnsi" w:hAnsiTheme="minorHAnsi"/>
          <w:szCs w:val="24"/>
        </w:rPr>
        <w:t xml:space="preserve">to ITU’s needs </w:t>
      </w:r>
      <w:r w:rsidR="00455692" w:rsidRPr="006016CC">
        <w:rPr>
          <w:rFonts w:asciiTheme="minorHAnsi" w:hAnsiTheme="minorHAnsi"/>
          <w:szCs w:val="24"/>
        </w:rPr>
        <w:t>in terms of document and publications workflow</w:t>
      </w:r>
      <w:r w:rsidR="00D378D7">
        <w:rPr>
          <w:rFonts w:asciiTheme="minorHAnsi" w:hAnsiTheme="minorHAnsi"/>
          <w:szCs w:val="24"/>
        </w:rPr>
        <w:t>,</w:t>
      </w:r>
      <w:r w:rsidR="00765E7A">
        <w:rPr>
          <w:rFonts w:asciiTheme="minorHAnsi" w:hAnsiTheme="minorHAnsi"/>
          <w:szCs w:val="24"/>
        </w:rPr>
        <w:t xml:space="preserve"> will start early 2018</w:t>
      </w:r>
      <w:r w:rsidR="00455692" w:rsidRPr="006016CC">
        <w:rPr>
          <w:rFonts w:asciiTheme="minorHAnsi" w:hAnsiTheme="minorHAnsi"/>
          <w:szCs w:val="24"/>
        </w:rPr>
        <w:t xml:space="preserve">. </w:t>
      </w:r>
    </w:p>
    <w:p w14:paraId="71956E2D" w14:textId="7809EF55" w:rsidR="000C199E" w:rsidRDefault="006D2FDD" w:rsidP="0026000E">
      <w:pPr>
        <w:pStyle w:val="ListParagraph"/>
        <w:numPr>
          <w:ilvl w:val="0"/>
          <w:numId w:val="2"/>
        </w:numPr>
        <w:snapToGrid w:val="0"/>
        <w:spacing w:after="120"/>
        <w:contextualSpacing w:val="0"/>
        <w:jc w:val="both"/>
        <w:rPr>
          <w:rFonts w:asciiTheme="minorHAnsi" w:hAnsiTheme="minorHAnsi"/>
          <w:szCs w:val="24"/>
        </w:rPr>
      </w:pPr>
      <w:r w:rsidRPr="006016CC">
        <w:rPr>
          <w:rFonts w:asciiTheme="minorHAnsi" w:hAnsiTheme="minorHAnsi"/>
          <w:szCs w:val="24"/>
        </w:rPr>
        <w:t xml:space="preserve">C&amp;P </w:t>
      </w:r>
      <w:r w:rsidR="00765E7A">
        <w:rPr>
          <w:rFonts w:asciiTheme="minorHAnsi" w:hAnsiTheme="minorHAnsi"/>
          <w:szCs w:val="24"/>
        </w:rPr>
        <w:t>continues the</w:t>
      </w:r>
      <w:r w:rsidRPr="006016CC">
        <w:rPr>
          <w:rFonts w:asciiTheme="minorHAnsi" w:hAnsiTheme="minorHAnsi"/>
          <w:szCs w:val="24"/>
        </w:rPr>
        <w:t xml:space="preserve"> </w:t>
      </w:r>
      <w:r w:rsidR="00F5243E" w:rsidRPr="006016CC">
        <w:rPr>
          <w:rFonts w:asciiTheme="minorHAnsi" w:hAnsiTheme="minorHAnsi"/>
          <w:szCs w:val="24"/>
        </w:rPr>
        <w:t xml:space="preserve">consultations with actors involved and other agencies with a view to define qualitative and quantitative </w:t>
      </w:r>
      <w:r w:rsidR="00F5243E" w:rsidRPr="006016CC">
        <w:rPr>
          <w:rFonts w:asciiTheme="minorHAnsi" w:hAnsiTheme="minorHAnsi"/>
          <w:b/>
          <w:bCs/>
          <w:szCs w:val="24"/>
        </w:rPr>
        <w:t>performance indicators</w:t>
      </w:r>
      <w:r w:rsidR="00F5243E" w:rsidRPr="006016CC">
        <w:rPr>
          <w:rFonts w:asciiTheme="minorHAnsi" w:hAnsiTheme="minorHAnsi"/>
          <w:szCs w:val="24"/>
        </w:rPr>
        <w:t xml:space="preserve"> </w:t>
      </w:r>
      <w:r w:rsidR="00AD278E" w:rsidRPr="006016CC">
        <w:rPr>
          <w:rFonts w:asciiTheme="minorHAnsi" w:hAnsiTheme="minorHAnsi"/>
          <w:szCs w:val="24"/>
        </w:rPr>
        <w:t xml:space="preserve">both for translation and interpretation </w:t>
      </w:r>
      <w:r w:rsidR="00F5243E" w:rsidRPr="006016CC">
        <w:rPr>
          <w:rFonts w:asciiTheme="minorHAnsi" w:hAnsiTheme="minorHAnsi"/>
          <w:szCs w:val="24"/>
        </w:rPr>
        <w:t xml:space="preserve">with regard to </w:t>
      </w:r>
      <w:r w:rsidR="008B4F08" w:rsidRPr="006016CC">
        <w:rPr>
          <w:rFonts w:asciiTheme="minorHAnsi" w:hAnsiTheme="minorHAnsi"/>
          <w:szCs w:val="24"/>
        </w:rPr>
        <w:t>productivity</w:t>
      </w:r>
      <w:r w:rsidR="00F5243E" w:rsidRPr="006016CC">
        <w:rPr>
          <w:rFonts w:asciiTheme="minorHAnsi" w:hAnsiTheme="minorHAnsi"/>
          <w:szCs w:val="24"/>
        </w:rPr>
        <w:t xml:space="preserve">, timely delivery, </w:t>
      </w:r>
      <w:r w:rsidR="008B4F08" w:rsidRPr="006016CC">
        <w:rPr>
          <w:rFonts w:asciiTheme="minorHAnsi" w:hAnsiTheme="minorHAnsi"/>
          <w:szCs w:val="24"/>
        </w:rPr>
        <w:t>and use of ITU’s Conference Proposal Interface (CPI)</w:t>
      </w:r>
      <w:r w:rsidR="00AD278E" w:rsidRPr="006016CC">
        <w:rPr>
          <w:rFonts w:asciiTheme="minorHAnsi" w:hAnsiTheme="minorHAnsi"/>
          <w:szCs w:val="24"/>
        </w:rPr>
        <w:t>, among others</w:t>
      </w:r>
      <w:r w:rsidR="00F5243E" w:rsidRPr="006016CC">
        <w:rPr>
          <w:rFonts w:asciiTheme="minorHAnsi" w:hAnsiTheme="minorHAnsi"/>
          <w:szCs w:val="24"/>
        </w:rPr>
        <w:t>.</w:t>
      </w:r>
      <w:r w:rsidR="000C199E" w:rsidRPr="006016CC">
        <w:rPr>
          <w:rFonts w:asciiTheme="minorHAnsi" w:hAnsiTheme="minorHAnsi"/>
          <w:szCs w:val="24"/>
        </w:rPr>
        <w:t xml:space="preserve"> </w:t>
      </w:r>
      <w:r w:rsidR="00350FBA">
        <w:rPr>
          <w:rFonts w:asciiTheme="minorHAnsi" w:hAnsiTheme="minorHAnsi"/>
          <w:szCs w:val="24"/>
        </w:rPr>
        <w:t>DCPMS will be a powerful tool to obtain statistics and to design and implement indicators.</w:t>
      </w:r>
    </w:p>
    <w:p w14:paraId="0CB0BAFF" w14:textId="29250511" w:rsidR="00421A21" w:rsidRPr="00EA18E3" w:rsidRDefault="00EA18E3" w:rsidP="00EA18E3">
      <w:pPr>
        <w:snapToGrid w:val="0"/>
        <w:spacing w:before="360" w:after="120"/>
        <w:rPr>
          <w:rFonts w:asciiTheme="minorHAnsi" w:hAnsiTheme="minorHAnsi"/>
          <w:b/>
          <w:bCs/>
          <w:sz w:val="28"/>
          <w:szCs w:val="28"/>
        </w:rPr>
      </w:pPr>
      <w:r>
        <w:rPr>
          <w:rFonts w:asciiTheme="minorHAnsi" w:hAnsiTheme="minorHAnsi"/>
          <w:b/>
          <w:bCs/>
          <w:sz w:val="28"/>
          <w:szCs w:val="28"/>
        </w:rPr>
        <w:t>4.</w:t>
      </w:r>
      <w:r>
        <w:rPr>
          <w:rFonts w:asciiTheme="minorHAnsi" w:hAnsiTheme="minorHAnsi"/>
          <w:b/>
          <w:bCs/>
          <w:sz w:val="28"/>
          <w:szCs w:val="28"/>
        </w:rPr>
        <w:tab/>
      </w:r>
      <w:r w:rsidR="007A3F35" w:rsidRPr="00EA18E3">
        <w:rPr>
          <w:rFonts w:asciiTheme="minorHAnsi" w:hAnsiTheme="minorHAnsi"/>
          <w:b/>
          <w:bCs/>
          <w:sz w:val="28"/>
          <w:szCs w:val="28"/>
        </w:rPr>
        <w:t xml:space="preserve">Alternative </w:t>
      </w:r>
      <w:r w:rsidR="00421A21" w:rsidRPr="00EA18E3">
        <w:rPr>
          <w:rFonts w:asciiTheme="minorHAnsi" w:hAnsiTheme="minorHAnsi"/>
          <w:b/>
          <w:bCs/>
          <w:sz w:val="28"/>
          <w:szCs w:val="28"/>
        </w:rPr>
        <w:t xml:space="preserve">translation </w:t>
      </w:r>
      <w:r w:rsidR="00350FBA">
        <w:rPr>
          <w:rFonts w:asciiTheme="minorHAnsi" w:hAnsiTheme="minorHAnsi"/>
          <w:b/>
          <w:bCs/>
          <w:sz w:val="28"/>
          <w:szCs w:val="28"/>
        </w:rPr>
        <w:t xml:space="preserve">and interpretation </w:t>
      </w:r>
      <w:r w:rsidR="00421A21" w:rsidRPr="00EA18E3">
        <w:rPr>
          <w:rFonts w:asciiTheme="minorHAnsi" w:hAnsiTheme="minorHAnsi"/>
          <w:b/>
          <w:bCs/>
          <w:sz w:val="28"/>
          <w:szCs w:val="28"/>
        </w:rPr>
        <w:t xml:space="preserve">procedures </w:t>
      </w:r>
    </w:p>
    <w:p w14:paraId="73028BD8" w14:textId="77777777" w:rsidR="000A1906" w:rsidRPr="006016CC" w:rsidRDefault="002C1C67" w:rsidP="008B0EB9">
      <w:pPr>
        <w:keepNext/>
        <w:keepLines/>
        <w:snapToGrid w:val="0"/>
        <w:spacing w:after="120"/>
        <w:jc w:val="both"/>
        <w:rPr>
          <w:rFonts w:asciiTheme="minorHAnsi" w:hAnsiTheme="minorHAnsi"/>
          <w:szCs w:val="24"/>
        </w:rPr>
      </w:pPr>
      <w:r w:rsidRPr="006016CC">
        <w:rPr>
          <w:rFonts w:asciiTheme="minorHAnsi" w:hAnsiTheme="minorHAnsi"/>
          <w:szCs w:val="24"/>
        </w:rPr>
        <w:t xml:space="preserve">The Union </w:t>
      </w:r>
      <w:r w:rsidR="00CF7B85" w:rsidRPr="006016CC">
        <w:rPr>
          <w:rFonts w:asciiTheme="minorHAnsi" w:hAnsiTheme="minorHAnsi"/>
          <w:szCs w:val="24"/>
        </w:rPr>
        <w:t>is constantly evaluating</w:t>
      </w:r>
      <w:r w:rsidRPr="006016CC">
        <w:rPr>
          <w:rFonts w:asciiTheme="minorHAnsi" w:hAnsiTheme="minorHAnsi"/>
          <w:szCs w:val="24"/>
        </w:rPr>
        <w:t>, test</w:t>
      </w:r>
      <w:r w:rsidR="00CF7B85" w:rsidRPr="006016CC">
        <w:rPr>
          <w:rFonts w:asciiTheme="minorHAnsi" w:hAnsiTheme="minorHAnsi"/>
          <w:szCs w:val="24"/>
        </w:rPr>
        <w:t>ing</w:t>
      </w:r>
      <w:r w:rsidRPr="006016CC">
        <w:rPr>
          <w:rFonts w:asciiTheme="minorHAnsi" w:hAnsiTheme="minorHAnsi"/>
          <w:szCs w:val="24"/>
        </w:rPr>
        <w:t xml:space="preserve"> and implement</w:t>
      </w:r>
      <w:r w:rsidR="00CF7B85" w:rsidRPr="006016CC">
        <w:rPr>
          <w:rFonts w:asciiTheme="minorHAnsi" w:hAnsiTheme="minorHAnsi"/>
          <w:szCs w:val="24"/>
        </w:rPr>
        <w:t>ing</w:t>
      </w:r>
      <w:r w:rsidRPr="006016CC">
        <w:rPr>
          <w:rFonts w:asciiTheme="minorHAnsi" w:hAnsiTheme="minorHAnsi"/>
          <w:szCs w:val="24"/>
        </w:rPr>
        <w:t xml:space="preserve"> viable </w:t>
      </w:r>
      <w:r w:rsidR="00064B17" w:rsidRPr="006016CC">
        <w:rPr>
          <w:rFonts w:asciiTheme="minorHAnsi" w:hAnsiTheme="minorHAnsi"/>
          <w:szCs w:val="24"/>
        </w:rPr>
        <w:t xml:space="preserve">and </w:t>
      </w:r>
      <w:r w:rsidRPr="006016CC">
        <w:rPr>
          <w:rFonts w:asciiTheme="minorHAnsi" w:hAnsiTheme="minorHAnsi"/>
          <w:szCs w:val="24"/>
        </w:rPr>
        <w:t xml:space="preserve">innovative translation procedures. </w:t>
      </w:r>
      <w:r w:rsidR="000A1906" w:rsidRPr="006016CC">
        <w:rPr>
          <w:rFonts w:asciiTheme="minorHAnsi" w:hAnsiTheme="minorHAnsi"/>
          <w:szCs w:val="24"/>
        </w:rPr>
        <w:t xml:space="preserve">In addition to outsourcing of translation work to </w:t>
      </w:r>
      <w:r w:rsidRPr="006016CC">
        <w:rPr>
          <w:rFonts w:asciiTheme="minorHAnsi" w:hAnsiTheme="minorHAnsi"/>
          <w:szCs w:val="24"/>
        </w:rPr>
        <w:t xml:space="preserve">recognized </w:t>
      </w:r>
      <w:r w:rsidR="000A1906" w:rsidRPr="006016CC">
        <w:rPr>
          <w:rFonts w:asciiTheme="minorHAnsi" w:hAnsiTheme="minorHAnsi"/>
          <w:szCs w:val="24"/>
        </w:rPr>
        <w:t xml:space="preserve">translation </w:t>
      </w:r>
      <w:r w:rsidRPr="006016CC">
        <w:rPr>
          <w:rFonts w:asciiTheme="minorHAnsi" w:hAnsiTheme="minorHAnsi"/>
          <w:szCs w:val="24"/>
        </w:rPr>
        <w:t xml:space="preserve">companies </w:t>
      </w:r>
      <w:r w:rsidR="00CF7B85" w:rsidRPr="006016CC">
        <w:rPr>
          <w:rFonts w:asciiTheme="minorHAnsi" w:hAnsiTheme="minorHAnsi"/>
          <w:szCs w:val="24"/>
        </w:rPr>
        <w:t xml:space="preserve">and freelance translators </w:t>
      </w:r>
      <w:r w:rsidRPr="006016CC">
        <w:rPr>
          <w:rFonts w:asciiTheme="minorHAnsi" w:hAnsiTheme="minorHAnsi"/>
          <w:szCs w:val="24"/>
        </w:rPr>
        <w:t xml:space="preserve">through calls for </w:t>
      </w:r>
      <w:r w:rsidR="000A1906" w:rsidRPr="006016CC">
        <w:rPr>
          <w:rFonts w:asciiTheme="minorHAnsi" w:hAnsiTheme="minorHAnsi"/>
          <w:szCs w:val="24"/>
        </w:rPr>
        <w:t>tender, significant progress is noted in the areas below:</w:t>
      </w:r>
    </w:p>
    <w:p w14:paraId="789C70D8" w14:textId="2FAB09D7" w:rsidR="00765E7A" w:rsidRPr="00CE7137" w:rsidRDefault="00F04A20" w:rsidP="00CC73BC">
      <w:pPr>
        <w:pStyle w:val="ListParagraph"/>
        <w:numPr>
          <w:ilvl w:val="0"/>
          <w:numId w:val="9"/>
        </w:numPr>
        <w:snapToGrid w:val="0"/>
        <w:spacing w:after="120"/>
        <w:jc w:val="both"/>
        <w:rPr>
          <w:rFonts w:asciiTheme="minorHAnsi" w:hAnsiTheme="minorHAnsi"/>
          <w:szCs w:val="24"/>
        </w:rPr>
      </w:pPr>
      <w:r w:rsidRPr="00CE7137">
        <w:rPr>
          <w:rFonts w:asciiTheme="minorHAnsi" w:hAnsiTheme="minorHAnsi"/>
          <w:szCs w:val="24"/>
          <w:lang w:val="en-US"/>
        </w:rPr>
        <w:t xml:space="preserve">With regards to the current </w:t>
      </w:r>
      <w:r w:rsidRPr="00CE7137">
        <w:rPr>
          <w:rFonts w:asciiTheme="minorHAnsi" w:hAnsiTheme="minorHAnsi"/>
          <w:b/>
          <w:bCs/>
          <w:szCs w:val="24"/>
          <w:lang w:val="en-US"/>
        </w:rPr>
        <w:t>machine translation project</w:t>
      </w:r>
      <w:r w:rsidRPr="00CE7137">
        <w:rPr>
          <w:rFonts w:asciiTheme="minorHAnsi" w:hAnsiTheme="minorHAnsi"/>
          <w:szCs w:val="24"/>
          <w:lang w:val="en-US"/>
        </w:rPr>
        <w:t xml:space="preserve"> in liaison with WIPO, all language pairs are available and translators have the possibility to use it in their translation work.</w:t>
      </w:r>
      <w:r w:rsidR="00CE7137">
        <w:rPr>
          <w:rFonts w:asciiTheme="minorHAnsi" w:hAnsiTheme="minorHAnsi"/>
          <w:szCs w:val="24"/>
          <w:lang w:val="en-US"/>
        </w:rPr>
        <w:t xml:space="preserve"> </w:t>
      </w:r>
      <w:r w:rsidR="00765E7A" w:rsidRPr="00CE7137">
        <w:rPr>
          <w:rFonts w:asciiTheme="minorHAnsi" w:hAnsiTheme="minorHAnsi"/>
          <w:szCs w:val="24"/>
          <w:lang w:val="en-US"/>
        </w:rPr>
        <w:t xml:space="preserve">Also a pilot project has been </w:t>
      </w:r>
      <w:r w:rsidR="0047229D" w:rsidRPr="00CE7137">
        <w:rPr>
          <w:rFonts w:asciiTheme="minorHAnsi" w:hAnsiTheme="minorHAnsi"/>
          <w:szCs w:val="24"/>
          <w:lang w:val="en-US"/>
        </w:rPr>
        <w:t>launched</w:t>
      </w:r>
      <w:r w:rsidR="00765E7A" w:rsidRPr="00CE7137">
        <w:rPr>
          <w:rFonts w:asciiTheme="minorHAnsi" w:hAnsiTheme="minorHAnsi"/>
          <w:szCs w:val="24"/>
          <w:lang w:val="en-US"/>
        </w:rPr>
        <w:t xml:space="preserve"> with a Lithuanian private company </w:t>
      </w:r>
      <w:r w:rsidR="0047229D" w:rsidRPr="00CE7137">
        <w:rPr>
          <w:rFonts w:asciiTheme="minorHAnsi" w:hAnsiTheme="minorHAnsi"/>
          <w:szCs w:val="24"/>
          <w:lang w:val="en-US"/>
        </w:rPr>
        <w:t>on English-Spanish neural machine translation, with a view to evaluate quality and usefulness of their machine translation technologies</w:t>
      </w:r>
      <w:r w:rsidRPr="00CE7137">
        <w:rPr>
          <w:rFonts w:asciiTheme="minorHAnsi" w:hAnsiTheme="minorHAnsi"/>
          <w:szCs w:val="24"/>
          <w:lang w:val="en-US"/>
        </w:rPr>
        <w:t>.</w:t>
      </w:r>
    </w:p>
    <w:p w14:paraId="1D999B2A" w14:textId="5FE9F03F" w:rsidR="00F44C13" w:rsidRPr="005D1AAD" w:rsidRDefault="003C10F2" w:rsidP="004F488B">
      <w:pPr>
        <w:pStyle w:val="ListParagraph"/>
        <w:numPr>
          <w:ilvl w:val="0"/>
          <w:numId w:val="3"/>
        </w:numPr>
        <w:snapToGrid w:val="0"/>
        <w:spacing w:after="120"/>
        <w:jc w:val="both"/>
        <w:rPr>
          <w:rFonts w:asciiTheme="minorHAnsi" w:hAnsiTheme="minorHAnsi"/>
          <w:szCs w:val="24"/>
        </w:rPr>
      </w:pPr>
      <w:r w:rsidRPr="006016CC">
        <w:rPr>
          <w:rFonts w:asciiTheme="minorHAnsi" w:hAnsiTheme="minorHAnsi"/>
          <w:szCs w:val="24"/>
        </w:rPr>
        <w:t xml:space="preserve">Council-15 had instructed the Secretary-General and the Directors of the Bureaux “to study the </w:t>
      </w:r>
      <w:r w:rsidRPr="006016CC">
        <w:rPr>
          <w:rFonts w:asciiTheme="minorHAnsi" w:hAnsiTheme="minorHAnsi"/>
          <w:b/>
          <w:bCs/>
          <w:szCs w:val="24"/>
        </w:rPr>
        <w:t>use of remote interpretation</w:t>
      </w:r>
      <w:r w:rsidRPr="006016CC">
        <w:rPr>
          <w:rFonts w:asciiTheme="minorHAnsi" w:hAnsiTheme="minorHAnsi"/>
          <w:szCs w:val="24"/>
        </w:rPr>
        <w:t xml:space="preserve"> in consultation with CWG-LANG.” (Document </w:t>
      </w:r>
      <w:hyperlink r:id="rId12" w:history="1">
        <w:r w:rsidRPr="008A3702">
          <w:rPr>
            <w:rStyle w:val="Hyperlink"/>
            <w:rFonts w:asciiTheme="minorHAnsi" w:hAnsiTheme="minorHAnsi"/>
            <w:szCs w:val="24"/>
          </w:rPr>
          <w:t>C15/99</w:t>
        </w:r>
      </w:hyperlink>
      <w:r w:rsidRPr="006016CC">
        <w:rPr>
          <w:rFonts w:asciiTheme="minorHAnsi" w:hAnsiTheme="minorHAnsi"/>
          <w:szCs w:val="24"/>
        </w:rPr>
        <w:t xml:space="preserve">). </w:t>
      </w:r>
      <w:r w:rsidR="00F44C13">
        <w:rPr>
          <w:rFonts w:asciiTheme="minorHAnsi" w:hAnsiTheme="minorHAnsi"/>
          <w:szCs w:val="24"/>
        </w:rPr>
        <w:t xml:space="preserve">The </w:t>
      </w:r>
      <w:r w:rsidR="00F44C13" w:rsidRPr="00F44C13">
        <w:rPr>
          <w:rFonts w:asciiTheme="minorHAnsi" w:hAnsiTheme="minorHAnsi"/>
          <w:szCs w:val="24"/>
        </w:rPr>
        <w:t>Group on Study and Evaluation of the Translation Procedures discussed the lessons learnt from the remote interpretation pilot which was conducted on occasion of the ITU TELECOM in Bangkok in 2016 and the possibility of making a second trial in remote interpretation in the coming year</w:t>
      </w:r>
      <w:r w:rsidR="009606E7">
        <w:rPr>
          <w:rFonts w:asciiTheme="minorHAnsi" w:hAnsiTheme="minorHAnsi"/>
          <w:szCs w:val="24"/>
        </w:rPr>
        <w:t xml:space="preserve"> </w:t>
      </w:r>
      <w:r w:rsidR="009606E7" w:rsidRPr="005D1AAD">
        <w:rPr>
          <w:rFonts w:asciiTheme="minorHAnsi" w:hAnsiTheme="minorHAnsi"/>
          <w:szCs w:val="24"/>
        </w:rPr>
        <w:t xml:space="preserve">(see </w:t>
      </w:r>
      <w:hyperlink r:id="rId13" w:history="1">
        <w:r w:rsidR="009606E7" w:rsidRPr="005D1AAD">
          <w:rPr>
            <w:rStyle w:val="Hyperlink"/>
            <w:rFonts w:asciiTheme="minorHAnsi" w:hAnsiTheme="minorHAnsi"/>
            <w:szCs w:val="24"/>
          </w:rPr>
          <w:t>C1</w:t>
        </w:r>
        <w:r w:rsidR="009606E7" w:rsidRPr="005D1AAD">
          <w:rPr>
            <w:rStyle w:val="Hyperlink"/>
            <w:rFonts w:asciiTheme="minorHAnsi" w:hAnsiTheme="minorHAnsi"/>
            <w:szCs w:val="24"/>
          </w:rPr>
          <w:t>7</w:t>
        </w:r>
        <w:r w:rsidR="009606E7" w:rsidRPr="005D1AAD">
          <w:rPr>
            <w:rStyle w:val="Hyperlink"/>
            <w:rFonts w:asciiTheme="minorHAnsi" w:hAnsiTheme="minorHAnsi"/>
            <w:szCs w:val="24"/>
          </w:rPr>
          <w:t>/XX</w:t>
        </w:r>
      </w:hyperlink>
      <w:r w:rsidR="009606E7" w:rsidRPr="005D1AAD">
        <w:rPr>
          <w:rFonts w:asciiTheme="minorHAnsi" w:hAnsiTheme="minorHAnsi"/>
          <w:szCs w:val="24"/>
        </w:rPr>
        <w:t>)</w:t>
      </w:r>
      <w:r w:rsidR="00F44C13" w:rsidRPr="005D1AAD">
        <w:rPr>
          <w:rFonts w:asciiTheme="minorHAnsi" w:hAnsiTheme="minorHAnsi"/>
          <w:szCs w:val="24"/>
        </w:rPr>
        <w:t xml:space="preserve">. </w:t>
      </w:r>
    </w:p>
    <w:p w14:paraId="752BF842" w14:textId="40EC3FBF" w:rsidR="00EC5292" w:rsidRDefault="0026000E" w:rsidP="009606E7">
      <w:pPr>
        <w:pStyle w:val="ListParagraph"/>
        <w:numPr>
          <w:ilvl w:val="0"/>
          <w:numId w:val="3"/>
        </w:numPr>
        <w:snapToGrid w:val="0"/>
        <w:spacing w:after="120"/>
        <w:contextualSpacing w:val="0"/>
        <w:jc w:val="both"/>
        <w:rPr>
          <w:rFonts w:asciiTheme="minorHAnsi" w:hAnsiTheme="minorHAnsi"/>
          <w:szCs w:val="24"/>
        </w:rPr>
      </w:pPr>
      <w:r w:rsidRPr="00553A09">
        <w:rPr>
          <w:rFonts w:asciiTheme="minorHAnsi" w:hAnsiTheme="minorHAnsi"/>
          <w:b/>
          <w:bCs/>
          <w:szCs w:val="24"/>
        </w:rPr>
        <w:t>Pilot</w:t>
      </w:r>
      <w:r w:rsidR="00650641" w:rsidRPr="00553A09">
        <w:rPr>
          <w:rFonts w:asciiTheme="minorHAnsi" w:hAnsiTheme="minorHAnsi"/>
          <w:b/>
          <w:bCs/>
          <w:szCs w:val="24"/>
        </w:rPr>
        <w:t xml:space="preserve"> project for the translation of webpages with the help of some administrations. </w:t>
      </w:r>
      <w:r w:rsidR="009606E7">
        <w:rPr>
          <w:rFonts w:asciiTheme="minorHAnsi" w:hAnsiTheme="minorHAnsi"/>
          <w:szCs w:val="24"/>
        </w:rPr>
        <w:t xml:space="preserve">(see </w:t>
      </w:r>
      <w:hyperlink r:id="rId14" w:history="1">
        <w:r w:rsidR="009606E7" w:rsidRPr="005D1AAD">
          <w:rPr>
            <w:rStyle w:val="Hyperlink"/>
            <w:rFonts w:asciiTheme="minorHAnsi" w:hAnsiTheme="minorHAnsi"/>
            <w:szCs w:val="24"/>
          </w:rPr>
          <w:t>C17/XX</w:t>
        </w:r>
      </w:hyperlink>
      <w:r w:rsidR="009606E7">
        <w:rPr>
          <w:rFonts w:asciiTheme="minorHAnsi" w:hAnsiTheme="minorHAnsi"/>
          <w:szCs w:val="24"/>
        </w:rPr>
        <w:t>)</w:t>
      </w:r>
    </w:p>
    <w:p w14:paraId="6C62FCD5" w14:textId="4B730058" w:rsidR="0047229D" w:rsidRDefault="0047229D" w:rsidP="00BC5C11">
      <w:pPr>
        <w:pStyle w:val="ListParagraph"/>
        <w:numPr>
          <w:ilvl w:val="0"/>
          <w:numId w:val="3"/>
        </w:numPr>
        <w:snapToGrid w:val="0"/>
        <w:spacing w:after="120"/>
        <w:contextualSpacing w:val="0"/>
        <w:jc w:val="both"/>
        <w:rPr>
          <w:rFonts w:asciiTheme="minorHAnsi" w:hAnsiTheme="minorHAnsi"/>
          <w:szCs w:val="24"/>
        </w:rPr>
      </w:pPr>
      <w:r>
        <w:rPr>
          <w:rFonts w:asciiTheme="minorHAnsi" w:hAnsiTheme="minorHAnsi"/>
          <w:b/>
          <w:bCs/>
          <w:szCs w:val="24"/>
        </w:rPr>
        <w:t xml:space="preserve">Pilot test of a New Content Management System </w:t>
      </w:r>
      <w:r w:rsidR="0026000E">
        <w:rPr>
          <w:rFonts w:asciiTheme="minorHAnsi" w:hAnsiTheme="minorHAnsi"/>
          <w:b/>
          <w:bCs/>
          <w:szCs w:val="24"/>
        </w:rPr>
        <w:t>(</w:t>
      </w:r>
      <w:r w:rsidR="00BB2987">
        <w:rPr>
          <w:rFonts w:asciiTheme="minorHAnsi" w:hAnsiTheme="minorHAnsi"/>
          <w:b/>
          <w:bCs/>
          <w:szCs w:val="24"/>
        </w:rPr>
        <w:t xml:space="preserve">PP-18 </w:t>
      </w:r>
      <w:r w:rsidR="0026000E">
        <w:rPr>
          <w:rFonts w:asciiTheme="minorHAnsi" w:hAnsiTheme="minorHAnsi"/>
          <w:b/>
          <w:bCs/>
          <w:szCs w:val="24"/>
        </w:rPr>
        <w:t xml:space="preserve">CMS) </w:t>
      </w:r>
      <w:r>
        <w:rPr>
          <w:rFonts w:asciiTheme="minorHAnsi" w:hAnsiTheme="minorHAnsi"/>
          <w:b/>
          <w:bCs/>
          <w:szCs w:val="24"/>
        </w:rPr>
        <w:t xml:space="preserve">for translation of PP webpages: </w:t>
      </w:r>
      <w:r w:rsidR="00BB2987" w:rsidRPr="00BB2987">
        <w:rPr>
          <w:rFonts w:asciiTheme="minorHAnsi" w:hAnsiTheme="minorHAnsi"/>
          <w:szCs w:val="24"/>
        </w:rPr>
        <w:t>This is an ITU pilot project for simultaneous publication of webpages in the six official languages of the Union, simultaneously and in equal terms of functionality and navigation (ITU Council Resolution 1372).</w:t>
      </w:r>
      <w:r w:rsidR="00BB2987" w:rsidRPr="00BB2987">
        <w:rPr>
          <w:rFonts w:asciiTheme="minorHAnsi" w:hAnsiTheme="minorHAnsi"/>
          <w:b/>
          <w:bCs/>
          <w:szCs w:val="24"/>
        </w:rPr>
        <w:t xml:space="preserve"> </w:t>
      </w:r>
      <w:r w:rsidR="0026000E" w:rsidRPr="0026000E">
        <w:rPr>
          <w:rFonts w:asciiTheme="minorHAnsi" w:hAnsiTheme="minorHAnsi"/>
          <w:szCs w:val="24"/>
        </w:rPr>
        <w:t>The PP-18 CMS is designed to be a simple yet powerful and flexible Content Management Systems. Its objectives is to simplify content lifecycle processes and allow content contributors to focus on what they do best in their specific roles</w:t>
      </w:r>
      <w:r w:rsidR="0026000E">
        <w:rPr>
          <w:rFonts w:asciiTheme="minorHAnsi" w:hAnsiTheme="minorHAnsi"/>
          <w:szCs w:val="24"/>
        </w:rPr>
        <w:t>.</w:t>
      </w:r>
    </w:p>
    <w:p w14:paraId="009CCC5C" w14:textId="7ECD1A03" w:rsidR="00421A21" w:rsidRPr="00EA18E3" w:rsidRDefault="00421A21" w:rsidP="00EA18E3">
      <w:pPr>
        <w:pStyle w:val="ListParagraph"/>
        <w:keepNext/>
        <w:keepLines/>
        <w:numPr>
          <w:ilvl w:val="0"/>
          <w:numId w:val="13"/>
        </w:numPr>
        <w:snapToGrid w:val="0"/>
        <w:spacing w:after="120"/>
        <w:jc w:val="both"/>
        <w:rPr>
          <w:rFonts w:asciiTheme="minorHAnsi" w:hAnsiTheme="minorHAnsi"/>
          <w:b/>
          <w:bCs/>
          <w:sz w:val="28"/>
          <w:szCs w:val="28"/>
        </w:rPr>
      </w:pPr>
      <w:r w:rsidRPr="00EA18E3">
        <w:rPr>
          <w:rFonts w:asciiTheme="minorHAnsi" w:hAnsiTheme="minorHAnsi"/>
          <w:b/>
          <w:bCs/>
          <w:sz w:val="28"/>
          <w:szCs w:val="28"/>
        </w:rPr>
        <w:t>Progress made on the implementation of measures and principles for translation and interpretation adopted by the Council in its 2014 session</w:t>
      </w:r>
      <w:r w:rsidR="00987F7A" w:rsidRPr="00EA18E3">
        <w:rPr>
          <w:rFonts w:asciiTheme="minorHAnsi" w:hAnsiTheme="minorHAnsi"/>
          <w:b/>
          <w:bCs/>
          <w:sz w:val="28"/>
          <w:szCs w:val="28"/>
        </w:rPr>
        <w:t xml:space="preserve"> </w:t>
      </w:r>
    </w:p>
    <w:p w14:paraId="4D7FD481" w14:textId="77777777" w:rsidR="00E975A1" w:rsidRDefault="00421A21" w:rsidP="00E975A1">
      <w:pPr>
        <w:tabs>
          <w:tab w:val="clear" w:pos="794"/>
          <w:tab w:val="clear" w:pos="1191"/>
          <w:tab w:val="clear" w:pos="1588"/>
          <w:tab w:val="clear" w:pos="1985"/>
        </w:tabs>
        <w:snapToGrid w:val="0"/>
        <w:spacing w:after="120"/>
        <w:jc w:val="both"/>
        <w:rPr>
          <w:rFonts w:asciiTheme="minorHAnsi" w:hAnsiTheme="minorHAnsi"/>
          <w:szCs w:val="24"/>
          <w:lang w:val="en-US"/>
        </w:rPr>
      </w:pPr>
      <w:r w:rsidRPr="006016CC">
        <w:rPr>
          <w:rFonts w:asciiTheme="minorHAnsi" w:hAnsiTheme="minorHAnsi"/>
          <w:szCs w:val="24"/>
          <w:lang w:val="en-US"/>
        </w:rPr>
        <w:t>The measures and principles for</w:t>
      </w:r>
      <w:r w:rsidR="002C1C67" w:rsidRPr="006016CC">
        <w:rPr>
          <w:rFonts w:asciiTheme="minorHAnsi" w:hAnsiTheme="minorHAnsi"/>
          <w:szCs w:val="24"/>
          <w:lang w:val="en-US"/>
        </w:rPr>
        <w:t xml:space="preserve"> translation and interpretation, as adopted by</w:t>
      </w:r>
      <w:r w:rsidRPr="006016CC">
        <w:rPr>
          <w:rFonts w:asciiTheme="minorHAnsi" w:hAnsiTheme="minorHAnsi"/>
          <w:szCs w:val="24"/>
          <w:lang w:val="en-US"/>
        </w:rPr>
        <w:t xml:space="preserve"> </w:t>
      </w:r>
      <w:r w:rsidR="002C1C67" w:rsidRPr="006016CC">
        <w:rPr>
          <w:rFonts w:asciiTheme="minorHAnsi" w:hAnsiTheme="minorHAnsi"/>
          <w:szCs w:val="24"/>
          <w:lang w:val="en-US"/>
        </w:rPr>
        <w:t xml:space="preserve">Council </w:t>
      </w:r>
      <w:r w:rsidRPr="006016CC">
        <w:rPr>
          <w:rFonts w:asciiTheme="minorHAnsi" w:hAnsiTheme="minorHAnsi"/>
          <w:szCs w:val="24"/>
          <w:lang w:val="en-US"/>
        </w:rPr>
        <w:t>in 2014</w:t>
      </w:r>
      <w:r w:rsidR="001A532E" w:rsidRPr="006016CC">
        <w:rPr>
          <w:rFonts w:asciiTheme="minorHAnsi" w:hAnsiTheme="minorHAnsi"/>
          <w:szCs w:val="24"/>
          <w:lang w:val="en-US"/>
        </w:rPr>
        <w:t xml:space="preserve"> and 2016</w:t>
      </w:r>
      <w:r w:rsidRPr="006016CC">
        <w:rPr>
          <w:rFonts w:asciiTheme="minorHAnsi" w:hAnsiTheme="minorHAnsi"/>
          <w:szCs w:val="24"/>
          <w:lang w:val="en-US"/>
        </w:rPr>
        <w:t xml:space="preserve">, are systematically </w:t>
      </w:r>
      <w:r w:rsidR="002C1C67" w:rsidRPr="006016CC">
        <w:rPr>
          <w:rFonts w:asciiTheme="minorHAnsi" w:hAnsiTheme="minorHAnsi"/>
          <w:szCs w:val="24"/>
          <w:lang w:val="en-US"/>
        </w:rPr>
        <w:t xml:space="preserve">considered </w:t>
      </w:r>
      <w:r w:rsidRPr="006016CC">
        <w:rPr>
          <w:rFonts w:asciiTheme="minorHAnsi" w:hAnsiTheme="minorHAnsi"/>
          <w:szCs w:val="24"/>
          <w:lang w:val="en-US"/>
        </w:rPr>
        <w:t xml:space="preserve">by the secretariat as a </w:t>
      </w:r>
      <w:r w:rsidR="002C1C67" w:rsidRPr="006016CC">
        <w:rPr>
          <w:rFonts w:asciiTheme="minorHAnsi" w:hAnsiTheme="minorHAnsi"/>
          <w:szCs w:val="24"/>
          <w:lang w:val="en-US"/>
        </w:rPr>
        <w:t xml:space="preserve">benchmark in the delivery of </w:t>
      </w:r>
      <w:r w:rsidRPr="006016CC">
        <w:rPr>
          <w:rFonts w:asciiTheme="minorHAnsi" w:hAnsiTheme="minorHAnsi"/>
          <w:szCs w:val="24"/>
          <w:lang w:val="en-US"/>
        </w:rPr>
        <w:t xml:space="preserve">translation and interpretation </w:t>
      </w:r>
      <w:r w:rsidR="002C1C67" w:rsidRPr="006016CC">
        <w:rPr>
          <w:rFonts w:asciiTheme="minorHAnsi" w:hAnsiTheme="minorHAnsi"/>
          <w:szCs w:val="24"/>
          <w:lang w:val="en-US"/>
        </w:rPr>
        <w:t xml:space="preserve">services </w:t>
      </w:r>
      <w:r w:rsidRPr="006016CC">
        <w:rPr>
          <w:rFonts w:asciiTheme="minorHAnsi" w:hAnsiTheme="minorHAnsi"/>
          <w:szCs w:val="24"/>
          <w:lang w:val="en-US"/>
        </w:rPr>
        <w:t>for ITU conferences, meetings, documents and publications</w:t>
      </w:r>
      <w:r w:rsidR="002C1C67" w:rsidRPr="006016CC">
        <w:rPr>
          <w:rFonts w:asciiTheme="minorHAnsi" w:hAnsiTheme="minorHAnsi"/>
          <w:szCs w:val="24"/>
          <w:lang w:val="en-US"/>
        </w:rPr>
        <w:t xml:space="preserve">. </w:t>
      </w:r>
    </w:p>
    <w:p w14:paraId="4040C02D" w14:textId="77777777" w:rsidR="00E975A1" w:rsidRDefault="00547125" w:rsidP="00E975A1">
      <w:pPr>
        <w:tabs>
          <w:tab w:val="clear" w:pos="794"/>
          <w:tab w:val="clear" w:pos="1191"/>
          <w:tab w:val="clear" w:pos="1588"/>
          <w:tab w:val="clear" w:pos="1985"/>
        </w:tabs>
        <w:snapToGrid w:val="0"/>
        <w:spacing w:after="120"/>
        <w:jc w:val="both"/>
        <w:rPr>
          <w:rFonts w:asciiTheme="minorHAnsi" w:hAnsiTheme="minorHAnsi"/>
          <w:szCs w:val="24"/>
          <w:lang w:val="en-US"/>
        </w:rPr>
      </w:pPr>
      <w:r w:rsidRPr="00E975A1">
        <w:rPr>
          <w:rFonts w:asciiTheme="minorHAnsi" w:hAnsiTheme="minorHAnsi"/>
          <w:szCs w:val="24"/>
          <w:lang w:val="en-US"/>
        </w:rPr>
        <w:t xml:space="preserve">To this end, all preparatory and in-session documents, including the provisional Final </w:t>
      </w:r>
      <w:r w:rsidR="0047229D" w:rsidRPr="00E975A1">
        <w:rPr>
          <w:rFonts w:asciiTheme="minorHAnsi" w:hAnsiTheme="minorHAnsi"/>
          <w:szCs w:val="24"/>
          <w:lang w:val="en-US"/>
        </w:rPr>
        <w:t>Report</w:t>
      </w:r>
      <w:r w:rsidRPr="00E975A1">
        <w:rPr>
          <w:rFonts w:asciiTheme="minorHAnsi" w:hAnsiTheme="minorHAnsi"/>
          <w:szCs w:val="24"/>
          <w:lang w:val="en-US"/>
        </w:rPr>
        <w:t xml:space="preserve">, were delivered in the six official languages for the </w:t>
      </w:r>
      <w:r w:rsidR="0047229D" w:rsidRPr="00E975A1">
        <w:rPr>
          <w:rFonts w:asciiTheme="minorHAnsi" w:hAnsiTheme="minorHAnsi"/>
          <w:b/>
          <w:bCs/>
          <w:szCs w:val="24"/>
          <w:lang w:val="en-US"/>
        </w:rPr>
        <w:t>WTDC</w:t>
      </w:r>
      <w:r w:rsidR="00F5243E" w:rsidRPr="00E975A1">
        <w:rPr>
          <w:rFonts w:asciiTheme="minorHAnsi" w:hAnsiTheme="minorHAnsi"/>
          <w:b/>
          <w:bCs/>
          <w:szCs w:val="24"/>
          <w:lang w:val="en-US"/>
        </w:rPr>
        <w:t>-1</w:t>
      </w:r>
      <w:r w:rsidR="0047229D" w:rsidRPr="00E975A1">
        <w:rPr>
          <w:rFonts w:asciiTheme="minorHAnsi" w:hAnsiTheme="minorHAnsi"/>
          <w:b/>
          <w:bCs/>
          <w:szCs w:val="24"/>
          <w:lang w:val="en-US"/>
        </w:rPr>
        <w:t>7</w:t>
      </w:r>
      <w:r w:rsidRPr="00E975A1">
        <w:rPr>
          <w:rFonts w:asciiTheme="minorHAnsi" w:hAnsiTheme="minorHAnsi"/>
          <w:szCs w:val="24"/>
          <w:lang w:val="en-US"/>
        </w:rPr>
        <w:t xml:space="preserve">. Final versions of </w:t>
      </w:r>
      <w:r w:rsidR="007C5F67" w:rsidRPr="00E975A1">
        <w:rPr>
          <w:rFonts w:asciiTheme="minorHAnsi" w:hAnsiTheme="minorHAnsi"/>
          <w:szCs w:val="24"/>
          <w:lang w:val="en-US"/>
        </w:rPr>
        <w:t>the outcome</w:t>
      </w:r>
      <w:r w:rsidRPr="00E975A1">
        <w:rPr>
          <w:rFonts w:asciiTheme="minorHAnsi" w:hAnsiTheme="minorHAnsi"/>
          <w:szCs w:val="24"/>
          <w:lang w:val="en-US"/>
        </w:rPr>
        <w:t xml:space="preserve"> documents </w:t>
      </w:r>
      <w:r w:rsidR="00F5243E" w:rsidRPr="00E975A1">
        <w:rPr>
          <w:rFonts w:asciiTheme="minorHAnsi" w:hAnsiTheme="minorHAnsi"/>
          <w:szCs w:val="24"/>
          <w:lang w:val="en-US"/>
        </w:rPr>
        <w:t xml:space="preserve">for </w:t>
      </w:r>
      <w:r w:rsidR="0047229D" w:rsidRPr="00E975A1">
        <w:rPr>
          <w:rFonts w:asciiTheme="minorHAnsi" w:hAnsiTheme="minorHAnsi"/>
          <w:b/>
          <w:bCs/>
          <w:szCs w:val="24"/>
          <w:lang w:val="en-US"/>
        </w:rPr>
        <w:t>WTSA-16</w:t>
      </w:r>
      <w:r w:rsidR="00F5243E" w:rsidRPr="00E975A1">
        <w:rPr>
          <w:rFonts w:asciiTheme="minorHAnsi" w:hAnsiTheme="minorHAnsi"/>
          <w:szCs w:val="24"/>
          <w:lang w:val="en-US"/>
        </w:rPr>
        <w:t xml:space="preserve"> </w:t>
      </w:r>
      <w:r w:rsidRPr="00E975A1">
        <w:rPr>
          <w:rFonts w:asciiTheme="minorHAnsi" w:hAnsiTheme="minorHAnsi"/>
          <w:szCs w:val="24"/>
          <w:lang w:val="en-US"/>
        </w:rPr>
        <w:t xml:space="preserve">were also </w:t>
      </w:r>
      <w:r w:rsidR="007C5F67" w:rsidRPr="00E975A1">
        <w:rPr>
          <w:rFonts w:asciiTheme="minorHAnsi" w:hAnsiTheme="minorHAnsi"/>
          <w:szCs w:val="24"/>
          <w:lang w:val="en-US"/>
        </w:rPr>
        <w:t>published</w:t>
      </w:r>
      <w:r w:rsidRPr="00E975A1">
        <w:rPr>
          <w:rFonts w:asciiTheme="minorHAnsi" w:hAnsiTheme="minorHAnsi"/>
          <w:szCs w:val="24"/>
          <w:lang w:val="en-US"/>
        </w:rPr>
        <w:t xml:space="preserve"> in all six languages. </w:t>
      </w:r>
      <w:r w:rsidR="007F78E7" w:rsidRPr="00E975A1">
        <w:rPr>
          <w:rFonts w:asciiTheme="minorHAnsi" w:hAnsiTheme="minorHAnsi"/>
          <w:szCs w:val="24"/>
          <w:lang w:val="en-US"/>
        </w:rPr>
        <w:t>A schedule is being prepared for t</w:t>
      </w:r>
      <w:r w:rsidRPr="00E975A1">
        <w:rPr>
          <w:rFonts w:asciiTheme="minorHAnsi" w:hAnsiTheme="minorHAnsi"/>
          <w:szCs w:val="24"/>
          <w:lang w:val="en-US"/>
        </w:rPr>
        <w:t xml:space="preserve">he delivery of all relevant preparatory documentation in six languages for the </w:t>
      </w:r>
      <w:r w:rsidR="0047229D" w:rsidRPr="00E975A1">
        <w:rPr>
          <w:rFonts w:asciiTheme="minorHAnsi" w:hAnsiTheme="minorHAnsi"/>
          <w:b/>
          <w:bCs/>
          <w:szCs w:val="24"/>
          <w:lang w:val="en-US"/>
        </w:rPr>
        <w:t>PP</w:t>
      </w:r>
      <w:r w:rsidRPr="00E975A1">
        <w:rPr>
          <w:rFonts w:asciiTheme="minorHAnsi" w:hAnsiTheme="minorHAnsi"/>
          <w:szCs w:val="24"/>
          <w:lang w:val="en-US"/>
        </w:rPr>
        <w:t xml:space="preserve"> in October</w:t>
      </w:r>
      <w:r w:rsidR="0047229D" w:rsidRPr="00E975A1">
        <w:rPr>
          <w:rFonts w:asciiTheme="minorHAnsi" w:hAnsiTheme="minorHAnsi"/>
          <w:szCs w:val="24"/>
          <w:lang w:val="en-US"/>
        </w:rPr>
        <w:t>-November</w:t>
      </w:r>
      <w:r w:rsidRPr="00E975A1">
        <w:rPr>
          <w:rFonts w:asciiTheme="minorHAnsi" w:hAnsiTheme="minorHAnsi"/>
          <w:szCs w:val="24"/>
          <w:lang w:val="en-US"/>
        </w:rPr>
        <w:t xml:space="preserve"> of </w:t>
      </w:r>
      <w:r w:rsidR="00F5243E" w:rsidRPr="00E975A1">
        <w:rPr>
          <w:rFonts w:asciiTheme="minorHAnsi" w:hAnsiTheme="minorHAnsi"/>
          <w:szCs w:val="24"/>
          <w:lang w:val="en-US"/>
        </w:rPr>
        <w:t>201</w:t>
      </w:r>
      <w:r w:rsidR="0047229D" w:rsidRPr="00E975A1">
        <w:rPr>
          <w:rFonts w:asciiTheme="minorHAnsi" w:hAnsiTheme="minorHAnsi"/>
          <w:szCs w:val="24"/>
          <w:lang w:val="en-US"/>
        </w:rPr>
        <w:t>8</w:t>
      </w:r>
      <w:r w:rsidRPr="00E975A1">
        <w:rPr>
          <w:rFonts w:asciiTheme="minorHAnsi" w:hAnsiTheme="minorHAnsi"/>
          <w:szCs w:val="24"/>
          <w:lang w:val="en-US"/>
        </w:rPr>
        <w:t>.</w:t>
      </w:r>
    </w:p>
    <w:p w14:paraId="3B3E7371" w14:textId="54CD8DBE" w:rsidR="00E975A1" w:rsidRPr="006016CC" w:rsidRDefault="00E975A1">
      <w:pPr>
        <w:tabs>
          <w:tab w:val="clear" w:pos="794"/>
          <w:tab w:val="clear" w:pos="1191"/>
          <w:tab w:val="clear" w:pos="1588"/>
          <w:tab w:val="clear" w:pos="1985"/>
        </w:tabs>
        <w:snapToGrid w:val="0"/>
        <w:spacing w:after="120"/>
        <w:jc w:val="both"/>
      </w:pPr>
      <w:r w:rsidRPr="00E975A1">
        <w:rPr>
          <w:rFonts w:asciiTheme="minorHAnsi" w:hAnsiTheme="minorHAnsi"/>
        </w:rPr>
        <w:t>T</w:t>
      </w:r>
      <w:r w:rsidR="005C54BE" w:rsidRPr="00E975A1">
        <w:rPr>
          <w:rFonts w:asciiTheme="minorHAnsi" w:hAnsiTheme="minorHAnsi"/>
        </w:rPr>
        <w:t>SB continues</w:t>
      </w:r>
      <w:r w:rsidR="00BC5C11">
        <w:rPr>
          <w:rFonts w:asciiTheme="minorHAnsi" w:hAnsiTheme="minorHAnsi"/>
        </w:rPr>
        <w:t xml:space="preserve"> </w:t>
      </w:r>
      <w:r w:rsidR="00750E3D">
        <w:rPr>
          <w:rFonts w:asciiTheme="minorHAnsi" w:hAnsiTheme="minorHAnsi"/>
        </w:rPr>
        <w:t xml:space="preserve">to </w:t>
      </w:r>
      <w:r w:rsidR="00BC5C11">
        <w:rPr>
          <w:rFonts w:asciiTheme="minorHAnsi" w:hAnsiTheme="minorHAnsi"/>
        </w:rPr>
        <w:t>cooperate with C&amp;P</w:t>
      </w:r>
      <w:r w:rsidR="005C54BE" w:rsidRPr="00E975A1">
        <w:rPr>
          <w:rFonts w:asciiTheme="minorHAnsi" w:hAnsiTheme="minorHAnsi"/>
        </w:rPr>
        <w:t xml:space="preserve"> to translate </w:t>
      </w:r>
      <w:r w:rsidR="005C54BE" w:rsidRPr="00E975A1">
        <w:rPr>
          <w:rFonts w:asciiTheme="minorHAnsi" w:hAnsiTheme="minorHAnsi"/>
          <w:b/>
          <w:bCs/>
        </w:rPr>
        <w:t>Recommendations approved under the Alternative Approval Procedure (AAP)</w:t>
      </w:r>
      <w:r w:rsidR="005C54BE" w:rsidRPr="00E975A1">
        <w:rPr>
          <w:rFonts w:asciiTheme="minorHAnsi" w:hAnsiTheme="minorHAnsi"/>
        </w:rPr>
        <w:t xml:space="preserve"> within the limits </w:t>
      </w:r>
      <w:proofErr w:type="gramStart"/>
      <w:r w:rsidR="005C54BE" w:rsidRPr="00E975A1">
        <w:rPr>
          <w:rFonts w:asciiTheme="minorHAnsi" w:hAnsiTheme="minorHAnsi"/>
        </w:rPr>
        <w:t xml:space="preserve">of </w:t>
      </w:r>
      <w:r w:rsidR="00B977EF">
        <w:rPr>
          <w:rFonts w:asciiTheme="minorHAnsi" w:hAnsiTheme="minorHAnsi"/>
        </w:rPr>
        <w:t xml:space="preserve"> </w:t>
      </w:r>
      <w:r w:rsidR="005C54BE" w:rsidRPr="00E975A1">
        <w:rPr>
          <w:rFonts w:asciiTheme="minorHAnsi" w:hAnsiTheme="minorHAnsi"/>
        </w:rPr>
        <w:t>available</w:t>
      </w:r>
      <w:proofErr w:type="gramEnd"/>
      <w:r w:rsidR="005C54BE" w:rsidRPr="00E975A1">
        <w:rPr>
          <w:rFonts w:asciiTheme="minorHAnsi" w:hAnsiTheme="minorHAnsi"/>
        </w:rPr>
        <w:t xml:space="preserve"> budget. In the reporting period, TSB has requested the translation of </w:t>
      </w:r>
      <w:r w:rsidR="00172BA2" w:rsidRPr="00E975A1">
        <w:rPr>
          <w:rFonts w:asciiTheme="minorHAnsi" w:hAnsiTheme="minorHAnsi"/>
        </w:rPr>
        <w:t>55 Recommendations (1639 English pages) into one or several languages according to the specific needs expressed by the membership and within the limits of the budget available.</w:t>
      </w:r>
    </w:p>
    <w:tbl>
      <w:tblPr>
        <w:tblW w:w="9600" w:type="dxa"/>
        <w:tblInd w:w="-3" w:type="dxa"/>
        <w:tblCellMar>
          <w:left w:w="0" w:type="dxa"/>
          <w:right w:w="0" w:type="dxa"/>
        </w:tblCellMar>
        <w:tblLook w:val="04A0" w:firstRow="1" w:lastRow="0" w:firstColumn="1" w:lastColumn="0" w:noHBand="0" w:noVBand="1"/>
      </w:tblPr>
      <w:tblGrid>
        <w:gridCol w:w="1047"/>
        <w:gridCol w:w="873"/>
        <w:gridCol w:w="1047"/>
        <w:gridCol w:w="873"/>
        <w:gridCol w:w="1047"/>
        <w:gridCol w:w="873"/>
        <w:gridCol w:w="1047"/>
        <w:gridCol w:w="873"/>
        <w:gridCol w:w="919"/>
        <w:gridCol w:w="1001"/>
      </w:tblGrid>
      <w:tr w:rsidR="00172BA2" w:rsidRPr="00172BA2" w14:paraId="065A35AF" w14:textId="77777777" w:rsidTr="00172BA2">
        <w:trPr>
          <w:trHeight w:val="300"/>
        </w:trPr>
        <w:tc>
          <w:tcPr>
            <w:tcW w:w="19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F7020"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F</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6D3EB0"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S</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0AAF38"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C</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F0C38D"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A</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8AA148"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R</w:t>
            </w:r>
          </w:p>
        </w:tc>
      </w:tr>
      <w:tr w:rsidR="00172BA2" w:rsidRPr="00172BA2" w14:paraId="25A6FDA9" w14:textId="77777777" w:rsidTr="00172BA2">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CA1B9E"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25A35"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proofErr w:type="spellStart"/>
            <w:r w:rsidRPr="00172BA2">
              <w:rPr>
                <w:rFonts w:ascii="Calibri" w:eastAsia="SimSun" w:hAnsi="Calibri" w:cs="Calibri"/>
                <w:color w:val="000000"/>
                <w:sz w:val="22"/>
                <w:szCs w:val="22"/>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B8CFA"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C37F9"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proofErr w:type="spellStart"/>
            <w:r w:rsidRPr="00172BA2">
              <w:rPr>
                <w:rFonts w:ascii="Calibri" w:eastAsia="SimSun" w:hAnsi="Calibri" w:cs="Calibri"/>
                <w:color w:val="000000"/>
                <w:sz w:val="22"/>
                <w:szCs w:val="22"/>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C2D8A"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BD80E"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proofErr w:type="spellStart"/>
            <w:r w:rsidRPr="00172BA2">
              <w:rPr>
                <w:rFonts w:ascii="Calibri" w:eastAsia="SimSun" w:hAnsi="Calibri" w:cs="Calibri"/>
                <w:color w:val="000000"/>
                <w:sz w:val="22"/>
                <w:szCs w:val="22"/>
                <w:lang w:eastAsia="zh-CN"/>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C7186"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2BCC64"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proofErr w:type="spellStart"/>
            <w:r w:rsidRPr="00172BA2">
              <w:rPr>
                <w:rFonts w:ascii="Calibri" w:eastAsia="SimSun" w:hAnsi="Calibri" w:cs="Calibri"/>
                <w:color w:val="000000"/>
                <w:sz w:val="22"/>
                <w:szCs w:val="22"/>
                <w:lang w:eastAsia="zh-CN"/>
              </w:rPr>
              <w:t>Pgs</w:t>
            </w:r>
            <w:proofErr w:type="spellEnd"/>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CE056"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Recs</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470C13"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 w:val="22"/>
                <w:szCs w:val="22"/>
                <w:lang w:eastAsia="zh-CN"/>
              </w:rPr>
            </w:pPr>
            <w:proofErr w:type="spellStart"/>
            <w:r w:rsidRPr="00172BA2">
              <w:rPr>
                <w:rFonts w:ascii="Calibri" w:eastAsia="SimSun" w:hAnsi="Calibri" w:cs="Calibri"/>
                <w:color w:val="000000"/>
                <w:sz w:val="22"/>
                <w:szCs w:val="22"/>
                <w:lang w:eastAsia="zh-CN"/>
              </w:rPr>
              <w:t>Pgs</w:t>
            </w:r>
            <w:proofErr w:type="spellEnd"/>
          </w:p>
        </w:tc>
      </w:tr>
      <w:tr w:rsidR="00172BA2" w:rsidRPr="00172BA2" w14:paraId="12DC0C3D" w14:textId="77777777" w:rsidTr="00172BA2">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5DFE2F"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14</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D16FC"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463</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78715"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18</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25F9AF"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551</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E88C3C"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17</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8B596"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550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B0286"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14</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CB002"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463</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93B21" w14:textId="77777777"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43</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E4B51" w14:textId="69AAEE59" w:rsidR="00172BA2" w:rsidRPr="00172BA2" w:rsidRDefault="00172BA2" w:rsidP="00F52601">
            <w:pPr>
              <w:keepNext/>
              <w:keepLines/>
              <w:tabs>
                <w:tab w:val="clear" w:pos="794"/>
                <w:tab w:val="clear" w:pos="1191"/>
                <w:tab w:val="clear" w:pos="1588"/>
                <w:tab w:val="clear" w:pos="1985"/>
              </w:tabs>
              <w:overflowPunct/>
              <w:autoSpaceDE/>
              <w:autoSpaceDN/>
              <w:adjustRightInd/>
              <w:spacing w:before="0"/>
              <w:jc w:val="right"/>
              <w:textAlignment w:val="auto"/>
              <w:rPr>
                <w:rFonts w:ascii="Calibri" w:eastAsia="SimSun" w:hAnsi="Calibri" w:cs="Calibri"/>
                <w:color w:val="000000"/>
                <w:sz w:val="22"/>
                <w:szCs w:val="22"/>
                <w:lang w:eastAsia="zh-CN"/>
              </w:rPr>
            </w:pPr>
            <w:r w:rsidRPr="00172BA2">
              <w:rPr>
                <w:rFonts w:ascii="Calibri" w:eastAsia="SimSun" w:hAnsi="Calibri" w:cs="Calibri"/>
                <w:color w:val="000000"/>
                <w:sz w:val="22"/>
                <w:szCs w:val="22"/>
                <w:lang w:eastAsia="zh-CN"/>
              </w:rPr>
              <w:t>1290</w:t>
            </w:r>
            <w:r>
              <w:rPr>
                <w:rStyle w:val="FootnoteReference"/>
                <w:rFonts w:ascii="Calibri" w:eastAsia="SimSun" w:hAnsi="Calibri" w:cs="Calibri"/>
                <w:color w:val="000000"/>
                <w:szCs w:val="22"/>
                <w:lang w:eastAsia="zh-CN"/>
              </w:rPr>
              <w:footnoteReference w:id="2"/>
            </w:r>
          </w:p>
        </w:tc>
      </w:tr>
    </w:tbl>
    <w:p w14:paraId="34CEFB14" w14:textId="295C5374" w:rsidR="005C54BE" w:rsidRPr="006016CC" w:rsidRDefault="005C54BE" w:rsidP="00F52601">
      <w:pPr>
        <w:pStyle w:val="ListParagraph"/>
        <w:keepNext/>
        <w:keepLines/>
        <w:snapToGrid w:val="0"/>
        <w:spacing w:after="120"/>
        <w:ind w:left="717"/>
        <w:contextualSpacing w:val="0"/>
      </w:pPr>
    </w:p>
    <w:p w14:paraId="0382EDF5" w14:textId="41147AB3" w:rsidR="00144EB6" w:rsidRPr="00EA18E3" w:rsidRDefault="00144EB6" w:rsidP="00EA18E3">
      <w:pPr>
        <w:pStyle w:val="ListParagraph"/>
        <w:keepNext/>
        <w:keepLines/>
        <w:numPr>
          <w:ilvl w:val="0"/>
          <w:numId w:val="13"/>
        </w:numPr>
        <w:snapToGrid w:val="0"/>
        <w:spacing w:after="120"/>
        <w:jc w:val="both"/>
        <w:rPr>
          <w:rFonts w:asciiTheme="minorHAnsi" w:hAnsiTheme="minorHAnsi"/>
          <w:b/>
          <w:bCs/>
          <w:sz w:val="28"/>
          <w:szCs w:val="28"/>
        </w:rPr>
      </w:pPr>
      <w:r w:rsidRPr="00EA18E3">
        <w:rPr>
          <w:rFonts w:asciiTheme="minorHAnsi" w:hAnsiTheme="minorHAnsi"/>
          <w:b/>
          <w:bCs/>
          <w:sz w:val="28"/>
          <w:szCs w:val="28"/>
        </w:rPr>
        <w:t>Use of languages on the ITU website</w:t>
      </w:r>
      <w:r w:rsidR="00987F7A" w:rsidRPr="00EA18E3">
        <w:rPr>
          <w:rFonts w:asciiTheme="minorHAnsi" w:hAnsiTheme="minorHAnsi"/>
          <w:b/>
          <w:bCs/>
          <w:sz w:val="28"/>
          <w:szCs w:val="28"/>
        </w:rPr>
        <w:t xml:space="preserve"> </w:t>
      </w:r>
    </w:p>
    <w:p w14:paraId="501CE33A" w14:textId="00AA2DDB" w:rsidR="00BB2987" w:rsidRDefault="004E038A" w:rsidP="00A25503">
      <w:pPr>
        <w:snapToGrid w:val="0"/>
        <w:spacing w:after="120"/>
        <w:rPr>
          <w:rFonts w:asciiTheme="minorHAnsi" w:hAnsiTheme="minorHAnsi"/>
          <w:szCs w:val="24"/>
        </w:rPr>
      </w:pPr>
      <w:r w:rsidRPr="006016CC">
        <w:rPr>
          <w:rFonts w:asciiTheme="minorHAnsi" w:hAnsiTheme="minorHAnsi"/>
          <w:szCs w:val="24"/>
        </w:rPr>
        <w:t>As indicated in the previous report, all ‘level 0’ pages are now translated and published in the six languages</w:t>
      </w:r>
      <w:r w:rsidR="00A54DD4" w:rsidRPr="006016CC">
        <w:rPr>
          <w:rFonts w:asciiTheme="minorHAnsi" w:hAnsiTheme="minorHAnsi"/>
          <w:szCs w:val="24"/>
        </w:rPr>
        <w:t xml:space="preserve">. </w:t>
      </w:r>
      <w:r w:rsidR="00770E42" w:rsidRPr="006016CC">
        <w:rPr>
          <w:rFonts w:asciiTheme="minorHAnsi" w:hAnsiTheme="minorHAnsi"/>
          <w:szCs w:val="24"/>
        </w:rPr>
        <w:t>Between January and November 201</w:t>
      </w:r>
      <w:r w:rsidR="0047229D">
        <w:rPr>
          <w:rFonts w:asciiTheme="minorHAnsi" w:hAnsiTheme="minorHAnsi"/>
          <w:szCs w:val="24"/>
        </w:rPr>
        <w:t>7</w:t>
      </w:r>
      <w:r w:rsidR="00A54DD4" w:rsidRPr="006016CC">
        <w:rPr>
          <w:rFonts w:asciiTheme="minorHAnsi" w:hAnsiTheme="minorHAnsi"/>
          <w:szCs w:val="24"/>
        </w:rPr>
        <w:t xml:space="preserve">, </w:t>
      </w:r>
      <w:r w:rsidR="00A25503">
        <w:rPr>
          <w:rFonts w:asciiTheme="minorHAnsi" w:hAnsiTheme="minorHAnsi"/>
          <w:szCs w:val="24"/>
        </w:rPr>
        <w:t xml:space="preserve">a total of </w:t>
      </w:r>
      <w:r w:rsidR="00A25503" w:rsidRPr="00A25503">
        <w:rPr>
          <w:rFonts w:asciiTheme="minorHAnsi" w:hAnsiTheme="minorHAnsi"/>
          <w:szCs w:val="24"/>
        </w:rPr>
        <w:t>179</w:t>
      </w:r>
      <w:r w:rsidR="00930A68" w:rsidRPr="00A25503">
        <w:rPr>
          <w:rFonts w:asciiTheme="minorHAnsi" w:hAnsiTheme="minorHAnsi"/>
          <w:szCs w:val="24"/>
        </w:rPr>
        <w:t xml:space="preserve"> </w:t>
      </w:r>
      <w:r w:rsidR="00BB2987" w:rsidRPr="00A25503">
        <w:rPr>
          <w:rFonts w:asciiTheme="minorHAnsi" w:hAnsiTheme="minorHAnsi"/>
          <w:szCs w:val="24"/>
        </w:rPr>
        <w:t>web</w:t>
      </w:r>
      <w:r w:rsidR="00930A68" w:rsidRPr="00A25503">
        <w:rPr>
          <w:rFonts w:asciiTheme="minorHAnsi" w:hAnsiTheme="minorHAnsi"/>
          <w:szCs w:val="24"/>
        </w:rPr>
        <w:t>pages</w:t>
      </w:r>
      <w:r w:rsidRPr="006016CC">
        <w:rPr>
          <w:rFonts w:asciiTheme="minorHAnsi" w:hAnsiTheme="minorHAnsi"/>
          <w:szCs w:val="24"/>
        </w:rPr>
        <w:t xml:space="preserve"> have been translated and are currently displayed in all languages. </w:t>
      </w:r>
      <w:r w:rsidR="00A54DD4" w:rsidRPr="006016CC">
        <w:rPr>
          <w:rFonts w:asciiTheme="minorHAnsi" w:hAnsiTheme="minorHAnsi"/>
          <w:szCs w:val="24"/>
        </w:rPr>
        <w:t xml:space="preserve">It </w:t>
      </w:r>
      <w:r w:rsidR="00BB2987">
        <w:rPr>
          <w:rFonts w:asciiTheme="minorHAnsi" w:hAnsiTheme="minorHAnsi"/>
          <w:szCs w:val="24"/>
        </w:rPr>
        <w:t>remains</w:t>
      </w:r>
      <w:r w:rsidR="00A54DD4" w:rsidRPr="006016CC">
        <w:rPr>
          <w:rFonts w:asciiTheme="minorHAnsi" w:hAnsiTheme="minorHAnsi"/>
          <w:szCs w:val="24"/>
        </w:rPr>
        <w:t xml:space="preserve"> a work in progress. </w:t>
      </w:r>
    </w:p>
    <w:p w14:paraId="50EF929D" w14:textId="7F4600EF" w:rsidR="00A54DD4" w:rsidRPr="006016CC" w:rsidRDefault="00A54DD4" w:rsidP="00BB2987">
      <w:pPr>
        <w:snapToGrid w:val="0"/>
        <w:spacing w:after="120"/>
        <w:rPr>
          <w:rFonts w:asciiTheme="minorHAnsi" w:hAnsiTheme="minorHAnsi"/>
          <w:lang w:val="en-US"/>
        </w:rPr>
      </w:pPr>
      <w:r w:rsidRPr="006016CC">
        <w:rPr>
          <w:rFonts w:asciiTheme="minorHAnsi" w:hAnsiTheme="minorHAnsi"/>
          <w:lang w:val="en-US"/>
        </w:rPr>
        <w:t xml:space="preserve">Council-16, </w:t>
      </w:r>
      <w:r w:rsidR="00770E42" w:rsidRPr="006016CC">
        <w:rPr>
          <w:rFonts w:asciiTheme="minorHAnsi" w:hAnsiTheme="minorHAnsi"/>
          <w:lang w:val="en-US"/>
        </w:rPr>
        <w:t>on revising</w:t>
      </w:r>
      <w:r w:rsidRPr="006016CC">
        <w:rPr>
          <w:rFonts w:asciiTheme="minorHAnsi" w:hAnsiTheme="minorHAnsi"/>
          <w:lang w:val="en-US"/>
        </w:rPr>
        <w:t xml:space="preserve"> </w:t>
      </w:r>
      <w:hyperlink r:id="rId15" w:history="1">
        <w:r w:rsidR="006F73CB" w:rsidRPr="006016CC">
          <w:rPr>
            <w:rStyle w:val="Hyperlink"/>
            <w:rFonts w:asciiTheme="minorHAnsi" w:hAnsiTheme="minorHAnsi"/>
            <w:lang w:val="en-US"/>
          </w:rPr>
          <w:t>Resolution 1372</w:t>
        </w:r>
      </w:hyperlink>
      <w:r w:rsidR="00827136" w:rsidRPr="006016CC">
        <w:rPr>
          <w:rFonts w:asciiTheme="minorHAnsi" w:hAnsiTheme="minorHAnsi"/>
          <w:lang w:val="en-US"/>
        </w:rPr>
        <w:t xml:space="preserve">, </w:t>
      </w:r>
      <w:r w:rsidRPr="006016CC">
        <w:rPr>
          <w:rFonts w:asciiTheme="minorHAnsi" w:hAnsiTheme="minorHAnsi"/>
          <w:lang w:val="en-US"/>
        </w:rPr>
        <w:t xml:space="preserve">instructed </w:t>
      </w:r>
      <w:r w:rsidR="00770E42" w:rsidRPr="006016CC">
        <w:rPr>
          <w:rFonts w:asciiTheme="minorHAnsi" w:hAnsiTheme="minorHAnsi"/>
          <w:lang w:val="en-US"/>
        </w:rPr>
        <w:t xml:space="preserve">the Secretary-General and the Directors of the Bureaux “to report to CWG-LANG on the measures taken to ensure on the ITU website in the medium term: </w:t>
      </w:r>
      <w:proofErr w:type="spellStart"/>
      <w:r w:rsidR="00770E42" w:rsidRPr="006016CC">
        <w:rPr>
          <w:rFonts w:asciiTheme="minorHAnsi" w:hAnsiTheme="minorHAnsi"/>
          <w:lang w:val="en-US"/>
        </w:rPr>
        <w:t>i</w:t>
      </w:r>
      <w:proofErr w:type="spellEnd"/>
      <w:r w:rsidR="00770E42" w:rsidRPr="006016CC">
        <w:rPr>
          <w:rFonts w:asciiTheme="minorHAnsi" w:hAnsiTheme="minorHAnsi"/>
          <w:lang w:val="en-US"/>
        </w:rPr>
        <w:t>) the publication of new or modified pages in the six official languages simultaneously and ii) equality in terms of functionality and navigation”.</w:t>
      </w:r>
      <w:r w:rsidR="007F78E7" w:rsidRPr="007F78E7">
        <w:rPr>
          <w:rFonts w:asciiTheme="minorHAnsi" w:hAnsiTheme="minorHAnsi"/>
          <w:b/>
          <w:bCs/>
          <w:szCs w:val="24"/>
        </w:rPr>
        <w:t xml:space="preserve"> </w:t>
      </w:r>
    </w:p>
    <w:p w14:paraId="405600EF" w14:textId="32AED83C" w:rsidR="00C3310D" w:rsidRDefault="002D59DF" w:rsidP="00C473A4">
      <w:pPr>
        <w:pStyle w:val="ListParagraph"/>
        <w:snapToGrid w:val="0"/>
        <w:spacing w:after="120"/>
        <w:ind w:left="0"/>
        <w:contextualSpacing w:val="0"/>
        <w:jc w:val="both"/>
        <w:rPr>
          <w:rFonts w:asciiTheme="minorHAnsi" w:hAnsiTheme="minorHAnsi"/>
          <w:lang w:val="en-US"/>
        </w:rPr>
      </w:pPr>
      <w:r w:rsidRPr="006016CC">
        <w:rPr>
          <w:rFonts w:asciiTheme="minorHAnsi" w:hAnsiTheme="minorHAnsi"/>
          <w:lang w:val="en-US"/>
        </w:rPr>
        <w:t>In response</w:t>
      </w:r>
      <w:r w:rsidR="00770E42" w:rsidRPr="00553A09">
        <w:rPr>
          <w:rFonts w:asciiTheme="minorHAnsi" w:hAnsiTheme="minorHAnsi"/>
          <w:lang w:val="en-US"/>
        </w:rPr>
        <w:t xml:space="preserve"> to this</w:t>
      </w:r>
      <w:r w:rsidRPr="006016CC">
        <w:rPr>
          <w:rFonts w:asciiTheme="minorHAnsi" w:hAnsiTheme="minorHAnsi"/>
          <w:lang w:val="en-US"/>
        </w:rPr>
        <w:t xml:space="preserve">, </w:t>
      </w:r>
      <w:r w:rsidR="00D411AC">
        <w:rPr>
          <w:rFonts w:asciiTheme="minorHAnsi" w:hAnsiTheme="minorHAnsi"/>
          <w:lang w:val="en-US"/>
        </w:rPr>
        <w:t xml:space="preserve">an </w:t>
      </w:r>
      <w:r w:rsidR="00D411AC" w:rsidRPr="007C5F67">
        <w:rPr>
          <w:rFonts w:asciiTheme="minorHAnsi" w:hAnsiTheme="minorHAnsi"/>
          <w:b/>
          <w:bCs/>
          <w:lang w:val="en-US"/>
        </w:rPr>
        <w:t>Ad-Hoc Group on Multilingual ITU Web</w:t>
      </w:r>
      <w:r w:rsidR="00D411AC">
        <w:rPr>
          <w:rFonts w:asciiTheme="minorHAnsi" w:hAnsiTheme="minorHAnsi"/>
          <w:lang w:val="en-US"/>
        </w:rPr>
        <w:t xml:space="preserve"> was created, chaired by the </w:t>
      </w:r>
      <w:r w:rsidR="00455692">
        <w:rPr>
          <w:rFonts w:asciiTheme="minorHAnsi" w:hAnsiTheme="minorHAnsi"/>
          <w:lang w:val="en-US"/>
        </w:rPr>
        <w:t xml:space="preserve">Deputy </w:t>
      </w:r>
      <w:r w:rsidR="00D411AC">
        <w:rPr>
          <w:rFonts w:asciiTheme="minorHAnsi" w:hAnsiTheme="minorHAnsi"/>
          <w:lang w:val="en-US"/>
        </w:rPr>
        <w:t>Secretary General and attended by representatives of the three Sectors</w:t>
      </w:r>
      <w:r w:rsidR="007C5F67">
        <w:rPr>
          <w:rFonts w:asciiTheme="minorHAnsi" w:hAnsiTheme="minorHAnsi"/>
          <w:lang w:val="en-US"/>
        </w:rPr>
        <w:t>, the General Secretariat</w:t>
      </w:r>
      <w:r w:rsidR="00D411AC">
        <w:rPr>
          <w:rFonts w:asciiTheme="minorHAnsi" w:hAnsiTheme="minorHAnsi"/>
          <w:lang w:val="en-US"/>
        </w:rPr>
        <w:t xml:space="preserve"> and other staff i</w:t>
      </w:r>
      <w:r w:rsidR="00827136">
        <w:rPr>
          <w:rFonts w:asciiTheme="minorHAnsi" w:hAnsiTheme="minorHAnsi"/>
          <w:lang w:val="en-US"/>
        </w:rPr>
        <w:t>nvolved in web pages production. The group</w:t>
      </w:r>
      <w:r w:rsidR="00D411AC">
        <w:rPr>
          <w:rFonts w:asciiTheme="minorHAnsi" w:hAnsiTheme="minorHAnsi"/>
          <w:lang w:val="en-US"/>
        </w:rPr>
        <w:t xml:space="preserve"> held </w:t>
      </w:r>
      <w:r w:rsidR="00F9635E">
        <w:rPr>
          <w:rFonts w:asciiTheme="minorHAnsi" w:hAnsiTheme="minorHAnsi"/>
          <w:b/>
          <w:bCs/>
          <w:lang w:val="en-US"/>
        </w:rPr>
        <w:t>its last meeting in March 2017</w:t>
      </w:r>
      <w:r w:rsidR="00D411AC">
        <w:rPr>
          <w:rFonts w:asciiTheme="minorHAnsi" w:hAnsiTheme="minorHAnsi"/>
          <w:lang w:val="en-US"/>
        </w:rPr>
        <w:t xml:space="preserve"> in order </w:t>
      </w:r>
      <w:r w:rsidR="00F9635E">
        <w:rPr>
          <w:rFonts w:asciiTheme="minorHAnsi" w:hAnsiTheme="minorHAnsi"/>
          <w:lang w:val="en-US"/>
        </w:rPr>
        <w:t>to provide specific measures for implementation of the</w:t>
      </w:r>
      <w:r w:rsidR="00D411AC">
        <w:rPr>
          <w:rFonts w:asciiTheme="minorHAnsi" w:hAnsiTheme="minorHAnsi"/>
          <w:lang w:val="en-US"/>
        </w:rPr>
        <w:t xml:space="preserve"> specific </w:t>
      </w:r>
      <w:r w:rsidR="00B94549">
        <w:rPr>
          <w:rFonts w:asciiTheme="minorHAnsi" w:hAnsiTheme="minorHAnsi"/>
          <w:lang w:val="en-US"/>
        </w:rPr>
        <w:t>i</w:t>
      </w:r>
      <w:r w:rsidR="005D5545" w:rsidRPr="005D5545">
        <w:rPr>
          <w:rFonts w:asciiTheme="minorHAnsi" w:hAnsiTheme="minorHAnsi"/>
          <w:lang w:val="en-US"/>
        </w:rPr>
        <w:t>nstructions to all ITU Web Editors/Authors</w:t>
      </w:r>
      <w:r w:rsidR="001A532E">
        <w:rPr>
          <w:rFonts w:asciiTheme="minorHAnsi" w:hAnsiTheme="minorHAnsi"/>
          <w:lang w:val="en-US"/>
        </w:rPr>
        <w:t xml:space="preserve"> </w:t>
      </w:r>
      <w:r w:rsidR="00F9635E">
        <w:rPr>
          <w:rFonts w:asciiTheme="minorHAnsi" w:hAnsiTheme="minorHAnsi"/>
          <w:lang w:val="en-US"/>
        </w:rPr>
        <w:t>presented to CWG-LANG at its February meeting</w:t>
      </w:r>
      <w:r w:rsidR="00C3310D">
        <w:rPr>
          <w:rFonts w:asciiTheme="minorHAnsi" w:hAnsiTheme="minorHAnsi"/>
          <w:lang w:val="en-US"/>
        </w:rPr>
        <w:t>.</w:t>
      </w:r>
      <w:r w:rsidR="00C3310D" w:rsidRPr="00C3310D">
        <w:rPr>
          <w:rFonts w:asciiTheme="minorHAnsi" w:hAnsiTheme="minorHAnsi"/>
          <w:b/>
          <w:bCs/>
          <w:szCs w:val="24"/>
        </w:rPr>
        <w:t xml:space="preserve"> </w:t>
      </w:r>
    </w:p>
    <w:p w14:paraId="2D10DAB7" w14:textId="58AF0FD0" w:rsidR="00F52601" w:rsidRDefault="00BB2987" w:rsidP="00601672">
      <w:pPr>
        <w:pStyle w:val="ListParagraph"/>
        <w:snapToGrid w:val="0"/>
        <w:spacing w:after="120"/>
        <w:ind w:left="0"/>
        <w:contextualSpacing w:val="0"/>
        <w:jc w:val="both"/>
        <w:rPr>
          <w:rFonts w:asciiTheme="minorHAnsi" w:hAnsiTheme="minorHAnsi"/>
          <w:lang w:val="en-US"/>
        </w:rPr>
      </w:pPr>
      <w:r w:rsidRPr="008D5EAC">
        <w:rPr>
          <w:rFonts w:asciiTheme="minorHAnsi" w:hAnsiTheme="minorHAnsi"/>
          <w:szCs w:val="24"/>
        </w:rPr>
        <w:t xml:space="preserve">As a result of the work of this Ad-Hoc Group, a </w:t>
      </w:r>
      <w:r w:rsidR="00C3310D" w:rsidRPr="008D5EAC">
        <w:rPr>
          <w:rFonts w:asciiTheme="minorHAnsi" w:hAnsiTheme="minorHAnsi"/>
          <w:szCs w:val="24"/>
        </w:rPr>
        <w:t xml:space="preserve">Pilot test of a </w:t>
      </w:r>
      <w:r w:rsidR="00601672">
        <w:rPr>
          <w:rFonts w:asciiTheme="minorHAnsi" w:hAnsiTheme="minorHAnsi"/>
          <w:szCs w:val="24"/>
        </w:rPr>
        <w:t>n</w:t>
      </w:r>
      <w:r w:rsidR="00C3310D" w:rsidRPr="008D5EAC">
        <w:rPr>
          <w:rFonts w:asciiTheme="minorHAnsi" w:hAnsiTheme="minorHAnsi"/>
          <w:szCs w:val="24"/>
        </w:rPr>
        <w:t>ew Content Management System for translation of PP webpages</w:t>
      </w:r>
      <w:r w:rsidR="00F9635E">
        <w:rPr>
          <w:rFonts w:asciiTheme="minorHAnsi" w:hAnsiTheme="minorHAnsi"/>
          <w:lang w:val="en-US"/>
        </w:rPr>
        <w:t xml:space="preserve"> </w:t>
      </w:r>
      <w:r w:rsidR="008D5EAC">
        <w:rPr>
          <w:rFonts w:asciiTheme="minorHAnsi" w:hAnsiTheme="minorHAnsi"/>
          <w:lang w:val="en-US"/>
        </w:rPr>
        <w:t>was designed and is currently being conducted with a view to assess the IT tool used and its customization to ITU needs.</w:t>
      </w:r>
    </w:p>
    <w:p w14:paraId="0C61F808" w14:textId="77777777" w:rsidR="000431E5" w:rsidRDefault="000431E5" w:rsidP="00601672">
      <w:pPr>
        <w:pStyle w:val="ListParagraph"/>
        <w:snapToGrid w:val="0"/>
        <w:spacing w:after="120"/>
        <w:ind w:left="0"/>
        <w:contextualSpacing w:val="0"/>
        <w:jc w:val="both"/>
        <w:rPr>
          <w:rFonts w:asciiTheme="minorHAnsi" w:hAnsiTheme="minorHAnsi"/>
          <w:lang w:val="en-US"/>
        </w:rPr>
      </w:pPr>
    </w:p>
    <w:p w14:paraId="13730580" w14:textId="6127F087" w:rsidR="000431E5" w:rsidRPr="009606E7" w:rsidRDefault="000431E5" w:rsidP="009606E7">
      <w:pPr>
        <w:pStyle w:val="ListParagraph"/>
        <w:numPr>
          <w:ilvl w:val="0"/>
          <w:numId w:val="13"/>
        </w:numPr>
        <w:snapToGrid w:val="0"/>
        <w:spacing w:after="120"/>
        <w:contextualSpacing w:val="0"/>
        <w:jc w:val="both"/>
        <w:rPr>
          <w:rFonts w:asciiTheme="minorHAnsi" w:hAnsiTheme="minorHAnsi"/>
          <w:b/>
          <w:bCs/>
          <w:lang w:val="en-US"/>
        </w:rPr>
      </w:pPr>
      <w:r w:rsidRPr="009606E7">
        <w:rPr>
          <w:rFonts w:asciiTheme="minorHAnsi" w:hAnsiTheme="minorHAnsi"/>
          <w:b/>
          <w:bCs/>
          <w:lang w:val="en-US"/>
        </w:rPr>
        <w:t>Group on Study and Evaluation of the Translation and Interpretation Procedures</w:t>
      </w:r>
    </w:p>
    <w:p w14:paraId="2574FB50" w14:textId="4742B0D9" w:rsidR="000431E5" w:rsidRDefault="000431E5" w:rsidP="009606E7">
      <w:pPr>
        <w:pStyle w:val="ListParagraph"/>
        <w:snapToGrid w:val="0"/>
        <w:spacing w:after="120"/>
        <w:ind w:left="0"/>
        <w:contextualSpacing w:val="0"/>
        <w:jc w:val="both"/>
        <w:rPr>
          <w:rFonts w:asciiTheme="minorHAnsi" w:hAnsiTheme="minorHAnsi"/>
          <w:lang w:val="en-US"/>
        </w:rPr>
      </w:pPr>
      <w:r w:rsidRPr="000431E5">
        <w:rPr>
          <w:rFonts w:asciiTheme="minorHAnsi" w:hAnsiTheme="minorHAnsi"/>
          <w:lang w:val="en-US"/>
        </w:rPr>
        <w:t xml:space="preserve">Council-17 decided to establish an internal committee of the Union, chaired by the Deputy Secretary-General to consider the implementation of the best and most economically effective solutions to the provision of translation and simultaneous interpretation services at an appropriate cost, while maintaining quality of service; to study making use of approved external sources to translate Union documents; and to submit, through CWG-LANG, a report to the Council at its 2018 session and to the 2018 Plenipotentiary Conference. Its report is submitted to CWG-LANG in </w:t>
      </w:r>
      <w:r w:rsidR="009606E7" w:rsidRPr="005D1AAD">
        <w:rPr>
          <w:rFonts w:asciiTheme="minorHAnsi" w:hAnsiTheme="minorHAnsi"/>
          <w:lang w:val="en-US"/>
        </w:rPr>
        <w:t>(</w:t>
      </w:r>
      <w:hyperlink r:id="rId16" w:history="1">
        <w:r w:rsidR="009606E7" w:rsidRPr="005D1AAD">
          <w:rPr>
            <w:rStyle w:val="Hyperlink"/>
            <w:rFonts w:asciiTheme="minorHAnsi" w:hAnsiTheme="minorHAnsi"/>
            <w:lang w:val="en-US"/>
          </w:rPr>
          <w:t>C17/XX</w:t>
        </w:r>
      </w:hyperlink>
      <w:bookmarkStart w:id="5" w:name="_GoBack"/>
      <w:bookmarkEnd w:id="5"/>
      <w:r w:rsidR="009606E7" w:rsidRPr="005D1AAD">
        <w:rPr>
          <w:rFonts w:asciiTheme="minorHAnsi" w:hAnsiTheme="minorHAnsi"/>
          <w:lang w:val="en-US"/>
        </w:rPr>
        <w:t>)</w:t>
      </w:r>
      <w:r w:rsidRPr="005D1AAD">
        <w:rPr>
          <w:rFonts w:asciiTheme="minorHAnsi" w:hAnsiTheme="minorHAnsi"/>
          <w:lang w:val="en-US"/>
        </w:rPr>
        <w:t>.</w:t>
      </w:r>
    </w:p>
    <w:sectPr w:rsidR="000431E5" w:rsidSect="004137A6">
      <w:headerReference w:type="default" r:id="rId17"/>
      <w:pgSz w:w="11907" w:h="16834"/>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F7CEB" w14:textId="77777777" w:rsidR="00003019" w:rsidRDefault="00003019">
      <w:r>
        <w:separator/>
      </w:r>
    </w:p>
  </w:endnote>
  <w:endnote w:type="continuationSeparator" w:id="0">
    <w:p w14:paraId="54331D86" w14:textId="77777777" w:rsidR="00003019" w:rsidRDefault="0000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8052F" w14:textId="77777777" w:rsidR="00003019" w:rsidRDefault="00003019">
      <w:r>
        <w:t>____________________</w:t>
      </w:r>
    </w:p>
  </w:footnote>
  <w:footnote w:type="continuationSeparator" w:id="0">
    <w:p w14:paraId="3FB4BEC5" w14:textId="77777777" w:rsidR="00003019" w:rsidRDefault="00003019">
      <w:r>
        <w:continuationSeparator/>
      </w:r>
    </w:p>
  </w:footnote>
  <w:footnote w:id="1">
    <w:p w14:paraId="03FF3C00" w14:textId="3DF9DA70" w:rsidR="00BB2987" w:rsidRPr="00BB2987" w:rsidRDefault="00BB2987">
      <w:pPr>
        <w:pStyle w:val="FootnoteText"/>
        <w:rPr>
          <w:rFonts w:asciiTheme="minorHAnsi" w:hAnsiTheme="minorHAnsi" w:cstheme="minorHAnsi"/>
        </w:rPr>
      </w:pPr>
      <w:r w:rsidRPr="00BB2987">
        <w:rPr>
          <w:rStyle w:val="FootnoteReference"/>
          <w:rFonts w:asciiTheme="minorHAnsi" w:hAnsiTheme="minorHAnsi" w:cstheme="minorHAnsi"/>
        </w:rPr>
        <w:footnoteRef/>
      </w:r>
      <w:r w:rsidRPr="00BB2987">
        <w:rPr>
          <w:rFonts w:asciiTheme="minorHAnsi" w:hAnsiTheme="minorHAnsi" w:cstheme="minorHAnsi"/>
        </w:rPr>
        <w:t xml:space="preserve"> At 23 November 2017.</w:t>
      </w:r>
    </w:p>
  </w:footnote>
  <w:footnote w:id="2">
    <w:p w14:paraId="5D86B6F4" w14:textId="4CEA2BE8" w:rsidR="003245D7" w:rsidRPr="00172BA2" w:rsidRDefault="003245D7">
      <w:pPr>
        <w:pStyle w:val="FootnoteText"/>
        <w:rPr>
          <w:rFonts w:asciiTheme="minorHAnsi" w:hAnsiTheme="minorHAnsi" w:cstheme="minorHAnsi"/>
        </w:rPr>
      </w:pPr>
      <w:r w:rsidRPr="00172BA2">
        <w:rPr>
          <w:rStyle w:val="FootnoteReference"/>
          <w:rFonts w:asciiTheme="minorHAnsi" w:hAnsiTheme="minorHAnsi" w:cstheme="minorHAnsi"/>
        </w:rPr>
        <w:footnoteRef/>
      </w:r>
      <w:r w:rsidRPr="00172BA2">
        <w:rPr>
          <w:rFonts w:asciiTheme="minorHAnsi" w:hAnsiTheme="minorHAnsi" w:cstheme="minorHAnsi"/>
        </w:rPr>
        <w:t xml:space="preserve"> These include the 19 Recs translated into Russian out of the savings.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EB33" w14:textId="7EE18B50" w:rsidR="003245D7" w:rsidRPr="008B0EB9" w:rsidRDefault="003245D7"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sidR="005D1AAD">
      <w:rPr>
        <w:rFonts w:asciiTheme="minorHAnsi" w:hAnsiTheme="minorHAnsi"/>
        <w:noProof/>
      </w:rPr>
      <w:t>3</w:t>
    </w:r>
    <w:r w:rsidRPr="008B0EB9">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1083"/>
    <w:multiLevelType w:val="hybridMultilevel"/>
    <w:tmpl w:val="50A43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27CF8"/>
    <w:multiLevelType w:val="hybridMultilevel"/>
    <w:tmpl w:val="4B3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56462"/>
    <w:multiLevelType w:val="hybridMultilevel"/>
    <w:tmpl w:val="AD32CC0E"/>
    <w:lvl w:ilvl="0" w:tplc="057813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2666D"/>
    <w:multiLevelType w:val="hybridMultilevel"/>
    <w:tmpl w:val="CD54C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5D2C265F"/>
    <w:multiLevelType w:val="hybridMultilevel"/>
    <w:tmpl w:val="E3861E80"/>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FE5DE3"/>
    <w:multiLevelType w:val="hybridMultilevel"/>
    <w:tmpl w:val="51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10"/>
  </w:num>
  <w:num w:numId="6">
    <w:abstractNumId w:val="9"/>
  </w:num>
  <w:num w:numId="7">
    <w:abstractNumId w:val="4"/>
  </w:num>
  <w:num w:numId="8">
    <w:abstractNumId w:val="1"/>
  </w:num>
  <w:num w:numId="9">
    <w:abstractNumId w:val="0"/>
  </w:num>
  <w:num w:numId="10">
    <w:abstractNumId w:val="13"/>
  </w:num>
  <w:num w:numId="11">
    <w:abstractNumId w:val="11"/>
  </w:num>
  <w:num w:numId="12">
    <w:abstractNumId w:val="12"/>
  </w:num>
  <w:num w:numId="13">
    <w:abstractNumId w:val="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3019"/>
    <w:rsid w:val="00006803"/>
    <w:rsid w:val="00017D5F"/>
    <w:rsid w:val="00022BBD"/>
    <w:rsid w:val="00023E69"/>
    <w:rsid w:val="00024DD2"/>
    <w:rsid w:val="00025E8E"/>
    <w:rsid w:val="0003367B"/>
    <w:rsid w:val="00033C1E"/>
    <w:rsid w:val="000363F6"/>
    <w:rsid w:val="000406CF"/>
    <w:rsid w:val="000406DA"/>
    <w:rsid w:val="000431D8"/>
    <w:rsid w:val="000431E5"/>
    <w:rsid w:val="00044742"/>
    <w:rsid w:val="000478D5"/>
    <w:rsid w:val="0005330D"/>
    <w:rsid w:val="0005586D"/>
    <w:rsid w:val="0006006C"/>
    <w:rsid w:val="00060490"/>
    <w:rsid w:val="00060642"/>
    <w:rsid w:val="000625EC"/>
    <w:rsid w:val="000639EA"/>
    <w:rsid w:val="00064B17"/>
    <w:rsid w:val="000726CF"/>
    <w:rsid w:val="00080890"/>
    <w:rsid w:val="00082487"/>
    <w:rsid w:val="00085CF2"/>
    <w:rsid w:val="00087BB2"/>
    <w:rsid w:val="00090DB1"/>
    <w:rsid w:val="000914EE"/>
    <w:rsid w:val="00093BFA"/>
    <w:rsid w:val="00096678"/>
    <w:rsid w:val="000A1906"/>
    <w:rsid w:val="000A523E"/>
    <w:rsid w:val="000A6C3C"/>
    <w:rsid w:val="000B1705"/>
    <w:rsid w:val="000B1804"/>
    <w:rsid w:val="000C0550"/>
    <w:rsid w:val="000C199E"/>
    <w:rsid w:val="000C5062"/>
    <w:rsid w:val="000D034D"/>
    <w:rsid w:val="000D1B19"/>
    <w:rsid w:val="000E53E0"/>
    <w:rsid w:val="000F5A05"/>
    <w:rsid w:val="001108A9"/>
    <w:rsid w:val="001121F5"/>
    <w:rsid w:val="00112A2E"/>
    <w:rsid w:val="00115BC4"/>
    <w:rsid w:val="00124605"/>
    <w:rsid w:val="0012638C"/>
    <w:rsid w:val="00126AF0"/>
    <w:rsid w:val="00126E5D"/>
    <w:rsid w:val="00132D99"/>
    <w:rsid w:val="00133A76"/>
    <w:rsid w:val="00140589"/>
    <w:rsid w:val="00141B6D"/>
    <w:rsid w:val="00143A98"/>
    <w:rsid w:val="00143CC0"/>
    <w:rsid w:val="00144EB6"/>
    <w:rsid w:val="0014539F"/>
    <w:rsid w:val="001559F2"/>
    <w:rsid w:val="00155EF2"/>
    <w:rsid w:val="0015615B"/>
    <w:rsid w:val="00157923"/>
    <w:rsid w:val="00157E22"/>
    <w:rsid w:val="00164E99"/>
    <w:rsid w:val="00164F90"/>
    <w:rsid w:val="00167DF3"/>
    <w:rsid w:val="00171B5B"/>
    <w:rsid w:val="00172BA2"/>
    <w:rsid w:val="00174D0B"/>
    <w:rsid w:val="001750DE"/>
    <w:rsid w:val="0017539C"/>
    <w:rsid w:val="0017609F"/>
    <w:rsid w:val="00180641"/>
    <w:rsid w:val="0019164E"/>
    <w:rsid w:val="00191F72"/>
    <w:rsid w:val="001947CC"/>
    <w:rsid w:val="00196510"/>
    <w:rsid w:val="00197BEB"/>
    <w:rsid w:val="001A258D"/>
    <w:rsid w:val="001A44BC"/>
    <w:rsid w:val="001A4F5D"/>
    <w:rsid w:val="001A532E"/>
    <w:rsid w:val="001A5A86"/>
    <w:rsid w:val="001B1348"/>
    <w:rsid w:val="001B404B"/>
    <w:rsid w:val="001B731C"/>
    <w:rsid w:val="001C20D1"/>
    <w:rsid w:val="001C2533"/>
    <w:rsid w:val="001C628E"/>
    <w:rsid w:val="001D0282"/>
    <w:rsid w:val="001D10CC"/>
    <w:rsid w:val="001D311E"/>
    <w:rsid w:val="001D66EF"/>
    <w:rsid w:val="001E0873"/>
    <w:rsid w:val="001E0F7B"/>
    <w:rsid w:val="001E3D67"/>
    <w:rsid w:val="001E5A96"/>
    <w:rsid w:val="001E5BEE"/>
    <w:rsid w:val="001F212B"/>
    <w:rsid w:val="001F4859"/>
    <w:rsid w:val="001F565C"/>
    <w:rsid w:val="001F59DB"/>
    <w:rsid w:val="002009E4"/>
    <w:rsid w:val="002034FE"/>
    <w:rsid w:val="00205B38"/>
    <w:rsid w:val="0020628E"/>
    <w:rsid w:val="00207B40"/>
    <w:rsid w:val="00211C39"/>
    <w:rsid w:val="00213E72"/>
    <w:rsid w:val="002178B8"/>
    <w:rsid w:val="002231A4"/>
    <w:rsid w:val="00223D03"/>
    <w:rsid w:val="00224812"/>
    <w:rsid w:val="00224D2B"/>
    <w:rsid w:val="00224F52"/>
    <w:rsid w:val="002323A7"/>
    <w:rsid w:val="0023345C"/>
    <w:rsid w:val="00233546"/>
    <w:rsid w:val="002350DF"/>
    <w:rsid w:val="002372ED"/>
    <w:rsid w:val="00241C31"/>
    <w:rsid w:val="002461BA"/>
    <w:rsid w:val="002509C9"/>
    <w:rsid w:val="00251792"/>
    <w:rsid w:val="00252CDA"/>
    <w:rsid w:val="0026000E"/>
    <w:rsid w:val="00265875"/>
    <w:rsid w:val="002664D2"/>
    <w:rsid w:val="00266544"/>
    <w:rsid w:val="00266A38"/>
    <w:rsid w:val="0026797B"/>
    <w:rsid w:val="0027303B"/>
    <w:rsid w:val="00275642"/>
    <w:rsid w:val="00280530"/>
    <w:rsid w:val="0028109B"/>
    <w:rsid w:val="002866D2"/>
    <w:rsid w:val="00287A69"/>
    <w:rsid w:val="00290553"/>
    <w:rsid w:val="00290E00"/>
    <w:rsid w:val="00292600"/>
    <w:rsid w:val="00294CEE"/>
    <w:rsid w:val="0029642F"/>
    <w:rsid w:val="00296819"/>
    <w:rsid w:val="002975E0"/>
    <w:rsid w:val="002A04DD"/>
    <w:rsid w:val="002A170F"/>
    <w:rsid w:val="002A181F"/>
    <w:rsid w:val="002A1F81"/>
    <w:rsid w:val="002A3A0A"/>
    <w:rsid w:val="002B09AE"/>
    <w:rsid w:val="002B42B9"/>
    <w:rsid w:val="002B470F"/>
    <w:rsid w:val="002B6674"/>
    <w:rsid w:val="002C18FA"/>
    <w:rsid w:val="002C1C67"/>
    <w:rsid w:val="002C1C7A"/>
    <w:rsid w:val="002D3CA6"/>
    <w:rsid w:val="002D448E"/>
    <w:rsid w:val="002D47F7"/>
    <w:rsid w:val="002D59DF"/>
    <w:rsid w:val="002D7662"/>
    <w:rsid w:val="002D7FCC"/>
    <w:rsid w:val="002E0872"/>
    <w:rsid w:val="002E5A5D"/>
    <w:rsid w:val="002E5AC3"/>
    <w:rsid w:val="002F17BD"/>
    <w:rsid w:val="002F4015"/>
    <w:rsid w:val="00302EB0"/>
    <w:rsid w:val="00304118"/>
    <w:rsid w:val="003104AE"/>
    <w:rsid w:val="00311C3B"/>
    <w:rsid w:val="00311DA1"/>
    <w:rsid w:val="003125F4"/>
    <w:rsid w:val="0031367D"/>
    <w:rsid w:val="003137E7"/>
    <w:rsid w:val="00314813"/>
    <w:rsid w:val="00314D4F"/>
    <w:rsid w:val="003160B2"/>
    <w:rsid w:val="003216FF"/>
    <w:rsid w:val="0032203B"/>
    <w:rsid w:val="003221B7"/>
    <w:rsid w:val="003242DF"/>
    <w:rsid w:val="003245D7"/>
    <w:rsid w:val="003259C3"/>
    <w:rsid w:val="00325F02"/>
    <w:rsid w:val="0033378B"/>
    <w:rsid w:val="0033535B"/>
    <w:rsid w:val="0034515A"/>
    <w:rsid w:val="00346A46"/>
    <w:rsid w:val="00350FBA"/>
    <w:rsid w:val="0036205D"/>
    <w:rsid w:val="00362FE9"/>
    <w:rsid w:val="003642D8"/>
    <w:rsid w:val="00370861"/>
    <w:rsid w:val="00375038"/>
    <w:rsid w:val="00375CE5"/>
    <w:rsid w:val="00384EED"/>
    <w:rsid w:val="00385B66"/>
    <w:rsid w:val="00390C61"/>
    <w:rsid w:val="00393BAC"/>
    <w:rsid w:val="003942D4"/>
    <w:rsid w:val="003958A8"/>
    <w:rsid w:val="0039606B"/>
    <w:rsid w:val="003969A8"/>
    <w:rsid w:val="003A0C32"/>
    <w:rsid w:val="003A0D4B"/>
    <w:rsid w:val="003A2632"/>
    <w:rsid w:val="003A4E18"/>
    <w:rsid w:val="003A6515"/>
    <w:rsid w:val="003A77D9"/>
    <w:rsid w:val="003A7BA2"/>
    <w:rsid w:val="003B21FB"/>
    <w:rsid w:val="003B791A"/>
    <w:rsid w:val="003C10F2"/>
    <w:rsid w:val="003C1736"/>
    <w:rsid w:val="003C3D8D"/>
    <w:rsid w:val="003C5406"/>
    <w:rsid w:val="003C6C7B"/>
    <w:rsid w:val="003D34FB"/>
    <w:rsid w:val="003D5EE4"/>
    <w:rsid w:val="003E103B"/>
    <w:rsid w:val="003E417E"/>
    <w:rsid w:val="003E52FA"/>
    <w:rsid w:val="003E6D41"/>
    <w:rsid w:val="003F5F61"/>
    <w:rsid w:val="004002BF"/>
    <w:rsid w:val="00403A22"/>
    <w:rsid w:val="004137A6"/>
    <w:rsid w:val="00415966"/>
    <w:rsid w:val="0041739B"/>
    <w:rsid w:val="00421A21"/>
    <w:rsid w:val="00422F6E"/>
    <w:rsid w:val="00423CF3"/>
    <w:rsid w:val="0042461B"/>
    <w:rsid w:val="0042520B"/>
    <w:rsid w:val="00431EC5"/>
    <w:rsid w:val="00433CE8"/>
    <w:rsid w:val="00436B3B"/>
    <w:rsid w:val="00440A2A"/>
    <w:rsid w:val="00447830"/>
    <w:rsid w:val="004522A4"/>
    <w:rsid w:val="0045233C"/>
    <w:rsid w:val="004524CB"/>
    <w:rsid w:val="004544D9"/>
    <w:rsid w:val="00454720"/>
    <w:rsid w:val="00454CE8"/>
    <w:rsid w:val="00455692"/>
    <w:rsid w:val="00462702"/>
    <w:rsid w:val="0046399B"/>
    <w:rsid w:val="00466356"/>
    <w:rsid w:val="00471543"/>
    <w:rsid w:val="0047229D"/>
    <w:rsid w:val="00474091"/>
    <w:rsid w:val="00476CBB"/>
    <w:rsid w:val="00476EAD"/>
    <w:rsid w:val="004776F4"/>
    <w:rsid w:val="00480004"/>
    <w:rsid w:val="004804F3"/>
    <w:rsid w:val="00481DBC"/>
    <w:rsid w:val="004824B2"/>
    <w:rsid w:val="004874EE"/>
    <w:rsid w:val="004912A7"/>
    <w:rsid w:val="004921C8"/>
    <w:rsid w:val="00494F0E"/>
    <w:rsid w:val="00497457"/>
    <w:rsid w:val="004A0168"/>
    <w:rsid w:val="004A2D22"/>
    <w:rsid w:val="004A7476"/>
    <w:rsid w:val="004B7CF2"/>
    <w:rsid w:val="004C1374"/>
    <w:rsid w:val="004C25DC"/>
    <w:rsid w:val="004C4CD5"/>
    <w:rsid w:val="004C581A"/>
    <w:rsid w:val="004C5D70"/>
    <w:rsid w:val="004C5F8D"/>
    <w:rsid w:val="004E038A"/>
    <w:rsid w:val="004E1229"/>
    <w:rsid w:val="004E1578"/>
    <w:rsid w:val="004E1AA9"/>
    <w:rsid w:val="004E1AEE"/>
    <w:rsid w:val="004E276F"/>
    <w:rsid w:val="004E2EA5"/>
    <w:rsid w:val="004E3A5D"/>
    <w:rsid w:val="004E7D16"/>
    <w:rsid w:val="004F0527"/>
    <w:rsid w:val="004F1575"/>
    <w:rsid w:val="004F3329"/>
    <w:rsid w:val="004F3682"/>
    <w:rsid w:val="004F488B"/>
    <w:rsid w:val="0050223C"/>
    <w:rsid w:val="005030F2"/>
    <w:rsid w:val="0051396C"/>
    <w:rsid w:val="005166BA"/>
    <w:rsid w:val="00516BE8"/>
    <w:rsid w:val="00525421"/>
    <w:rsid w:val="0052758B"/>
    <w:rsid w:val="00530E08"/>
    <w:rsid w:val="005314DE"/>
    <w:rsid w:val="00532810"/>
    <w:rsid w:val="00534E85"/>
    <w:rsid w:val="005352F1"/>
    <w:rsid w:val="00535D61"/>
    <w:rsid w:val="005374A1"/>
    <w:rsid w:val="0054057D"/>
    <w:rsid w:val="00542420"/>
    <w:rsid w:val="005431C5"/>
    <w:rsid w:val="00546E2C"/>
    <w:rsid w:val="00547125"/>
    <w:rsid w:val="00553A09"/>
    <w:rsid w:val="0055443D"/>
    <w:rsid w:val="005546E9"/>
    <w:rsid w:val="00555654"/>
    <w:rsid w:val="00556B4E"/>
    <w:rsid w:val="005570DF"/>
    <w:rsid w:val="00557E06"/>
    <w:rsid w:val="0056199E"/>
    <w:rsid w:val="00563D37"/>
    <w:rsid w:val="00564FBC"/>
    <w:rsid w:val="005703B3"/>
    <w:rsid w:val="00571358"/>
    <w:rsid w:val="00571C93"/>
    <w:rsid w:val="0057486A"/>
    <w:rsid w:val="00577EE5"/>
    <w:rsid w:val="00582442"/>
    <w:rsid w:val="00594700"/>
    <w:rsid w:val="005A07F8"/>
    <w:rsid w:val="005A1CA3"/>
    <w:rsid w:val="005A473B"/>
    <w:rsid w:val="005A5501"/>
    <w:rsid w:val="005A56BD"/>
    <w:rsid w:val="005A5763"/>
    <w:rsid w:val="005A6AA8"/>
    <w:rsid w:val="005B36EF"/>
    <w:rsid w:val="005B385F"/>
    <w:rsid w:val="005B448B"/>
    <w:rsid w:val="005B6760"/>
    <w:rsid w:val="005B71D2"/>
    <w:rsid w:val="005C11F1"/>
    <w:rsid w:val="005C54BE"/>
    <w:rsid w:val="005C68C8"/>
    <w:rsid w:val="005C7EFB"/>
    <w:rsid w:val="005D1AAD"/>
    <w:rsid w:val="005D2735"/>
    <w:rsid w:val="005D45E4"/>
    <w:rsid w:val="005D5545"/>
    <w:rsid w:val="005D7471"/>
    <w:rsid w:val="005D7D11"/>
    <w:rsid w:val="005E1D6F"/>
    <w:rsid w:val="005E2754"/>
    <w:rsid w:val="005F0BF9"/>
    <w:rsid w:val="005F1222"/>
    <w:rsid w:val="005F1DE7"/>
    <w:rsid w:val="00601672"/>
    <w:rsid w:val="006016CC"/>
    <w:rsid w:val="0060217F"/>
    <w:rsid w:val="006025D3"/>
    <w:rsid w:val="006036D2"/>
    <w:rsid w:val="00605375"/>
    <w:rsid w:val="006061F6"/>
    <w:rsid w:val="0060738E"/>
    <w:rsid w:val="00607A8F"/>
    <w:rsid w:val="00611121"/>
    <w:rsid w:val="006124AB"/>
    <w:rsid w:val="0061529A"/>
    <w:rsid w:val="00615DF3"/>
    <w:rsid w:val="006245BD"/>
    <w:rsid w:val="00624FD2"/>
    <w:rsid w:val="00625110"/>
    <w:rsid w:val="00625313"/>
    <w:rsid w:val="00631445"/>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64D0"/>
    <w:rsid w:val="00667AD7"/>
    <w:rsid w:val="00670161"/>
    <w:rsid w:val="006765A3"/>
    <w:rsid w:val="00676AC3"/>
    <w:rsid w:val="006808CF"/>
    <w:rsid w:val="00685352"/>
    <w:rsid w:val="00687324"/>
    <w:rsid w:val="006A0E9D"/>
    <w:rsid w:val="006A1507"/>
    <w:rsid w:val="006A5907"/>
    <w:rsid w:val="006A761A"/>
    <w:rsid w:val="006B4A4B"/>
    <w:rsid w:val="006B6DCC"/>
    <w:rsid w:val="006C1FE5"/>
    <w:rsid w:val="006C4D1A"/>
    <w:rsid w:val="006C6ECC"/>
    <w:rsid w:val="006C7C0C"/>
    <w:rsid w:val="006D0D77"/>
    <w:rsid w:val="006D2FDD"/>
    <w:rsid w:val="006D40B2"/>
    <w:rsid w:val="006D55D4"/>
    <w:rsid w:val="006E05BC"/>
    <w:rsid w:val="006E1542"/>
    <w:rsid w:val="006E32FA"/>
    <w:rsid w:val="006E3BFF"/>
    <w:rsid w:val="006E6810"/>
    <w:rsid w:val="006E7C2B"/>
    <w:rsid w:val="006F1998"/>
    <w:rsid w:val="006F73CB"/>
    <w:rsid w:val="006F7925"/>
    <w:rsid w:val="00700238"/>
    <w:rsid w:val="007010ED"/>
    <w:rsid w:val="00703A3D"/>
    <w:rsid w:val="00706E25"/>
    <w:rsid w:val="0070796C"/>
    <w:rsid w:val="00714B0B"/>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0E3D"/>
    <w:rsid w:val="0075359A"/>
    <w:rsid w:val="00754CD7"/>
    <w:rsid w:val="007579C3"/>
    <w:rsid w:val="00761159"/>
    <w:rsid w:val="00763AC3"/>
    <w:rsid w:val="00764C43"/>
    <w:rsid w:val="00765E7A"/>
    <w:rsid w:val="0076793A"/>
    <w:rsid w:val="00770A2A"/>
    <w:rsid w:val="00770E42"/>
    <w:rsid w:val="00771751"/>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A6251"/>
    <w:rsid w:val="007B0746"/>
    <w:rsid w:val="007B3091"/>
    <w:rsid w:val="007B4614"/>
    <w:rsid w:val="007B48FF"/>
    <w:rsid w:val="007B6A8D"/>
    <w:rsid w:val="007C33FA"/>
    <w:rsid w:val="007C5F67"/>
    <w:rsid w:val="007C7D3F"/>
    <w:rsid w:val="007D1B5F"/>
    <w:rsid w:val="007D5356"/>
    <w:rsid w:val="007E1756"/>
    <w:rsid w:val="007E342D"/>
    <w:rsid w:val="007E73DD"/>
    <w:rsid w:val="007F0840"/>
    <w:rsid w:val="007F2124"/>
    <w:rsid w:val="007F3F26"/>
    <w:rsid w:val="007F46C3"/>
    <w:rsid w:val="007F78E7"/>
    <w:rsid w:val="00805138"/>
    <w:rsid w:val="00811C37"/>
    <w:rsid w:val="00817A3A"/>
    <w:rsid w:val="00824F12"/>
    <w:rsid w:val="00827136"/>
    <w:rsid w:val="00831957"/>
    <w:rsid w:val="00833550"/>
    <w:rsid w:val="00835301"/>
    <w:rsid w:val="0083581B"/>
    <w:rsid w:val="00837CDD"/>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3913"/>
    <w:rsid w:val="00894A8D"/>
    <w:rsid w:val="0089781C"/>
    <w:rsid w:val="008A22C5"/>
    <w:rsid w:val="008A3702"/>
    <w:rsid w:val="008A39C1"/>
    <w:rsid w:val="008A453D"/>
    <w:rsid w:val="008A5FDD"/>
    <w:rsid w:val="008B0EB9"/>
    <w:rsid w:val="008B1F57"/>
    <w:rsid w:val="008B1F62"/>
    <w:rsid w:val="008B2466"/>
    <w:rsid w:val="008B2F6E"/>
    <w:rsid w:val="008B4F08"/>
    <w:rsid w:val="008C30F7"/>
    <w:rsid w:val="008C561E"/>
    <w:rsid w:val="008C5A49"/>
    <w:rsid w:val="008D0AB2"/>
    <w:rsid w:val="008D2D0A"/>
    <w:rsid w:val="008D494D"/>
    <w:rsid w:val="008D5EAC"/>
    <w:rsid w:val="008E2C5F"/>
    <w:rsid w:val="008E5A16"/>
    <w:rsid w:val="008E6086"/>
    <w:rsid w:val="008E66A4"/>
    <w:rsid w:val="008F3EA7"/>
    <w:rsid w:val="008F7C9E"/>
    <w:rsid w:val="00902374"/>
    <w:rsid w:val="009030F6"/>
    <w:rsid w:val="0090483B"/>
    <w:rsid w:val="00905846"/>
    <w:rsid w:val="00905D9B"/>
    <w:rsid w:val="0090693C"/>
    <w:rsid w:val="009108A1"/>
    <w:rsid w:val="00911F7D"/>
    <w:rsid w:val="00912C48"/>
    <w:rsid w:val="00912E33"/>
    <w:rsid w:val="009166A2"/>
    <w:rsid w:val="00916E39"/>
    <w:rsid w:val="009173EF"/>
    <w:rsid w:val="00917ABA"/>
    <w:rsid w:val="00925131"/>
    <w:rsid w:val="009266F9"/>
    <w:rsid w:val="00930A68"/>
    <w:rsid w:val="00932906"/>
    <w:rsid w:val="00937661"/>
    <w:rsid w:val="0094130F"/>
    <w:rsid w:val="009419D1"/>
    <w:rsid w:val="00942F4D"/>
    <w:rsid w:val="00945D18"/>
    <w:rsid w:val="009520EE"/>
    <w:rsid w:val="009539B3"/>
    <w:rsid w:val="009606E7"/>
    <w:rsid w:val="00961B0B"/>
    <w:rsid w:val="00962938"/>
    <w:rsid w:val="00963226"/>
    <w:rsid w:val="009632AA"/>
    <w:rsid w:val="009659F0"/>
    <w:rsid w:val="00966A1B"/>
    <w:rsid w:val="00975D5B"/>
    <w:rsid w:val="00981F5D"/>
    <w:rsid w:val="009821AE"/>
    <w:rsid w:val="00984458"/>
    <w:rsid w:val="00987F7A"/>
    <w:rsid w:val="00992CA8"/>
    <w:rsid w:val="00997952"/>
    <w:rsid w:val="009A069F"/>
    <w:rsid w:val="009A6F1D"/>
    <w:rsid w:val="009B048E"/>
    <w:rsid w:val="009B637E"/>
    <w:rsid w:val="009D3B98"/>
    <w:rsid w:val="009D6EA5"/>
    <w:rsid w:val="009D7C98"/>
    <w:rsid w:val="009E0CD7"/>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2278"/>
    <w:rsid w:val="00A22591"/>
    <w:rsid w:val="00A24BAF"/>
    <w:rsid w:val="00A25503"/>
    <w:rsid w:val="00A27F92"/>
    <w:rsid w:val="00A305AA"/>
    <w:rsid w:val="00A32654"/>
    <w:rsid w:val="00A33971"/>
    <w:rsid w:val="00A35E16"/>
    <w:rsid w:val="00A44101"/>
    <w:rsid w:val="00A5383B"/>
    <w:rsid w:val="00A54DD4"/>
    <w:rsid w:val="00A55622"/>
    <w:rsid w:val="00A556C2"/>
    <w:rsid w:val="00A602CD"/>
    <w:rsid w:val="00A63031"/>
    <w:rsid w:val="00A63C6C"/>
    <w:rsid w:val="00A71E8E"/>
    <w:rsid w:val="00A747F5"/>
    <w:rsid w:val="00A77EA6"/>
    <w:rsid w:val="00A806F2"/>
    <w:rsid w:val="00A8261D"/>
    <w:rsid w:val="00A82D0D"/>
    <w:rsid w:val="00A87B50"/>
    <w:rsid w:val="00A91DE4"/>
    <w:rsid w:val="00A94AD4"/>
    <w:rsid w:val="00AA3A1C"/>
    <w:rsid w:val="00AA5496"/>
    <w:rsid w:val="00AB0340"/>
    <w:rsid w:val="00AB3AB1"/>
    <w:rsid w:val="00AB42F6"/>
    <w:rsid w:val="00AC1E55"/>
    <w:rsid w:val="00AC2591"/>
    <w:rsid w:val="00AC6F74"/>
    <w:rsid w:val="00AD0AE5"/>
    <w:rsid w:val="00AD278E"/>
    <w:rsid w:val="00AD3E23"/>
    <w:rsid w:val="00AD5D3C"/>
    <w:rsid w:val="00AD7201"/>
    <w:rsid w:val="00AD727D"/>
    <w:rsid w:val="00AD7909"/>
    <w:rsid w:val="00AE115E"/>
    <w:rsid w:val="00AE26D6"/>
    <w:rsid w:val="00AE35CD"/>
    <w:rsid w:val="00AF2509"/>
    <w:rsid w:val="00AF2963"/>
    <w:rsid w:val="00B024D2"/>
    <w:rsid w:val="00B13315"/>
    <w:rsid w:val="00B2270F"/>
    <w:rsid w:val="00B23E7E"/>
    <w:rsid w:val="00B24669"/>
    <w:rsid w:val="00B25B41"/>
    <w:rsid w:val="00B27123"/>
    <w:rsid w:val="00B27228"/>
    <w:rsid w:val="00B30DB1"/>
    <w:rsid w:val="00B31C27"/>
    <w:rsid w:val="00B371AF"/>
    <w:rsid w:val="00B40A81"/>
    <w:rsid w:val="00B4207A"/>
    <w:rsid w:val="00B44910"/>
    <w:rsid w:val="00B54B8F"/>
    <w:rsid w:val="00B576FA"/>
    <w:rsid w:val="00B64212"/>
    <w:rsid w:val="00B7000E"/>
    <w:rsid w:val="00B72267"/>
    <w:rsid w:val="00B72DC8"/>
    <w:rsid w:val="00B750EB"/>
    <w:rsid w:val="00B76EB6"/>
    <w:rsid w:val="00B77B71"/>
    <w:rsid w:val="00B824C8"/>
    <w:rsid w:val="00B82A28"/>
    <w:rsid w:val="00B8318C"/>
    <w:rsid w:val="00B84652"/>
    <w:rsid w:val="00B8578D"/>
    <w:rsid w:val="00B86295"/>
    <w:rsid w:val="00B8714F"/>
    <w:rsid w:val="00B902F2"/>
    <w:rsid w:val="00B94549"/>
    <w:rsid w:val="00B977EF"/>
    <w:rsid w:val="00BA1CA1"/>
    <w:rsid w:val="00BA1CAA"/>
    <w:rsid w:val="00BA3A82"/>
    <w:rsid w:val="00BA7087"/>
    <w:rsid w:val="00BB0863"/>
    <w:rsid w:val="00BB0E88"/>
    <w:rsid w:val="00BB2987"/>
    <w:rsid w:val="00BC2C12"/>
    <w:rsid w:val="00BC5A8A"/>
    <w:rsid w:val="00BC5C11"/>
    <w:rsid w:val="00BD032B"/>
    <w:rsid w:val="00BE012E"/>
    <w:rsid w:val="00BE02D1"/>
    <w:rsid w:val="00BE1922"/>
    <w:rsid w:val="00BE2640"/>
    <w:rsid w:val="00BE355F"/>
    <w:rsid w:val="00BF1C91"/>
    <w:rsid w:val="00BF1FFF"/>
    <w:rsid w:val="00BF2BF9"/>
    <w:rsid w:val="00BF370B"/>
    <w:rsid w:val="00C01189"/>
    <w:rsid w:val="00C03AD5"/>
    <w:rsid w:val="00C104DD"/>
    <w:rsid w:val="00C108D2"/>
    <w:rsid w:val="00C14446"/>
    <w:rsid w:val="00C17270"/>
    <w:rsid w:val="00C17609"/>
    <w:rsid w:val="00C17AF8"/>
    <w:rsid w:val="00C203E4"/>
    <w:rsid w:val="00C301A8"/>
    <w:rsid w:val="00C3310D"/>
    <w:rsid w:val="00C33313"/>
    <w:rsid w:val="00C367FD"/>
    <w:rsid w:val="00C36D0F"/>
    <w:rsid w:val="00C374DE"/>
    <w:rsid w:val="00C4152B"/>
    <w:rsid w:val="00C44DA7"/>
    <w:rsid w:val="00C472F3"/>
    <w:rsid w:val="00C473A4"/>
    <w:rsid w:val="00C50344"/>
    <w:rsid w:val="00C512A0"/>
    <w:rsid w:val="00C51F07"/>
    <w:rsid w:val="00C53A28"/>
    <w:rsid w:val="00C577E9"/>
    <w:rsid w:val="00C63A7F"/>
    <w:rsid w:val="00C65214"/>
    <w:rsid w:val="00C667DB"/>
    <w:rsid w:val="00C66E21"/>
    <w:rsid w:val="00C707CB"/>
    <w:rsid w:val="00C7397E"/>
    <w:rsid w:val="00C73A8D"/>
    <w:rsid w:val="00C90506"/>
    <w:rsid w:val="00C94145"/>
    <w:rsid w:val="00C9560A"/>
    <w:rsid w:val="00C96272"/>
    <w:rsid w:val="00CA0003"/>
    <w:rsid w:val="00CA1BFF"/>
    <w:rsid w:val="00CA2A00"/>
    <w:rsid w:val="00CA426F"/>
    <w:rsid w:val="00CA4EB5"/>
    <w:rsid w:val="00CA6393"/>
    <w:rsid w:val="00CB1BB5"/>
    <w:rsid w:val="00CB45D7"/>
    <w:rsid w:val="00CB5846"/>
    <w:rsid w:val="00CB688A"/>
    <w:rsid w:val="00CC02B8"/>
    <w:rsid w:val="00CC1EB2"/>
    <w:rsid w:val="00CC2057"/>
    <w:rsid w:val="00CD0C08"/>
    <w:rsid w:val="00CD5BBD"/>
    <w:rsid w:val="00CD66E3"/>
    <w:rsid w:val="00CE0C9F"/>
    <w:rsid w:val="00CE222A"/>
    <w:rsid w:val="00CE554A"/>
    <w:rsid w:val="00CE566C"/>
    <w:rsid w:val="00CE7137"/>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455D"/>
    <w:rsid w:val="00D2484B"/>
    <w:rsid w:val="00D27B70"/>
    <w:rsid w:val="00D309CF"/>
    <w:rsid w:val="00D30A39"/>
    <w:rsid w:val="00D3308E"/>
    <w:rsid w:val="00D336EE"/>
    <w:rsid w:val="00D378D7"/>
    <w:rsid w:val="00D411AC"/>
    <w:rsid w:val="00D43B52"/>
    <w:rsid w:val="00D466A4"/>
    <w:rsid w:val="00D4769E"/>
    <w:rsid w:val="00D534B0"/>
    <w:rsid w:val="00D5786C"/>
    <w:rsid w:val="00D57E69"/>
    <w:rsid w:val="00D617BD"/>
    <w:rsid w:val="00D7144D"/>
    <w:rsid w:val="00D7225A"/>
    <w:rsid w:val="00D7501A"/>
    <w:rsid w:val="00D76A33"/>
    <w:rsid w:val="00D84E0B"/>
    <w:rsid w:val="00D859E2"/>
    <w:rsid w:val="00D86145"/>
    <w:rsid w:val="00D9217C"/>
    <w:rsid w:val="00DA1A79"/>
    <w:rsid w:val="00DA313D"/>
    <w:rsid w:val="00DA3E70"/>
    <w:rsid w:val="00DA4F9A"/>
    <w:rsid w:val="00DA5B1F"/>
    <w:rsid w:val="00DB088B"/>
    <w:rsid w:val="00DB6388"/>
    <w:rsid w:val="00DC0E33"/>
    <w:rsid w:val="00DC429C"/>
    <w:rsid w:val="00DC4A08"/>
    <w:rsid w:val="00DC7F3A"/>
    <w:rsid w:val="00DD06C6"/>
    <w:rsid w:val="00DE06EB"/>
    <w:rsid w:val="00DE52DC"/>
    <w:rsid w:val="00DF0FA8"/>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475F6"/>
    <w:rsid w:val="00E544AC"/>
    <w:rsid w:val="00E55559"/>
    <w:rsid w:val="00E60E60"/>
    <w:rsid w:val="00E65650"/>
    <w:rsid w:val="00E66D61"/>
    <w:rsid w:val="00E67228"/>
    <w:rsid w:val="00E77551"/>
    <w:rsid w:val="00E828D5"/>
    <w:rsid w:val="00E8417D"/>
    <w:rsid w:val="00E849B4"/>
    <w:rsid w:val="00E86AD1"/>
    <w:rsid w:val="00E975A1"/>
    <w:rsid w:val="00EA18E3"/>
    <w:rsid w:val="00EA5D6F"/>
    <w:rsid w:val="00EB2232"/>
    <w:rsid w:val="00EB2ED4"/>
    <w:rsid w:val="00EB43C8"/>
    <w:rsid w:val="00EB4849"/>
    <w:rsid w:val="00EB5878"/>
    <w:rsid w:val="00EB66CD"/>
    <w:rsid w:val="00EB76AC"/>
    <w:rsid w:val="00EC052E"/>
    <w:rsid w:val="00EC3551"/>
    <w:rsid w:val="00EC5292"/>
    <w:rsid w:val="00ED029B"/>
    <w:rsid w:val="00ED063D"/>
    <w:rsid w:val="00ED1BE1"/>
    <w:rsid w:val="00ED308F"/>
    <w:rsid w:val="00ED4F5F"/>
    <w:rsid w:val="00ED50E7"/>
    <w:rsid w:val="00ED6491"/>
    <w:rsid w:val="00ED66A1"/>
    <w:rsid w:val="00ED6E70"/>
    <w:rsid w:val="00EE0185"/>
    <w:rsid w:val="00EE620A"/>
    <w:rsid w:val="00EF00BD"/>
    <w:rsid w:val="00EF7D55"/>
    <w:rsid w:val="00F00274"/>
    <w:rsid w:val="00F01FC4"/>
    <w:rsid w:val="00F02689"/>
    <w:rsid w:val="00F02CE5"/>
    <w:rsid w:val="00F03FB0"/>
    <w:rsid w:val="00F046BB"/>
    <w:rsid w:val="00F04A20"/>
    <w:rsid w:val="00F05772"/>
    <w:rsid w:val="00F07765"/>
    <w:rsid w:val="00F124B1"/>
    <w:rsid w:val="00F1489D"/>
    <w:rsid w:val="00F15957"/>
    <w:rsid w:val="00F17005"/>
    <w:rsid w:val="00F1776B"/>
    <w:rsid w:val="00F2150A"/>
    <w:rsid w:val="00F23CA9"/>
    <w:rsid w:val="00F33243"/>
    <w:rsid w:val="00F335A4"/>
    <w:rsid w:val="00F3600D"/>
    <w:rsid w:val="00F43265"/>
    <w:rsid w:val="00F44B19"/>
    <w:rsid w:val="00F44C13"/>
    <w:rsid w:val="00F5168B"/>
    <w:rsid w:val="00F523CD"/>
    <w:rsid w:val="00F5243E"/>
    <w:rsid w:val="00F524E4"/>
    <w:rsid w:val="00F52601"/>
    <w:rsid w:val="00F538B2"/>
    <w:rsid w:val="00F6550B"/>
    <w:rsid w:val="00F6647A"/>
    <w:rsid w:val="00F70C1F"/>
    <w:rsid w:val="00F71EF8"/>
    <w:rsid w:val="00F732DA"/>
    <w:rsid w:val="00F73F0D"/>
    <w:rsid w:val="00F7472E"/>
    <w:rsid w:val="00F77CB0"/>
    <w:rsid w:val="00F83017"/>
    <w:rsid w:val="00F83B99"/>
    <w:rsid w:val="00F84005"/>
    <w:rsid w:val="00F910A2"/>
    <w:rsid w:val="00F915D8"/>
    <w:rsid w:val="00F9635E"/>
    <w:rsid w:val="00F96900"/>
    <w:rsid w:val="00FA3032"/>
    <w:rsid w:val="00FA4E5B"/>
    <w:rsid w:val="00FB2684"/>
    <w:rsid w:val="00FB3CFA"/>
    <w:rsid w:val="00FB4929"/>
    <w:rsid w:val="00FB4F5B"/>
    <w:rsid w:val="00FC307D"/>
    <w:rsid w:val="00FC4153"/>
    <w:rsid w:val="00FC4B12"/>
    <w:rsid w:val="00FC7BD8"/>
    <w:rsid w:val="00FD0557"/>
    <w:rsid w:val="00FD0BB9"/>
    <w:rsid w:val="00FD0E17"/>
    <w:rsid w:val="00FD3677"/>
    <w:rsid w:val="00FE12EA"/>
    <w:rsid w:val="00FE176F"/>
    <w:rsid w:val="00FE2E6C"/>
    <w:rsid w:val="00FE38D0"/>
    <w:rsid w:val="00FE6AD0"/>
    <w:rsid w:val="00FE7501"/>
    <w:rsid w:val="00FE77D2"/>
    <w:rsid w:val="00FF071A"/>
    <w:rsid w:val="00FF117D"/>
    <w:rsid w:val="00FF3934"/>
    <w:rsid w:val="00FF5CC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32B5AA"/>
  <w15:docId w15:val="{F0DD723F-7AC9-4BD7-9CCD-10AEA5AD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 w:type="character" w:styleId="CommentReference">
    <w:name w:val="annotation reference"/>
    <w:basedOn w:val="DefaultParagraphFont"/>
    <w:semiHidden/>
    <w:unhideWhenUsed/>
    <w:rsid w:val="00765E7A"/>
    <w:rPr>
      <w:sz w:val="16"/>
      <w:szCs w:val="16"/>
    </w:rPr>
  </w:style>
  <w:style w:type="paragraph" w:styleId="CommentText">
    <w:name w:val="annotation text"/>
    <w:basedOn w:val="Normal"/>
    <w:link w:val="CommentTextChar"/>
    <w:semiHidden/>
    <w:unhideWhenUsed/>
    <w:rsid w:val="00765E7A"/>
    <w:rPr>
      <w:sz w:val="20"/>
    </w:rPr>
  </w:style>
  <w:style w:type="character" w:customStyle="1" w:styleId="CommentTextChar">
    <w:name w:val="Comment Text Char"/>
    <w:basedOn w:val="DefaultParagraphFont"/>
    <w:link w:val="CommentText"/>
    <w:semiHidden/>
    <w:rsid w:val="00765E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5E7A"/>
    <w:rPr>
      <w:b/>
      <w:bCs/>
    </w:rPr>
  </w:style>
  <w:style w:type="character" w:customStyle="1" w:styleId="CommentSubjectChar">
    <w:name w:val="Comment Subject Char"/>
    <w:basedOn w:val="CommentTextChar"/>
    <w:link w:val="CommentSubject"/>
    <w:semiHidden/>
    <w:rsid w:val="00765E7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099858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365978696">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RCLWCGLANG8-C-00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5-CL-C-0099/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8-RCLWCGLANG8-C-0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md/S16-CL-C-0126/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RCLWCGLANG8-C-0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6CBF4-8D42-4FE7-9F23-CAF93E95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8</TotalTime>
  <Pages>4</Pages>
  <Words>1703</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dc:description/>
  <cp:lastModifiedBy>Janin</cp:lastModifiedBy>
  <cp:revision>4</cp:revision>
  <cp:lastPrinted>2017-11-27T08:28:00Z</cp:lastPrinted>
  <dcterms:created xsi:type="dcterms:W3CDTF">2017-12-21T13:38:00Z</dcterms:created>
  <dcterms:modified xsi:type="dcterms:W3CDTF">2017-12-22T13:34:00Z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