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421D73" w:rsidP="00564170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Eleventh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5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-2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6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January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795E6F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</w:t>
            </w:r>
            <w:r w:rsidR="00564170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DA2094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7-E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DA2094" w:rsidP="004B2BB9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18 J</w:t>
            </w:r>
            <w:r w:rsidR="004B2BB9">
              <w:rPr>
                <w:rFonts w:asciiTheme="minorHAnsi" w:hAnsiTheme="minorHAnsi"/>
                <w:b/>
                <w:sz w:val="24"/>
              </w:rPr>
              <w:t>anuary</w:t>
            </w:r>
            <w:r w:rsidR="00564170">
              <w:rPr>
                <w:rFonts w:asciiTheme="minorHAnsi" w:hAnsiTheme="minorHAnsi"/>
                <w:b/>
                <w:sz w:val="24"/>
              </w:rPr>
              <w:t xml:space="preserve"> 201</w:t>
            </w:r>
            <w:r w:rsidR="004B2BB9">
              <w:rPr>
                <w:rFonts w:asciiTheme="minorHAnsi" w:hAnsiTheme="minorHAnsi"/>
                <w:b/>
                <w:sz w:val="24"/>
              </w:rPr>
              <w:t>8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6C45DD" w:rsidRPr="000F2E67" w:rsidRDefault="005F153A" w:rsidP="00B17064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  <w:bookmarkEnd w:id="5"/>
    </w:tbl>
    <w:p w:rsidR="009208B2" w:rsidRDefault="009208B2" w:rsidP="003D373C">
      <w:pPr>
        <w:jc w:val="center"/>
        <w:rPr>
          <w:rFonts w:asciiTheme="minorHAnsi" w:hAnsiTheme="minorHAnsi" w:cstheme="majorBidi"/>
        </w:rPr>
      </w:pPr>
    </w:p>
    <w:p w:rsidR="004E6142" w:rsidRDefault="004E6142" w:rsidP="003D373C">
      <w:pPr>
        <w:jc w:val="center"/>
        <w:rPr>
          <w:rFonts w:asciiTheme="minorHAnsi" w:hAnsiTheme="minorHAnsi" w:cstheme="majorBidi"/>
        </w:rPr>
      </w:pPr>
    </w:p>
    <w:p w:rsidR="004E6142" w:rsidRPr="00DA2094" w:rsidRDefault="00DA2094" w:rsidP="003D373C">
      <w:pPr>
        <w:jc w:val="center"/>
        <w:rPr>
          <w:rFonts w:asciiTheme="minorHAnsi" w:hAnsiTheme="minorHAnsi" w:cstheme="majorBidi"/>
          <w:b/>
          <w:sz w:val="24"/>
          <w:szCs w:val="28"/>
        </w:rPr>
      </w:pPr>
      <w:r w:rsidRPr="00DA2094">
        <w:rPr>
          <w:rFonts w:asciiTheme="minorHAnsi" w:hAnsiTheme="minorHAnsi" w:cstheme="majorBidi"/>
          <w:b/>
          <w:sz w:val="24"/>
          <w:szCs w:val="28"/>
        </w:rPr>
        <w:t>Russian Federation</w:t>
      </w:r>
    </w:p>
    <w:p w:rsidR="004E6142" w:rsidRPr="00DA2094" w:rsidRDefault="004E6142" w:rsidP="003D373C">
      <w:pPr>
        <w:jc w:val="center"/>
        <w:rPr>
          <w:rFonts w:asciiTheme="minorHAnsi" w:hAnsiTheme="minorHAnsi" w:cstheme="majorBidi"/>
          <w:bCs/>
          <w:sz w:val="28"/>
          <w:szCs w:val="32"/>
        </w:rPr>
      </w:pPr>
    </w:p>
    <w:p w:rsidR="00283451" w:rsidRPr="00DA2094" w:rsidRDefault="00C73776" w:rsidP="00283451">
      <w:pPr>
        <w:jc w:val="center"/>
        <w:rPr>
          <w:rFonts w:asciiTheme="minorHAnsi" w:hAnsiTheme="minorHAnsi"/>
          <w:bCs/>
          <w:sz w:val="28"/>
          <w:szCs w:val="32"/>
        </w:rPr>
      </w:pPr>
      <w:r w:rsidRPr="00DA2094">
        <w:rPr>
          <w:rFonts w:asciiTheme="minorHAnsi" w:hAnsiTheme="minorHAnsi"/>
          <w:bCs/>
          <w:sz w:val="28"/>
          <w:szCs w:val="32"/>
        </w:rPr>
        <w:t>P</w:t>
      </w:r>
      <w:r w:rsidR="009E46E9" w:rsidRPr="00DA2094">
        <w:rPr>
          <w:rFonts w:asciiTheme="minorHAnsi" w:hAnsiTheme="minorHAnsi"/>
          <w:bCs/>
          <w:sz w:val="28"/>
          <w:szCs w:val="32"/>
        </w:rPr>
        <w:t>R</w:t>
      </w:r>
      <w:r w:rsidRPr="00DA2094">
        <w:rPr>
          <w:rFonts w:asciiTheme="minorHAnsi" w:hAnsiTheme="minorHAnsi"/>
          <w:bCs/>
          <w:sz w:val="28"/>
          <w:szCs w:val="32"/>
        </w:rPr>
        <w:t>OPOSALS</w:t>
      </w:r>
      <w:r w:rsidR="00283451" w:rsidRPr="00DA2094">
        <w:rPr>
          <w:rFonts w:asciiTheme="minorHAnsi" w:hAnsiTheme="minorHAnsi"/>
          <w:bCs/>
          <w:sz w:val="28"/>
          <w:szCs w:val="32"/>
        </w:rPr>
        <w:t xml:space="preserve"> ON THE REPORT OF THE SECRETARY-GENERAL</w:t>
      </w:r>
      <w:r w:rsidR="00283451" w:rsidRPr="00DA2094">
        <w:rPr>
          <w:rFonts w:asciiTheme="minorHAnsi" w:hAnsiTheme="minorHAnsi"/>
          <w:bCs/>
          <w:sz w:val="28"/>
          <w:szCs w:val="32"/>
        </w:rPr>
        <w:br/>
        <w:t>ON ITU'S INTERNET ACTIVITIES: RESOLUTIONS 101, 102, 133 AND 180</w:t>
      </w:r>
    </w:p>
    <w:p w:rsidR="00283451" w:rsidRPr="00DA2094" w:rsidRDefault="00283451" w:rsidP="00283451">
      <w:pPr>
        <w:jc w:val="center"/>
        <w:rPr>
          <w:rFonts w:asciiTheme="minorHAnsi" w:hAnsiTheme="minorHAnsi"/>
          <w:bCs/>
          <w:sz w:val="28"/>
          <w:szCs w:val="32"/>
        </w:rPr>
      </w:pPr>
    </w:p>
    <w:p w:rsidR="004E6142" w:rsidRDefault="004E6142" w:rsidP="00283451">
      <w:pPr>
        <w:jc w:val="center"/>
        <w:rPr>
          <w:rFonts w:asciiTheme="minorHAnsi" w:hAnsiTheme="minorHAnsi"/>
          <w:b/>
        </w:rPr>
      </w:pPr>
    </w:p>
    <w:p w:rsidR="00283451" w:rsidRPr="004E6142" w:rsidRDefault="00283451" w:rsidP="004E6142">
      <w:pPr>
        <w:spacing w:before="120"/>
        <w:ind w:firstLine="709"/>
        <w:jc w:val="both"/>
        <w:rPr>
          <w:rFonts w:asciiTheme="minorHAnsi" w:hAnsiTheme="minorHAnsi"/>
          <w:b/>
        </w:rPr>
      </w:pPr>
      <w:r w:rsidRPr="004E6142">
        <w:rPr>
          <w:rFonts w:asciiTheme="minorHAnsi" w:hAnsiTheme="minorHAnsi"/>
          <w:b/>
        </w:rPr>
        <w:t>Introduction</w:t>
      </w:r>
    </w:p>
    <w:p w:rsidR="00283451" w:rsidRPr="006633F6" w:rsidRDefault="00C473A8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Resolution</w:t>
      </w:r>
      <w:r w:rsidR="00663E4E" w:rsidRPr="006633F6">
        <w:rPr>
          <w:rFonts w:asciiTheme="minorHAnsi" w:hAnsiTheme="minorHAnsi"/>
        </w:rPr>
        <w:t xml:space="preserve"> 102 (R</w:t>
      </w:r>
      <w:r w:rsidRPr="006633F6">
        <w:rPr>
          <w:rFonts w:asciiTheme="minorHAnsi" w:hAnsiTheme="minorHAnsi"/>
        </w:rPr>
        <w:t>ev.</w:t>
      </w:r>
      <w:r w:rsidR="00663E4E" w:rsidRPr="006633F6">
        <w:rPr>
          <w:rFonts w:asciiTheme="minorHAnsi" w:hAnsiTheme="minorHAnsi"/>
        </w:rPr>
        <w:t xml:space="preserve"> 2014) </w:t>
      </w:r>
      <w:r w:rsidR="001C208D" w:rsidRPr="006633F6">
        <w:rPr>
          <w:rFonts w:asciiTheme="minorHAnsi" w:hAnsiTheme="minorHAnsi"/>
        </w:rPr>
        <w:t xml:space="preserve">PP-14 </w:t>
      </w:r>
      <w:r w:rsidR="00283451" w:rsidRPr="006633F6">
        <w:rPr>
          <w:rFonts w:asciiTheme="minorHAnsi" w:hAnsiTheme="minorHAnsi"/>
        </w:rPr>
        <w:t>instructed the ITU Council "</w:t>
      </w:r>
      <w:r w:rsidR="00663E4E" w:rsidRPr="006633F6">
        <w:rPr>
          <w:rFonts w:asciiTheme="minorHAnsi" w:hAnsiTheme="minorHAnsi"/>
        </w:rPr>
        <w:t xml:space="preserve">to report to the 2018 plenipotentiary conference on the activities undertaken and achievements on the objectives of this resolution, including proposals for further consideration as appropriate </w:t>
      </w:r>
      <w:r w:rsidR="00283451" w:rsidRPr="006633F6">
        <w:rPr>
          <w:rFonts w:asciiTheme="minorHAnsi" w:hAnsiTheme="minorHAnsi"/>
        </w:rPr>
        <w:t>".</w:t>
      </w:r>
    </w:p>
    <w:p w:rsidR="00283451" w:rsidRPr="006633F6" w:rsidRDefault="00283451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In addition, all Resolutions 101, 102, 133 and 180 contain instructions to the Secretary-General to submit annual Reports to the Council of the ITU on issues related to Internet activities.</w:t>
      </w:r>
    </w:p>
    <w:p w:rsidR="00283451" w:rsidRPr="006633F6" w:rsidRDefault="00283451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In addition, the terms of reference of the Council Working Group, as approved by the ITU Council Resolution 1336 (</w:t>
      </w:r>
      <w:r w:rsidR="00663E4E" w:rsidRPr="006633F6">
        <w:rPr>
          <w:rFonts w:asciiTheme="minorHAnsi" w:hAnsiTheme="minorHAnsi"/>
        </w:rPr>
        <w:t>Rev</w:t>
      </w:r>
      <w:r w:rsidR="00C473A8" w:rsidRPr="006633F6">
        <w:rPr>
          <w:rFonts w:asciiTheme="minorHAnsi" w:hAnsiTheme="minorHAnsi"/>
        </w:rPr>
        <w:t>.</w:t>
      </w:r>
      <w:r w:rsidR="00663E4E" w:rsidRPr="006633F6">
        <w:rPr>
          <w:rFonts w:asciiTheme="minorHAnsi" w:hAnsiTheme="minorHAnsi"/>
        </w:rPr>
        <w:t xml:space="preserve"> </w:t>
      </w:r>
      <w:r w:rsidRPr="006633F6">
        <w:rPr>
          <w:rFonts w:asciiTheme="minorHAnsi" w:hAnsiTheme="minorHAnsi"/>
        </w:rPr>
        <w:t>2015), defines, inter alia:</w:t>
      </w:r>
    </w:p>
    <w:p w:rsidR="00C473A8" w:rsidRPr="006633F6" w:rsidRDefault="006B134E" w:rsidP="006B134E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"</w:t>
      </w:r>
      <w:r w:rsidR="00C473A8" w:rsidRPr="006633F6">
        <w:rPr>
          <w:rFonts w:asciiTheme="minorHAnsi" w:hAnsiTheme="minorHAnsi"/>
        </w:rPr>
        <w:t>4</w:t>
      </w:r>
      <w:r w:rsidR="00C473A8" w:rsidRPr="006633F6">
        <w:rPr>
          <w:rFonts w:asciiTheme="minorHAnsi" w:hAnsiTheme="minorHAnsi"/>
        </w:rPr>
        <w:tab/>
        <w:t xml:space="preserve">consider and discuss the activities of the Secretary-General and the Directors of the </w:t>
      </w:r>
      <w:proofErr w:type="spellStart"/>
      <w:r w:rsidR="00C473A8" w:rsidRPr="006633F6">
        <w:rPr>
          <w:rFonts w:asciiTheme="minorHAnsi" w:hAnsiTheme="minorHAnsi"/>
        </w:rPr>
        <w:t>Bureaux</w:t>
      </w:r>
      <w:proofErr w:type="spellEnd"/>
      <w:r w:rsidR="00C473A8" w:rsidRPr="006633F6">
        <w:rPr>
          <w:rFonts w:asciiTheme="minorHAnsi" w:hAnsiTheme="minorHAnsi"/>
        </w:rPr>
        <w:t xml:space="preserve"> in relation to implementation of Resolution 102 (Rev. Busan, 2014), and to prepare inputs into these activities as appropriate;</w:t>
      </w:r>
    </w:p>
    <w:p w:rsidR="00C473A8" w:rsidRPr="006633F6" w:rsidRDefault="00C473A8" w:rsidP="004E6142">
      <w:pPr>
        <w:tabs>
          <w:tab w:val="left" w:pos="720"/>
        </w:tabs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5</w:t>
      </w:r>
      <w:r w:rsidRPr="006633F6">
        <w:rPr>
          <w:rFonts w:asciiTheme="minorHAnsi" w:hAnsiTheme="minorHAnsi"/>
        </w:rPr>
        <w:tab/>
        <w:t>consider and discuss the report prepared by the Secretary-General for Council related to Internet activities of the Union and provide comments if necessary</w:t>
      </w:r>
      <w:proofErr w:type="gramStart"/>
      <w:r w:rsidRPr="006633F6">
        <w:rPr>
          <w:rFonts w:asciiTheme="minorHAnsi" w:hAnsiTheme="minorHAnsi"/>
        </w:rPr>
        <w:t>; "</w:t>
      </w:r>
      <w:proofErr w:type="gramEnd"/>
    </w:p>
    <w:p w:rsidR="00283451" w:rsidRPr="006633F6" w:rsidRDefault="00283451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In this regard, the Russian Federation expresses its gratitude to the ITU Secretariat for preparing and submitting interim reports on Internet activities to the C</w:t>
      </w:r>
      <w:r w:rsidR="00C473A8" w:rsidRPr="006633F6">
        <w:rPr>
          <w:rFonts w:asciiTheme="minorHAnsi" w:hAnsiTheme="minorHAnsi"/>
        </w:rPr>
        <w:t>WG</w:t>
      </w:r>
      <w:r w:rsidRPr="006633F6">
        <w:rPr>
          <w:rFonts w:asciiTheme="minorHAnsi" w:hAnsiTheme="minorHAnsi"/>
        </w:rPr>
        <w:t>-Internet</w:t>
      </w:r>
      <w:r w:rsidR="002E339E" w:rsidRPr="006633F6">
        <w:rPr>
          <w:rFonts w:asciiTheme="minorHAnsi" w:hAnsiTheme="minorHAnsi"/>
        </w:rPr>
        <w:t xml:space="preserve"> meetings</w:t>
      </w:r>
      <w:r w:rsidRPr="006633F6">
        <w:rPr>
          <w:rFonts w:asciiTheme="minorHAnsi" w:hAnsiTheme="minorHAnsi"/>
        </w:rPr>
        <w:t xml:space="preserve">, including </w:t>
      </w:r>
      <w:r w:rsidR="002E339E" w:rsidRPr="006633F6">
        <w:rPr>
          <w:rFonts w:asciiTheme="minorHAnsi" w:hAnsiTheme="minorHAnsi"/>
        </w:rPr>
        <w:t xml:space="preserve">Document </w:t>
      </w:r>
      <w:r w:rsidRPr="006633F6">
        <w:rPr>
          <w:rFonts w:asciiTheme="minorHAnsi" w:hAnsiTheme="minorHAnsi"/>
        </w:rPr>
        <w:t>WG-Internet 11/2-E for the 11th meeting of the Group, which describe</w:t>
      </w:r>
      <w:r w:rsidR="006633F6" w:rsidRPr="006633F6">
        <w:rPr>
          <w:rFonts w:asciiTheme="minorHAnsi" w:hAnsiTheme="minorHAnsi"/>
        </w:rPr>
        <w:t>s</w:t>
      </w:r>
      <w:r w:rsidRPr="006633F6">
        <w:rPr>
          <w:rFonts w:asciiTheme="minorHAnsi" w:hAnsiTheme="minorHAnsi"/>
        </w:rPr>
        <w:t xml:space="preserve"> the activities of ITU for the repor</w:t>
      </w:r>
      <w:r w:rsidR="00C473A8" w:rsidRPr="006633F6">
        <w:rPr>
          <w:rFonts w:asciiTheme="minorHAnsi" w:hAnsiTheme="minorHAnsi"/>
        </w:rPr>
        <w:t xml:space="preserve">ting period from the Council </w:t>
      </w:r>
      <w:r w:rsidRPr="006633F6">
        <w:rPr>
          <w:rFonts w:asciiTheme="minorHAnsi" w:hAnsiTheme="minorHAnsi"/>
        </w:rPr>
        <w:t>2017 to December 2017.</w:t>
      </w:r>
    </w:p>
    <w:p w:rsidR="00283451" w:rsidRPr="006633F6" w:rsidRDefault="00283451" w:rsidP="004E6142">
      <w:pPr>
        <w:spacing w:before="120"/>
        <w:ind w:firstLine="709"/>
        <w:jc w:val="both"/>
        <w:rPr>
          <w:rFonts w:asciiTheme="minorHAnsi" w:hAnsiTheme="minorHAnsi"/>
        </w:rPr>
      </w:pPr>
    </w:p>
    <w:p w:rsidR="00283451" w:rsidRPr="006633F6" w:rsidRDefault="00C473A8" w:rsidP="004E6142">
      <w:pPr>
        <w:spacing w:before="120"/>
        <w:ind w:firstLine="709"/>
        <w:jc w:val="both"/>
        <w:rPr>
          <w:rFonts w:asciiTheme="minorHAnsi" w:hAnsiTheme="minorHAnsi"/>
          <w:b/>
        </w:rPr>
      </w:pPr>
      <w:r w:rsidRPr="006633F6">
        <w:rPr>
          <w:rFonts w:asciiTheme="minorHAnsi" w:hAnsiTheme="minorHAnsi"/>
          <w:b/>
        </w:rPr>
        <w:t>Proposal</w:t>
      </w:r>
    </w:p>
    <w:p w:rsidR="00283451" w:rsidRPr="006633F6" w:rsidRDefault="00CF3F23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 xml:space="preserve">It should be noted that document </w:t>
      </w:r>
      <w:r w:rsidR="00283451" w:rsidRPr="006633F6">
        <w:rPr>
          <w:rFonts w:asciiTheme="minorHAnsi" w:hAnsiTheme="minorHAnsi"/>
        </w:rPr>
        <w:t xml:space="preserve">WG-Internet 11/2-E </w:t>
      </w:r>
      <w:r w:rsidRPr="006633F6">
        <w:rPr>
          <w:rFonts w:asciiTheme="minorHAnsi" w:hAnsiTheme="minorHAnsi"/>
        </w:rPr>
        <w:t xml:space="preserve">Report by the Secretary-General </w:t>
      </w:r>
      <w:r w:rsidR="00283451" w:rsidRPr="006633F6">
        <w:rPr>
          <w:rFonts w:asciiTheme="minorHAnsi" w:hAnsiTheme="minorHAnsi"/>
        </w:rPr>
        <w:t>on "</w:t>
      </w:r>
      <w:r w:rsidRPr="006633F6">
        <w:rPr>
          <w:rFonts w:asciiTheme="minorHAnsi" w:hAnsiTheme="minorHAnsi"/>
        </w:rPr>
        <w:t xml:space="preserve">ITU INTERNET ACTIVITIES: </w:t>
      </w:r>
      <w:r w:rsidR="001B66D5" w:rsidRPr="006633F6">
        <w:rPr>
          <w:rFonts w:asciiTheme="minorHAnsi" w:hAnsiTheme="minorHAnsi"/>
        </w:rPr>
        <w:t>RESOLUTIONS 101, 102, 133 &amp; 180</w:t>
      </w:r>
      <w:r w:rsidRPr="006633F6">
        <w:rPr>
          <w:rFonts w:asciiTheme="minorHAnsi" w:hAnsiTheme="minorHAnsi"/>
        </w:rPr>
        <w:t xml:space="preserve">" </w:t>
      </w:r>
      <w:r w:rsidR="00283451" w:rsidRPr="006633F6">
        <w:rPr>
          <w:rFonts w:asciiTheme="minorHAnsi" w:hAnsiTheme="minorHAnsi"/>
        </w:rPr>
        <w:t xml:space="preserve">includes detailed and </w:t>
      </w:r>
      <w:r w:rsidR="008C7B05" w:rsidRPr="006633F6">
        <w:rPr>
          <w:rFonts w:asciiTheme="minorHAnsi" w:hAnsiTheme="minorHAnsi"/>
        </w:rPr>
        <w:t>comprehensive</w:t>
      </w:r>
      <w:r w:rsidR="00283451" w:rsidRPr="006633F6">
        <w:rPr>
          <w:rFonts w:asciiTheme="minorHAnsi" w:hAnsiTheme="minorHAnsi"/>
        </w:rPr>
        <w:t xml:space="preserve"> information on various</w:t>
      </w:r>
      <w:r w:rsidR="006633F6" w:rsidRPr="006633F6">
        <w:rPr>
          <w:rFonts w:asciiTheme="minorHAnsi" w:hAnsiTheme="minorHAnsi"/>
        </w:rPr>
        <w:t xml:space="preserve"> activities carried out by ITU-</w:t>
      </w:r>
      <w:r w:rsidR="00283451" w:rsidRPr="006633F6">
        <w:rPr>
          <w:rFonts w:asciiTheme="minorHAnsi" w:hAnsiTheme="minorHAnsi"/>
        </w:rPr>
        <w:t>T, ITU-D, ITU-R and the General Secretariat</w:t>
      </w:r>
      <w:r w:rsidR="002E339E" w:rsidRPr="006633F6">
        <w:rPr>
          <w:rFonts w:asciiTheme="minorHAnsi" w:hAnsiTheme="minorHAnsi"/>
        </w:rPr>
        <w:t>. To complement the information presented</w:t>
      </w:r>
      <w:r w:rsidR="00283451" w:rsidRPr="006633F6">
        <w:rPr>
          <w:rFonts w:asciiTheme="minorHAnsi" w:hAnsiTheme="minorHAnsi"/>
        </w:rPr>
        <w:t xml:space="preserve"> </w:t>
      </w:r>
      <w:r w:rsidRPr="006633F6">
        <w:rPr>
          <w:rFonts w:asciiTheme="minorHAnsi" w:hAnsiTheme="minorHAnsi"/>
        </w:rPr>
        <w:t xml:space="preserve">we </w:t>
      </w:r>
      <w:r w:rsidR="002E339E" w:rsidRPr="006633F6">
        <w:rPr>
          <w:rFonts w:asciiTheme="minorHAnsi" w:hAnsiTheme="minorHAnsi"/>
        </w:rPr>
        <w:t xml:space="preserve">would like to </w:t>
      </w:r>
      <w:r w:rsidR="00283451" w:rsidRPr="006633F6">
        <w:rPr>
          <w:rFonts w:asciiTheme="minorHAnsi" w:hAnsiTheme="minorHAnsi"/>
        </w:rPr>
        <w:t>propos</w:t>
      </w:r>
      <w:r w:rsidR="002E339E" w:rsidRPr="006633F6">
        <w:rPr>
          <w:rFonts w:asciiTheme="minorHAnsi" w:hAnsiTheme="minorHAnsi"/>
        </w:rPr>
        <w:t>e</w:t>
      </w:r>
      <w:r w:rsidR="00283451" w:rsidRPr="006633F6">
        <w:rPr>
          <w:rFonts w:asciiTheme="minorHAnsi" w:hAnsiTheme="minorHAnsi"/>
        </w:rPr>
        <w:t xml:space="preserve"> </w:t>
      </w:r>
      <w:r w:rsidR="002E339E" w:rsidRPr="006633F6">
        <w:rPr>
          <w:rFonts w:asciiTheme="minorHAnsi" w:hAnsiTheme="minorHAnsi"/>
        </w:rPr>
        <w:t xml:space="preserve">some </w:t>
      </w:r>
      <w:r w:rsidR="00283451" w:rsidRPr="006633F6">
        <w:rPr>
          <w:rFonts w:asciiTheme="minorHAnsi" w:hAnsiTheme="minorHAnsi"/>
        </w:rPr>
        <w:t>additions to the document, namely</w:t>
      </w:r>
      <w:r w:rsidR="00183D24" w:rsidRPr="006633F6">
        <w:rPr>
          <w:rFonts w:asciiTheme="minorHAnsi" w:hAnsiTheme="minorHAnsi"/>
        </w:rPr>
        <w:t xml:space="preserve"> we propose</w:t>
      </w:r>
      <w:r w:rsidR="00283451" w:rsidRPr="006633F6">
        <w:rPr>
          <w:rFonts w:asciiTheme="minorHAnsi" w:hAnsiTheme="minorHAnsi"/>
        </w:rPr>
        <w:t>:</w:t>
      </w:r>
    </w:p>
    <w:p w:rsidR="00283451" w:rsidRPr="006633F6" w:rsidRDefault="00183D24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-</w:t>
      </w:r>
      <w:r w:rsidR="002E339E" w:rsidRPr="006633F6">
        <w:rPr>
          <w:rFonts w:asciiTheme="minorHAnsi" w:hAnsiTheme="minorHAnsi"/>
        </w:rPr>
        <w:t> </w:t>
      </w:r>
      <w:r w:rsidR="00CF3F23" w:rsidRPr="006633F6">
        <w:rPr>
          <w:rFonts w:asciiTheme="minorHAnsi" w:hAnsiTheme="minorHAnsi"/>
        </w:rPr>
        <w:t>to supplement</w:t>
      </w:r>
      <w:r w:rsidR="00283451" w:rsidRPr="006633F6">
        <w:rPr>
          <w:rFonts w:asciiTheme="minorHAnsi" w:hAnsiTheme="minorHAnsi"/>
        </w:rPr>
        <w:t xml:space="preserve"> </w:t>
      </w:r>
      <w:r w:rsidR="004E6142" w:rsidRPr="006633F6">
        <w:rPr>
          <w:rFonts w:asciiTheme="minorHAnsi" w:hAnsiTheme="minorHAnsi"/>
        </w:rPr>
        <w:t xml:space="preserve">Sections </w:t>
      </w:r>
      <w:r w:rsidR="00CF3F23" w:rsidRPr="006633F6">
        <w:rPr>
          <w:rFonts w:asciiTheme="minorHAnsi" w:hAnsiTheme="minorHAnsi"/>
        </w:rPr>
        <w:t xml:space="preserve">2 and 3 of the Report </w:t>
      </w:r>
      <w:r w:rsidR="00283451" w:rsidRPr="006633F6">
        <w:rPr>
          <w:rFonts w:asciiTheme="minorHAnsi" w:hAnsiTheme="minorHAnsi"/>
        </w:rPr>
        <w:t xml:space="preserve">with more detailed information on the WTDC-17 (9-20 October 2017, Buenos Aires, Argentina), indicating specific decisions taken </w:t>
      </w:r>
      <w:r w:rsidR="002E339E" w:rsidRPr="006633F6">
        <w:rPr>
          <w:rFonts w:asciiTheme="minorHAnsi" w:hAnsiTheme="minorHAnsi"/>
        </w:rPr>
        <w:t xml:space="preserve">on </w:t>
      </w:r>
      <w:r w:rsidR="00283451" w:rsidRPr="006633F6">
        <w:rPr>
          <w:rFonts w:asciiTheme="minorHAnsi" w:hAnsiTheme="minorHAnsi"/>
        </w:rPr>
        <w:t xml:space="preserve">Objectives and the planned results </w:t>
      </w:r>
      <w:r w:rsidR="002E339E" w:rsidRPr="006633F6">
        <w:rPr>
          <w:rFonts w:asciiTheme="minorHAnsi" w:hAnsiTheme="minorHAnsi"/>
        </w:rPr>
        <w:t>in</w:t>
      </w:r>
      <w:r w:rsidR="00283451" w:rsidRPr="006633F6">
        <w:rPr>
          <w:rFonts w:asciiTheme="minorHAnsi" w:hAnsiTheme="minorHAnsi"/>
        </w:rPr>
        <w:t xml:space="preserve"> the Buenos Aires Action Plan </w:t>
      </w:r>
      <w:r w:rsidRPr="006633F6">
        <w:rPr>
          <w:rFonts w:asciiTheme="minorHAnsi" w:hAnsiTheme="minorHAnsi" w:cstheme="majorBidi"/>
          <w:szCs w:val="22"/>
        </w:rPr>
        <w:t>(</w:t>
      </w:r>
      <w:hyperlink r:id="rId13" w:history="1">
        <w:r w:rsidR="002E339E" w:rsidRPr="006633F6">
          <w:rPr>
            <w:rStyle w:val="Hyperlink"/>
            <w:rFonts w:asciiTheme="minorHAnsi" w:hAnsiTheme="minorHAnsi" w:cstheme="majorBidi"/>
            <w:szCs w:val="22"/>
          </w:rPr>
          <w:t>https://www.itu.int/dms_ties/itu-d/md/14/wtdc17/c/D14-WTDC17-C-0115!!PDF-E.pdf</w:t>
        </w:r>
      </w:hyperlink>
      <w:r w:rsidRPr="006633F6">
        <w:rPr>
          <w:rFonts w:asciiTheme="minorHAnsi" w:hAnsiTheme="minorHAnsi" w:cstheme="majorBidi"/>
          <w:szCs w:val="22"/>
        </w:rPr>
        <w:t>)</w:t>
      </w:r>
      <w:r w:rsidR="00283451" w:rsidRPr="006633F6">
        <w:rPr>
          <w:rFonts w:asciiTheme="minorHAnsi" w:hAnsiTheme="minorHAnsi"/>
        </w:rPr>
        <w:t xml:space="preserve">, as well as new </w:t>
      </w:r>
      <w:r w:rsidR="002E339E" w:rsidRPr="006633F6">
        <w:rPr>
          <w:rFonts w:asciiTheme="minorHAnsi" w:hAnsiTheme="minorHAnsi"/>
        </w:rPr>
        <w:t xml:space="preserve">Study Group questions </w:t>
      </w:r>
      <w:r w:rsidR="00283451" w:rsidRPr="006633F6">
        <w:rPr>
          <w:rFonts w:asciiTheme="minorHAnsi" w:hAnsiTheme="minorHAnsi"/>
        </w:rPr>
        <w:t xml:space="preserve">for the </w:t>
      </w:r>
      <w:r w:rsidR="002E339E" w:rsidRPr="006633F6">
        <w:rPr>
          <w:rFonts w:asciiTheme="minorHAnsi" w:hAnsiTheme="minorHAnsi"/>
        </w:rPr>
        <w:t xml:space="preserve">2017- 2020 Study period </w:t>
      </w:r>
      <w:r w:rsidR="00283451" w:rsidRPr="006633F6">
        <w:rPr>
          <w:rFonts w:asciiTheme="minorHAnsi" w:hAnsiTheme="minorHAnsi"/>
        </w:rPr>
        <w:t>(</w:t>
      </w:r>
      <w:r w:rsidR="00A64794" w:rsidRPr="006633F6">
        <w:rPr>
          <w:rFonts w:asciiTheme="minorHAnsi" w:hAnsiTheme="minorHAnsi"/>
        </w:rPr>
        <w:t>e.g.</w:t>
      </w:r>
      <w:r w:rsidR="00283451" w:rsidRPr="006633F6">
        <w:rPr>
          <w:rFonts w:asciiTheme="minorHAnsi" w:hAnsiTheme="minorHAnsi"/>
        </w:rPr>
        <w:t xml:space="preserve"> </w:t>
      </w:r>
      <w:r w:rsidR="002E339E" w:rsidRPr="006633F6">
        <w:rPr>
          <w:rFonts w:asciiTheme="minorHAnsi" w:hAnsiTheme="minorHAnsi"/>
        </w:rPr>
        <w:t xml:space="preserve">Questions </w:t>
      </w:r>
      <w:r w:rsidR="00283451" w:rsidRPr="006633F6">
        <w:rPr>
          <w:rFonts w:asciiTheme="minorHAnsi" w:hAnsiTheme="minorHAnsi"/>
        </w:rPr>
        <w:t xml:space="preserve">1/1, 3/1 and other relevant </w:t>
      </w:r>
      <w:r w:rsidR="002E339E" w:rsidRPr="006633F6">
        <w:rPr>
          <w:rFonts w:asciiTheme="minorHAnsi" w:hAnsiTheme="minorHAnsi"/>
        </w:rPr>
        <w:t>questions</w:t>
      </w:r>
      <w:r w:rsidR="00283451" w:rsidRPr="006633F6">
        <w:rPr>
          <w:rFonts w:asciiTheme="minorHAnsi" w:hAnsiTheme="minorHAnsi"/>
        </w:rPr>
        <w:t>);</w:t>
      </w:r>
    </w:p>
    <w:p w:rsidR="00283451" w:rsidRPr="004E6142" w:rsidRDefault="004E6142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6633F6">
        <w:rPr>
          <w:rFonts w:asciiTheme="minorHAnsi" w:hAnsiTheme="minorHAnsi"/>
        </w:rPr>
        <w:t>- </w:t>
      </w:r>
      <w:r w:rsidR="00183D24" w:rsidRPr="006633F6">
        <w:rPr>
          <w:rFonts w:asciiTheme="minorHAnsi" w:hAnsiTheme="minorHAnsi"/>
        </w:rPr>
        <w:t xml:space="preserve">to add to </w:t>
      </w:r>
      <w:r w:rsidRPr="006633F6">
        <w:rPr>
          <w:rFonts w:asciiTheme="minorHAnsi" w:hAnsiTheme="minorHAnsi"/>
        </w:rPr>
        <w:t xml:space="preserve">Section </w:t>
      </w:r>
      <w:r w:rsidR="00183D24" w:rsidRPr="006633F6">
        <w:rPr>
          <w:rFonts w:asciiTheme="minorHAnsi" w:hAnsiTheme="minorHAnsi"/>
        </w:rPr>
        <w:t xml:space="preserve">4 </w:t>
      </w:r>
      <w:r w:rsidR="00283451" w:rsidRPr="006633F6">
        <w:rPr>
          <w:rFonts w:asciiTheme="minorHAnsi" w:hAnsiTheme="minorHAnsi"/>
        </w:rPr>
        <w:t xml:space="preserve">a subsection </w:t>
      </w:r>
      <w:r w:rsidRPr="006633F6">
        <w:rPr>
          <w:rFonts w:asciiTheme="minorHAnsi" w:hAnsiTheme="minorHAnsi"/>
        </w:rPr>
        <w:t>with information about the 10th meeting of the CW</w:t>
      </w:r>
      <w:r w:rsidR="00283451" w:rsidRPr="006633F6">
        <w:rPr>
          <w:rFonts w:asciiTheme="minorHAnsi" w:hAnsiTheme="minorHAnsi"/>
        </w:rPr>
        <w:t xml:space="preserve">G-Internet, which was held on September 20-22, 2017, as well as on online consultations and </w:t>
      </w:r>
      <w:r w:rsidRPr="006633F6">
        <w:rPr>
          <w:rFonts w:asciiTheme="minorHAnsi" w:hAnsiTheme="minorHAnsi"/>
        </w:rPr>
        <w:t xml:space="preserve">the </w:t>
      </w:r>
      <w:r w:rsidR="00283451" w:rsidRPr="006633F6">
        <w:rPr>
          <w:rFonts w:asciiTheme="minorHAnsi" w:hAnsiTheme="minorHAnsi"/>
        </w:rPr>
        <w:t xml:space="preserve">5th </w:t>
      </w:r>
      <w:r w:rsidR="00183D24" w:rsidRPr="006633F6">
        <w:rPr>
          <w:rFonts w:asciiTheme="minorHAnsi" w:hAnsiTheme="minorHAnsi"/>
        </w:rPr>
        <w:t>physical</w:t>
      </w:r>
      <w:r w:rsidR="00283451" w:rsidRPr="006633F6">
        <w:rPr>
          <w:rFonts w:asciiTheme="minorHAnsi" w:hAnsiTheme="minorHAnsi"/>
        </w:rPr>
        <w:t xml:space="preserve"> meeting on the </w:t>
      </w:r>
      <w:r w:rsidR="00283451" w:rsidRPr="006633F6">
        <w:rPr>
          <w:rFonts w:asciiTheme="minorHAnsi" w:hAnsiTheme="minorHAnsi"/>
        </w:rPr>
        <w:lastRenderedPageBreak/>
        <w:t xml:space="preserve">topic </w:t>
      </w:r>
      <w:r w:rsidR="00220E32" w:rsidRPr="006633F6">
        <w:rPr>
          <w:rFonts w:asciiTheme="minorHAnsi" w:hAnsiTheme="minorHAnsi"/>
        </w:rPr>
        <w:t>"Public Policy considerations for OTTs"</w:t>
      </w:r>
      <w:r w:rsidR="00283451" w:rsidRPr="006633F6">
        <w:rPr>
          <w:rFonts w:asciiTheme="minorHAnsi" w:hAnsiTheme="minorHAnsi"/>
        </w:rPr>
        <w:t xml:space="preserve">, which was held with </w:t>
      </w:r>
      <w:r w:rsidR="00A64794" w:rsidRPr="006633F6">
        <w:rPr>
          <w:rFonts w:asciiTheme="minorHAnsi" w:hAnsiTheme="minorHAnsi"/>
        </w:rPr>
        <w:t xml:space="preserve">broad and active </w:t>
      </w:r>
      <w:r w:rsidR="00283451" w:rsidRPr="006633F6">
        <w:rPr>
          <w:rFonts w:asciiTheme="minorHAnsi" w:hAnsiTheme="minorHAnsi"/>
        </w:rPr>
        <w:t xml:space="preserve">participation of stakeholders. </w:t>
      </w:r>
      <w:r w:rsidRPr="006633F6">
        <w:rPr>
          <w:rFonts w:asciiTheme="minorHAnsi" w:hAnsiTheme="minorHAnsi"/>
        </w:rPr>
        <w:t xml:space="preserve">It is worth to note that </w:t>
      </w:r>
      <w:r w:rsidR="00283451" w:rsidRPr="006633F6">
        <w:rPr>
          <w:rFonts w:asciiTheme="minorHAnsi" w:hAnsiTheme="minorHAnsi"/>
        </w:rPr>
        <w:t>71 contributions were received from various stakeholders (10 from government, 44 from the private sector and industry associations, 13 from civil society, 2 from academic organizations, 2 from intergovernmental orga</w:t>
      </w:r>
      <w:bookmarkStart w:id="6" w:name="_GoBack"/>
      <w:bookmarkEnd w:id="6"/>
      <w:r w:rsidR="00283451" w:rsidRPr="006633F6">
        <w:rPr>
          <w:rFonts w:asciiTheme="minorHAnsi" w:hAnsiTheme="minorHAnsi"/>
        </w:rPr>
        <w:t>nizations)</w:t>
      </w:r>
      <w:r w:rsidR="0086232E" w:rsidRPr="006633F6">
        <w:rPr>
          <w:rFonts w:asciiTheme="minorHAnsi" w:hAnsiTheme="minorHAnsi"/>
        </w:rPr>
        <w:t xml:space="preserve"> during the </w:t>
      </w:r>
      <w:r w:rsidR="008C7B05" w:rsidRPr="006633F6">
        <w:rPr>
          <w:rFonts w:asciiTheme="minorHAnsi" w:hAnsiTheme="minorHAnsi"/>
        </w:rPr>
        <w:t xml:space="preserve">consultation, which </w:t>
      </w:r>
      <w:r w:rsidR="00431684" w:rsidRPr="006633F6">
        <w:rPr>
          <w:rFonts w:asciiTheme="minorHAnsi" w:hAnsiTheme="minorHAnsi"/>
        </w:rPr>
        <w:t>is</w:t>
      </w:r>
      <w:r w:rsidR="00283451" w:rsidRPr="006633F6">
        <w:rPr>
          <w:rFonts w:asciiTheme="minorHAnsi" w:hAnsiTheme="minorHAnsi"/>
        </w:rPr>
        <w:t xml:space="preserve"> a record for the entire time of open consultations</w:t>
      </w:r>
      <w:r w:rsidR="006B134E" w:rsidRPr="006633F6">
        <w:rPr>
          <w:rFonts w:asciiTheme="minorHAnsi" w:hAnsiTheme="minorHAnsi"/>
        </w:rPr>
        <w:t xml:space="preserve"> </w:t>
      </w:r>
      <w:r w:rsidR="00431684" w:rsidRPr="006633F6">
        <w:rPr>
          <w:rFonts w:asciiTheme="minorHAnsi" w:hAnsiTheme="minorHAnsi"/>
        </w:rPr>
        <w:t xml:space="preserve">showing </w:t>
      </w:r>
      <w:r w:rsidRPr="006633F6">
        <w:rPr>
          <w:rFonts w:asciiTheme="minorHAnsi" w:hAnsiTheme="minorHAnsi"/>
        </w:rPr>
        <w:t xml:space="preserve">great interest and </w:t>
      </w:r>
      <w:r w:rsidR="00283451" w:rsidRPr="006633F6">
        <w:rPr>
          <w:rFonts w:asciiTheme="minorHAnsi" w:hAnsiTheme="minorHAnsi"/>
        </w:rPr>
        <w:t xml:space="preserve">high relevance of the </w:t>
      </w:r>
      <w:r w:rsidRPr="006633F6">
        <w:rPr>
          <w:rFonts w:asciiTheme="minorHAnsi" w:hAnsiTheme="minorHAnsi"/>
        </w:rPr>
        <w:t xml:space="preserve">topic </w:t>
      </w:r>
      <w:r w:rsidR="00283451" w:rsidRPr="006633F6">
        <w:rPr>
          <w:rFonts w:asciiTheme="minorHAnsi" w:hAnsiTheme="minorHAnsi"/>
        </w:rPr>
        <w:t xml:space="preserve">for </w:t>
      </w:r>
      <w:r w:rsidRPr="006633F6">
        <w:rPr>
          <w:rFonts w:asciiTheme="minorHAnsi" w:hAnsiTheme="minorHAnsi"/>
        </w:rPr>
        <w:t>Member-States and other stakeholders</w:t>
      </w:r>
      <w:r w:rsidR="00283451" w:rsidRPr="006633F6">
        <w:rPr>
          <w:rFonts w:asciiTheme="minorHAnsi" w:hAnsiTheme="minorHAnsi"/>
        </w:rPr>
        <w:t xml:space="preserve">. </w:t>
      </w:r>
      <w:r w:rsidR="00CE11A3" w:rsidRPr="006633F6">
        <w:rPr>
          <w:rFonts w:asciiTheme="minorHAnsi" w:hAnsiTheme="minorHAnsi"/>
        </w:rPr>
        <w:t xml:space="preserve">The </w:t>
      </w:r>
      <w:r w:rsidR="00283451" w:rsidRPr="006633F6">
        <w:rPr>
          <w:rFonts w:asciiTheme="minorHAnsi" w:hAnsiTheme="minorHAnsi"/>
        </w:rPr>
        <w:t xml:space="preserve">contributions </w:t>
      </w:r>
      <w:r w:rsidR="00CE11A3" w:rsidRPr="006633F6">
        <w:rPr>
          <w:rFonts w:asciiTheme="minorHAnsi" w:hAnsiTheme="minorHAnsi"/>
        </w:rPr>
        <w:t>(</w:t>
      </w:r>
      <w:r w:rsidR="00283451" w:rsidRPr="006633F6">
        <w:rPr>
          <w:rFonts w:asciiTheme="minorHAnsi" w:hAnsiTheme="minorHAnsi"/>
        </w:rPr>
        <w:t xml:space="preserve">posted on the </w:t>
      </w:r>
      <w:hyperlink r:id="rId14" w:history="1">
        <w:r w:rsidR="00283451" w:rsidRPr="006633F6">
          <w:rPr>
            <w:rStyle w:val="Hyperlink"/>
            <w:rFonts w:asciiTheme="minorHAnsi" w:hAnsiTheme="minorHAnsi"/>
          </w:rPr>
          <w:t>ITU website</w:t>
        </w:r>
      </w:hyperlink>
      <w:r w:rsidR="00283451" w:rsidRPr="006633F6">
        <w:rPr>
          <w:rFonts w:asciiTheme="minorHAnsi" w:hAnsiTheme="minorHAnsi"/>
        </w:rPr>
        <w:t xml:space="preserve">, as well as in the </w:t>
      </w:r>
      <w:hyperlink r:id="rId15" w:history="1">
        <w:r w:rsidR="008C7B05" w:rsidRPr="006633F6">
          <w:rPr>
            <w:rStyle w:val="Hyperlink"/>
            <w:rFonts w:asciiTheme="minorHAnsi" w:hAnsiTheme="minorHAnsi"/>
          </w:rPr>
          <w:t>OPCWGINT5/2</w:t>
        </w:r>
      </w:hyperlink>
      <w:r w:rsidR="008C7B05" w:rsidRPr="006633F6">
        <w:rPr>
          <w:rFonts w:asciiTheme="minorHAnsi" w:hAnsiTheme="minorHAnsi"/>
        </w:rPr>
        <w:t xml:space="preserve"> c</w:t>
      </w:r>
      <w:r w:rsidR="00283451" w:rsidRPr="006633F6">
        <w:rPr>
          <w:rFonts w:asciiTheme="minorHAnsi" w:hAnsiTheme="minorHAnsi"/>
        </w:rPr>
        <w:t>ompilation document</w:t>
      </w:r>
      <w:r w:rsidR="00CE11A3" w:rsidRPr="006633F6">
        <w:rPr>
          <w:rFonts w:asciiTheme="minorHAnsi" w:hAnsiTheme="minorHAnsi"/>
        </w:rPr>
        <w:t xml:space="preserve">) provide </w:t>
      </w:r>
      <w:r w:rsidR="008C7B05" w:rsidRPr="006633F6">
        <w:rPr>
          <w:rFonts w:asciiTheme="minorHAnsi" w:hAnsiTheme="minorHAnsi"/>
        </w:rPr>
        <w:t xml:space="preserve">sufficient </w:t>
      </w:r>
      <w:r w:rsidR="00283451" w:rsidRPr="006633F6">
        <w:rPr>
          <w:rFonts w:asciiTheme="minorHAnsi" w:hAnsiTheme="minorHAnsi"/>
        </w:rPr>
        <w:t xml:space="preserve">material for further discussion and contained various views of stakeholders on the issues of </w:t>
      </w:r>
      <w:r w:rsidRPr="006633F6">
        <w:rPr>
          <w:rFonts w:asciiTheme="minorHAnsi" w:hAnsiTheme="minorHAnsi"/>
        </w:rPr>
        <w:t xml:space="preserve">OTT </w:t>
      </w:r>
      <w:r w:rsidR="00CE11A3" w:rsidRPr="006633F6">
        <w:rPr>
          <w:rFonts w:asciiTheme="minorHAnsi" w:hAnsiTheme="minorHAnsi"/>
        </w:rPr>
        <w:t>public policy considerations</w:t>
      </w:r>
      <w:r w:rsidR="00283451" w:rsidRPr="006633F6">
        <w:rPr>
          <w:rFonts w:asciiTheme="minorHAnsi" w:hAnsiTheme="minorHAnsi"/>
        </w:rPr>
        <w:t>.</w:t>
      </w:r>
      <w:r w:rsidRPr="004E6142">
        <w:rPr>
          <w:rFonts w:asciiTheme="minorHAnsi" w:hAnsiTheme="minorHAnsi"/>
        </w:rPr>
        <w:t xml:space="preserve"> </w:t>
      </w:r>
    </w:p>
    <w:p w:rsidR="006B7AF1" w:rsidRDefault="004E6142" w:rsidP="004E6142">
      <w:pPr>
        <w:spacing w:before="120"/>
        <w:ind w:firstLine="709"/>
        <w:jc w:val="both"/>
        <w:rPr>
          <w:rFonts w:asciiTheme="minorHAnsi" w:hAnsiTheme="minorHAnsi"/>
        </w:rPr>
      </w:pPr>
      <w:r w:rsidRPr="004E6142">
        <w:rPr>
          <w:rFonts w:asciiTheme="minorHAnsi" w:hAnsiTheme="minorHAnsi"/>
        </w:rPr>
        <w:t>- </w:t>
      </w:r>
      <w:proofErr w:type="gramStart"/>
      <w:r w:rsidR="00283451" w:rsidRPr="004E6142">
        <w:rPr>
          <w:rFonts w:asciiTheme="minorHAnsi" w:hAnsiTheme="minorHAnsi"/>
        </w:rPr>
        <w:t>to</w:t>
      </w:r>
      <w:proofErr w:type="gramEnd"/>
      <w:r w:rsidR="00283451" w:rsidRPr="004E6142">
        <w:rPr>
          <w:rFonts w:asciiTheme="minorHAnsi" w:hAnsiTheme="minorHAnsi"/>
        </w:rPr>
        <w:t xml:space="preserve"> include in the title of the Report Resolution 197 </w:t>
      </w:r>
      <w:r w:rsidR="001C208D" w:rsidRPr="004E6142">
        <w:rPr>
          <w:rFonts w:asciiTheme="minorHAnsi" w:hAnsiTheme="minorHAnsi"/>
        </w:rPr>
        <w:t>“</w:t>
      </w:r>
      <w:r w:rsidR="00220E32" w:rsidRPr="004E6142">
        <w:rPr>
          <w:rFonts w:asciiTheme="minorHAnsi" w:hAnsiTheme="minorHAnsi"/>
        </w:rPr>
        <w:t>Facilitating the Internet of Things to prepare for a globally connected world”</w:t>
      </w:r>
      <w:r w:rsidR="00283451" w:rsidRPr="004E6142">
        <w:rPr>
          <w:rFonts w:asciiTheme="minorHAnsi" w:hAnsiTheme="minorHAnsi"/>
        </w:rPr>
        <w:t xml:space="preserve"> (Busan, 2014) (section 2.11 of the Report describes the activities of SG 20 of ITU-T, which is guided by this Resolution).</w:t>
      </w:r>
    </w:p>
    <w:p w:rsidR="00DA2094" w:rsidRDefault="00DA2094" w:rsidP="004E6142">
      <w:pPr>
        <w:spacing w:before="120"/>
        <w:ind w:firstLine="709"/>
        <w:jc w:val="both"/>
        <w:rPr>
          <w:rFonts w:asciiTheme="minorHAnsi" w:hAnsiTheme="minorHAnsi"/>
        </w:rPr>
      </w:pPr>
    </w:p>
    <w:p w:rsidR="00DA2094" w:rsidRPr="00DA2094" w:rsidRDefault="00DA2094" w:rsidP="00DA2094">
      <w:pPr>
        <w:spacing w:before="120"/>
        <w:ind w:firstLine="709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                              </w:t>
      </w:r>
    </w:p>
    <w:sectPr w:rsidR="00DA2094" w:rsidRPr="00DA2094" w:rsidSect="000F2E67">
      <w:footerReference w:type="default" r:id="rId16"/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28" w:rsidRDefault="00DE6A28">
      <w:r>
        <w:separator/>
      </w:r>
    </w:p>
  </w:endnote>
  <w:endnote w:type="continuationSeparator" w:id="0">
    <w:p w:rsidR="00DE6A28" w:rsidRDefault="00DE6A28">
      <w:r>
        <w:continuationSeparator/>
      </w:r>
    </w:p>
  </w:endnote>
  <w:endnote w:type="continuationNotice" w:id="1">
    <w:p w:rsidR="00DE6A28" w:rsidRDefault="00DE6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483451"/>
      <w:docPartObj>
        <w:docPartGallery w:val="Page Numbers (Bottom of Page)"/>
        <w:docPartUnique/>
      </w:docPartObj>
    </w:sdtPr>
    <w:sdtEndPr/>
    <w:sdtContent>
      <w:p w:rsidR="009E46E9" w:rsidRDefault="009E46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94" w:rsidRPr="00DA2094">
          <w:rPr>
            <w:noProof/>
            <w:lang w:val="ru-RU"/>
          </w:rPr>
          <w:t>2</w:t>
        </w:r>
        <w:r>
          <w:fldChar w:fldCharType="end"/>
        </w:r>
      </w:p>
    </w:sdtContent>
  </w:sdt>
  <w:p w:rsidR="009E46E9" w:rsidRDefault="009E4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28" w:rsidRDefault="00DE6A28">
      <w:r>
        <w:separator/>
      </w:r>
    </w:p>
  </w:footnote>
  <w:footnote w:type="continuationSeparator" w:id="0">
    <w:p w:rsidR="00DE6A28" w:rsidRDefault="00DE6A28">
      <w:r>
        <w:continuationSeparator/>
      </w:r>
    </w:p>
  </w:footnote>
  <w:footnote w:type="continuationNotice" w:id="1">
    <w:p w:rsidR="00DE6A28" w:rsidRDefault="00DE6A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5246"/>
    <w:multiLevelType w:val="hybridMultilevel"/>
    <w:tmpl w:val="E222E3BA"/>
    <w:lvl w:ilvl="0" w:tplc="FD369E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0"/>
  </w:num>
  <w:num w:numId="14">
    <w:abstractNumId w:val="23"/>
  </w:num>
  <w:num w:numId="15">
    <w:abstractNumId w:val="24"/>
  </w:num>
  <w:num w:numId="16">
    <w:abstractNumId w:val="28"/>
  </w:num>
  <w:num w:numId="17">
    <w:abstractNumId w:val="37"/>
  </w:num>
  <w:num w:numId="18">
    <w:abstractNumId w:val="41"/>
  </w:num>
  <w:num w:numId="19">
    <w:abstractNumId w:val="4"/>
  </w:num>
  <w:num w:numId="20">
    <w:abstractNumId w:val="39"/>
  </w:num>
  <w:num w:numId="21">
    <w:abstractNumId w:val="42"/>
  </w:num>
  <w:num w:numId="22">
    <w:abstractNumId w:val="36"/>
  </w:num>
  <w:num w:numId="23">
    <w:abstractNumId w:val="18"/>
  </w:num>
  <w:num w:numId="24">
    <w:abstractNumId w:val="33"/>
  </w:num>
  <w:num w:numId="25">
    <w:abstractNumId w:val="43"/>
  </w:num>
  <w:num w:numId="26">
    <w:abstractNumId w:val="1"/>
  </w:num>
  <w:num w:numId="27">
    <w:abstractNumId w:val="22"/>
  </w:num>
  <w:num w:numId="28">
    <w:abstractNumId w:val="30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4"/>
  </w:num>
  <w:num w:numId="44">
    <w:abstractNumId w:val="0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2386"/>
    <w:rsid w:val="000147CA"/>
    <w:rsid w:val="00016FC2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3C09"/>
    <w:rsid w:val="0007733F"/>
    <w:rsid w:val="000811C5"/>
    <w:rsid w:val="0008236A"/>
    <w:rsid w:val="00087561"/>
    <w:rsid w:val="000929FF"/>
    <w:rsid w:val="00093ACA"/>
    <w:rsid w:val="00095F82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215F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83D24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66D5"/>
    <w:rsid w:val="001B776D"/>
    <w:rsid w:val="001B7A37"/>
    <w:rsid w:val="001C208D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0E32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1D60"/>
    <w:rsid w:val="0028345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D72AD"/>
    <w:rsid w:val="002E04CE"/>
    <w:rsid w:val="002E339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67BE"/>
    <w:rsid w:val="0034736F"/>
    <w:rsid w:val="00347E04"/>
    <w:rsid w:val="003573BA"/>
    <w:rsid w:val="00360D4A"/>
    <w:rsid w:val="00366DC6"/>
    <w:rsid w:val="0037339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5691"/>
    <w:rsid w:val="003B63AE"/>
    <w:rsid w:val="003C1B04"/>
    <w:rsid w:val="003C441A"/>
    <w:rsid w:val="003D1349"/>
    <w:rsid w:val="003D1F22"/>
    <w:rsid w:val="003D373C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3BD"/>
    <w:rsid w:val="00406503"/>
    <w:rsid w:val="00406D07"/>
    <w:rsid w:val="004110D2"/>
    <w:rsid w:val="0041154D"/>
    <w:rsid w:val="00412020"/>
    <w:rsid w:val="00417936"/>
    <w:rsid w:val="00421D73"/>
    <w:rsid w:val="00423041"/>
    <w:rsid w:val="004232D9"/>
    <w:rsid w:val="004264D1"/>
    <w:rsid w:val="004268D5"/>
    <w:rsid w:val="004303C3"/>
    <w:rsid w:val="00431684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0518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3AD0"/>
    <w:rsid w:val="004B2BB9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E6142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170"/>
    <w:rsid w:val="00566BFF"/>
    <w:rsid w:val="00570FC0"/>
    <w:rsid w:val="00571DB9"/>
    <w:rsid w:val="00575631"/>
    <w:rsid w:val="0057653D"/>
    <w:rsid w:val="005805BF"/>
    <w:rsid w:val="00580A4A"/>
    <w:rsid w:val="00581062"/>
    <w:rsid w:val="005816C5"/>
    <w:rsid w:val="00582047"/>
    <w:rsid w:val="00586ABC"/>
    <w:rsid w:val="005940F0"/>
    <w:rsid w:val="005943AD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82D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33F6"/>
    <w:rsid w:val="00663E4E"/>
    <w:rsid w:val="00665F5E"/>
    <w:rsid w:val="0066704D"/>
    <w:rsid w:val="006707D7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134E"/>
    <w:rsid w:val="006B361F"/>
    <w:rsid w:val="006B39E1"/>
    <w:rsid w:val="006B460D"/>
    <w:rsid w:val="006B7AF1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D7879"/>
    <w:rsid w:val="006E0FF3"/>
    <w:rsid w:val="006E36F1"/>
    <w:rsid w:val="006E39B8"/>
    <w:rsid w:val="006E6517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5E6F"/>
    <w:rsid w:val="007962C2"/>
    <w:rsid w:val="00797D46"/>
    <w:rsid w:val="007A5462"/>
    <w:rsid w:val="007A54BE"/>
    <w:rsid w:val="007B18E8"/>
    <w:rsid w:val="007B1D6C"/>
    <w:rsid w:val="007B3243"/>
    <w:rsid w:val="007B3BF2"/>
    <w:rsid w:val="007B59BE"/>
    <w:rsid w:val="007B7E45"/>
    <w:rsid w:val="007C05A7"/>
    <w:rsid w:val="007C102C"/>
    <w:rsid w:val="007C34B0"/>
    <w:rsid w:val="007C595A"/>
    <w:rsid w:val="007C5CDF"/>
    <w:rsid w:val="007C7752"/>
    <w:rsid w:val="007E1149"/>
    <w:rsid w:val="007E33CE"/>
    <w:rsid w:val="007E3706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4CA0"/>
    <w:rsid w:val="00835CD6"/>
    <w:rsid w:val="0084292A"/>
    <w:rsid w:val="00842DFD"/>
    <w:rsid w:val="008446CA"/>
    <w:rsid w:val="0084622B"/>
    <w:rsid w:val="00853371"/>
    <w:rsid w:val="008543CD"/>
    <w:rsid w:val="00861F9C"/>
    <w:rsid w:val="0086232E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C7B05"/>
    <w:rsid w:val="008D18C5"/>
    <w:rsid w:val="008D1B8D"/>
    <w:rsid w:val="008D1DB1"/>
    <w:rsid w:val="008D405E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33E1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49FF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46E9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6BAD"/>
    <w:rsid w:val="00A5763D"/>
    <w:rsid w:val="00A60890"/>
    <w:rsid w:val="00A62722"/>
    <w:rsid w:val="00A62749"/>
    <w:rsid w:val="00A64794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17009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473A8"/>
    <w:rsid w:val="00C62E1A"/>
    <w:rsid w:val="00C64BBF"/>
    <w:rsid w:val="00C64EB2"/>
    <w:rsid w:val="00C657EE"/>
    <w:rsid w:val="00C70729"/>
    <w:rsid w:val="00C71595"/>
    <w:rsid w:val="00C73776"/>
    <w:rsid w:val="00C73FEA"/>
    <w:rsid w:val="00C75EC8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E11A3"/>
    <w:rsid w:val="00CF049D"/>
    <w:rsid w:val="00CF1CD3"/>
    <w:rsid w:val="00CF3EA5"/>
    <w:rsid w:val="00CF3F23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D3F"/>
    <w:rsid w:val="00D67FAE"/>
    <w:rsid w:val="00D70819"/>
    <w:rsid w:val="00D70C72"/>
    <w:rsid w:val="00D70EE0"/>
    <w:rsid w:val="00D73265"/>
    <w:rsid w:val="00D82F11"/>
    <w:rsid w:val="00D834CC"/>
    <w:rsid w:val="00D8573B"/>
    <w:rsid w:val="00D85BB1"/>
    <w:rsid w:val="00D91684"/>
    <w:rsid w:val="00D93F41"/>
    <w:rsid w:val="00D96222"/>
    <w:rsid w:val="00D97EE0"/>
    <w:rsid w:val="00DA0B97"/>
    <w:rsid w:val="00DA2094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128A"/>
    <w:rsid w:val="00DC740F"/>
    <w:rsid w:val="00DD0E84"/>
    <w:rsid w:val="00DD0F20"/>
    <w:rsid w:val="00DD4270"/>
    <w:rsid w:val="00DD551F"/>
    <w:rsid w:val="00DD7F74"/>
    <w:rsid w:val="00DE0161"/>
    <w:rsid w:val="00DE2E35"/>
    <w:rsid w:val="00DE6A28"/>
    <w:rsid w:val="00DF7B4D"/>
    <w:rsid w:val="00E00223"/>
    <w:rsid w:val="00E01D38"/>
    <w:rsid w:val="00E023F8"/>
    <w:rsid w:val="00E02AF4"/>
    <w:rsid w:val="00E03A3A"/>
    <w:rsid w:val="00E04BBC"/>
    <w:rsid w:val="00E0648E"/>
    <w:rsid w:val="00E06E45"/>
    <w:rsid w:val="00E0744D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63EE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6EA8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17EF4"/>
    <w:rsid w:val="00F2080E"/>
    <w:rsid w:val="00F209F0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6E2277-6B0E-497B-BDEA-CF1B9A79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aliases w:val="超级链接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styleId="FootnoteReference">
    <w:name w:val="footnote reference"/>
    <w:uiPriority w:val="99"/>
    <w:rsid w:val="003D373C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3D373C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373C"/>
    <w:rPr>
      <w:rFonts w:eastAsia="Times New Roman"/>
      <w:sz w:val="24"/>
      <w:lang w:val="en-GB" w:eastAsia="en-US"/>
    </w:rPr>
  </w:style>
  <w:style w:type="paragraph" w:customStyle="1" w:styleId="Body">
    <w:name w:val="Body"/>
    <w:rsid w:val="003D373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Times New Roman" w:hAnsi="Calibri" w:cs="Calibri"/>
      <w:color w:val="000000"/>
      <w:sz w:val="24"/>
      <w:szCs w:val="24"/>
      <w:u w:color="000000"/>
      <w:lang w:eastAsia="en-US"/>
    </w:rPr>
  </w:style>
  <w:style w:type="paragraph" w:customStyle="1" w:styleId="enumlev1">
    <w:name w:val="enumlev1"/>
    <w:basedOn w:val="Normal"/>
    <w:rsid w:val="00E03A3A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eastAsia="Times New Roman" w:hAnsi="Calibri"/>
      <w:szCs w:val="20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5691"/>
    <w:rPr>
      <w:rFonts w:ascii="Arial" w:hAnsi="Arial"/>
      <w:sz w:val="2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E46E9"/>
    <w:rPr>
      <w:rFonts w:ascii="Arial" w:hAnsi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</w:divsChild>
            </w:div>
          </w:divsChild>
        </w:div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dms_ties/itu-d/md/14/wtdc17/c/D14-WTDC17-C-0115!!PDF-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7-OPCWGINT5-C-0002/en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council/cwg-internet/Pages/consultation-june201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09F6A-81A4-4A08-9DBC-A39A0C8727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2F002B-B4DF-4CF1-B51B-B0948E8B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3523</Characters>
  <Application>Microsoft Office Word</Application>
  <DocSecurity>0</DocSecurity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CWG-Internet Report September 2017 meeting</vt:lpstr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МНВ</dc:creator>
  <cp:keywords>CWG-Internet</cp:keywords>
  <cp:lastModifiedBy>Janin</cp:lastModifiedBy>
  <cp:revision>3</cp:revision>
  <cp:lastPrinted>2013-07-15T09:23:00Z</cp:lastPrinted>
  <dcterms:created xsi:type="dcterms:W3CDTF">2018-01-18T14:52:00Z</dcterms:created>
  <dcterms:modified xsi:type="dcterms:W3CDTF">2018-01-18T14:54:00Z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