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375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C64338">
              <w:rPr>
                <w:rStyle w:val="PageNumber"/>
                <w:b/>
                <w:bCs/>
                <w:szCs w:val="24"/>
              </w:rPr>
              <w:t>Dub</w:t>
            </w:r>
            <w:r w:rsidR="006375E0" w:rsidRPr="00C64338">
              <w:rPr>
                <w:rStyle w:val="PageNumber"/>
                <w:b/>
                <w:bCs/>
                <w:szCs w:val="24"/>
              </w:rPr>
              <w:t>á</w:t>
            </w:r>
            <w:r w:rsidR="00C43474" w:rsidRPr="00C64338">
              <w:rPr>
                <w:rStyle w:val="PageNumber"/>
                <w:b/>
                <w:bCs/>
                <w:szCs w:val="24"/>
              </w:rPr>
              <w:t>i</w:t>
            </w:r>
            <w:r w:rsidRPr="00C64338">
              <w:rPr>
                <w:rStyle w:val="PageNumber"/>
                <w:b/>
                <w:bCs/>
                <w:szCs w:val="24"/>
              </w:rPr>
              <w:t>,</w:t>
            </w:r>
            <w:r w:rsidRPr="00565F7F">
              <w:rPr>
                <w:rStyle w:val="PageNumber"/>
                <w:b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C43474">
              <w:rPr>
                <w:rStyle w:val="PageNumber"/>
                <w:b/>
                <w:szCs w:val="24"/>
              </w:rPr>
              <w:t>9</w:t>
            </w:r>
            <w:r w:rsidRPr="004B07DB">
              <w:rPr>
                <w:rStyle w:val="PageNumber"/>
                <w:b/>
                <w:szCs w:val="24"/>
              </w:rPr>
              <w:t xml:space="preserve"> de octubre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16</w:t>
            </w:r>
            <w:r w:rsidRPr="004B07DB">
              <w:rPr>
                <w:rStyle w:val="PageNumber"/>
                <w:b/>
                <w:szCs w:val="24"/>
              </w:rPr>
              <w:t xml:space="preserve"> de noviembre de 201</w:t>
            </w:r>
            <w:r w:rsidR="00C43474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255FA1" w:rsidRPr="004C22ED" w:rsidRDefault="00006EAE" w:rsidP="00A54B35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Documento </w:t>
            </w:r>
            <w:r w:rsidR="00A54B35">
              <w:rPr>
                <w:rFonts w:cstheme="minorHAnsi"/>
                <w:b/>
                <w:szCs w:val="24"/>
                <w:lang w:val="en-US"/>
              </w:rPr>
              <w:t>DT/2</w:t>
            </w:r>
            <w:r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255FA1" w:rsidRPr="004C22ED" w:rsidRDefault="00A54B35" w:rsidP="00A54B35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Style w:val="PageNumber"/>
                <w:b/>
                <w:szCs w:val="24"/>
              </w:rPr>
              <w:t>5</w:t>
            </w:r>
            <w:r w:rsidR="00006EAE" w:rsidRPr="004B07DB">
              <w:rPr>
                <w:rStyle w:val="PageNumber"/>
                <w:b/>
                <w:szCs w:val="24"/>
              </w:rPr>
              <w:t xml:space="preserve"> de </w:t>
            </w:r>
            <w:r>
              <w:rPr>
                <w:rStyle w:val="PageNumber"/>
                <w:b/>
                <w:szCs w:val="24"/>
              </w:rPr>
              <w:t>octubre</w:t>
            </w:r>
            <w:r w:rsidR="00006EAE" w:rsidRPr="004B07DB">
              <w:rPr>
                <w:rStyle w:val="PageNumber"/>
                <w:b/>
                <w:szCs w:val="24"/>
              </w:rPr>
              <w:t xml:space="preserve"> </w:t>
            </w:r>
            <w:r w:rsidR="00006EAE">
              <w:rPr>
                <w:rFonts w:cstheme="minorHAnsi"/>
                <w:b/>
                <w:szCs w:val="24"/>
                <w:lang w:val="en-US"/>
              </w:rPr>
              <w:t xml:space="preserve">de </w:t>
            </w:r>
            <w:r w:rsidR="00006EAE" w:rsidRPr="004C22ED">
              <w:rPr>
                <w:rFonts w:cstheme="minorHAnsi"/>
                <w:b/>
                <w:szCs w:val="24"/>
                <w:lang w:val="en-US"/>
              </w:rPr>
              <w:t>201</w:t>
            </w:r>
            <w:r w:rsidR="00006EAE">
              <w:rPr>
                <w:rFonts w:cstheme="minorHAnsi"/>
                <w:b/>
                <w:szCs w:val="24"/>
                <w:lang w:val="en-US"/>
              </w:rPr>
              <w:t>8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255FA1" w:rsidRPr="004C22ED" w:rsidRDefault="00006EAE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Original: inglés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02785D" w:rsidRDefault="00225FF3" w:rsidP="00682B62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716018">
              <w:rPr>
                <w:lang w:val="es-ES"/>
              </w:rPr>
              <w:t xml:space="preserve">Nota del </w:t>
            </w:r>
            <w:r>
              <w:rPr>
                <w:lang w:val="es-ES"/>
              </w:rPr>
              <w:t>Secretario General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225FF3" w:rsidRDefault="00225FF3" w:rsidP="00225FF3">
            <w:pPr>
              <w:pStyle w:val="Title1"/>
            </w:pPr>
            <w:bookmarkStart w:id="5" w:name="dtitle1" w:colFirst="0" w:colLast="0"/>
            <w:bookmarkEnd w:id="4"/>
            <w:r>
              <w:rPr>
                <w:lang w:val="es-ES"/>
              </w:rPr>
              <w:t xml:space="preserve">proyecto de </w:t>
            </w:r>
            <w:r w:rsidRPr="00716018">
              <w:rPr>
                <w:lang w:val="es-ES"/>
              </w:rPr>
              <w:t>ESTRUCTURA DE LA CONFERENCIA</w:t>
            </w:r>
            <w:r>
              <w:rPr>
                <w:lang w:val="es-ES"/>
              </w:rPr>
              <w:br/>
            </w:r>
            <w:r w:rsidRPr="00716018">
              <w:rPr>
                <w:lang w:val="es-ES"/>
              </w:rPr>
              <w:t>DE PLENIPOTENCIARIOS DE LA UIT</w:t>
            </w:r>
            <w:r w:rsidR="00B364C5">
              <w:rPr>
                <w:lang w:val="es-ES"/>
              </w:rPr>
              <w:t xml:space="preserve"> </w:t>
            </w:r>
            <w:r w:rsidR="00B364C5" w:rsidRPr="00B364C5">
              <w:rPr>
                <w:lang w:val="es-ES"/>
              </w:rPr>
              <w:t>(DUBÁI, 2018)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225FF3" w:rsidRDefault="00255FA1" w:rsidP="00B17482">
            <w:pPr>
              <w:pStyle w:val="Title2"/>
            </w:pPr>
            <w:bookmarkStart w:id="6" w:name="dtitle2" w:colFirst="0" w:colLast="0"/>
            <w:bookmarkEnd w:id="5"/>
          </w:p>
        </w:tc>
      </w:tr>
    </w:tbl>
    <w:bookmarkEnd w:id="6"/>
    <w:p w:rsidR="00225FF3" w:rsidRPr="00716018" w:rsidRDefault="00225FF3" w:rsidP="00225FF3">
      <w:pPr>
        <w:pStyle w:val="Heading1"/>
      </w:pPr>
      <w:r w:rsidRPr="00716018">
        <w:t>1</w:t>
      </w:r>
      <w:r w:rsidRPr="00716018">
        <w:tab/>
        <w:t>Descripción</w:t>
      </w:r>
    </w:p>
    <w:p w:rsidR="00225FF3" w:rsidRPr="00716018" w:rsidRDefault="00225FF3" w:rsidP="00695394">
      <w:r>
        <w:t>De acuerdo con las disposiciones legales</w:t>
      </w:r>
      <w:r w:rsidRPr="00716018">
        <w:t xml:space="preserve">, la Conferencia </w:t>
      </w:r>
      <w:r>
        <w:t>tiene que</w:t>
      </w:r>
      <w:r w:rsidRPr="00716018">
        <w:t xml:space="preserve"> establecer cuatro Comisiones</w:t>
      </w:r>
      <w:r w:rsidR="00695394">
        <w:rPr>
          <w:rStyle w:val="FootnoteReference"/>
        </w:rPr>
        <w:footnoteReference w:id="1"/>
      </w:r>
      <w:r w:rsidRPr="00716018">
        <w:t>. Además, se propone establecer dos Comisiones sustantivas y crear un Grupo de Trabajo de la Plenaria (GT</w:t>
      </w:r>
      <w:r w:rsidRPr="00716018">
        <w:noBreakHyphen/>
        <w:t>PL).</w:t>
      </w:r>
    </w:p>
    <w:p w:rsidR="00225FF3" w:rsidRPr="00716018" w:rsidRDefault="00225FF3" w:rsidP="00225FF3">
      <w:r w:rsidRPr="00716018">
        <w:t>Las Comisiones pueden a su vez crear Subcomisiones. Las Comisiones y Subcomisiones pueden crear Grupos de Trabajo (números 63 y 64 del Reglamento General). Los Grupos de Trabajo pueden actuar simultáneamente y también en paralelo con una Comisión. Debe limitarse la creación de Grupos de Trabajo a fin de que la estructura de la Conferencia sea transparente y lograr un rendimiento óptimo.</w:t>
      </w:r>
    </w:p>
    <w:p w:rsidR="00504FD4" w:rsidRDefault="00225FF3" w:rsidP="00225FF3">
      <w:r w:rsidRPr="00716018">
        <w:t>Se han preparado los siguientes mandatos en el marco de la Constitución y el Convenio y del orden del día de la Conferencia, así como a la luz de la experiencia adquirida en Conferencias de Plenipotenciarios anteriores. El orden del día de la Conferencia figura en el Artículo 8 de la Constitución y se reproducirá en el Documento 1 de la Conferencia.</w:t>
      </w:r>
    </w:p>
    <w:p w:rsidR="00225FF3" w:rsidRPr="00716018" w:rsidRDefault="00225FF3" w:rsidP="00225FF3">
      <w:pPr>
        <w:pStyle w:val="Heading1"/>
      </w:pPr>
      <w:r w:rsidRPr="00716018">
        <w:t>2</w:t>
      </w:r>
      <w:r w:rsidRPr="00716018">
        <w:tab/>
        <w:t>Proyectos de mandato</w:t>
      </w:r>
    </w:p>
    <w:p w:rsidR="00225FF3" w:rsidRPr="00716018" w:rsidRDefault="00225FF3" w:rsidP="00B17482">
      <w:pPr>
        <w:pStyle w:val="Headingb"/>
      </w:pPr>
      <w:r w:rsidRPr="00716018">
        <w:t>Comisión 1</w:t>
      </w:r>
      <w:r w:rsidR="00B17482">
        <w:t xml:space="preserve"> – </w:t>
      </w:r>
      <w:r w:rsidRPr="00716018">
        <w:t>Comisión de Dirección</w:t>
      </w:r>
    </w:p>
    <w:p w:rsidR="00225FF3" w:rsidRDefault="00225FF3" w:rsidP="00695394">
      <w:r w:rsidRPr="00716018">
        <w:t>Coordinar todos los asuntos relacionados con la buena marcha de los trabajos y planificar el orden de las sesiones y su número, evitándose siempre que sea posible la celebración de sesiones simultáneas dado el limitado número de miembros de algunas delegaciones (número 67 del Reglamento General).</w:t>
      </w:r>
    </w:p>
    <w:p w:rsidR="00EC5296" w:rsidRPr="00716018" w:rsidRDefault="00EC5296" w:rsidP="00EC5296">
      <w:pPr>
        <w:pStyle w:val="Headingb"/>
      </w:pPr>
      <w:r w:rsidRPr="00716018">
        <w:lastRenderedPageBreak/>
        <w:t xml:space="preserve">Comisión 2 </w:t>
      </w:r>
      <w:r w:rsidRPr="00716018">
        <w:sym w:font="Symbol" w:char="F02D"/>
      </w:r>
      <w:r w:rsidRPr="00716018">
        <w:t xml:space="preserve"> Comisión de Credenciales</w:t>
      </w:r>
    </w:p>
    <w:p w:rsidR="00EC5296" w:rsidRPr="00716018" w:rsidRDefault="00EC5296" w:rsidP="00EC5296">
      <w:r w:rsidRPr="00716018">
        <w:t>Verificar las credenciales de las delegaciones y presentar un Informe con sus conclusiones a la Plenaria dentro del plazo fijado por éste (número 68 del Reglamento General)</w:t>
      </w:r>
      <w:r w:rsidRPr="00716018">
        <w:rPr>
          <w:color w:val="000000"/>
        </w:rPr>
        <w:t>.</w:t>
      </w:r>
    </w:p>
    <w:p w:rsidR="00EC5296" w:rsidRPr="00716018" w:rsidRDefault="00EC5296" w:rsidP="00EC5296">
      <w:pPr>
        <w:pStyle w:val="Headingb"/>
      </w:pPr>
      <w:r w:rsidRPr="00716018">
        <w:t xml:space="preserve">Comisión 3 </w:t>
      </w:r>
      <w:r w:rsidRPr="00716018">
        <w:sym w:font="Symbol" w:char="F02D"/>
      </w:r>
      <w:r w:rsidRPr="00716018">
        <w:t xml:space="preserve"> Comisión de Control del Presupuesto</w:t>
      </w:r>
    </w:p>
    <w:p w:rsidR="00EC5296" w:rsidRPr="00716018" w:rsidRDefault="00EC5296" w:rsidP="00B364C5">
      <w:r w:rsidRPr="00716018">
        <w:t>Determinar la organización y los medios que han de ponerse a disposición de los delegados, examinar y aprobar las cuentas de los gastos realizados durante la Conferencia, y presentar un Informe a la Plenaria sobre los gastos estimados totales de la Conferencia y una estimación de los gastos resultantes del cumplimiento de las decisiones de la misma (números 71 y 73 del Reglamento General).</w:t>
      </w:r>
    </w:p>
    <w:p w:rsidR="00EC5296" w:rsidRPr="00716018" w:rsidRDefault="00EC5296" w:rsidP="00EC5296">
      <w:pPr>
        <w:pStyle w:val="Headingb"/>
      </w:pPr>
      <w:r w:rsidRPr="00716018">
        <w:t xml:space="preserve">Comisión 4 </w:t>
      </w:r>
      <w:r w:rsidRPr="00716018">
        <w:sym w:font="Symbol" w:char="F02D"/>
      </w:r>
      <w:r w:rsidRPr="00716018">
        <w:t xml:space="preserve"> Comisión de Redacción</w:t>
      </w:r>
    </w:p>
    <w:p w:rsidR="00EC5296" w:rsidRPr="00716018" w:rsidRDefault="00EC5296" w:rsidP="00EC5296">
      <w:r w:rsidRPr="00716018">
        <w:t>Perfeccionar la forma de los textos que figurarán en las Actas Finales de la Conferencia sin alterar su sentido, para su presentación a la Plenaria (número 69 del Reglamento General).</w:t>
      </w:r>
    </w:p>
    <w:p w:rsidR="00EC5296" w:rsidRPr="00716018" w:rsidRDefault="00EC5296" w:rsidP="00EC5296">
      <w:pPr>
        <w:pStyle w:val="Headingb"/>
      </w:pPr>
      <w:r w:rsidRPr="00716018">
        <w:t xml:space="preserve">Comisión 5 </w:t>
      </w:r>
      <w:r w:rsidRPr="00716018">
        <w:sym w:font="Symbol" w:char="F02D"/>
      </w:r>
      <w:r w:rsidRPr="00716018">
        <w:t xml:space="preserve"> Asuntos de Orden Político y Jurídico</w:t>
      </w:r>
    </w:p>
    <w:p w:rsidR="006E15D0" w:rsidRPr="006E15D0" w:rsidRDefault="006E15D0" w:rsidP="006E15D0">
      <w:r w:rsidRPr="006E15D0">
        <w:t>La Comisión 5 de Asuntos de Orden Político y Jurídico tendrá por cometido: examinar los informes y propuestas relativos a asuntos políticos de la Unión, incluidos los Informes presentados por el Consejo sobre las actividades de la Unión; recomendar las decisiones adecuadas con respecto a las actividades de la Secretaría General y los tres Sectores; examinar las propuestas de enmienda a la Constitución, el Convenio, el Reglamento General y el Protocolo Facultativo; habida cuenta de los Informes y recomendaciones pertinentes de la Comisión 6 y el Grupo de Trabajo de la Plenaria, recomendar a la Plenaria las medidas convenientes; analizar toda cuestión de carácter jurídico que surja durante la Conferencia; y transmitir a la Comisión 6 los asuntos que tengan consecuencias financieras.</w:t>
      </w:r>
    </w:p>
    <w:p w:rsidR="00EC5296" w:rsidRPr="00716018" w:rsidRDefault="00EC5296" w:rsidP="00EC5296">
      <w:pPr>
        <w:pStyle w:val="Headingb"/>
      </w:pPr>
      <w:r w:rsidRPr="00716018">
        <w:t xml:space="preserve">Comisión 6 </w:t>
      </w:r>
      <w:r w:rsidRPr="00716018">
        <w:sym w:font="Symbol" w:char="F02D"/>
      </w:r>
      <w:r w:rsidRPr="00716018">
        <w:t xml:space="preserve"> Administración y Gestión</w:t>
      </w:r>
    </w:p>
    <w:p w:rsidR="00EC5296" w:rsidRPr="00716018" w:rsidRDefault="006E15D0" w:rsidP="006E15D0">
      <w:r w:rsidRPr="006E15D0">
        <w:t>La Comisión 6 de Administración y Gestión tendrá por cometido: examinar el proyecto de Plan Estratégico y otros informes y propuestas relativos al mismo; analizar los informes y propuestas pertinentes acerca de la gestión general de la Unión, en particular los que atañan a los recursos humanos y financieros, incluidas las partes pertinentes de los Informes presentados por otras Comisiones y Grupos de Trabajo; preparar proyectos de políticas financieras y un proyecto de Plan Financiero para el periodo 2020-2023; recomendar a la Plenaria todas las decisiones convenientes en relación con la gestión de las actividades de la Unión; y remitir a la Comisión 5 los asuntos que impliquen enmiendas a la Constitución, el Convenio y el Reglamento General.</w:t>
      </w:r>
    </w:p>
    <w:p w:rsidR="00EC5296" w:rsidRPr="00716018" w:rsidRDefault="00EC5296" w:rsidP="00695394">
      <w:pPr>
        <w:pStyle w:val="Headingb"/>
      </w:pPr>
      <w:r w:rsidRPr="00716018">
        <w:t>Grupo de Trabajo de la Plenaria</w:t>
      </w:r>
    </w:p>
    <w:p w:rsidR="00EC5296" w:rsidRDefault="006E15D0" w:rsidP="006E15D0">
      <w:r w:rsidRPr="006E15D0">
        <w:t>El Grupo de Trabajo de la Plenaria tendrá por cometido: examinar los informes y propuestas relativos a cuestiones relacionadas con políticas públicas (incluido Internet) y otros asuntos generales; y transmitir a la Comisión 5 los asuntos que impliquen enmiendas a la Constitución, el Convenio y el Reglamento General, y a la Comisión 6 los asuntos que tengan repercusiones financieras.</w:t>
      </w:r>
    </w:p>
    <w:p w:rsidR="00B364C5" w:rsidRDefault="00B364C5" w:rsidP="0032202E">
      <w:pPr>
        <w:pStyle w:val="Reasons"/>
      </w:pPr>
    </w:p>
    <w:p w:rsidR="00B364C5" w:rsidRDefault="00B364C5">
      <w:pPr>
        <w:jc w:val="center"/>
      </w:pPr>
      <w:r>
        <w:t>______________</w:t>
      </w:r>
    </w:p>
    <w:sectPr w:rsidR="00B364C5" w:rsidSect="00A70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CA2" w:rsidRDefault="00283CA2">
      <w:r>
        <w:separator/>
      </w:r>
    </w:p>
  </w:endnote>
  <w:endnote w:type="continuationSeparator" w:id="0">
    <w:p w:rsidR="00283CA2" w:rsidRDefault="0028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D6D" w:rsidRDefault="007C3D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7" w:name="_GoBack"/>
  <w:p w:rsidR="004A63A9" w:rsidRPr="007C3D6D" w:rsidRDefault="007C3D6D" w:rsidP="00695394">
    <w:pPr>
      <w:pStyle w:val="Footer"/>
      <w:rPr>
        <w:color w:val="D9D9D9" w:themeColor="background1" w:themeShade="D9"/>
        <w:lang w:val="en-US"/>
      </w:rPr>
    </w:pPr>
    <w:r w:rsidRPr="007C3D6D">
      <w:rPr>
        <w:color w:val="D9D9D9" w:themeColor="background1" w:themeShade="D9"/>
      </w:rPr>
      <w:fldChar w:fldCharType="begin"/>
    </w:r>
    <w:r w:rsidRPr="007C3D6D">
      <w:rPr>
        <w:color w:val="D9D9D9" w:themeColor="background1" w:themeShade="D9"/>
      </w:rPr>
      <w:instrText xml:space="preserve"> FILENAME \p  \* MERGEFORMAT </w:instrText>
    </w:r>
    <w:r w:rsidRPr="007C3D6D">
      <w:rPr>
        <w:color w:val="D9D9D9" w:themeColor="background1" w:themeShade="D9"/>
      </w:rPr>
      <w:fldChar w:fldCharType="separate"/>
    </w:r>
    <w:r w:rsidR="00F23412" w:rsidRPr="007C3D6D">
      <w:rPr>
        <w:color w:val="D9D9D9" w:themeColor="background1" w:themeShade="D9"/>
      </w:rPr>
      <w:t>P:\ESP\SG\CONF-SG\PP18\DT\002S.docx</w:t>
    </w:r>
    <w:r w:rsidRPr="007C3D6D">
      <w:rPr>
        <w:color w:val="D9D9D9" w:themeColor="background1" w:themeShade="D9"/>
      </w:rPr>
      <w:fldChar w:fldCharType="end"/>
    </w:r>
    <w:r w:rsidR="00695394" w:rsidRPr="007C3D6D">
      <w:rPr>
        <w:color w:val="D9D9D9" w:themeColor="background1" w:themeShade="D9"/>
      </w:rPr>
      <w:t xml:space="preserve"> (443392)</w:t>
    </w:r>
    <w:bookmarkEnd w:id="7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CA2" w:rsidRDefault="00283CA2">
      <w:r>
        <w:t>____________________</w:t>
      </w:r>
    </w:p>
  </w:footnote>
  <w:footnote w:type="continuationSeparator" w:id="0">
    <w:p w:rsidR="00283CA2" w:rsidRDefault="00283CA2">
      <w:r>
        <w:continuationSeparator/>
      </w:r>
    </w:p>
  </w:footnote>
  <w:footnote w:id="1">
    <w:p w:rsidR="00695394" w:rsidRPr="00695394" w:rsidRDefault="00695394" w:rsidP="00695394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</w:r>
      <w:r w:rsidRPr="00695394">
        <w:t>Las Comisiones Estatutarias son las siguientes:</w:t>
      </w:r>
      <w:r>
        <w:br/>
      </w:r>
      <w:r w:rsidR="00F23412">
        <w:tab/>
      </w:r>
      <w:r>
        <w:t xml:space="preserve">1) Comisión de Dirección; 2) Comisión de Credenciales; </w:t>
      </w:r>
      <w:r>
        <w:br/>
      </w:r>
      <w:r w:rsidR="00F23412">
        <w:tab/>
      </w:r>
      <w:r>
        <w:t>3) Comisión de Control del Presupuesto; 4) Comisión de Redacción.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D6D" w:rsidRDefault="007C3D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C3D6D">
      <w:rPr>
        <w:noProof/>
      </w:rPr>
      <w:t>2</w:t>
    </w:r>
    <w:r>
      <w:fldChar w:fldCharType="end"/>
    </w:r>
  </w:p>
  <w:p w:rsidR="00255FA1" w:rsidRDefault="00255FA1" w:rsidP="000F4EC2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0F4EC2">
      <w:t>DT/2</w:t>
    </w:r>
    <w:r w:rsidR="00006EAE">
      <w:t>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D6D" w:rsidRDefault="007C3D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A2"/>
    <w:rsid w:val="0000188C"/>
    <w:rsid w:val="00006EAE"/>
    <w:rsid w:val="000863AB"/>
    <w:rsid w:val="000A1523"/>
    <w:rsid w:val="000B1752"/>
    <w:rsid w:val="000F4EC2"/>
    <w:rsid w:val="0010546D"/>
    <w:rsid w:val="00135F93"/>
    <w:rsid w:val="001632E3"/>
    <w:rsid w:val="001729A9"/>
    <w:rsid w:val="00177F41"/>
    <w:rsid w:val="001D4983"/>
    <w:rsid w:val="001D6EC3"/>
    <w:rsid w:val="001D787B"/>
    <w:rsid w:val="001E3D06"/>
    <w:rsid w:val="00225F6B"/>
    <w:rsid w:val="00225FF3"/>
    <w:rsid w:val="00237C17"/>
    <w:rsid w:val="00242376"/>
    <w:rsid w:val="00255FA1"/>
    <w:rsid w:val="00262FF4"/>
    <w:rsid w:val="00283CA2"/>
    <w:rsid w:val="002C6527"/>
    <w:rsid w:val="002E44FC"/>
    <w:rsid w:val="003707E5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5F7F"/>
    <w:rsid w:val="00567ED5"/>
    <w:rsid w:val="005D1164"/>
    <w:rsid w:val="005D6488"/>
    <w:rsid w:val="005F6278"/>
    <w:rsid w:val="00601280"/>
    <w:rsid w:val="006048FD"/>
    <w:rsid w:val="006375E0"/>
    <w:rsid w:val="00641DBD"/>
    <w:rsid w:val="006455D2"/>
    <w:rsid w:val="006537F3"/>
    <w:rsid w:val="00695394"/>
    <w:rsid w:val="006B5512"/>
    <w:rsid w:val="006C190D"/>
    <w:rsid w:val="006E15D0"/>
    <w:rsid w:val="00720686"/>
    <w:rsid w:val="00737EFF"/>
    <w:rsid w:val="00750806"/>
    <w:rsid w:val="007875D2"/>
    <w:rsid w:val="007C3D6D"/>
    <w:rsid w:val="007F6EBC"/>
    <w:rsid w:val="00882773"/>
    <w:rsid w:val="008B4706"/>
    <w:rsid w:val="008B6676"/>
    <w:rsid w:val="008E51C5"/>
    <w:rsid w:val="008F7109"/>
    <w:rsid w:val="009107B0"/>
    <w:rsid w:val="009220DE"/>
    <w:rsid w:val="00930E84"/>
    <w:rsid w:val="0099270D"/>
    <w:rsid w:val="0099551E"/>
    <w:rsid w:val="009A1A86"/>
    <w:rsid w:val="009E0C42"/>
    <w:rsid w:val="00A54B35"/>
    <w:rsid w:val="00A70E95"/>
    <w:rsid w:val="00AA1F73"/>
    <w:rsid w:val="00AB34CA"/>
    <w:rsid w:val="00AD400E"/>
    <w:rsid w:val="00AF0DC5"/>
    <w:rsid w:val="00B17482"/>
    <w:rsid w:val="00B364C5"/>
    <w:rsid w:val="00B501AB"/>
    <w:rsid w:val="00B73978"/>
    <w:rsid w:val="00B77C4D"/>
    <w:rsid w:val="00BB13FE"/>
    <w:rsid w:val="00BC7EE2"/>
    <w:rsid w:val="00BF5475"/>
    <w:rsid w:val="00BF60AA"/>
    <w:rsid w:val="00C42D2D"/>
    <w:rsid w:val="00C43474"/>
    <w:rsid w:val="00C61A48"/>
    <w:rsid w:val="00C64338"/>
    <w:rsid w:val="00C76DA0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921EC"/>
    <w:rsid w:val="00EB23D0"/>
    <w:rsid w:val="00EC395A"/>
    <w:rsid w:val="00EC5296"/>
    <w:rsid w:val="00F01632"/>
    <w:rsid w:val="00F04858"/>
    <w:rsid w:val="00F23412"/>
    <w:rsid w:val="00F271A2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6B80981-A188-43C5-A647-10E7893B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o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28244-4116-4E21-AD29-E45E19D8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20</TotalTime>
  <Pages>2</Pages>
  <Words>715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4543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</dc:title>
  <dc:subject>Plenipotentiary Conference (PP-18)</dc:subject>
  <dc:creator>Nino Carnero, Alicia</dc:creator>
  <cp:keywords>PP-18, Plenipotentiary</cp:keywords>
  <dc:description/>
  <cp:lastModifiedBy>Botalla, Sabine</cp:lastModifiedBy>
  <cp:revision>6</cp:revision>
  <cp:lastPrinted>2018-10-10T12:21:00Z</cp:lastPrinted>
  <dcterms:created xsi:type="dcterms:W3CDTF">2018-10-10T12:00:00Z</dcterms:created>
  <dcterms:modified xsi:type="dcterms:W3CDTF">2018-10-12T06:45:00Z</dcterms:modified>
  <cp:category>Conference document</cp:category>
</cp:coreProperties>
</file>