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1C55D4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62735F">
              <w:rPr>
                <w:rFonts w:cstheme="minorHAnsi"/>
                <w:b/>
                <w:szCs w:val="24"/>
                <w:lang w:val="en-US"/>
              </w:rPr>
              <w:t>17</w:t>
            </w:r>
            <w:r w:rsidR="001C55D4">
              <w:rPr>
                <w:rFonts w:cstheme="minorHAnsi"/>
                <w:b/>
                <w:szCs w:val="24"/>
                <w:lang w:val="en-US"/>
              </w:rPr>
              <w:t>6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084EA9" w:rsidRDefault="0062735F" w:rsidP="00084EA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7 décembre</w:t>
            </w:r>
            <w:r w:rsidR="00417658" w:rsidRPr="00084EA9">
              <w:rPr>
                <w:rFonts w:cstheme="minorHAnsi"/>
                <w:b/>
                <w:szCs w:val="24"/>
                <w:lang w:val="fr-CH"/>
              </w:rPr>
              <w:t xml:space="preserve"> 201</w:t>
            </w:r>
            <w:r w:rsidR="00084EA9" w:rsidRPr="00084EA9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084EA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084EA9" w:rsidRDefault="00417658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084EA9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84EA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8B6A61" w:rsidRPr="002A6F8F" w:rsidTr="006A046E">
        <w:trPr>
          <w:cantSplit/>
        </w:trPr>
        <w:tc>
          <w:tcPr>
            <w:tcW w:w="10031" w:type="dxa"/>
            <w:gridSpan w:val="2"/>
          </w:tcPr>
          <w:p w:rsidR="008B6A61" w:rsidRDefault="008B6A61" w:rsidP="008B6A61">
            <w:pPr>
              <w:pStyle w:val="Title1"/>
              <w:spacing w:before="720"/>
            </w:pPr>
            <w:bookmarkStart w:id="4" w:name="dsource" w:colFirst="0" w:colLast="0"/>
            <w:bookmarkEnd w:id="3"/>
            <w:r>
              <w:t>procès-verbal</w:t>
            </w:r>
          </w:p>
          <w:p w:rsidR="008B6A61" w:rsidRDefault="008B6A61" w:rsidP="008B6A61">
            <w:pPr>
              <w:pStyle w:val="Title1"/>
            </w:pPr>
            <w:r>
              <w:t>DE LA</w:t>
            </w:r>
          </w:p>
          <w:p w:rsidR="008B6A61" w:rsidRDefault="0062735F" w:rsidP="001C55D4">
            <w:pPr>
              <w:pStyle w:val="Title1"/>
            </w:pPr>
            <w:r>
              <w:t>DIX-</w:t>
            </w:r>
            <w:r w:rsidR="001C55D4">
              <w:t>NEUV</w:t>
            </w:r>
            <w:r>
              <w:t>I</w:t>
            </w:r>
            <w:r w:rsidRPr="002D63FB">
              <w:t>èME séance PLéNIèRE</w:t>
            </w:r>
          </w:p>
        </w:tc>
      </w:tr>
      <w:tr w:rsidR="0062735F" w:rsidRPr="002A6F8F" w:rsidTr="006A046E">
        <w:trPr>
          <w:cantSplit/>
        </w:trPr>
        <w:tc>
          <w:tcPr>
            <w:tcW w:w="10031" w:type="dxa"/>
            <w:gridSpan w:val="2"/>
          </w:tcPr>
          <w:p w:rsidR="0062735F" w:rsidRDefault="0062735F" w:rsidP="001C55D4">
            <w:pPr>
              <w:spacing w:before="240"/>
              <w:jc w:val="center"/>
            </w:pPr>
            <w:r w:rsidRPr="00CF15A6">
              <w:rPr>
                <w:szCs w:val="24"/>
              </w:rPr>
              <w:t xml:space="preserve">Vendredi </w:t>
            </w:r>
            <w:r>
              <w:rPr>
                <w:szCs w:val="24"/>
              </w:rPr>
              <w:t>16</w:t>
            </w:r>
            <w:r w:rsidRPr="00CF15A6">
              <w:rPr>
                <w:szCs w:val="24"/>
              </w:rPr>
              <w:t xml:space="preserve"> novembre 201</w:t>
            </w:r>
            <w:r>
              <w:rPr>
                <w:szCs w:val="24"/>
              </w:rPr>
              <w:t>8</w:t>
            </w:r>
            <w:r w:rsidRPr="00CF15A6">
              <w:rPr>
                <w:szCs w:val="24"/>
              </w:rPr>
              <w:t xml:space="preserve">, à </w:t>
            </w:r>
            <w:r w:rsidR="001C55D4">
              <w:rPr>
                <w:szCs w:val="24"/>
              </w:rPr>
              <w:t>15</w:t>
            </w:r>
            <w:r w:rsidRPr="00CF15A6">
              <w:rPr>
                <w:szCs w:val="24"/>
              </w:rPr>
              <w:t xml:space="preserve"> h </w:t>
            </w:r>
            <w:r w:rsidR="001C55D4">
              <w:rPr>
                <w:szCs w:val="24"/>
              </w:rPr>
              <w:t>0</w:t>
            </w:r>
            <w:r w:rsidRPr="00CF15A6">
              <w:rPr>
                <w:szCs w:val="24"/>
              </w:rPr>
              <w:t>5</w:t>
            </w:r>
          </w:p>
        </w:tc>
      </w:tr>
      <w:tr w:rsidR="008B6A61" w:rsidRPr="0062735F" w:rsidTr="006A046E">
        <w:trPr>
          <w:cantSplit/>
        </w:trPr>
        <w:tc>
          <w:tcPr>
            <w:tcW w:w="10031" w:type="dxa"/>
            <w:gridSpan w:val="2"/>
          </w:tcPr>
          <w:p w:rsidR="008B6A61" w:rsidRPr="0062735F" w:rsidRDefault="008B6A61" w:rsidP="0062735F">
            <w:pPr>
              <w:jc w:val="center"/>
              <w:rPr>
                <w:lang w:val="fr-CH"/>
              </w:rPr>
            </w:pPr>
            <w:bookmarkStart w:id="5" w:name="dtitle3" w:colFirst="0" w:colLast="0"/>
            <w:bookmarkEnd w:id="4"/>
            <w:r w:rsidRPr="0062735F">
              <w:rPr>
                <w:b/>
                <w:bCs/>
                <w:lang w:val="fr-CH"/>
              </w:rPr>
              <w:t>Président:</w:t>
            </w:r>
            <w:r w:rsidRPr="0062735F">
              <w:rPr>
                <w:lang w:val="fr-CH"/>
              </w:rPr>
              <w:t xml:space="preserve"> </w:t>
            </w:r>
            <w:bookmarkStart w:id="6" w:name="lt_pId016"/>
            <w:r w:rsidR="0062735F" w:rsidRPr="0062735F">
              <w:rPr>
                <w:bCs/>
                <w:lang w:val="fr-CH"/>
              </w:rPr>
              <w:t>M. Majed ALMESMAR (</w:t>
            </w:r>
            <w:r w:rsidR="0062735F">
              <w:rPr>
                <w:bCs/>
                <w:lang w:val="fr-CH"/>
              </w:rPr>
              <w:t>Emirats arabes unis</w:t>
            </w:r>
            <w:r w:rsidR="0062735F" w:rsidRPr="0062735F">
              <w:rPr>
                <w:bCs/>
                <w:lang w:val="fr-CH"/>
              </w:rPr>
              <w:t>)</w:t>
            </w:r>
            <w:bookmarkEnd w:id="6"/>
          </w:p>
        </w:tc>
      </w:tr>
      <w:bookmarkEnd w:id="5"/>
    </w:tbl>
    <w:p w:rsidR="008B6A61" w:rsidRPr="0062735F" w:rsidRDefault="008B6A61" w:rsidP="00265E1D">
      <w:pPr>
        <w:rPr>
          <w:lang w:val="fr-CH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B6A61" w:rsidTr="00B23C9D">
        <w:tc>
          <w:tcPr>
            <w:tcW w:w="534" w:type="dxa"/>
          </w:tcPr>
          <w:p w:rsidR="008B6A61" w:rsidRPr="0062735F" w:rsidRDefault="008B6A61" w:rsidP="00265E1D">
            <w:pPr>
              <w:pStyle w:val="toc0"/>
              <w:rPr>
                <w:lang w:val="fr-CH"/>
              </w:rPr>
            </w:pPr>
          </w:p>
        </w:tc>
        <w:tc>
          <w:tcPr>
            <w:tcW w:w="7164" w:type="dxa"/>
          </w:tcPr>
          <w:p w:rsidR="008B6A61" w:rsidRDefault="008B6A61" w:rsidP="00265E1D">
            <w:pPr>
              <w:pStyle w:val="toc0"/>
            </w:pPr>
            <w:r>
              <w:t>Sujets traités</w:t>
            </w:r>
          </w:p>
        </w:tc>
        <w:tc>
          <w:tcPr>
            <w:tcW w:w="2333" w:type="dxa"/>
          </w:tcPr>
          <w:p w:rsidR="008B6A61" w:rsidRDefault="008B6A61" w:rsidP="00265E1D">
            <w:pPr>
              <w:pStyle w:val="toc0"/>
              <w:jc w:val="center"/>
            </w:pPr>
            <w:r>
              <w:t>Documents</w:t>
            </w:r>
          </w:p>
        </w:tc>
      </w:tr>
      <w:tr w:rsidR="001C55D4" w:rsidTr="00B23C9D">
        <w:tc>
          <w:tcPr>
            <w:tcW w:w="534" w:type="dxa"/>
          </w:tcPr>
          <w:p w:rsidR="001C55D4" w:rsidRDefault="001C55D4" w:rsidP="00265E1D">
            <w:pPr>
              <w:ind w:left="567" w:hanging="567"/>
            </w:pPr>
            <w:r>
              <w:t>1</w:t>
            </w:r>
          </w:p>
        </w:tc>
        <w:tc>
          <w:tcPr>
            <w:tcW w:w="7164" w:type="dxa"/>
          </w:tcPr>
          <w:p w:rsidR="001C55D4" w:rsidRPr="00864837" w:rsidRDefault="001C55D4" w:rsidP="00265E1D">
            <w:pPr>
              <w:rPr>
                <w:rFonts w:asciiTheme="minorHAnsi" w:hAnsiTheme="minorHAnsi" w:cstheme="majorBidi"/>
                <w:szCs w:val="24"/>
                <w:lang w:val="fr-CH"/>
              </w:rPr>
            </w:pPr>
            <w:r w:rsidRPr="00680E53">
              <w:rPr>
                <w:rFonts w:asciiTheme="minorHAnsi" w:hAnsiTheme="minorHAnsi" w:cstheme="majorBidi"/>
                <w:szCs w:val="24"/>
                <w:lang w:val="fr-CH"/>
              </w:rPr>
              <w:t>Déclarations additionnelles</w:t>
            </w:r>
          </w:p>
        </w:tc>
        <w:tc>
          <w:tcPr>
            <w:tcW w:w="2333" w:type="dxa"/>
          </w:tcPr>
          <w:p w:rsidR="001C55D4" w:rsidRDefault="002055D6" w:rsidP="00265E1D">
            <w:pPr>
              <w:jc w:val="center"/>
            </w:pPr>
            <w:hyperlink r:id="rId8" w:history="1">
              <w:r w:rsidR="001C55D4" w:rsidRPr="001A6A13">
                <w:rPr>
                  <w:rStyle w:val="Hyperlink"/>
                  <w:lang w:val="en-CA"/>
                </w:rPr>
                <w:t>168</w:t>
              </w:r>
            </w:hyperlink>
          </w:p>
        </w:tc>
      </w:tr>
      <w:tr w:rsidR="001C55D4" w:rsidTr="00B23C9D">
        <w:tc>
          <w:tcPr>
            <w:tcW w:w="534" w:type="dxa"/>
          </w:tcPr>
          <w:p w:rsidR="001C55D4" w:rsidRDefault="001C55D4" w:rsidP="00265E1D">
            <w:pPr>
              <w:ind w:left="567" w:hanging="567"/>
            </w:pPr>
            <w:r>
              <w:t>2</w:t>
            </w:r>
          </w:p>
        </w:tc>
        <w:tc>
          <w:tcPr>
            <w:tcW w:w="7164" w:type="dxa"/>
          </w:tcPr>
          <w:p w:rsidR="001C55D4" w:rsidRPr="00680E53" w:rsidRDefault="001C55D4" w:rsidP="00265E1D">
            <w:pPr>
              <w:rPr>
                <w:rFonts w:asciiTheme="minorHAnsi" w:hAnsiTheme="minorHAnsi" w:cstheme="majorBidi"/>
                <w:szCs w:val="24"/>
                <w:lang w:val="fr-CH"/>
              </w:rPr>
            </w:pPr>
            <w:r w:rsidRPr="00680E53">
              <w:rPr>
                <w:rFonts w:asciiTheme="minorHAnsi" w:hAnsiTheme="minorHAnsi" w:cstheme="majorBidi"/>
                <w:szCs w:val="24"/>
                <w:lang w:val="fr-CH"/>
              </w:rPr>
              <w:t>Cérémonie de signature des Actes finals</w:t>
            </w:r>
          </w:p>
        </w:tc>
        <w:tc>
          <w:tcPr>
            <w:tcW w:w="2333" w:type="dxa"/>
          </w:tcPr>
          <w:p w:rsidR="001C55D4" w:rsidRDefault="001C55D4" w:rsidP="00265E1D">
            <w:pPr>
              <w:jc w:val="center"/>
            </w:pPr>
            <w:r>
              <w:t>–</w:t>
            </w:r>
          </w:p>
        </w:tc>
      </w:tr>
      <w:tr w:rsidR="001C55D4" w:rsidTr="00B23C9D">
        <w:tc>
          <w:tcPr>
            <w:tcW w:w="534" w:type="dxa"/>
          </w:tcPr>
          <w:p w:rsidR="001C55D4" w:rsidRDefault="001C55D4" w:rsidP="00265E1D">
            <w:pPr>
              <w:ind w:left="567" w:hanging="567"/>
            </w:pPr>
            <w:r>
              <w:t>3</w:t>
            </w:r>
          </w:p>
        </w:tc>
        <w:tc>
          <w:tcPr>
            <w:tcW w:w="7164" w:type="dxa"/>
          </w:tcPr>
          <w:p w:rsidR="001C55D4" w:rsidRPr="00864837" w:rsidRDefault="001C55D4" w:rsidP="00265E1D">
            <w:pPr>
              <w:rPr>
                <w:rFonts w:asciiTheme="minorHAnsi" w:hAnsiTheme="minorHAnsi" w:cstheme="majorBidi"/>
                <w:szCs w:val="24"/>
                <w:lang w:val="fr-CH"/>
              </w:rPr>
            </w:pPr>
            <w:r w:rsidRPr="00680E53">
              <w:rPr>
                <w:rFonts w:asciiTheme="minorHAnsi" w:hAnsiTheme="minorHAnsi" w:cstheme="majorBidi"/>
                <w:szCs w:val="24"/>
                <w:lang w:val="fr-CH"/>
              </w:rPr>
              <w:t>Clôture de la Conférence</w:t>
            </w:r>
          </w:p>
        </w:tc>
        <w:tc>
          <w:tcPr>
            <w:tcW w:w="2333" w:type="dxa"/>
          </w:tcPr>
          <w:p w:rsidR="001C55D4" w:rsidRDefault="001C55D4" w:rsidP="00265E1D">
            <w:pPr>
              <w:jc w:val="center"/>
            </w:pPr>
            <w:r>
              <w:t>–</w:t>
            </w:r>
          </w:p>
        </w:tc>
      </w:tr>
    </w:tbl>
    <w:p w:rsidR="008B6A61" w:rsidRDefault="008B6A61" w:rsidP="00265E1D">
      <w:pPr>
        <w:rPr>
          <w:lang w:val="fr-CH"/>
        </w:rPr>
      </w:pPr>
    </w:p>
    <w:p w:rsidR="00BD1614" w:rsidRDefault="00BD1614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C55D4" w:rsidRPr="00440841" w:rsidRDefault="001C55D4" w:rsidP="00265E1D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rFonts w:asciiTheme="minorHAnsi" w:hAnsiTheme="minorHAnsi"/>
        </w:rPr>
      </w:pPr>
      <w:r w:rsidRPr="001C55D4">
        <w:rPr>
          <w:rFonts w:asciiTheme="minorHAnsi" w:hAnsiTheme="minorHAnsi"/>
        </w:rPr>
        <w:lastRenderedPageBreak/>
        <w:t>1</w:t>
      </w:r>
      <w:r w:rsidRPr="001C55D4">
        <w:rPr>
          <w:rFonts w:asciiTheme="minorHAnsi" w:hAnsiTheme="minorHAnsi"/>
        </w:rPr>
        <w:tab/>
        <w:t>Déclarations additionnelles (</w:t>
      </w:r>
      <w:hyperlink r:id="rId9" w:history="1">
        <w:r w:rsidRPr="0059013A">
          <w:rPr>
            <w:rStyle w:val="Hyperlink"/>
            <w:sz w:val="26"/>
            <w:szCs w:val="26"/>
            <w:lang w:val="fr-CH"/>
          </w:rPr>
          <w:t>Document 168</w:t>
        </w:r>
      </w:hyperlink>
      <w:r w:rsidRPr="001C55D4">
        <w:rPr>
          <w:rFonts w:asciiTheme="minorHAnsi" w:hAnsiTheme="minorHAnsi"/>
        </w:rPr>
        <w:t>)</w:t>
      </w:r>
    </w:p>
    <w:p w:rsidR="001C55D4" w:rsidRPr="00440841" w:rsidRDefault="001C55D4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 w:val="28"/>
          <w:szCs w:val="28"/>
        </w:rPr>
      </w:pPr>
      <w:r w:rsidRPr="00440841">
        <w:rPr>
          <w:rFonts w:asciiTheme="minorHAnsi" w:hAnsiTheme="minorHAnsi"/>
        </w:rPr>
        <w:t>1.1</w:t>
      </w:r>
      <w:r w:rsidRPr="0044084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Il est </w:t>
      </w:r>
      <w:r w:rsidRPr="00803A00">
        <w:rPr>
          <w:rFonts w:asciiTheme="minorHAnsi" w:hAnsiTheme="minorHAnsi"/>
          <w:b/>
          <w:bCs/>
        </w:rPr>
        <w:t>pris note</w:t>
      </w:r>
      <w:r>
        <w:rPr>
          <w:rFonts w:asciiTheme="minorHAnsi" w:hAnsiTheme="minorHAnsi"/>
        </w:rPr>
        <w:t xml:space="preserve"> des déclarations additionnelles figurant dans le Document 168.</w:t>
      </w:r>
    </w:p>
    <w:p w:rsidR="001C55D4" w:rsidRPr="00440841" w:rsidRDefault="001C55D4" w:rsidP="00265E1D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rFonts w:asciiTheme="minorHAnsi" w:hAnsiTheme="minorHAnsi"/>
          <w:lang w:val="fr-CH"/>
        </w:rPr>
      </w:pPr>
      <w:r>
        <w:rPr>
          <w:rFonts w:asciiTheme="minorHAnsi" w:hAnsiTheme="minorHAnsi"/>
          <w:bCs/>
          <w:sz w:val="24"/>
          <w:szCs w:val="24"/>
        </w:rPr>
        <w:t>2</w:t>
      </w:r>
      <w:r w:rsidRPr="00440841">
        <w:rPr>
          <w:rFonts w:asciiTheme="minorHAnsi" w:hAnsiTheme="minorHAnsi"/>
          <w:bCs/>
          <w:sz w:val="24"/>
          <w:szCs w:val="24"/>
        </w:rPr>
        <w:tab/>
      </w:r>
      <w:r w:rsidRPr="00440841">
        <w:rPr>
          <w:rFonts w:asciiTheme="minorHAnsi" w:hAnsiTheme="minorHAnsi"/>
          <w:lang w:val="fr-CH"/>
        </w:rPr>
        <w:t>Cérémonie de signature des Actes finals</w:t>
      </w:r>
    </w:p>
    <w:p w:rsidR="001C55D4" w:rsidRDefault="001C55D4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lang w:val="fr-CH"/>
        </w:rPr>
      </w:pPr>
      <w:r>
        <w:rPr>
          <w:rFonts w:asciiTheme="minorHAnsi" w:hAnsiTheme="minorHAnsi"/>
          <w:bCs/>
          <w:szCs w:val="24"/>
        </w:rPr>
        <w:t>2</w:t>
      </w:r>
      <w:r w:rsidRPr="00440841">
        <w:rPr>
          <w:rFonts w:asciiTheme="minorHAnsi" w:hAnsiTheme="minorHAnsi"/>
          <w:bCs/>
          <w:szCs w:val="24"/>
        </w:rPr>
        <w:t>.1</w:t>
      </w:r>
      <w:r w:rsidRPr="00440841">
        <w:rPr>
          <w:rFonts w:asciiTheme="minorHAnsi" w:hAnsiTheme="minorHAnsi"/>
          <w:b/>
          <w:bCs/>
          <w:szCs w:val="24"/>
        </w:rPr>
        <w:tab/>
      </w:r>
      <w:r w:rsidRPr="00440841">
        <w:rPr>
          <w:rFonts w:asciiTheme="minorHAnsi" w:hAnsiTheme="minorHAnsi"/>
          <w:lang w:val="fr-CH"/>
        </w:rPr>
        <w:t>L</w:t>
      </w:r>
      <w:r>
        <w:rPr>
          <w:rFonts w:asciiTheme="minorHAnsi" w:hAnsiTheme="minorHAnsi"/>
          <w:lang w:val="fr-CH"/>
        </w:rPr>
        <w:t>a</w:t>
      </w:r>
      <w:r w:rsidRPr="00440841">
        <w:rPr>
          <w:rFonts w:asciiTheme="minorHAnsi" w:hAnsiTheme="minorHAnsi"/>
          <w:b/>
          <w:bCs/>
          <w:lang w:val="fr-CH"/>
        </w:rPr>
        <w:t xml:space="preserve"> Secrétaire de la </w:t>
      </w:r>
      <w:r w:rsidR="0059013A">
        <w:rPr>
          <w:rFonts w:asciiTheme="minorHAnsi" w:hAnsiTheme="minorHAnsi"/>
          <w:b/>
          <w:bCs/>
          <w:lang w:val="fr-CH"/>
        </w:rPr>
        <w:t>p</w:t>
      </w:r>
      <w:r w:rsidRPr="00440841">
        <w:rPr>
          <w:rFonts w:asciiTheme="minorHAnsi" w:hAnsiTheme="minorHAnsi"/>
          <w:b/>
          <w:bCs/>
          <w:lang w:val="fr-CH"/>
        </w:rPr>
        <w:t xml:space="preserve">lénière </w:t>
      </w:r>
      <w:r w:rsidRPr="00440841">
        <w:rPr>
          <w:rFonts w:asciiTheme="minorHAnsi" w:hAnsiTheme="minorHAnsi"/>
          <w:lang w:val="fr-CH"/>
        </w:rPr>
        <w:t>procède à l'appel nominal</w:t>
      </w:r>
      <w:r w:rsidR="00BC3B86">
        <w:rPr>
          <w:rFonts w:asciiTheme="minorHAnsi" w:hAnsiTheme="minorHAnsi"/>
          <w:lang w:val="fr-CH"/>
        </w:rPr>
        <w:t>,</w:t>
      </w:r>
      <w:r w:rsidRPr="00440841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dans l'ordre alphabétique français</w:t>
      </w:r>
      <w:r w:rsidR="00BC3B86">
        <w:rPr>
          <w:rFonts w:asciiTheme="minorHAnsi" w:hAnsiTheme="minorHAnsi"/>
          <w:lang w:val="fr-CH"/>
        </w:rPr>
        <w:t>,</w:t>
      </w:r>
      <w:r>
        <w:rPr>
          <w:rFonts w:asciiTheme="minorHAnsi" w:hAnsiTheme="minorHAnsi"/>
          <w:lang w:val="fr-CH"/>
        </w:rPr>
        <w:t xml:space="preserve"> </w:t>
      </w:r>
      <w:r w:rsidRPr="00440841">
        <w:rPr>
          <w:rFonts w:asciiTheme="minorHAnsi" w:hAnsiTheme="minorHAnsi"/>
          <w:lang w:val="fr-CH"/>
        </w:rPr>
        <w:t>des délégations dont les pouvoirs ont été reconnus en règle.</w:t>
      </w:r>
    </w:p>
    <w:p w:rsidR="001C55D4" w:rsidRDefault="001C55D4" w:rsidP="002055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2</w:t>
      </w:r>
      <w:r w:rsidRPr="00440841">
        <w:rPr>
          <w:rFonts w:asciiTheme="minorHAnsi" w:hAnsiTheme="minorHAnsi"/>
          <w:lang w:val="fr-CH"/>
        </w:rPr>
        <w:t>.2</w:t>
      </w:r>
      <w:r w:rsidRPr="00440841">
        <w:rPr>
          <w:rFonts w:asciiTheme="minorHAnsi" w:hAnsiTheme="minorHAnsi"/>
          <w:lang w:val="fr-CH"/>
        </w:rPr>
        <w:tab/>
        <w:t xml:space="preserve">Les Actes finals sont signés par les </w:t>
      </w:r>
      <w:r w:rsidR="00FD592E">
        <w:rPr>
          <w:rFonts w:asciiTheme="minorHAnsi" w:hAnsiTheme="minorHAnsi"/>
          <w:lang w:val="fr-CH"/>
        </w:rPr>
        <w:t>14</w:t>
      </w:r>
      <w:r w:rsidR="002055D6">
        <w:rPr>
          <w:rFonts w:asciiTheme="minorHAnsi" w:hAnsiTheme="minorHAnsi"/>
          <w:lang w:val="fr-CH"/>
        </w:rPr>
        <w:t>5</w:t>
      </w:r>
      <w:r w:rsidR="00FD592E">
        <w:rPr>
          <w:rFonts w:asciiTheme="minorHAnsi" w:hAnsiTheme="minorHAnsi"/>
          <w:lang w:val="fr-CH"/>
        </w:rPr>
        <w:t xml:space="preserve"> </w:t>
      </w:r>
      <w:r w:rsidRPr="00440841">
        <w:rPr>
          <w:rFonts w:asciiTheme="minorHAnsi" w:hAnsiTheme="minorHAnsi"/>
          <w:lang w:val="fr-CH"/>
        </w:rPr>
        <w:t>délégations suivantes:</w:t>
      </w:r>
    </w:p>
    <w:p w:rsidR="001C55D4" w:rsidRPr="00440841" w:rsidRDefault="005D7926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Albanie (République d'), </w:t>
      </w:r>
      <w:r w:rsidR="001C55D4" w:rsidRPr="00440841">
        <w:rPr>
          <w:rFonts w:asciiTheme="minorHAnsi" w:hAnsiTheme="minorHAnsi"/>
          <w:lang w:val="fr-CH"/>
        </w:rPr>
        <w:t xml:space="preserve">Algérie (République algérienne démocratique et populaire), Allemagne (République fédérale d'), </w:t>
      </w:r>
      <w:r w:rsidR="002055D6">
        <w:rPr>
          <w:rFonts w:asciiTheme="minorHAnsi" w:hAnsiTheme="minorHAnsi"/>
          <w:lang w:val="fr-CH"/>
        </w:rPr>
        <w:t xml:space="preserve">Andorre (Principauté d'), </w:t>
      </w:r>
      <w:r w:rsidR="001C55D4" w:rsidRPr="00440841">
        <w:rPr>
          <w:rFonts w:asciiTheme="minorHAnsi" w:hAnsiTheme="minorHAnsi"/>
          <w:lang w:val="fr-CH" w:bidi="ar-EG"/>
        </w:rPr>
        <w:t xml:space="preserve">Angola (République d'), </w:t>
      </w:r>
      <w:r w:rsidR="001C55D4" w:rsidRPr="00440841">
        <w:rPr>
          <w:rFonts w:asciiTheme="minorHAnsi" w:hAnsiTheme="minorHAnsi"/>
          <w:lang w:val="fr-CH"/>
        </w:rPr>
        <w:t>Arabie saoudite (Royaume d'), Argentine (République), Arménie (République d'), Australie, Autriche, Azerbaïdjan (République</w:t>
      </w:r>
      <w:r w:rsidR="001C55D4">
        <w:rPr>
          <w:rFonts w:asciiTheme="minorHAnsi" w:hAnsiTheme="minorHAnsi"/>
          <w:lang w:val="fr-CH"/>
        </w:rPr>
        <w:t xml:space="preserve"> d'</w:t>
      </w:r>
      <w:r w:rsidR="001C55D4" w:rsidRPr="00440841">
        <w:rPr>
          <w:rFonts w:asciiTheme="minorHAnsi" w:hAnsiTheme="minorHAnsi"/>
          <w:lang w:val="fr-CH"/>
        </w:rPr>
        <w:t xml:space="preserve">), Bahamas (Commonwealth des), Bahreïn (Royaume de), Bangladesh (République populaire du), Barbade, Belgique, </w:t>
      </w:r>
      <w:r>
        <w:rPr>
          <w:rFonts w:asciiTheme="minorHAnsi" w:hAnsiTheme="minorHAnsi"/>
          <w:lang w:val="fr-CH"/>
        </w:rPr>
        <w:t xml:space="preserve">Belize, Bhoutan (Royaume du), </w:t>
      </w:r>
      <w:r w:rsidR="001C55D4" w:rsidRPr="00440841">
        <w:rPr>
          <w:rFonts w:asciiTheme="minorHAnsi" w:hAnsiTheme="minorHAnsi"/>
          <w:lang w:val="fr-CH"/>
        </w:rPr>
        <w:t xml:space="preserve">Botswana (République du), Brésil (République fédérative du), Brunéi Darussalam, Bulgarie (République de), Burkina Faso, </w:t>
      </w:r>
      <w:r w:rsidR="002055D6">
        <w:rPr>
          <w:rFonts w:asciiTheme="minorHAnsi" w:hAnsiTheme="minorHAnsi"/>
          <w:lang w:val="fr-CH"/>
        </w:rPr>
        <w:t xml:space="preserve">Burundi (République du), </w:t>
      </w:r>
      <w:r w:rsidR="001C55D4" w:rsidRPr="00440841">
        <w:rPr>
          <w:rFonts w:asciiTheme="minorHAnsi" w:hAnsiTheme="minorHAnsi"/>
          <w:lang w:val="fr-CH"/>
        </w:rPr>
        <w:t xml:space="preserve">Cambodge (Royaume du), Cameroun (République du), Canada, Centrafricaine (République), Chili, Chine (République populaire de), Chypre (République de), Cité du Vatican (Etat de la), </w:t>
      </w:r>
      <w:r w:rsidR="001C55D4">
        <w:rPr>
          <w:rFonts w:asciiTheme="minorHAnsi" w:hAnsiTheme="minorHAnsi"/>
          <w:lang w:val="fr-CH"/>
        </w:rPr>
        <w:t xml:space="preserve">Colombie (République de), </w:t>
      </w:r>
      <w:r w:rsidR="001C55D4" w:rsidRPr="00440841">
        <w:rPr>
          <w:rFonts w:asciiTheme="minorHAnsi" w:hAnsiTheme="minorHAnsi"/>
          <w:lang w:val="fr-CH"/>
        </w:rPr>
        <w:t xml:space="preserve">Corée (République de), </w:t>
      </w:r>
      <w:r w:rsidR="001C55D4">
        <w:rPr>
          <w:rFonts w:asciiTheme="minorHAnsi" w:hAnsiTheme="minorHAnsi"/>
          <w:lang w:val="fr-CH"/>
        </w:rPr>
        <w:t>Costa </w:t>
      </w:r>
      <w:r w:rsidR="001C55D4" w:rsidRPr="00440841">
        <w:rPr>
          <w:rFonts w:asciiTheme="minorHAnsi" w:hAnsiTheme="minorHAnsi"/>
          <w:lang w:val="fr-CH"/>
        </w:rPr>
        <w:t xml:space="preserve">Rica, Côte d'Ivoire (République de), Croatie (République de), Cuba, Danemark, Dominicaine (République), Egypte (République arabe d'), El Salvador (République d'), Emirats arabes unis, Equateur, Espagne, Estonie (République d'), </w:t>
      </w:r>
      <w:r w:rsidR="009272A7">
        <w:rPr>
          <w:rFonts w:asciiTheme="minorHAnsi" w:hAnsiTheme="minorHAnsi"/>
          <w:lang w:val="fr-CH"/>
        </w:rPr>
        <w:t xml:space="preserve">Eswatini (Royaume du), </w:t>
      </w:r>
      <w:r w:rsidR="001C55D4" w:rsidRPr="00440841">
        <w:rPr>
          <w:rFonts w:asciiTheme="minorHAnsi" w:hAnsiTheme="minorHAnsi"/>
          <w:lang w:val="fr-CH"/>
        </w:rPr>
        <w:t>Et</w:t>
      </w:r>
      <w:r w:rsidR="009272A7">
        <w:rPr>
          <w:rFonts w:asciiTheme="minorHAnsi" w:hAnsiTheme="minorHAnsi"/>
          <w:lang w:val="fr-CH"/>
        </w:rPr>
        <w:t>ats</w:t>
      </w:r>
      <w:r w:rsidR="009272A7">
        <w:rPr>
          <w:rFonts w:asciiTheme="minorHAnsi" w:hAnsiTheme="minorHAnsi"/>
          <w:lang w:val="fr-CH"/>
        </w:rPr>
        <w:noBreakHyphen/>
      </w:r>
      <w:r w:rsidR="001C55D4" w:rsidRPr="00440841">
        <w:rPr>
          <w:rFonts w:asciiTheme="minorHAnsi" w:hAnsiTheme="minorHAnsi"/>
          <w:lang w:val="fr-CH"/>
        </w:rPr>
        <w:t xml:space="preserve">Unis d'Amérique, Fédération de Russie, </w:t>
      </w:r>
      <w:r w:rsidR="009272A7">
        <w:rPr>
          <w:rFonts w:asciiTheme="minorHAnsi" w:hAnsiTheme="minorHAnsi"/>
          <w:lang w:val="fr-CH"/>
        </w:rPr>
        <w:t xml:space="preserve">Fidji (République de), </w:t>
      </w:r>
      <w:r w:rsidR="001C55D4" w:rsidRPr="00440841">
        <w:rPr>
          <w:rFonts w:asciiTheme="minorHAnsi" w:hAnsiTheme="minorHAnsi"/>
          <w:lang w:val="fr-CH"/>
        </w:rPr>
        <w:t xml:space="preserve">Finlande, France, Gabonaise (République), </w:t>
      </w:r>
      <w:r w:rsidR="009272A7">
        <w:rPr>
          <w:rFonts w:asciiTheme="minorHAnsi" w:hAnsiTheme="minorHAnsi"/>
          <w:lang w:val="fr-CH"/>
        </w:rPr>
        <w:t xml:space="preserve">Gambie (République de), </w:t>
      </w:r>
      <w:r w:rsidR="001C55D4" w:rsidRPr="00440841">
        <w:rPr>
          <w:rFonts w:asciiTheme="minorHAnsi" w:hAnsiTheme="minorHAnsi"/>
          <w:lang w:val="fr-CH"/>
        </w:rPr>
        <w:t xml:space="preserve">Ghana, Grèce, Guatemala (République du), </w:t>
      </w:r>
      <w:r w:rsidR="009272A7">
        <w:rPr>
          <w:rFonts w:asciiTheme="minorHAnsi" w:hAnsiTheme="minorHAnsi"/>
          <w:lang w:val="fr-CH"/>
        </w:rPr>
        <w:t xml:space="preserve">Guinée équatoriale (République de), </w:t>
      </w:r>
      <w:r w:rsidR="001C55D4" w:rsidRPr="00440841">
        <w:rPr>
          <w:rFonts w:asciiTheme="minorHAnsi" w:hAnsiTheme="minorHAnsi"/>
          <w:lang w:val="fr-CH"/>
        </w:rPr>
        <w:t xml:space="preserve">Guyana, </w:t>
      </w:r>
      <w:r w:rsidR="001C55D4">
        <w:rPr>
          <w:rFonts w:asciiTheme="minorHAnsi" w:hAnsiTheme="minorHAnsi"/>
          <w:lang w:val="fr-CH"/>
        </w:rPr>
        <w:t xml:space="preserve">Haïti </w:t>
      </w:r>
      <w:r w:rsidR="001C55D4" w:rsidRPr="00440841">
        <w:rPr>
          <w:rFonts w:asciiTheme="minorHAnsi" w:hAnsiTheme="minorHAnsi"/>
          <w:lang w:val="fr-CH"/>
        </w:rPr>
        <w:t>(République d</w:t>
      </w:r>
      <w:r w:rsidR="001C55D4">
        <w:rPr>
          <w:rFonts w:asciiTheme="minorHAnsi" w:hAnsiTheme="minorHAnsi"/>
          <w:lang w:val="fr-CH"/>
        </w:rPr>
        <w:t>')</w:t>
      </w:r>
      <w:r w:rsidR="001C55D4" w:rsidRPr="00440841">
        <w:rPr>
          <w:rFonts w:asciiTheme="minorHAnsi" w:hAnsiTheme="minorHAnsi"/>
          <w:lang w:val="fr-CH"/>
        </w:rPr>
        <w:t xml:space="preserve">, Hongrie, Inde (République de l'), Indonésie (République d'), Iran (République islamique d'), Iraq (République d'), Irlande, </w:t>
      </w:r>
      <w:r w:rsidR="009272A7">
        <w:rPr>
          <w:rFonts w:asciiTheme="minorHAnsi" w:hAnsiTheme="minorHAnsi"/>
          <w:lang w:val="fr-CH"/>
        </w:rPr>
        <w:t xml:space="preserve">Islande, </w:t>
      </w:r>
      <w:r w:rsidR="001C55D4" w:rsidRPr="00440841">
        <w:rPr>
          <w:rFonts w:asciiTheme="minorHAnsi" w:hAnsiTheme="minorHAnsi"/>
          <w:lang w:val="fr-CH"/>
        </w:rPr>
        <w:t xml:space="preserve">Israël (Etat d'), Italie, Jamaïque, Japon, Jordanie (Royaume hachémite de), Kazakhstan (République du), Kenya (République du), </w:t>
      </w:r>
      <w:r w:rsidR="001C55D4">
        <w:rPr>
          <w:rFonts w:asciiTheme="minorHAnsi" w:hAnsiTheme="minorHAnsi"/>
          <w:lang w:val="fr-CH"/>
        </w:rPr>
        <w:t xml:space="preserve">Koweït (Etat du), </w:t>
      </w:r>
      <w:r w:rsidR="001C55D4" w:rsidRPr="00440841">
        <w:rPr>
          <w:rFonts w:asciiTheme="minorHAnsi" w:hAnsiTheme="minorHAnsi"/>
          <w:lang w:val="fr-CH"/>
        </w:rPr>
        <w:t xml:space="preserve">Lesotho (Royaume du), Lettonie (République de), </w:t>
      </w:r>
      <w:r w:rsidR="00FD592E">
        <w:rPr>
          <w:rFonts w:asciiTheme="minorHAnsi" w:hAnsiTheme="minorHAnsi"/>
          <w:lang w:val="fr-CH"/>
        </w:rPr>
        <w:t xml:space="preserve">L'ex-République yougoslave de Macédoine, Libéria (République du), </w:t>
      </w:r>
      <w:r w:rsidR="001C55D4" w:rsidRPr="00440841">
        <w:rPr>
          <w:rFonts w:asciiTheme="minorHAnsi" w:hAnsiTheme="minorHAnsi"/>
          <w:lang w:val="fr-CH"/>
        </w:rPr>
        <w:t xml:space="preserve">Liechtenstein (Principauté de), Lituanie (République de), Luxembourg, Malaisie, Malawi, Mali (République du), </w:t>
      </w:r>
      <w:r w:rsidR="00FD592E">
        <w:rPr>
          <w:rFonts w:asciiTheme="minorHAnsi" w:hAnsiTheme="minorHAnsi"/>
          <w:lang w:val="fr-CH"/>
        </w:rPr>
        <w:t xml:space="preserve">Malte, </w:t>
      </w:r>
      <w:r w:rsidR="001C55D4" w:rsidRPr="00440841">
        <w:rPr>
          <w:rFonts w:asciiTheme="minorHAnsi" w:hAnsiTheme="minorHAnsi"/>
          <w:lang w:val="fr-CH"/>
        </w:rPr>
        <w:t xml:space="preserve">Maroc (Royaume du), </w:t>
      </w:r>
      <w:r w:rsidR="001C55D4">
        <w:rPr>
          <w:rFonts w:asciiTheme="minorHAnsi" w:hAnsiTheme="minorHAnsi"/>
          <w:lang w:val="fr-CH"/>
        </w:rPr>
        <w:t xml:space="preserve">Marshall (République des </w:t>
      </w:r>
      <w:r w:rsidR="001C55D4">
        <w:rPr>
          <w:rFonts w:asciiTheme="minorHAnsi" w:hAnsiTheme="minorHAnsi"/>
          <w:lang w:val="fr-CH"/>
        </w:rPr>
        <w:lastRenderedPageBreak/>
        <w:t xml:space="preserve">Îles), </w:t>
      </w:r>
      <w:r w:rsidR="001C55D4" w:rsidRPr="00440841">
        <w:rPr>
          <w:rFonts w:asciiTheme="minorHAnsi" w:hAnsiTheme="minorHAnsi"/>
          <w:lang w:val="fr-CH"/>
        </w:rPr>
        <w:t>Mexique, Moldova (République de), Monaco (Principauté de), Mozambique (République du), Namibie (République de), Népal</w:t>
      </w:r>
      <w:r w:rsidR="001C55D4">
        <w:rPr>
          <w:rFonts w:asciiTheme="minorHAnsi" w:hAnsiTheme="minorHAnsi"/>
          <w:lang w:val="fr-CH"/>
        </w:rPr>
        <w:t xml:space="preserve"> (République fédérale démocratique du), </w:t>
      </w:r>
      <w:r w:rsidR="001C55D4" w:rsidRPr="00440841">
        <w:rPr>
          <w:rFonts w:asciiTheme="minorHAnsi" w:hAnsiTheme="minorHAnsi"/>
          <w:lang w:val="fr-CH"/>
        </w:rPr>
        <w:t xml:space="preserve">Niger (République du), Nigéria (République fédérale du), Norvège, Nouvelle-Zélande, Oman (Sultanat d'), Ouganda (République de l'), Ouzbékistan (République d'), </w:t>
      </w:r>
      <w:r w:rsidR="001C55D4">
        <w:rPr>
          <w:rFonts w:asciiTheme="minorHAnsi" w:hAnsiTheme="minorHAnsi"/>
          <w:lang w:val="fr-CH"/>
        </w:rPr>
        <w:t xml:space="preserve">Pakistan (République islamique du), </w:t>
      </w:r>
      <w:r w:rsidR="001C55D4" w:rsidRPr="00440841">
        <w:rPr>
          <w:rFonts w:asciiTheme="minorHAnsi" w:hAnsiTheme="minorHAnsi"/>
          <w:lang w:val="fr-CH"/>
        </w:rPr>
        <w:t xml:space="preserve">Papouasie-Nouvelle-Guinée, Paraguay (République du), Pays-Bas (Royaume des), Pérou, Philippines (République des), Pologne (République de), Portugal, Qatar (Etat du), </w:t>
      </w:r>
      <w:r w:rsidR="00FD592E">
        <w:rPr>
          <w:rFonts w:asciiTheme="minorHAnsi" w:hAnsiTheme="minorHAnsi"/>
          <w:lang w:val="fr-CH"/>
        </w:rPr>
        <w:t xml:space="preserve">République arabe syrienne, </w:t>
      </w:r>
      <w:r w:rsidR="001C55D4" w:rsidRPr="00440841">
        <w:rPr>
          <w:rFonts w:asciiTheme="minorHAnsi" w:hAnsiTheme="minorHAnsi"/>
          <w:lang w:val="fr-CH"/>
        </w:rPr>
        <w:t xml:space="preserve">République kirghize, République slovaque, République tchèque, Roumanie, Royaume-Uni de Grande-Bretagne et d'Irlande du Nord, Rwanda (République du), </w:t>
      </w:r>
      <w:r w:rsidR="002055D6">
        <w:rPr>
          <w:rFonts w:asciiTheme="minorHAnsi" w:hAnsiTheme="minorHAnsi"/>
          <w:lang w:val="fr-CH"/>
        </w:rPr>
        <w:t xml:space="preserve">Saint-Marin (République de), </w:t>
      </w:r>
      <w:r w:rsidR="001C55D4" w:rsidRPr="00440841">
        <w:rPr>
          <w:rFonts w:asciiTheme="minorHAnsi" w:hAnsiTheme="minorHAnsi"/>
          <w:lang w:val="fr-CH"/>
        </w:rPr>
        <w:t xml:space="preserve">Sénégal (République du), Serbie (République de), </w:t>
      </w:r>
      <w:r w:rsidR="00A47A8A">
        <w:rPr>
          <w:rFonts w:asciiTheme="minorHAnsi" w:hAnsiTheme="minorHAnsi"/>
          <w:lang w:val="fr-CH"/>
        </w:rPr>
        <w:t xml:space="preserve">Seychelles (République des), </w:t>
      </w:r>
      <w:r w:rsidR="001C55D4" w:rsidRPr="00440841">
        <w:rPr>
          <w:rFonts w:asciiTheme="minorHAnsi" w:hAnsiTheme="minorHAnsi"/>
          <w:lang w:val="fr-CH"/>
        </w:rPr>
        <w:t xml:space="preserve">Singapour (République de), Slovénie (République de), Somalie (République </w:t>
      </w:r>
      <w:r w:rsidR="001C55D4">
        <w:rPr>
          <w:rFonts w:asciiTheme="minorHAnsi" w:hAnsiTheme="minorHAnsi"/>
          <w:lang w:val="fr-CH"/>
        </w:rPr>
        <w:t xml:space="preserve">fédérale </w:t>
      </w:r>
      <w:r w:rsidR="001C55D4" w:rsidRPr="00440841">
        <w:rPr>
          <w:rFonts w:asciiTheme="minorHAnsi" w:hAnsiTheme="minorHAnsi"/>
          <w:lang w:val="fr-CH"/>
        </w:rPr>
        <w:t xml:space="preserve">de), Soudan (République du), </w:t>
      </w:r>
      <w:r w:rsidR="001C55D4">
        <w:rPr>
          <w:rFonts w:asciiTheme="minorHAnsi" w:hAnsiTheme="minorHAnsi"/>
          <w:lang w:val="fr-CH"/>
        </w:rPr>
        <w:t>Soudan du Sud (République du), Sri </w:t>
      </w:r>
      <w:r w:rsidR="001C55D4" w:rsidRPr="00440841">
        <w:rPr>
          <w:rFonts w:asciiTheme="minorHAnsi" w:hAnsiTheme="minorHAnsi"/>
          <w:lang w:val="fr-CH"/>
        </w:rPr>
        <w:t xml:space="preserve">Lanka (République socialiste démocratique de), Sudafricaine (République), Suède, Suisse (Confédération), </w:t>
      </w:r>
      <w:r w:rsidR="001C55D4">
        <w:rPr>
          <w:rFonts w:asciiTheme="minorHAnsi" w:hAnsiTheme="minorHAnsi"/>
          <w:lang w:val="fr-CH"/>
        </w:rPr>
        <w:t>Suriname (République du),</w:t>
      </w:r>
      <w:r w:rsidR="00A47A8A">
        <w:rPr>
          <w:rFonts w:asciiTheme="minorHAnsi" w:hAnsiTheme="minorHAnsi"/>
          <w:lang w:val="fr-CH"/>
        </w:rPr>
        <w:t xml:space="preserve"> Tadjikistan (République du), </w:t>
      </w:r>
      <w:r w:rsidR="00DC3666">
        <w:rPr>
          <w:rFonts w:asciiTheme="minorHAnsi" w:hAnsiTheme="minorHAnsi"/>
          <w:lang w:val="fr-CH"/>
        </w:rPr>
        <w:t>Tanzanie (République</w:t>
      </w:r>
      <w:r w:rsidR="00DC3666">
        <w:rPr>
          <w:rFonts w:asciiTheme="minorHAnsi" w:hAnsiTheme="minorHAnsi"/>
          <w:lang w:val="fr-CH"/>
        </w:rPr>
        <w:noBreakHyphen/>
      </w:r>
      <w:r w:rsidR="001C55D4" w:rsidRPr="00440841">
        <w:rPr>
          <w:rFonts w:asciiTheme="minorHAnsi" w:hAnsiTheme="minorHAnsi"/>
          <w:lang w:val="fr-CH"/>
        </w:rPr>
        <w:t xml:space="preserve">Unie de), Tchad (République du), Thaïlande, Timor-Leste (République démocratique du), Togolaise </w:t>
      </w:r>
      <w:r w:rsidR="001C55D4">
        <w:rPr>
          <w:rFonts w:asciiTheme="minorHAnsi" w:hAnsiTheme="minorHAnsi"/>
          <w:lang w:val="fr-CH"/>
        </w:rPr>
        <w:t xml:space="preserve">(République), </w:t>
      </w:r>
      <w:r w:rsidR="001C55D4" w:rsidRPr="00440841">
        <w:rPr>
          <w:rFonts w:asciiTheme="minorHAnsi" w:hAnsiTheme="minorHAnsi"/>
          <w:lang w:val="fr-CH"/>
        </w:rPr>
        <w:t>Tunisie, Turquie, Ukraine, Uruguay (République orientale de l'), Viet</w:t>
      </w:r>
      <w:r w:rsidR="001C55D4">
        <w:rPr>
          <w:rFonts w:asciiTheme="minorHAnsi" w:hAnsiTheme="minorHAnsi"/>
          <w:lang w:val="fr-CH"/>
        </w:rPr>
        <w:t> </w:t>
      </w:r>
      <w:r w:rsidR="001C55D4" w:rsidRPr="00440841">
        <w:rPr>
          <w:rFonts w:asciiTheme="minorHAnsi" w:hAnsiTheme="minorHAnsi"/>
          <w:lang w:val="fr-CH"/>
        </w:rPr>
        <w:t xml:space="preserve">Nam (République socialiste du), </w:t>
      </w:r>
      <w:r w:rsidR="00A47A8A">
        <w:rPr>
          <w:rFonts w:asciiTheme="minorHAnsi" w:hAnsiTheme="minorHAnsi"/>
          <w:lang w:val="fr-CH"/>
        </w:rPr>
        <w:t xml:space="preserve">Yémen (République du), </w:t>
      </w:r>
      <w:r w:rsidR="001C55D4" w:rsidRPr="00440841">
        <w:rPr>
          <w:rFonts w:asciiTheme="minorHAnsi" w:hAnsiTheme="minorHAnsi"/>
          <w:lang w:val="fr-CH"/>
        </w:rPr>
        <w:t>Zambie (République de) et Zimbabwe (République du).</w:t>
      </w:r>
      <w:bookmarkStart w:id="7" w:name="_GoBack"/>
      <w:bookmarkEnd w:id="7"/>
    </w:p>
    <w:p w:rsidR="0062735F" w:rsidRPr="002055D6" w:rsidRDefault="00FD592E" w:rsidP="00265E1D">
      <w:pPr>
        <w:pStyle w:val="Heading1"/>
        <w:rPr>
          <w:lang w:val="fr-CH"/>
        </w:rPr>
      </w:pPr>
      <w:r w:rsidRPr="002055D6">
        <w:rPr>
          <w:lang w:val="fr-CH"/>
        </w:rPr>
        <w:t>3</w:t>
      </w:r>
      <w:r w:rsidRPr="002055D6">
        <w:rPr>
          <w:lang w:val="fr-CH"/>
        </w:rPr>
        <w:tab/>
        <w:t>Clôture de la Conférence</w:t>
      </w:r>
    </w:p>
    <w:p w:rsidR="00FD592E" w:rsidRPr="0062086B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62086B">
        <w:t>3.1</w:t>
      </w:r>
      <w:r w:rsidRPr="0062086B">
        <w:tab/>
      </w:r>
      <w:bookmarkStart w:id="8" w:name="lt_pId042"/>
      <w:r w:rsidR="0062086B" w:rsidRPr="0062086B">
        <w:t>Le</w:t>
      </w:r>
      <w:r w:rsidRPr="0062086B">
        <w:rPr>
          <w:b/>
          <w:bCs/>
        </w:rPr>
        <w:t xml:space="preserve"> </w:t>
      </w:r>
      <w:r w:rsidR="0062086B" w:rsidRPr="0062086B">
        <w:rPr>
          <w:b/>
          <w:bCs/>
        </w:rPr>
        <w:t xml:space="preserve">Directeur général de l'Autorité de régulation des télécommunications des Emirats arabes unis </w:t>
      </w:r>
      <w:r w:rsidR="0062086B">
        <w:rPr>
          <w:rFonts w:asciiTheme="minorHAnsi" w:hAnsiTheme="minorHAnsi"/>
          <w:lang w:val="fr-CH"/>
        </w:rPr>
        <w:t>prononce une allocution, disponible à l'adresse suivante</w:t>
      </w:r>
      <w:r w:rsidRPr="0062086B">
        <w:t>:</w:t>
      </w:r>
      <w:bookmarkEnd w:id="8"/>
      <w:r w:rsidRPr="0062086B">
        <w:t xml:space="preserve"> </w:t>
      </w:r>
      <w:bookmarkStart w:id="9" w:name="lt_pId043"/>
      <w:r w:rsidRPr="00385F33">
        <w:fldChar w:fldCharType="begin"/>
      </w:r>
      <w:r w:rsidRPr="0062086B">
        <w:instrText xml:space="preserve"> HYPERLINK "https://www.itu.int/web/pp-18/en/page/215-other-speeches" </w:instrText>
      </w:r>
      <w:r w:rsidRPr="00385F33">
        <w:fldChar w:fldCharType="separate"/>
      </w:r>
      <w:r w:rsidRPr="0062086B">
        <w:rPr>
          <w:rStyle w:val="Hyperlink"/>
        </w:rPr>
        <w:t>https://www.itu.int/web/pp-18/en/page/215-other-speeches</w:t>
      </w:r>
      <w:r w:rsidRPr="00385F33">
        <w:fldChar w:fldCharType="end"/>
      </w:r>
      <w:r w:rsidRPr="0062086B">
        <w:rPr>
          <w:b/>
          <w:bCs/>
        </w:rPr>
        <w:t>.</w:t>
      </w:r>
      <w:bookmarkEnd w:id="9"/>
    </w:p>
    <w:p w:rsidR="00FD592E" w:rsidRPr="0062086B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5608D">
        <w:rPr>
          <w:lang w:val="fr-CH"/>
        </w:rPr>
        <w:t>3.2</w:t>
      </w:r>
      <w:r w:rsidRPr="00D5608D">
        <w:rPr>
          <w:lang w:val="fr-CH"/>
        </w:rPr>
        <w:tab/>
      </w:r>
      <w:r w:rsidR="00D5608D" w:rsidRPr="00440841">
        <w:rPr>
          <w:rFonts w:asciiTheme="minorHAnsi" w:hAnsiTheme="minorHAnsi"/>
          <w:lang w:val="fr-CH"/>
        </w:rPr>
        <w:t>Le</w:t>
      </w:r>
      <w:r w:rsidR="00D5608D">
        <w:rPr>
          <w:rFonts w:asciiTheme="minorHAnsi" w:hAnsiTheme="minorHAnsi"/>
          <w:lang w:val="fr-CH"/>
        </w:rPr>
        <w:t xml:space="preserve"> </w:t>
      </w:r>
      <w:r w:rsidR="00D5608D" w:rsidRPr="00271DC7">
        <w:rPr>
          <w:rFonts w:asciiTheme="minorHAnsi" w:hAnsiTheme="minorHAnsi"/>
          <w:b/>
          <w:bCs/>
          <w:lang w:val="fr-CH"/>
        </w:rPr>
        <w:t>Secrétaire général</w:t>
      </w:r>
      <w:r w:rsidR="00D5608D">
        <w:rPr>
          <w:rFonts w:asciiTheme="minorHAnsi" w:hAnsiTheme="minorHAnsi"/>
          <w:lang w:val="fr-CH"/>
        </w:rPr>
        <w:t xml:space="preserve"> prononce une allocution, disponible à l'adresse suivante:</w:t>
      </w:r>
      <w:bookmarkStart w:id="10" w:name="lt_pId046"/>
      <w:r w:rsidR="00D5608D">
        <w:rPr>
          <w:rFonts w:asciiTheme="minorHAnsi" w:hAnsiTheme="minorHAnsi"/>
          <w:lang w:val="fr-CH"/>
        </w:rPr>
        <w:t xml:space="preserve"> </w:t>
      </w:r>
      <w:r w:rsidRPr="00D5608D">
        <w:rPr>
          <w:rStyle w:val="Hyperlink"/>
          <w:lang w:val="fr-CH"/>
        </w:rPr>
        <w:t>https:</w:t>
      </w:r>
      <w:bookmarkStart w:id="11" w:name="lt_pId047"/>
      <w:bookmarkEnd w:id="10"/>
      <w:r w:rsidRPr="00D5608D">
        <w:rPr>
          <w:rStyle w:val="Hyperlink"/>
          <w:lang w:val="fr-CH"/>
        </w:rPr>
        <w:t>//www.itu.int/web/pp-18/en/page/215-other-speeches.</w:t>
      </w:r>
      <w:bookmarkEnd w:id="11"/>
      <w:r w:rsidRPr="00D5608D">
        <w:rPr>
          <w:lang w:val="fr-CH"/>
        </w:rPr>
        <w:t xml:space="preserve"> </w:t>
      </w:r>
      <w:bookmarkStart w:id="12" w:name="lt_pId049"/>
      <w:r w:rsidR="00D5608D">
        <w:rPr>
          <w:rFonts w:asciiTheme="minorHAnsi" w:hAnsiTheme="minorHAnsi"/>
          <w:lang w:val="fr-CH"/>
        </w:rPr>
        <w:t>Il remet au Présid</w:t>
      </w:r>
      <w:r w:rsidR="00BC3B86">
        <w:rPr>
          <w:rFonts w:asciiTheme="minorHAnsi" w:hAnsiTheme="minorHAnsi"/>
          <w:lang w:val="fr-CH"/>
        </w:rPr>
        <w:t>ent la médaille d'or de l'UIT, ainsi qu'</w:t>
      </w:r>
      <w:r w:rsidR="00D5608D">
        <w:rPr>
          <w:rFonts w:asciiTheme="minorHAnsi" w:hAnsiTheme="minorHAnsi"/>
          <w:lang w:val="fr-CH"/>
        </w:rPr>
        <w:t xml:space="preserve">un certificat en reconnaissance de sa contribution exceptionnelle aux travaux de l'Union et de </w:t>
      </w:r>
      <w:r w:rsidR="0059013A">
        <w:rPr>
          <w:rFonts w:asciiTheme="minorHAnsi" w:hAnsiTheme="minorHAnsi"/>
          <w:lang w:val="fr-CH"/>
        </w:rPr>
        <w:t>la manière remarquable dont il a dirigé les</w:t>
      </w:r>
      <w:r w:rsidR="00D5608D">
        <w:rPr>
          <w:rFonts w:asciiTheme="minorHAnsi" w:hAnsiTheme="minorHAnsi"/>
          <w:lang w:val="fr-CH"/>
        </w:rPr>
        <w:t xml:space="preserve"> </w:t>
      </w:r>
      <w:r w:rsidR="00BC3B86">
        <w:rPr>
          <w:rFonts w:asciiTheme="minorHAnsi" w:hAnsiTheme="minorHAnsi"/>
          <w:lang w:val="fr-CH"/>
        </w:rPr>
        <w:t>travaux</w:t>
      </w:r>
      <w:r w:rsidR="0059013A">
        <w:rPr>
          <w:rFonts w:asciiTheme="minorHAnsi" w:hAnsiTheme="minorHAnsi"/>
          <w:lang w:val="fr-CH"/>
        </w:rPr>
        <w:t xml:space="preserve"> de la Conférence</w:t>
      </w:r>
      <w:r w:rsidR="00D5608D" w:rsidRPr="00440841">
        <w:rPr>
          <w:rFonts w:asciiTheme="minorHAnsi" w:hAnsiTheme="minorHAnsi"/>
          <w:lang w:val="fr-CH"/>
        </w:rPr>
        <w:t>.</w:t>
      </w:r>
      <w:r w:rsidR="00D5608D">
        <w:rPr>
          <w:rFonts w:asciiTheme="minorHAnsi" w:hAnsiTheme="minorHAnsi"/>
          <w:lang w:val="fr-CH"/>
        </w:rPr>
        <w:t xml:space="preserve"> </w:t>
      </w:r>
      <w:r w:rsidR="0062086B" w:rsidRPr="0062086B">
        <w:rPr>
          <w:rFonts w:asciiTheme="minorHAnsi" w:hAnsiTheme="minorHAnsi"/>
          <w:lang w:val="fr-CH"/>
        </w:rPr>
        <w:t xml:space="preserve">Il remet ensuite </w:t>
      </w:r>
      <w:r w:rsidR="0059013A">
        <w:rPr>
          <w:rFonts w:asciiTheme="minorHAnsi" w:hAnsiTheme="minorHAnsi"/>
          <w:lang w:val="fr-CH"/>
        </w:rPr>
        <w:t>à tous les</w:t>
      </w:r>
      <w:r w:rsidR="0062086B" w:rsidRPr="0062086B">
        <w:rPr>
          <w:rFonts w:asciiTheme="minorHAnsi" w:hAnsiTheme="minorHAnsi"/>
          <w:lang w:val="fr-CH"/>
        </w:rPr>
        <w:t xml:space="preserve"> présidents des commissions </w:t>
      </w:r>
      <w:r w:rsidR="00E34373">
        <w:rPr>
          <w:rFonts w:asciiTheme="minorHAnsi" w:hAnsiTheme="minorHAnsi"/>
          <w:lang w:val="fr-CH"/>
        </w:rPr>
        <w:t>des certificats en remerciement</w:t>
      </w:r>
      <w:r w:rsidR="00BC3B86">
        <w:rPr>
          <w:rFonts w:asciiTheme="minorHAnsi" w:hAnsiTheme="minorHAnsi"/>
          <w:lang w:val="fr-CH"/>
        </w:rPr>
        <w:t xml:space="preserve"> </w:t>
      </w:r>
      <w:r w:rsidR="0062086B" w:rsidRPr="0062086B">
        <w:rPr>
          <w:rFonts w:asciiTheme="minorHAnsi" w:hAnsiTheme="minorHAnsi"/>
          <w:lang w:val="fr-CH"/>
        </w:rPr>
        <w:t>des efforts qu'ils ont déployés pendant la conférence</w:t>
      </w:r>
      <w:r w:rsidRPr="0062086B">
        <w:rPr>
          <w:lang w:val="fr-CH"/>
        </w:rPr>
        <w:t>.</w:t>
      </w:r>
      <w:bookmarkEnd w:id="12"/>
    </w:p>
    <w:p w:rsidR="00FD592E" w:rsidRPr="0062086B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62086B">
        <w:lastRenderedPageBreak/>
        <w:t>3.3</w:t>
      </w:r>
      <w:r w:rsidRPr="0062086B">
        <w:tab/>
      </w:r>
      <w:bookmarkStart w:id="13" w:name="lt_pId051"/>
      <w:r w:rsidR="0062086B">
        <w:t xml:space="preserve">Le </w:t>
      </w:r>
      <w:r w:rsidR="0062086B">
        <w:rPr>
          <w:b/>
          <w:bCs/>
        </w:rPr>
        <w:t>Directeur sortant du BR</w:t>
      </w:r>
      <w:r w:rsidRPr="0062086B">
        <w:t xml:space="preserve"> </w:t>
      </w:r>
      <w:r w:rsidR="0062086B">
        <w:rPr>
          <w:rFonts w:asciiTheme="minorHAnsi" w:hAnsiTheme="minorHAnsi"/>
          <w:lang w:val="fr-CH"/>
        </w:rPr>
        <w:t>prononce une allocution, disponible à l'adresse suivante</w:t>
      </w:r>
      <w:r w:rsidRPr="0062086B">
        <w:t>:</w:t>
      </w:r>
      <w:bookmarkEnd w:id="13"/>
      <w:r w:rsidRPr="0062086B">
        <w:t xml:space="preserve"> </w:t>
      </w:r>
      <w:bookmarkStart w:id="14" w:name="lt_pId052"/>
      <w:r w:rsidRPr="00385F33">
        <w:fldChar w:fldCharType="begin"/>
      </w:r>
      <w:r w:rsidRPr="0062086B">
        <w:instrText xml:space="preserve"> HYPERLINK "https://www.itu.int/web/pp-18/en/speech/215" </w:instrText>
      </w:r>
      <w:r w:rsidRPr="00385F33">
        <w:fldChar w:fldCharType="separate"/>
      </w:r>
      <w:r w:rsidRPr="0062086B">
        <w:rPr>
          <w:rStyle w:val="Hyperlink"/>
        </w:rPr>
        <w:t>https://www.itu.int/web/pp-18/en/speech/215</w:t>
      </w:r>
      <w:r w:rsidRPr="00385F33">
        <w:fldChar w:fldCharType="end"/>
      </w:r>
      <w:r w:rsidRPr="0062086B">
        <w:t>.</w:t>
      </w:r>
      <w:bookmarkEnd w:id="14"/>
    </w:p>
    <w:p w:rsidR="00FD592E" w:rsidRPr="0062086B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 w:val="22"/>
        </w:rPr>
      </w:pPr>
      <w:r w:rsidRPr="0062086B">
        <w:t>3.4</w:t>
      </w:r>
      <w:r w:rsidRPr="0062086B">
        <w:tab/>
      </w:r>
      <w:bookmarkStart w:id="15" w:name="lt_pId054"/>
      <w:r w:rsidR="0062086B">
        <w:t xml:space="preserve">Le </w:t>
      </w:r>
      <w:r w:rsidR="0062086B">
        <w:rPr>
          <w:b/>
          <w:bCs/>
        </w:rPr>
        <w:t>Directeur sortant du BDT</w:t>
      </w:r>
      <w:r w:rsidRPr="0062086B">
        <w:t xml:space="preserve"> </w:t>
      </w:r>
      <w:r w:rsidR="0062086B">
        <w:rPr>
          <w:rFonts w:asciiTheme="minorHAnsi" w:hAnsiTheme="minorHAnsi"/>
          <w:lang w:val="fr-CH"/>
        </w:rPr>
        <w:t>prononce une allocution, disponible à l'adresse suivante</w:t>
      </w:r>
      <w:r w:rsidRPr="0062086B">
        <w:t>:</w:t>
      </w:r>
      <w:bookmarkEnd w:id="15"/>
      <w:r w:rsidRPr="0062086B">
        <w:t xml:space="preserve"> </w:t>
      </w:r>
      <w:bookmarkStart w:id="16" w:name="lt_pId055"/>
      <w:r w:rsidRPr="00385F33">
        <w:fldChar w:fldCharType="begin"/>
      </w:r>
      <w:r w:rsidRPr="0062086B">
        <w:instrText xml:space="preserve"> HYPERLINK "https://www.itu.int/web/pp-18/en/speech/216" </w:instrText>
      </w:r>
      <w:r w:rsidRPr="00385F33">
        <w:fldChar w:fldCharType="separate"/>
      </w:r>
      <w:r w:rsidRPr="0062086B">
        <w:rPr>
          <w:rStyle w:val="Hyperlink"/>
        </w:rPr>
        <w:t>https://www.itu.int/web/pp-18/en/speech/216</w:t>
      </w:r>
      <w:r w:rsidRPr="00385F33">
        <w:fldChar w:fldCharType="end"/>
      </w:r>
      <w:r w:rsidRPr="0062086B">
        <w:rPr>
          <w:color w:val="1F497D"/>
        </w:rPr>
        <w:t>.</w:t>
      </w:r>
      <w:bookmarkEnd w:id="16"/>
    </w:p>
    <w:p w:rsidR="00FD592E" w:rsidRPr="00D5608D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5608D">
        <w:rPr>
          <w:lang w:val="fr-CH"/>
        </w:rPr>
        <w:t>3.5</w:t>
      </w:r>
      <w:r w:rsidRPr="00D5608D">
        <w:rPr>
          <w:lang w:val="fr-CH"/>
        </w:rPr>
        <w:tab/>
      </w:r>
      <w:bookmarkStart w:id="17" w:name="lt_pId058"/>
      <w:r w:rsidR="00D5608D" w:rsidRPr="00440841">
        <w:rPr>
          <w:rFonts w:asciiTheme="minorHAnsi" w:hAnsiTheme="minorHAnsi"/>
          <w:lang w:val="fr-CH"/>
        </w:rPr>
        <w:t>Le</w:t>
      </w:r>
      <w:r w:rsidR="00D5608D">
        <w:rPr>
          <w:rFonts w:asciiTheme="minorHAnsi" w:hAnsiTheme="minorHAnsi"/>
          <w:lang w:val="fr-CH"/>
        </w:rPr>
        <w:t xml:space="preserve"> </w:t>
      </w:r>
      <w:r w:rsidR="00D5608D">
        <w:rPr>
          <w:rFonts w:asciiTheme="minorHAnsi" w:hAnsiTheme="minorHAnsi"/>
          <w:b/>
          <w:bCs/>
          <w:lang w:val="fr-CH"/>
        </w:rPr>
        <w:t xml:space="preserve">Président </w:t>
      </w:r>
      <w:r w:rsidR="00D5608D" w:rsidRPr="006940E9">
        <w:rPr>
          <w:rFonts w:asciiTheme="minorHAnsi" w:hAnsiTheme="minorHAnsi"/>
          <w:lang w:val="fr-CH"/>
        </w:rPr>
        <w:t xml:space="preserve">prononce </w:t>
      </w:r>
      <w:r w:rsidR="00D5608D">
        <w:rPr>
          <w:rFonts w:asciiTheme="minorHAnsi" w:hAnsiTheme="minorHAnsi"/>
          <w:lang w:val="fr-CH"/>
        </w:rPr>
        <w:t xml:space="preserve">une </w:t>
      </w:r>
      <w:r w:rsidR="00D5608D" w:rsidRPr="006940E9">
        <w:rPr>
          <w:rFonts w:asciiTheme="minorHAnsi" w:hAnsiTheme="minorHAnsi"/>
          <w:lang w:val="fr-CH"/>
        </w:rPr>
        <w:t>allocution</w:t>
      </w:r>
      <w:r w:rsidR="00D5608D">
        <w:rPr>
          <w:rFonts w:asciiTheme="minorHAnsi" w:hAnsiTheme="minorHAnsi"/>
          <w:lang w:val="fr-CH"/>
        </w:rPr>
        <w:t>,</w:t>
      </w:r>
      <w:r w:rsidR="00D5608D" w:rsidRPr="006940E9">
        <w:rPr>
          <w:rFonts w:asciiTheme="minorHAnsi" w:hAnsiTheme="minorHAnsi"/>
          <w:lang w:val="fr-CH"/>
        </w:rPr>
        <w:t xml:space="preserve"> disponible à l'adresse suivante:</w:t>
      </w:r>
      <w:r w:rsidR="00D5608D">
        <w:rPr>
          <w:rFonts w:asciiTheme="minorHAnsi" w:hAnsiTheme="minorHAnsi"/>
          <w:lang w:val="fr-CH"/>
        </w:rPr>
        <w:t xml:space="preserve"> </w:t>
      </w:r>
      <w:hyperlink r:id="rId10" w:history="1">
        <w:r w:rsidRPr="00D5608D">
          <w:rPr>
            <w:rStyle w:val="Hyperlink"/>
            <w:lang w:val="fr-CH"/>
          </w:rPr>
          <w:t>https://www.itu.int/web/pp-18/en/page/215-other-speeches</w:t>
        </w:r>
      </w:hyperlink>
      <w:r w:rsidRPr="00D5608D">
        <w:rPr>
          <w:lang w:val="fr-CH"/>
        </w:rPr>
        <w:t>.</w:t>
      </w:r>
      <w:bookmarkEnd w:id="17"/>
    </w:p>
    <w:p w:rsidR="00FD592E" w:rsidRPr="003F61CD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62086B">
        <w:t>3.6</w:t>
      </w:r>
      <w:r w:rsidRPr="0062086B">
        <w:tab/>
      </w:r>
      <w:bookmarkStart w:id="18" w:name="lt_pId060"/>
      <w:r w:rsidR="0062086B">
        <w:t>L</w:t>
      </w:r>
      <w:r w:rsidR="0062086B" w:rsidRPr="0062086B">
        <w:t>e</w:t>
      </w:r>
      <w:r w:rsidR="0062086B">
        <w:t>s</w:t>
      </w:r>
      <w:r w:rsidR="0062086B" w:rsidRPr="0062086B">
        <w:t xml:space="preserve"> </w:t>
      </w:r>
      <w:r w:rsidR="0062086B" w:rsidRPr="00265E1D">
        <w:rPr>
          <w:b/>
          <w:bCs/>
        </w:rPr>
        <w:t>délégués de la</w:t>
      </w:r>
      <w:r w:rsidR="0062086B" w:rsidRPr="0062086B">
        <w:rPr>
          <w:b/>
          <w:bCs/>
        </w:rPr>
        <w:t xml:space="preserve"> République </w:t>
      </w:r>
      <w:r w:rsidR="00BC3B86">
        <w:rPr>
          <w:b/>
          <w:bCs/>
        </w:rPr>
        <w:t>islamique d'Iran</w:t>
      </w:r>
      <w:r w:rsidR="00BC3B86" w:rsidRPr="00265E1D">
        <w:t>,</w:t>
      </w:r>
      <w:r w:rsidR="00BC3B86">
        <w:rPr>
          <w:b/>
          <w:bCs/>
        </w:rPr>
        <w:t xml:space="preserve"> </w:t>
      </w:r>
      <w:r w:rsidR="00BC3B86" w:rsidRPr="00265E1D">
        <w:rPr>
          <w:b/>
          <w:bCs/>
        </w:rPr>
        <w:t>de l'Egypte</w:t>
      </w:r>
      <w:r w:rsidR="00BC3B86" w:rsidRPr="0059013A">
        <w:t>,</w:t>
      </w:r>
      <w:r w:rsidR="0062086B" w:rsidRPr="0059013A">
        <w:t xml:space="preserve"> </w:t>
      </w:r>
      <w:r w:rsidR="0062086B" w:rsidRPr="00265E1D">
        <w:rPr>
          <w:b/>
          <w:bCs/>
        </w:rPr>
        <w:t xml:space="preserve">du </w:t>
      </w:r>
      <w:r w:rsidR="0062086B" w:rsidRPr="0062086B">
        <w:rPr>
          <w:b/>
          <w:bCs/>
        </w:rPr>
        <w:t>Kenya</w:t>
      </w:r>
      <w:r w:rsidR="0062086B">
        <w:t xml:space="preserve">, s'exprimant également au nom du Groupe africain, </w:t>
      </w:r>
      <w:r w:rsidR="00BC3B86" w:rsidRPr="00265E1D">
        <w:rPr>
          <w:b/>
          <w:bCs/>
        </w:rPr>
        <w:t xml:space="preserve">de </w:t>
      </w:r>
      <w:r w:rsidR="0062086B" w:rsidRPr="00265E1D">
        <w:rPr>
          <w:b/>
          <w:bCs/>
        </w:rPr>
        <w:t>la</w:t>
      </w:r>
      <w:r w:rsidR="0062086B">
        <w:t xml:space="preserve"> </w:t>
      </w:r>
      <w:r w:rsidR="0062086B">
        <w:rPr>
          <w:b/>
          <w:bCs/>
        </w:rPr>
        <w:t>Fédération de Russie</w:t>
      </w:r>
      <w:r w:rsidR="0062086B">
        <w:t>, s'exprimant également au nom de la RCC,</w:t>
      </w:r>
      <w:r w:rsidR="00BC3B86">
        <w:t xml:space="preserve"> </w:t>
      </w:r>
      <w:r w:rsidR="00BC3B86" w:rsidRPr="00265E1D">
        <w:rPr>
          <w:b/>
          <w:bCs/>
        </w:rPr>
        <w:t>de</w:t>
      </w:r>
      <w:r w:rsidR="0062086B" w:rsidRPr="00265E1D">
        <w:rPr>
          <w:b/>
          <w:bCs/>
        </w:rPr>
        <w:t xml:space="preserve"> la</w:t>
      </w:r>
      <w:r w:rsidR="0062086B">
        <w:t xml:space="preserve"> </w:t>
      </w:r>
      <w:r w:rsidR="0062086B" w:rsidRPr="0062086B">
        <w:rPr>
          <w:b/>
          <w:bCs/>
        </w:rPr>
        <w:t>Malaisie</w:t>
      </w:r>
      <w:r w:rsidR="0062086B">
        <w:t xml:space="preserve">, s'exprimant également au nom de l'APT, </w:t>
      </w:r>
      <w:r w:rsidR="00BC3B86" w:rsidRPr="00265E1D">
        <w:rPr>
          <w:b/>
          <w:bCs/>
        </w:rPr>
        <w:t>du</w:t>
      </w:r>
      <w:r w:rsidR="0062086B" w:rsidRPr="00265E1D">
        <w:rPr>
          <w:b/>
          <w:bCs/>
        </w:rPr>
        <w:t xml:space="preserve"> </w:t>
      </w:r>
      <w:r w:rsidR="0062086B" w:rsidRPr="0062086B">
        <w:rPr>
          <w:b/>
          <w:bCs/>
        </w:rPr>
        <w:t>Canada</w:t>
      </w:r>
      <w:r w:rsidR="0062086B">
        <w:t>, s'exprimant également au nom de la CITE</w:t>
      </w:r>
      <w:r w:rsidR="00BC3B86">
        <w:t>L</w:t>
      </w:r>
      <w:r w:rsidR="0062086B">
        <w:t xml:space="preserve">, </w:t>
      </w:r>
      <w:r w:rsidR="00BC3B86" w:rsidRPr="00265E1D">
        <w:rPr>
          <w:b/>
          <w:bCs/>
        </w:rPr>
        <w:t xml:space="preserve">de </w:t>
      </w:r>
      <w:r w:rsidR="0062086B" w:rsidRPr="00265E1D">
        <w:rPr>
          <w:b/>
          <w:bCs/>
        </w:rPr>
        <w:t>la</w:t>
      </w:r>
      <w:r w:rsidR="0062086B">
        <w:t xml:space="preserve"> </w:t>
      </w:r>
      <w:r w:rsidR="0062086B" w:rsidRPr="0062086B">
        <w:rPr>
          <w:b/>
          <w:bCs/>
        </w:rPr>
        <w:t>Roumanie</w:t>
      </w:r>
      <w:r w:rsidR="0062086B">
        <w:t xml:space="preserve">, s'exprimant également au nom de la CEPT, </w:t>
      </w:r>
      <w:r w:rsidR="00BC3B86" w:rsidRPr="00265E1D">
        <w:rPr>
          <w:b/>
          <w:bCs/>
        </w:rPr>
        <w:t>du</w:t>
      </w:r>
      <w:r w:rsidR="0062086B" w:rsidRPr="00265E1D">
        <w:rPr>
          <w:b/>
          <w:bCs/>
        </w:rPr>
        <w:t xml:space="preserve"> </w:t>
      </w:r>
      <w:r w:rsidR="0062086B" w:rsidRPr="0062086B">
        <w:rPr>
          <w:b/>
          <w:bCs/>
        </w:rPr>
        <w:t>Brésil</w:t>
      </w:r>
      <w:r w:rsidR="0062086B" w:rsidRPr="00265E1D">
        <w:t>,</w:t>
      </w:r>
      <w:r w:rsidR="00BC3B86" w:rsidRPr="00265E1D">
        <w:t xml:space="preserve"> </w:t>
      </w:r>
      <w:r w:rsidR="00BC3B86" w:rsidRPr="00265E1D">
        <w:rPr>
          <w:b/>
          <w:bCs/>
        </w:rPr>
        <w:t>de l'</w:t>
      </w:r>
      <w:r w:rsidR="0062086B" w:rsidRPr="00265E1D">
        <w:rPr>
          <w:b/>
          <w:bCs/>
        </w:rPr>
        <w:t>Indonésie</w:t>
      </w:r>
      <w:r w:rsidR="0062086B">
        <w:t xml:space="preserve">, </w:t>
      </w:r>
      <w:r w:rsidR="00BC3B86" w:rsidRPr="00265E1D">
        <w:rPr>
          <w:b/>
          <w:bCs/>
        </w:rPr>
        <w:t>de l'</w:t>
      </w:r>
      <w:r w:rsidR="0062086B" w:rsidRPr="00265E1D">
        <w:rPr>
          <w:b/>
          <w:bCs/>
        </w:rPr>
        <w:t>Arabie</w:t>
      </w:r>
      <w:r w:rsidR="0062086B" w:rsidRPr="0062086B">
        <w:rPr>
          <w:b/>
          <w:bCs/>
        </w:rPr>
        <w:t xml:space="preserve"> </w:t>
      </w:r>
      <w:r w:rsidR="0059013A">
        <w:rPr>
          <w:b/>
          <w:bCs/>
        </w:rPr>
        <w:t>s</w:t>
      </w:r>
      <w:r w:rsidR="00BC3B86">
        <w:rPr>
          <w:b/>
          <w:bCs/>
        </w:rPr>
        <w:t>aoudite</w:t>
      </w:r>
      <w:r w:rsidR="00BC3B86" w:rsidRPr="0059013A">
        <w:t>,</w:t>
      </w:r>
      <w:r w:rsidR="00BC3B86">
        <w:rPr>
          <w:b/>
          <w:bCs/>
        </w:rPr>
        <w:t xml:space="preserve"> </w:t>
      </w:r>
      <w:r w:rsidR="00BC3B86" w:rsidRPr="00265E1D">
        <w:rPr>
          <w:b/>
          <w:bCs/>
        </w:rPr>
        <w:t>de l'Iraq</w:t>
      </w:r>
      <w:r w:rsidR="00BC3B86" w:rsidRPr="00265E1D">
        <w:t>,</w:t>
      </w:r>
      <w:r w:rsidR="00BC3B86">
        <w:rPr>
          <w:b/>
          <w:bCs/>
        </w:rPr>
        <w:t xml:space="preserve"> </w:t>
      </w:r>
      <w:r w:rsidR="00BC3B86" w:rsidRPr="00265E1D">
        <w:rPr>
          <w:b/>
          <w:bCs/>
        </w:rPr>
        <w:t>d</w:t>
      </w:r>
      <w:r w:rsidR="0059013A" w:rsidRPr="00265E1D">
        <w:rPr>
          <w:b/>
          <w:bCs/>
        </w:rPr>
        <w:t>e</w:t>
      </w:r>
      <w:r w:rsidR="0062086B" w:rsidRPr="00265E1D">
        <w:rPr>
          <w:b/>
          <w:bCs/>
        </w:rPr>
        <w:t xml:space="preserve"> B</w:t>
      </w:r>
      <w:r w:rsidR="0062086B" w:rsidRPr="0062086B">
        <w:rPr>
          <w:b/>
          <w:bCs/>
        </w:rPr>
        <w:t>ahreïn</w:t>
      </w:r>
      <w:r w:rsidR="0062086B" w:rsidRPr="0059013A">
        <w:t>,</w:t>
      </w:r>
      <w:r w:rsidR="0062086B" w:rsidRPr="0062086B">
        <w:rPr>
          <w:b/>
          <w:bCs/>
        </w:rPr>
        <w:t xml:space="preserve"> </w:t>
      </w:r>
      <w:r w:rsidR="00BC3B86" w:rsidRPr="00265E1D">
        <w:rPr>
          <w:b/>
          <w:bCs/>
        </w:rPr>
        <w:t xml:space="preserve">des </w:t>
      </w:r>
      <w:r w:rsidR="00BC3B86">
        <w:rPr>
          <w:b/>
          <w:bCs/>
        </w:rPr>
        <w:t>Etats-Unis</w:t>
      </w:r>
      <w:r w:rsidR="00BC3B86" w:rsidRPr="0059013A">
        <w:t>,</w:t>
      </w:r>
      <w:r w:rsidR="00BC3B86">
        <w:rPr>
          <w:b/>
          <w:bCs/>
        </w:rPr>
        <w:t xml:space="preserve"> </w:t>
      </w:r>
      <w:r w:rsidR="00BC3B86" w:rsidRPr="00265E1D">
        <w:rPr>
          <w:b/>
          <w:bCs/>
        </w:rPr>
        <w:t>de l'</w:t>
      </w:r>
      <w:r w:rsidR="0062086B" w:rsidRPr="00265E1D">
        <w:rPr>
          <w:b/>
          <w:bCs/>
        </w:rPr>
        <w:t>Azerbaïdjan</w:t>
      </w:r>
      <w:r w:rsidR="0062086B">
        <w:t xml:space="preserve"> et </w:t>
      </w:r>
      <w:r w:rsidR="00BC3B86" w:rsidRPr="00265E1D">
        <w:rPr>
          <w:b/>
          <w:bCs/>
        </w:rPr>
        <w:t>de la</w:t>
      </w:r>
      <w:r w:rsidR="00BC3B86">
        <w:t xml:space="preserve"> </w:t>
      </w:r>
      <w:r w:rsidR="0062086B" w:rsidRPr="0062086B">
        <w:rPr>
          <w:b/>
          <w:bCs/>
        </w:rPr>
        <w:t>République de Corée</w:t>
      </w:r>
      <w:r w:rsidR="0062086B">
        <w:t xml:space="preserve"> expriment leur prof</w:t>
      </w:r>
      <w:r w:rsidR="0059013A">
        <w:t>onde gratitude au peuple et au G</w:t>
      </w:r>
      <w:r w:rsidR="0062086B">
        <w:t xml:space="preserve">ouvernement des Emirats arabes unis pour l'organisation exceptionnelle de la conférence et l'accueil chaleureux qui a été réservé à tous les participants. </w:t>
      </w:r>
      <w:r w:rsidR="0059013A">
        <w:t>Ils remercient en</w:t>
      </w:r>
      <w:r w:rsidR="0062086B">
        <w:t xml:space="preserve"> particulier </w:t>
      </w:r>
      <w:r w:rsidR="0059013A">
        <w:t>le</w:t>
      </w:r>
      <w:r w:rsidR="0062086B">
        <w:t xml:space="preserve"> Président, qui a su </w:t>
      </w:r>
      <w:r w:rsidR="0059013A">
        <w:t xml:space="preserve">diriger les débats de la </w:t>
      </w:r>
      <w:r w:rsidR="0062086B">
        <w:t xml:space="preserve">conférence </w:t>
      </w:r>
      <w:r w:rsidR="00BC3B86">
        <w:t>en faisant preuve de</w:t>
      </w:r>
      <w:r w:rsidR="0062086B">
        <w:t xml:space="preserve"> patience, </w:t>
      </w:r>
      <w:r w:rsidR="00BC3B86">
        <w:t xml:space="preserve">de </w:t>
      </w:r>
      <w:r w:rsidR="0062086B">
        <w:t xml:space="preserve">sagesse, </w:t>
      </w:r>
      <w:r w:rsidR="00BC3B86">
        <w:t xml:space="preserve">de </w:t>
      </w:r>
      <w:r w:rsidR="0062086B">
        <w:t xml:space="preserve">souplesse et </w:t>
      </w:r>
      <w:r w:rsidR="00BC3B86">
        <w:t>d'</w:t>
      </w:r>
      <w:r w:rsidR="0062086B">
        <w:t xml:space="preserve">humour, </w:t>
      </w:r>
      <w:r w:rsidR="0059013A">
        <w:t>malgré</w:t>
      </w:r>
      <w:r w:rsidR="0062086B">
        <w:t xml:space="preserve"> des moments parfois difficiles; </w:t>
      </w:r>
      <w:r w:rsidR="0059013A">
        <w:t>le</w:t>
      </w:r>
      <w:r w:rsidR="0062086B">
        <w:t xml:space="preserve"> Directeur général de l'Autorité de régulation des télécom</w:t>
      </w:r>
      <w:r w:rsidR="00E34373">
        <w:t>munications des Emirats arabes u</w:t>
      </w:r>
      <w:r w:rsidR="0062086B">
        <w:t>nis</w:t>
      </w:r>
      <w:r w:rsidR="00BC3B86">
        <w:t>;</w:t>
      </w:r>
      <w:r w:rsidR="0062086B">
        <w:t xml:space="preserve"> et M. Tariq Al Awadhi, de la délégation des Emirats arabes unis</w:t>
      </w:r>
      <w:bookmarkStart w:id="19" w:name="lt_pId063"/>
      <w:bookmarkEnd w:id="18"/>
      <w:r w:rsidRPr="0062086B">
        <w:t>.</w:t>
      </w:r>
      <w:bookmarkEnd w:id="19"/>
      <w:r w:rsidR="0062086B">
        <w:t xml:space="preserve"> </w:t>
      </w:r>
      <w:r w:rsidR="00E34373">
        <w:t>Bien qu'i</w:t>
      </w:r>
      <w:r w:rsidR="0062086B">
        <w:t>l n'a</w:t>
      </w:r>
      <w:r w:rsidR="00E34373">
        <w:t>it</w:t>
      </w:r>
      <w:r w:rsidR="0062086B">
        <w:t xml:space="preserve"> pas été possible de parvenir à un accord sur tou</w:t>
      </w:r>
      <w:r w:rsidR="0059013A">
        <w:t>te</w:t>
      </w:r>
      <w:r w:rsidR="0062086B">
        <w:t xml:space="preserve">s les </w:t>
      </w:r>
      <w:r w:rsidR="0059013A">
        <w:t>questions</w:t>
      </w:r>
      <w:r w:rsidR="00BD122F">
        <w:t xml:space="preserve">, les travaux qui ont été </w:t>
      </w:r>
      <w:r w:rsidR="00BC3B86">
        <w:t>accomplis</w:t>
      </w:r>
      <w:r w:rsidR="0062086B">
        <w:t xml:space="preserve">, même sur les questions les plus épineuses, </w:t>
      </w:r>
      <w:r w:rsidR="0059013A">
        <w:t xml:space="preserve">serviront de </w:t>
      </w:r>
      <w:r w:rsidR="00BD122F">
        <w:t xml:space="preserve">base </w:t>
      </w:r>
      <w:r w:rsidR="0059013A">
        <w:t>pour progresser à l'avenir</w:t>
      </w:r>
      <w:r w:rsidR="00BD122F">
        <w:t xml:space="preserve">, puisque tous les participants ont </w:t>
      </w:r>
      <w:r w:rsidR="0059013A">
        <w:t>acquis</w:t>
      </w:r>
      <w:r w:rsidR="00BD122F">
        <w:t xml:space="preserve"> une meilleure compréhension des questions en jeu.</w:t>
      </w:r>
      <w:r w:rsidR="0059013A">
        <w:t xml:space="preserve"> La C</w:t>
      </w:r>
      <w:r w:rsidR="003F61CD">
        <w:t xml:space="preserve">onférence a été marquée par de nombreuses réalisations, </w:t>
      </w:r>
      <w:r w:rsidR="00BC3B86">
        <w:t>dont</w:t>
      </w:r>
      <w:r w:rsidR="003F61CD">
        <w:t xml:space="preserve"> la plus notable a été l'élection d'une femme à un poste de fonctionnaire élu pour la première fois dans l'histoire de l'Union.</w:t>
      </w:r>
      <w:bookmarkStart w:id="20" w:name="lt_pId065"/>
      <w:r w:rsidR="003F61CD" w:rsidRPr="003F61CD">
        <w:t xml:space="preserve"> </w:t>
      </w:r>
      <w:r w:rsidR="003F61CD">
        <w:t xml:space="preserve">Les résolutions et décisions </w:t>
      </w:r>
      <w:r w:rsidR="0059013A">
        <w:t xml:space="preserve">qui ont été </w:t>
      </w:r>
      <w:r w:rsidR="003F61CD">
        <w:t xml:space="preserve">adoptées par la conférence </w:t>
      </w:r>
      <w:r w:rsidR="0059013A">
        <w:t>–</w:t>
      </w:r>
      <w:r w:rsidR="003F61CD">
        <w:t xml:space="preserve"> </w:t>
      </w:r>
      <w:r w:rsidR="0059013A">
        <w:t>chaque fois</w:t>
      </w:r>
      <w:r w:rsidR="003F61CD">
        <w:t xml:space="preserve"> par consensus </w:t>
      </w:r>
      <w:r w:rsidR="0059013A">
        <w:t>–</w:t>
      </w:r>
      <w:r w:rsidR="003F61CD">
        <w:t xml:space="preserve"> permettront </w:t>
      </w:r>
      <w:r w:rsidR="0059013A">
        <w:t>de renforcer</w:t>
      </w:r>
      <w:r w:rsidR="003F61CD">
        <w:t xml:space="preserve"> la position de l'Union en tant que </w:t>
      </w:r>
      <w:r w:rsidR="0059013A">
        <w:t>chef de file</w:t>
      </w:r>
      <w:r w:rsidR="003F61CD">
        <w:t xml:space="preserve"> des travaux visant à développer </w:t>
      </w:r>
      <w:r w:rsidR="0059013A">
        <w:t>l</w:t>
      </w:r>
      <w:r w:rsidR="003F61CD">
        <w:t xml:space="preserve">es technologies de l'information et de la communication, notamment </w:t>
      </w:r>
      <w:r w:rsidR="0059013A">
        <w:t>l</w:t>
      </w:r>
      <w:r w:rsidR="003F61CD">
        <w:t>es technologies nouvelles et émergentes</w:t>
      </w:r>
      <w:r w:rsidR="0059013A">
        <w:t>,</w:t>
      </w:r>
      <w:r w:rsidR="003F61CD">
        <w:t xml:space="preserve"> telles que les</w:t>
      </w:r>
      <w:r w:rsidR="00BC3B86">
        <w:t xml:space="preserve"> technologies over-the-top</w:t>
      </w:r>
      <w:r w:rsidR="003F61CD">
        <w:t xml:space="preserve">, et à </w:t>
      </w:r>
      <w:r w:rsidR="0059013A">
        <w:t>réduire</w:t>
      </w:r>
      <w:r w:rsidR="003F61CD">
        <w:t xml:space="preserve"> la fracture numérique </w:t>
      </w:r>
      <w:r w:rsidR="0059013A">
        <w:t xml:space="preserve">partout </w:t>
      </w:r>
      <w:r w:rsidR="003F61CD">
        <w:t>dans le monde.</w:t>
      </w:r>
      <w:bookmarkEnd w:id="20"/>
    </w:p>
    <w:p w:rsidR="00FD592E" w:rsidRPr="0042025A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F61CD">
        <w:lastRenderedPageBreak/>
        <w:t>3.7</w:t>
      </w:r>
      <w:r w:rsidRPr="003F61CD">
        <w:tab/>
      </w:r>
      <w:bookmarkStart w:id="21" w:name="lt_pId068"/>
      <w:r w:rsidR="003F61CD" w:rsidRPr="003F61CD">
        <w:t>Le</w:t>
      </w:r>
      <w:r w:rsidRPr="003F61CD">
        <w:t xml:space="preserve"> </w:t>
      </w:r>
      <w:r w:rsidR="003F61CD" w:rsidRPr="003F61CD">
        <w:rPr>
          <w:b/>
          <w:bCs/>
        </w:rPr>
        <w:t>délégué des Emirats arabes unis</w:t>
      </w:r>
      <w:r w:rsidRPr="003F61CD">
        <w:t xml:space="preserve">, </w:t>
      </w:r>
      <w:r w:rsidR="003F61CD" w:rsidRPr="003F61CD">
        <w:t xml:space="preserve">s'exprimant au nom du Groupe des Etats arabes, </w:t>
      </w:r>
      <w:r w:rsidR="003F61CD">
        <w:t xml:space="preserve">se félicite des résultats </w:t>
      </w:r>
      <w:r w:rsidR="0059013A">
        <w:t>de</w:t>
      </w:r>
      <w:r w:rsidR="003F61CD">
        <w:t xml:space="preserve"> la conférence, en particulier dans des domaines </w:t>
      </w:r>
      <w:r w:rsidR="0059013A">
        <w:t xml:space="preserve">aussi </w:t>
      </w:r>
      <w:r w:rsidR="003F61CD">
        <w:t xml:space="preserve">importants que les technologies over-the-top, et de l'adoption des plans stratégique et financier de l'Union pour les années à venir. </w:t>
      </w:r>
      <w:r w:rsidR="0059013A">
        <w:t xml:space="preserve">En sa qualité de représentant des Emirats arabes unis, </w:t>
      </w:r>
      <w:r w:rsidR="003F61CD" w:rsidRPr="003F61CD">
        <w:t xml:space="preserve">il remercie tous ceux qui ont </w:t>
      </w:r>
      <w:r w:rsidR="00BC3B86">
        <w:t>assuré le</w:t>
      </w:r>
      <w:r w:rsidR="003F61CD" w:rsidRPr="003F61CD">
        <w:t xml:space="preserve"> bon déroulement de la conférence, </w:t>
      </w:r>
      <w:r w:rsidR="0042025A">
        <w:t xml:space="preserve">pour laquelle une certification en matière de gestion durable a été </w:t>
      </w:r>
      <w:r w:rsidR="0059013A">
        <w:t>octroyé</w:t>
      </w:r>
      <w:r w:rsidR="0042025A">
        <w:t>e</w:t>
      </w:r>
      <w:r w:rsidR="003F61CD">
        <w:t xml:space="preserve">, et salue l'élection de la première femme à </w:t>
      </w:r>
      <w:r w:rsidR="0059013A">
        <w:t>un poste de</w:t>
      </w:r>
      <w:r w:rsidR="003F61CD">
        <w:t xml:space="preserve"> haute direction </w:t>
      </w:r>
      <w:r w:rsidR="0059013A">
        <w:t>à</w:t>
      </w:r>
      <w:r w:rsidR="003F61CD">
        <w:t xml:space="preserve"> l'UIT.</w:t>
      </w:r>
      <w:bookmarkEnd w:id="21"/>
    </w:p>
    <w:p w:rsidR="00FD592E" w:rsidRPr="003F61CD" w:rsidRDefault="00FD592E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</w:rPr>
      </w:pPr>
      <w:r w:rsidRPr="00D5608D">
        <w:rPr>
          <w:lang w:val="fr-CH"/>
        </w:rPr>
        <w:t>3.8</w:t>
      </w:r>
      <w:r w:rsidRPr="00D5608D">
        <w:rPr>
          <w:lang w:val="fr-CH"/>
        </w:rPr>
        <w:tab/>
      </w:r>
      <w:bookmarkStart w:id="22" w:name="lt_pId071"/>
      <w:r w:rsidR="00D5608D" w:rsidRPr="00D5608D">
        <w:rPr>
          <w:rFonts w:asciiTheme="minorHAnsi" w:hAnsiTheme="minorHAnsi"/>
          <w:b/>
          <w:bCs/>
          <w:lang w:val="fr-CH"/>
        </w:rPr>
        <w:t xml:space="preserve">Une vidéo de </w:t>
      </w:r>
      <w:r w:rsidR="00D5608D">
        <w:rPr>
          <w:rFonts w:asciiTheme="minorHAnsi" w:hAnsiTheme="minorHAnsi"/>
          <w:b/>
          <w:bCs/>
          <w:lang w:val="fr-CH"/>
        </w:rPr>
        <w:t>quatre</w:t>
      </w:r>
      <w:r w:rsidR="00D5608D" w:rsidRPr="00D5608D">
        <w:rPr>
          <w:rFonts w:asciiTheme="minorHAnsi" w:hAnsiTheme="minorHAnsi"/>
          <w:b/>
          <w:bCs/>
          <w:lang w:val="fr-CH"/>
        </w:rPr>
        <w:t xml:space="preserve"> minutes retraçant les </w:t>
      </w:r>
      <w:r w:rsidR="0059013A">
        <w:rPr>
          <w:rFonts w:asciiTheme="minorHAnsi" w:hAnsiTheme="minorHAnsi"/>
          <w:b/>
          <w:bCs/>
          <w:lang w:val="fr-CH"/>
        </w:rPr>
        <w:t>faits marquants</w:t>
      </w:r>
      <w:r w:rsidR="00D5608D" w:rsidRPr="00D5608D">
        <w:rPr>
          <w:rFonts w:asciiTheme="minorHAnsi" w:hAnsiTheme="minorHAnsi"/>
          <w:b/>
          <w:bCs/>
          <w:lang w:val="fr-CH"/>
        </w:rPr>
        <w:t xml:space="preserve"> des trois semaines de </w:t>
      </w:r>
      <w:r w:rsidR="0059013A">
        <w:rPr>
          <w:rFonts w:asciiTheme="minorHAnsi" w:hAnsiTheme="minorHAnsi"/>
          <w:b/>
          <w:bCs/>
          <w:lang w:val="fr-CH"/>
        </w:rPr>
        <w:t xml:space="preserve">la </w:t>
      </w:r>
      <w:r w:rsidR="00D5608D" w:rsidRPr="00D5608D">
        <w:rPr>
          <w:rFonts w:asciiTheme="minorHAnsi" w:hAnsiTheme="minorHAnsi"/>
          <w:b/>
          <w:bCs/>
          <w:lang w:val="fr-CH"/>
        </w:rPr>
        <w:t xml:space="preserve">Conférence est projetée. </w:t>
      </w:r>
      <w:bookmarkEnd w:id="22"/>
    </w:p>
    <w:p w:rsidR="00D5608D" w:rsidRDefault="00FD592E" w:rsidP="00265E1D">
      <w:pPr>
        <w:rPr>
          <w:rFonts w:asciiTheme="minorHAnsi" w:hAnsiTheme="minorHAnsi"/>
          <w:lang w:val="fr-CH"/>
        </w:rPr>
      </w:pPr>
      <w:r w:rsidRPr="00D5608D">
        <w:rPr>
          <w:lang w:val="fr-CH"/>
        </w:rPr>
        <w:t>3.9</w:t>
      </w:r>
      <w:r w:rsidRPr="00D5608D">
        <w:rPr>
          <w:lang w:val="fr-CH"/>
        </w:rPr>
        <w:tab/>
      </w:r>
      <w:bookmarkStart w:id="23" w:name="lt_pId073"/>
      <w:r w:rsidR="00D5608D">
        <w:rPr>
          <w:rFonts w:asciiTheme="minorHAnsi" w:hAnsiTheme="minorHAnsi"/>
          <w:lang w:val="fr-CH"/>
        </w:rPr>
        <w:t xml:space="preserve">Le </w:t>
      </w:r>
      <w:r w:rsidR="00D5608D" w:rsidRPr="00424889">
        <w:rPr>
          <w:rFonts w:asciiTheme="minorHAnsi" w:hAnsiTheme="minorHAnsi"/>
          <w:b/>
          <w:bCs/>
          <w:lang w:val="fr-CH"/>
        </w:rPr>
        <w:t>Président</w:t>
      </w:r>
      <w:r w:rsidR="00D5608D">
        <w:rPr>
          <w:rFonts w:asciiTheme="minorHAnsi" w:hAnsiTheme="minorHAnsi"/>
          <w:lang w:val="fr-CH"/>
        </w:rPr>
        <w:t xml:space="preserve">, après avoir remercié tous les participants, </w:t>
      </w:r>
      <w:r w:rsidR="00D5608D" w:rsidRPr="00440841">
        <w:rPr>
          <w:rFonts w:asciiTheme="minorHAnsi" w:hAnsiTheme="minorHAnsi"/>
          <w:lang w:val="fr-CH"/>
        </w:rPr>
        <w:t xml:space="preserve">déclare close la Conférence de plénipotentiaires </w:t>
      </w:r>
      <w:r w:rsidR="0059013A">
        <w:rPr>
          <w:rFonts w:asciiTheme="minorHAnsi" w:hAnsiTheme="minorHAnsi"/>
          <w:lang w:val="fr-CH"/>
        </w:rPr>
        <w:t xml:space="preserve">de 2018 </w:t>
      </w:r>
      <w:r w:rsidR="00D5608D" w:rsidRPr="00440841">
        <w:rPr>
          <w:rFonts w:asciiTheme="minorHAnsi" w:hAnsiTheme="minorHAnsi"/>
          <w:lang w:val="fr-CH"/>
        </w:rPr>
        <w:t>de l'Union internationale des télécommunications.</w:t>
      </w:r>
    </w:p>
    <w:bookmarkEnd w:id="23"/>
    <w:p w:rsidR="0062735F" w:rsidRPr="006F7646" w:rsidRDefault="0062735F" w:rsidP="00265E1D">
      <w:pPr>
        <w:pStyle w:val="Normalpv"/>
        <w:rPr>
          <w:b/>
          <w:bCs/>
        </w:rPr>
      </w:pPr>
      <w:r>
        <w:rPr>
          <w:b/>
          <w:bCs/>
        </w:rPr>
        <w:t xml:space="preserve">La séance est levée à </w:t>
      </w:r>
      <w:r w:rsidR="001C55D4">
        <w:rPr>
          <w:b/>
          <w:bCs/>
        </w:rPr>
        <w:t>17</w:t>
      </w:r>
      <w:r w:rsidRPr="006F7646">
        <w:rPr>
          <w:b/>
          <w:bCs/>
        </w:rPr>
        <w:t xml:space="preserve"> h </w:t>
      </w:r>
      <w:r w:rsidR="001C55D4">
        <w:rPr>
          <w:b/>
          <w:bCs/>
        </w:rPr>
        <w:t>55</w:t>
      </w:r>
      <w:r w:rsidRPr="006F7646">
        <w:rPr>
          <w:b/>
          <w:bCs/>
        </w:rPr>
        <w:t>.</w:t>
      </w:r>
    </w:p>
    <w:p w:rsidR="00BD1614" w:rsidRPr="00BD1614" w:rsidRDefault="0062735F" w:rsidP="00265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  <w:r w:rsidRPr="006F7646">
        <w:t>Le Secrétaire général:</w:t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  <w:t>Le Président:</w:t>
      </w:r>
      <w:bookmarkStart w:id="24" w:name="lt_pId037"/>
      <w:r>
        <w:br/>
      </w:r>
      <w:r w:rsidRPr="003A64AB">
        <w:rPr>
          <w:szCs w:val="24"/>
        </w:rPr>
        <w:t>H. ZHAO</w:t>
      </w:r>
      <w:bookmarkEnd w:id="24"/>
      <w:r w:rsidRPr="003A64AB">
        <w:rPr>
          <w:szCs w:val="24"/>
        </w:rPr>
        <w:tab/>
      </w:r>
      <w:r w:rsidRPr="003A64AB">
        <w:rPr>
          <w:szCs w:val="24"/>
        </w:rPr>
        <w:tab/>
      </w:r>
      <w:bookmarkStart w:id="25" w:name="lt_pId038"/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  <w:t>M. ALMESMAR</w:t>
      </w:r>
      <w:bookmarkEnd w:id="25"/>
    </w:p>
    <w:sectPr w:rsidR="00BD1614" w:rsidRPr="00BD1614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C7" w:rsidRDefault="00DB5BC7">
      <w:r>
        <w:separator/>
      </w:r>
    </w:p>
  </w:endnote>
  <w:endnote w:type="continuationSeparator" w:id="0">
    <w:p w:rsidR="00DB5BC7" w:rsidRDefault="00DB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62735F" w:rsidRDefault="003D1985" w:rsidP="001C55D4">
    <w:pPr>
      <w:pStyle w:val="Footer"/>
      <w:rPr>
        <w:lang w:val="en-US"/>
      </w:rPr>
    </w:pPr>
    <w:r>
      <w:fldChar w:fldCharType="begin"/>
    </w:r>
    <w:r w:rsidRPr="0062735F">
      <w:rPr>
        <w:lang w:val="en-US"/>
      </w:rPr>
      <w:instrText xml:space="preserve"> FILENAME \p  \* MERGEFORMAT </w:instrText>
    </w:r>
    <w:r>
      <w:fldChar w:fldCharType="separate"/>
    </w:r>
    <w:r w:rsidR="002055D6">
      <w:rPr>
        <w:lang w:val="en-US"/>
      </w:rPr>
      <w:t>P:\FRA\SG\CONF-SG\PP18\100\176V2F.docx</w:t>
    </w:r>
    <w:r>
      <w:fldChar w:fldCharType="end"/>
    </w:r>
    <w:r w:rsidRPr="0062735F">
      <w:rPr>
        <w:lang w:val="en-US"/>
      </w:rPr>
      <w:t xml:space="preserve"> (4481</w:t>
    </w:r>
    <w:r w:rsidR="001C55D4">
      <w:rPr>
        <w:lang w:val="en-US"/>
      </w:rPr>
      <w:t>81</w:t>
    </w:r>
    <w:r w:rsidRPr="0062735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C7" w:rsidRDefault="00DB5BC7">
      <w:r>
        <w:t>____________________</w:t>
      </w:r>
    </w:p>
  </w:footnote>
  <w:footnote w:type="continuationSeparator" w:id="0">
    <w:p w:rsidR="00DB5BC7" w:rsidRDefault="00DB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55D6">
      <w:rPr>
        <w:noProof/>
      </w:rPr>
      <w:t>3</w:t>
    </w:r>
    <w:r>
      <w:fldChar w:fldCharType="end"/>
    </w:r>
  </w:p>
  <w:p w:rsidR="00BD1614" w:rsidRDefault="00BD1614" w:rsidP="001C55D4">
    <w:pPr>
      <w:pStyle w:val="Header"/>
    </w:pPr>
    <w:r>
      <w:t>PP1</w:t>
    </w:r>
    <w:r w:rsidR="001E2226">
      <w:t>8</w:t>
    </w:r>
    <w:r w:rsidR="00417658">
      <w:t>/</w:t>
    </w:r>
    <w:r w:rsidR="0062735F">
      <w:t>17</w:t>
    </w:r>
    <w:r w:rsidR="001C55D4">
      <w:t>6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displayBackgroundShap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C7"/>
    <w:rsid w:val="000054D8"/>
    <w:rsid w:val="00060D74"/>
    <w:rsid w:val="00072D5C"/>
    <w:rsid w:val="0008398C"/>
    <w:rsid w:val="00084308"/>
    <w:rsid w:val="00084EA9"/>
    <w:rsid w:val="00096DAC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C55D4"/>
    <w:rsid w:val="001D31B2"/>
    <w:rsid w:val="001E1B9B"/>
    <w:rsid w:val="001E2226"/>
    <w:rsid w:val="001F6233"/>
    <w:rsid w:val="002055D6"/>
    <w:rsid w:val="002355CD"/>
    <w:rsid w:val="00251052"/>
    <w:rsid w:val="00265E1D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A64AB"/>
    <w:rsid w:val="003C4BE2"/>
    <w:rsid w:val="003D147D"/>
    <w:rsid w:val="003D1985"/>
    <w:rsid w:val="003D637A"/>
    <w:rsid w:val="003F61CD"/>
    <w:rsid w:val="00417658"/>
    <w:rsid w:val="0042025A"/>
    <w:rsid w:val="00430015"/>
    <w:rsid w:val="004678D0"/>
    <w:rsid w:val="00482954"/>
    <w:rsid w:val="004951C0"/>
    <w:rsid w:val="00524001"/>
    <w:rsid w:val="005528B6"/>
    <w:rsid w:val="00564B63"/>
    <w:rsid w:val="00575DC7"/>
    <w:rsid w:val="005836C2"/>
    <w:rsid w:val="0059013A"/>
    <w:rsid w:val="005A4EFD"/>
    <w:rsid w:val="005A5ABE"/>
    <w:rsid w:val="005C2ECC"/>
    <w:rsid w:val="005C6744"/>
    <w:rsid w:val="005D7926"/>
    <w:rsid w:val="005E419E"/>
    <w:rsid w:val="005F63BD"/>
    <w:rsid w:val="00611CF1"/>
    <w:rsid w:val="006201D9"/>
    <w:rsid w:val="0062086B"/>
    <w:rsid w:val="0062735F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43610"/>
    <w:rsid w:val="008703CB"/>
    <w:rsid w:val="008B61AF"/>
    <w:rsid w:val="008B6A61"/>
    <w:rsid w:val="008C33C2"/>
    <w:rsid w:val="008C6137"/>
    <w:rsid w:val="008E2DB4"/>
    <w:rsid w:val="00901DD5"/>
    <w:rsid w:val="0090735B"/>
    <w:rsid w:val="00912D5E"/>
    <w:rsid w:val="009272A7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A8A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C3B86"/>
    <w:rsid w:val="00BD122F"/>
    <w:rsid w:val="00BD1614"/>
    <w:rsid w:val="00BD171E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15252"/>
    <w:rsid w:val="00D2263F"/>
    <w:rsid w:val="00D5608D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B5BC7"/>
    <w:rsid w:val="00DC3666"/>
    <w:rsid w:val="00DF25C1"/>
    <w:rsid w:val="00DF48F7"/>
    <w:rsid w:val="00DF4964"/>
    <w:rsid w:val="00DF4D73"/>
    <w:rsid w:val="00DF79B0"/>
    <w:rsid w:val="00E1047D"/>
    <w:rsid w:val="00E34373"/>
    <w:rsid w:val="00E34BBF"/>
    <w:rsid w:val="00E443FA"/>
    <w:rsid w:val="00E5061A"/>
    <w:rsid w:val="00E54FCE"/>
    <w:rsid w:val="00E60DA1"/>
    <w:rsid w:val="00E93D35"/>
    <w:rsid w:val="00EA45DB"/>
    <w:rsid w:val="00ED2CD9"/>
    <w:rsid w:val="00F05F9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D592E"/>
    <w:rsid w:val="00FD69C1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1C674EB-18FB-438B-8E4D-AFA6EB6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6273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C55D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68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web/pp-18/en/page/215-other-speech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68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PF_PP18Summaryrecord.dotx</Template>
  <TotalTime>5</TotalTime>
  <Pages>4</Pages>
  <Words>1102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8571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Royer, Veronique</dc:creator>
  <cp:keywords/>
  <dc:description/>
  <cp:lastModifiedBy>Royer, Veronique</cp:lastModifiedBy>
  <cp:revision>3</cp:revision>
  <cp:lastPrinted>2018-12-14T15:43:00Z</cp:lastPrinted>
  <dcterms:created xsi:type="dcterms:W3CDTF">2019-01-10T07:24:00Z</dcterms:created>
  <dcterms:modified xsi:type="dcterms:W3CDTF">2019-01-10T07:28:00Z</dcterms:modified>
  <cp:category>Conference document</cp:category>
</cp:coreProperties>
</file>