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675D48" w:rsidTr="00C86E54">
        <w:trPr>
          <w:cantSplit/>
        </w:trPr>
        <w:tc>
          <w:tcPr>
            <w:tcW w:w="6911" w:type="dxa"/>
            <w:vAlign w:val="center"/>
          </w:tcPr>
          <w:p w:rsidR="00BD1614" w:rsidRPr="00675D48" w:rsidRDefault="00BD1614" w:rsidP="00C86E54">
            <w:pPr>
              <w:rPr>
                <w:b/>
                <w:bCs/>
                <w:position w:val="6"/>
                <w:szCs w:val="24"/>
                <w:lang w:val="fr-CH"/>
              </w:rPr>
            </w:pPr>
            <w:bookmarkStart w:id="0" w:name="dbreak"/>
            <w:bookmarkStart w:id="1" w:name="dpp"/>
            <w:bookmarkEnd w:id="0"/>
            <w:bookmarkEnd w:id="1"/>
            <w:r w:rsidRPr="00675D48">
              <w:rPr>
                <w:rFonts w:cs="Times"/>
                <w:b/>
                <w:sz w:val="30"/>
                <w:szCs w:val="30"/>
                <w:lang w:val="fr-CH"/>
              </w:rPr>
              <w:t>Conférence de plénipotentiaires</w:t>
            </w:r>
            <w:r w:rsidRPr="00675D48">
              <w:rPr>
                <w:b/>
                <w:smallCaps/>
                <w:sz w:val="30"/>
                <w:szCs w:val="30"/>
                <w:lang w:val="fr-CH"/>
              </w:rPr>
              <w:t xml:space="preserve"> (PP-1</w:t>
            </w:r>
            <w:r w:rsidR="001E2226" w:rsidRPr="00675D48">
              <w:rPr>
                <w:b/>
                <w:smallCaps/>
                <w:sz w:val="30"/>
                <w:szCs w:val="30"/>
                <w:lang w:val="fr-CH"/>
              </w:rPr>
              <w:t>8</w:t>
            </w:r>
            <w:r w:rsidRPr="00675D48">
              <w:rPr>
                <w:b/>
                <w:smallCaps/>
                <w:sz w:val="30"/>
                <w:szCs w:val="30"/>
                <w:lang w:val="fr-CH"/>
              </w:rPr>
              <w:t>)</w:t>
            </w:r>
            <w:r w:rsidRPr="00675D48">
              <w:rPr>
                <w:b/>
                <w:smallCaps/>
                <w:sz w:val="36"/>
                <w:lang w:val="fr-CH"/>
              </w:rPr>
              <w:br/>
            </w:r>
            <w:r w:rsidR="001E2226" w:rsidRPr="00675D48">
              <w:rPr>
                <w:rFonts w:cs="Times New Roman Bold"/>
                <w:b/>
                <w:bCs/>
                <w:szCs w:val="24"/>
                <w:lang w:val="fr-CH"/>
              </w:rPr>
              <w:t>Dubaï</w:t>
            </w:r>
            <w:r w:rsidRPr="00675D48">
              <w:rPr>
                <w:rFonts w:cs="Times New Roman Bold"/>
                <w:b/>
                <w:bCs/>
                <w:szCs w:val="24"/>
                <w:lang w:val="fr-CH"/>
              </w:rPr>
              <w:t>, 2</w:t>
            </w:r>
            <w:r w:rsidR="001E2226" w:rsidRPr="00675D48">
              <w:rPr>
                <w:rFonts w:cs="Times New Roman Bold"/>
                <w:b/>
                <w:bCs/>
                <w:szCs w:val="24"/>
                <w:lang w:val="fr-CH"/>
              </w:rPr>
              <w:t>9</w:t>
            </w:r>
            <w:r w:rsidRPr="00675D48">
              <w:rPr>
                <w:rFonts w:cs="Times New Roman Bold"/>
                <w:b/>
                <w:bCs/>
                <w:szCs w:val="24"/>
                <w:lang w:val="fr-CH"/>
              </w:rPr>
              <w:t xml:space="preserve"> octobre </w:t>
            </w:r>
            <w:r w:rsidR="001E2226" w:rsidRPr="00675D48">
              <w:rPr>
                <w:rFonts w:cs="Times New Roman Bold"/>
                <w:b/>
                <w:bCs/>
                <w:szCs w:val="24"/>
                <w:lang w:val="fr-CH"/>
              </w:rPr>
              <w:t>–</w:t>
            </w:r>
            <w:r w:rsidRPr="00675D48">
              <w:rPr>
                <w:rFonts w:cs="Times New Roman Bold"/>
                <w:b/>
                <w:bCs/>
                <w:szCs w:val="24"/>
                <w:lang w:val="fr-CH"/>
              </w:rPr>
              <w:t xml:space="preserve"> </w:t>
            </w:r>
            <w:r w:rsidR="001E2226" w:rsidRPr="00675D48">
              <w:rPr>
                <w:rFonts w:cs="Times New Roman Bold"/>
                <w:b/>
                <w:bCs/>
                <w:szCs w:val="24"/>
                <w:lang w:val="fr-CH"/>
              </w:rPr>
              <w:t>16</w:t>
            </w:r>
            <w:r w:rsidRPr="00675D48">
              <w:rPr>
                <w:rFonts w:cs="Times New Roman Bold"/>
                <w:b/>
                <w:bCs/>
                <w:szCs w:val="24"/>
                <w:lang w:val="fr-CH"/>
              </w:rPr>
              <w:t xml:space="preserve"> novembre 201</w:t>
            </w:r>
            <w:r w:rsidR="001E2226" w:rsidRPr="00675D48">
              <w:rPr>
                <w:rFonts w:cs="Times New Roman Bold"/>
                <w:b/>
                <w:bCs/>
                <w:szCs w:val="24"/>
                <w:lang w:val="fr-CH"/>
              </w:rPr>
              <w:t>8</w:t>
            </w:r>
          </w:p>
        </w:tc>
        <w:tc>
          <w:tcPr>
            <w:tcW w:w="3120" w:type="dxa"/>
          </w:tcPr>
          <w:p w:rsidR="00BD1614" w:rsidRPr="00675D48" w:rsidRDefault="00BD1614" w:rsidP="004C631C">
            <w:pPr>
              <w:spacing w:before="0"/>
              <w:rPr>
                <w:rFonts w:cstheme="minorHAnsi"/>
                <w:lang w:val="fr-CH"/>
              </w:rPr>
            </w:pPr>
            <w:bookmarkStart w:id="2" w:name="ditulogo"/>
            <w:bookmarkEnd w:id="2"/>
            <w:r w:rsidRPr="00675D48">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675D48" w:rsidTr="006A046E">
        <w:trPr>
          <w:cantSplit/>
        </w:trPr>
        <w:tc>
          <w:tcPr>
            <w:tcW w:w="6911" w:type="dxa"/>
            <w:tcBorders>
              <w:bottom w:val="single" w:sz="12" w:space="0" w:color="auto"/>
            </w:tcBorders>
          </w:tcPr>
          <w:p w:rsidR="00BD1614" w:rsidRPr="00675D48" w:rsidRDefault="00BD1614" w:rsidP="004C631C">
            <w:pPr>
              <w:spacing w:before="0" w:after="48"/>
              <w:rPr>
                <w:rFonts w:cstheme="minorHAnsi"/>
                <w:b/>
                <w:smallCaps/>
                <w:szCs w:val="24"/>
                <w:lang w:val="fr-CH"/>
              </w:rPr>
            </w:pPr>
            <w:bookmarkStart w:id="3" w:name="dhead"/>
          </w:p>
        </w:tc>
        <w:tc>
          <w:tcPr>
            <w:tcW w:w="3120" w:type="dxa"/>
            <w:tcBorders>
              <w:bottom w:val="single" w:sz="12" w:space="0" w:color="auto"/>
            </w:tcBorders>
          </w:tcPr>
          <w:p w:rsidR="00BD1614" w:rsidRPr="00675D48" w:rsidRDefault="00BD1614" w:rsidP="004C631C">
            <w:pPr>
              <w:spacing w:before="0" w:after="48"/>
              <w:rPr>
                <w:rFonts w:cstheme="minorHAnsi"/>
                <w:b/>
                <w:smallCaps/>
                <w:szCs w:val="24"/>
                <w:lang w:val="fr-CH"/>
              </w:rPr>
            </w:pPr>
          </w:p>
        </w:tc>
      </w:tr>
      <w:tr w:rsidR="00BD1614" w:rsidRPr="00675D48" w:rsidTr="006A046E">
        <w:trPr>
          <w:cantSplit/>
        </w:trPr>
        <w:tc>
          <w:tcPr>
            <w:tcW w:w="6911" w:type="dxa"/>
            <w:tcBorders>
              <w:top w:val="single" w:sz="12" w:space="0" w:color="auto"/>
            </w:tcBorders>
          </w:tcPr>
          <w:p w:rsidR="00BD1614" w:rsidRPr="00675D48" w:rsidRDefault="00BD1614" w:rsidP="004C631C">
            <w:pPr>
              <w:spacing w:before="0"/>
              <w:rPr>
                <w:rFonts w:cstheme="minorHAnsi"/>
                <w:b/>
                <w:smallCaps/>
                <w:szCs w:val="24"/>
                <w:lang w:val="fr-CH"/>
              </w:rPr>
            </w:pPr>
          </w:p>
        </w:tc>
        <w:tc>
          <w:tcPr>
            <w:tcW w:w="3120" w:type="dxa"/>
            <w:tcBorders>
              <w:top w:val="single" w:sz="12" w:space="0" w:color="auto"/>
            </w:tcBorders>
          </w:tcPr>
          <w:p w:rsidR="00BD1614" w:rsidRPr="00675D48" w:rsidRDefault="00BD1614" w:rsidP="004C631C">
            <w:pPr>
              <w:spacing w:before="0"/>
              <w:rPr>
                <w:rFonts w:cstheme="minorHAnsi"/>
                <w:szCs w:val="24"/>
                <w:lang w:val="fr-CH"/>
              </w:rPr>
            </w:pPr>
          </w:p>
        </w:tc>
      </w:tr>
      <w:tr w:rsidR="00BD1614" w:rsidRPr="00675D48" w:rsidTr="006A046E">
        <w:trPr>
          <w:cantSplit/>
        </w:trPr>
        <w:tc>
          <w:tcPr>
            <w:tcW w:w="6911" w:type="dxa"/>
          </w:tcPr>
          <w:p w:rsidR="00BD1614" w:rsidRPr="00675D48" w:rsidRDefault="00417658" w:rsidP="004C631C">
            <w:pPr>
              <w:pStyle w:val="Committee"/>
              <w:framePr w:hSpace="0" w:wrap="auto" w:hAnchor="text" w:yAlign="inline"/>
              <w:spacing w:after="0" w:line="240" w:lineRule="auto"/>
              <w:rPr>
                <w:lang w:val="fr-CH"/>
              </w:rPr>
            </w:pPr>
            <w:r w:rsidRPr="00675D48">
              <w:rPr>
                <w:lang w:val="fr-CH"/>
              </w:rPr>
              <w:t>SÉANCE PLÉNIÈRE</w:t>
            </w:r>
          </w:p>
        </w:tc>
        <w:tc>
          <w:tcPr>
            <w:tcW w:w="3120" w:type="dxa"/>
          </w:tcPr>
          <w:p w:rsidR="00BD1614" w:rsidRPr="00675D48" w:rsidRDefault="00417658" w:rsidP="004C631C">
            <w:pPr>
              <w:spacing w:before="0"/>
              <w:rPr>
                <w:rFonts w:cstheme="minorHAnsi"/>
                <w:szCs w:val="24"/>
                <w:lang w:val="fr-CH"/>
              </w:rPr>
            </w:pPr>
            <w:r w:rsidRPr="00675D48">
              <w:rPr>
                <w:rFonts w:cstheme="minorHAnsi"/>
                <w:b/>
                <w:szCs w:val="24"/>
                <w:lang w:val="fr-CH"/>
              </w:rPr>
              <w:t xml:space="preserve">Document </w:t>
            </w:r>
            <w:r w:rsidR="004C631C" w:rsidRPr="00675D48">
              <w:rPr>
                <w:rFonts w:cstheme="minorHAnsi"/>
                <w:b/>
                <w:szCs w:val="24"/>
                <w:lang w:val="fr-CH"/>
              </w:rPr>
              <w:t>173</w:t>
            </w:r>
            <w:r w:rsidRPr="00675D48">
              <w:rPr>
                <w:rFonts w:cstheme="minorHAnsi"/>
                <w:b/>
                <w:szCs w:val="24"/>
                <w:lang w:val="fr-CH"/>
              </w:rPr>
              <w:t>-F</w:t>
            </w:r>
          </w:p>
        </w:tc>
      </w:tr>
      <w:tr w:rsidR="00BD1614" w:rsidRPr="00675D48" w:rsidTr="006A046E">
        <w:trPr>
          <w:cantSplit/>
        </w:trPr>
        <w:tc>
          <w:tcPr>
            <w:tcW w:w="6911" w:type="dxa"/>
          </w:tcPr>
          <w:p w:rsidR="00BD1614" w:rsidRPr="00675D48" w:rsidRDefault="00BD1614" w:rsidP="004C631C">
            <w:pPr>
              <w:spacing w:before="0"/>
              <w:rPr>
                <w:rFonts w:cstheme="minorHAnsi"/>
                <w:b/>
                <w:szCs w:val="24"/>
                <w:lang w:val="fr-CH"/>
              </w:rPr>
            </w:pPr>
          </w:p>
        </w:tc>
        <w:tc>
          <w:tcPr>
            <w:tcW w:w="3120" w:type="dxa"/>
          </w:tcPr>
          <w:p w:rsidR="00BD1614" w:rsidRPr="00675D48" w:rsidRDefault="004C631C" w:rsidP="004C631C">
            <w:pPr>
              <w:spacing w:before="0"/>
              <w:rPr>
                <w:rFonts w:cstheme="minorHAnsi"/>
                <w:b/>
                <w:szCs w:val="24"/>
                <w:lang w:val="fr-CH"/>
              </w:rPr>
            </w:pPr>
            <w:r w:rsidRPr="00675D48">
              <w:rPr>
                <w:rFonts w:cstheme="minorHAnsi"/>
                <w:b/>
                <w:szCs w:val="24"/>
                <w:lang w:val="fr-CH"/>
              </w:rPr>
              <w:t>7</w:t>
            </w:r>
            <w:r w:rsidR="00417658" w:rsidRPr="00675D48">
              <w:rPr>
                <w:rFonts w:cstheme="minorHAnsi"/>
                <w:b/>
                <w:szCs w:val="24"/>
                <w:lang w:val="fr-CH"/>
              </w:rPr>
              <w:t xml:space="preserve"> </w:t>
            </w:r>
            <w:r w:rsidRPr="00675D48">
              <w:rPr>
                <w:rFonts w:cstheme="minorHAnsi"/>
                <w:b/>
                <w:szCs w:val="24"/>
                <w:lang w:val="fr-CH"/>
              </w:rPr>
              <w:t xml:space="preserve">décembre </w:t>
            </w:r>
            <w:r w:rsidR="00417658" w:rsidRPr="00675D48">
              <w:rPr>
                <w:rFonts w:cstheme="minorHAnsi"/>
                <w:b/>
                <w:szCs w:val="24"/>
                <w:lang w:val="fr-CH"/>
              </w:rPr>
              <w:t>201</w:t>
            </w:r>
            <w:r w:rsidR="00084EA9" w:rsidRPr="00675D48">
              <w:rPr>
                <w:rFonts w:cstheme="minorHAnsi"/>
                <w:b/>
                <w:szCs w:val="24"/>
                <w:lang w:val="fr-CH"/>
              </w:rPr>
              <w:t>8</w:t>
            </w:r>
          </w:p>
        </w:tc>
      </w:tr>
      <w:tr w:rsidR="00BD1614" w:rsidRPr="00675D48" w:rsidTr="006A046E">
        <w:trPr>
          <w:cantSplit/>
        </w:trPr>
        <w:tc>
          <w:tcPr>
            <w:tcW w:w="6911" w:type="dxa"/>
          </w:tcPr>
          <w:p w:rsidR="00BD1614" w:rsidRPr="00675D48" w:rsidRDefault="00BD1614" w:rsidP="004C631C">
            <w:pPr>
              <w:spacing w:before="0"/>
              <w:rPr>
                <w:rFonts w:cstheme="minorHAnsi"/>
                <w:b/>
                <w:smallCaps/>
                <w:szCs w:val="24"/>
                <w:lang w:val="fr-CH"/>
              </w:rPr>
            </w:pPr>
          </w:p>
        </w:tc>
        <w:tc>
          <w:tcPr>
            <w:tcW w:w="3120" w:type="dxa"/>
          </w:tcPr>
          <w:p w:rsidR="00BD1614" w:rsidRPr="00675D48" w:rsidRDefault="00417658" w:rsidP="004C631C">
            <w:pPr>
              <w:spacing w:before="0"/>
              <w:rPr>
                <w:rFonts w:cstheme="minorHAnsi"/>
                <w:b/>
                <w:szCs w:val="24"/>
                <w:lang w:val="fr-CH"/>
              </w:rPr>
            </w:pPr>
            <w:r w:rsidRPr="00675D48">
              <w:rPr>
                <w:rFonts w:cstheme="minorHAnsi"/>
                <w:b/>
                <w:szCs w:val="24"/>
                <w:lang w:val="fr-CH"/>
              </w:rPr>
              <w:t>Original: anglais</w:t>
            </w:r>
          </w:p>
        </w:tc>
      </w:tr>
      <w:tr w:rsidR="00BD1614" w:rsidRPr="00675D48" w:rsidTr="006A046E">
        <w:trPr>
          <w:cantSplit/>
        </w:trPr>
        <w:tc>
          <w:tcPr>
            <w:tcW w:w="10031" w:type="dxa"/>
            <w:gridSpan w:val="2"/>
          </w:tcPr>
          <w:p w:rsidR="00BD1614" w:rsidRPr="00675D48" w:rsidRDefault="00BD1614" w:rsidP="004C631C">
            <w:pPr>
              <w:spacing w:before="0"/>
              <w:rPr>
                <w:rFonts w:cstheme="minorHAnsi"/>
                <w:b/>
                <w:szCs w:val="24"/>
                <w:lang w:val="fr-CH"/>
              </w:rPr>
            </w:pPr>
          </w:p>
        </w:tc>
      </w:tr>
      <w:tr w:rsidR="008B6A61" w:rsidRPr="00675D48" w:rsidTr="006A046E">
        <w:trPr>
          <w:cantSplit/>
        </w:trPr>
        <w:tc>
          <w:tcPr>
            <w:tcW w:w="10031" w:type="dxa"/>
            <w:gridSpan w:val="2"/>
          </w:tcPr>
          <w:p w:rsidR="008B6A61" w:rsidRPr="00675D48" w:rsidRDefault="008B6A61" w:rsidP="004C631C">
            <w:pPr>
              <w:pStyle w:val="Title1"/>
              <w:spacing w:before="720"/>
              <w:rPr>
                <w:lang w:val="fr-CH"/>
              </w:rPr>
            </w:pPr>
            <w:bookmarkStart w:id="4" w:name="dsource" w:colFirst="0" w:colLast="0"/>
            <w:bookmarkEnd w:id="3"/>
            <w:r w:rsidRPr="00675D48">
              <w:rPr>
                <w:lang w:val="fr-CH"/>
              </w:rPr>
              <w:t>procès-verbal</w:t>
            </w:r>
          </w:p>
          <w:p w:rsidR="008B6A61" w:rsidRPr="00675D48" w:rsidRDefault="008B6A61" w:rsidP="004C631C">
            <w:pPr>
              <w:pStyle w:val="Title1"/>
              <w:rPr>
                <w:lang w:val="fr-CH"/>
              </w:rPr>
            </w:pPr>
            <w:r w:rsidRPr="00675D48">
              <w:rPr>
                <w:lang w:val="fr-CH"/>
              </w:rPr>
              <w:t>DE LA</w:t>
            </w:r>
          </w:p>
          <w:p w:rsidR="008B6A61" w:rsidRPr="00675D48" w:rsidRDefault="004C631C" w:rsidP="004C631C">
            <w:pPr>
              <w:pStyle w:val="Title1"/>
              <w:rPr>
                <w:lang w:val="fr-CH"/>
              </w:rPr>
            </w:pPr>
            <w:r w:rsidRPr="00675D48">
              <w:rPr>
                <w:lang w:val="fr-CH"/>
              </w:rPr>
              <w:t>SEIZIÈME SÉANCE PLÉNIÈRE</w:t>
            </w:r>
          </w:p>
        </w:tc>
      </w:tr>
      <w:tr w:rsidR="004C631C" w:rsidRPr="00675D48" w:rsidTr="006A046E">
        <w:trPr>
          <w:cantSplit/>
        </w:trPr>
        <w:tc>
          <w:tcPr>
            <w:tcW w:w="10031" w:type="dxa"/>
            <w:gridSpan w:val="2"/>
          </w:tcPr>
          <w:p w:rsidR="004C631C" w:rsidRPr="00675D48" w:rsidRDefault="004C631C" w:rsidP="004C631C">
            <w:pPr>
              <w:spacing w:after="120"/>
              <w:jc w:val="center"/>
              <w:rPr>
                <w:b/>
                <w:bCs/>
                <w:lang w:val="fr-CH"/>
              </w:rPr>
            </w:pPr>
            <w:r w:rsidRPr="00675D48">
              <w:rPr>
                <w:lang w:val="fr-CH"/>
              </w:rPr>
              <w:t>Jeudi 15 novembre 2018, à 9 h 45</w:t>
            </w:r>
          </w:p>
        </w:tc>
      </w:tr>
      <w:tr w:rsidR="008B6A61" w:rsidRPr="00675D48" w:rsidTr="006A046E">
        <w:trPr>
          <w:cantSplit/>
        </w:trPr>
        <w:tc>
          <w:tcPr>
            <w:tcW w:w="10031" w:type="dxa"/>
            <w:gridSpan w:val="2"/>
          </w:tcPr>
          <w:p w:rsidR="008B6A61" w:rsidRPr="00675D48" w:rsidRDefault="008B6A61" w:rsidP="004C631C">
            <w:pPr>
              <w:spacing w:after="120"/>
              <w:jc w:val="center"/>
              <w:rPr>
                <w:lang w:val="fr-CH"/>
              </w:rPr>
            </w:pPr>
            <w:bookmarkStart w:id="5" w:name="dtitle3" w:colFirst="0" w:colLast="0"/>
            <w:bookmarkEnd w:id="4"/>
            <w:r w:rsidRPr="00675D48">
              <w:rPr>
                <w:b/>
                <w:bCs/>
                <w:lang w:val="fr-CH"/>
              </w:rPr>
              <w:t>Président:</w:t>
            </w:r>
            <w:r w:rsidRPr="00675D48">
              <w:rPr>
                <w:lang w:val="fr-CH"/>
              </w:rPr>
              <w:t xml:space="preserve"> </w:t>
            </w:r>
            <w:bookmarkStart w:id="6" w:name="lt_pId016"/>
            <w:r w:rsidR="004C631C" w:rsidRPr="00675D48">
              <w:rPr>
                <w:lang w:val="fr-CH"/>
              </w:rPr>
              <w:t>M. Majed ALMESMAR (Emirats arabes unis)</w:t>
            </w:r>
            <w:bookmarkEnd w:id="6"/>
          </w:p>
        </w:tc>
      </w:tr>
      <w:bookmarkEnd w:id="5"/>
    </w:tbl>
    <w:p w:rsidR="008B6A61" w:rsidRPr="00675D48" w:rsidRDefault="008B6A61" w:rsidP="004C631C">
      <w:pPr>
        <w:rPr>
          <w:lang w:val="fr-CH"/>
        </w:rPr>
      </w:pPr>
    </w:p>
    <w:tbl>
      <w:tblPr>
        <w:tblW w:w="10031" w:type="dxa"/>
        <w:tblLayout w:type="fixed"/>
        <w:tblLook w:val="0000" w:firstRow="0" w:lastRow="0" w:firstColumn="0" w:lastColumn="0" w:noHBand="0" w:noVBand="0"/>
      </w:tblPr>
      <w:tblGrid>
        <w:gridCol w:w="534"/>
        <w:gridCol w:w="7164"/>
        <w:gridCol w:w="2333"/>
      </w:tblGrid>
      <w:tr w:rsidR="004C631C" w:rsidRPr="00675D48" w:rsidTr="00E30C99">
        <w:tc>
          <w:tcPr>
            <w:tcW w:w="534" w:type="dxa"/>
          </w:tcPr>
          <w:p w:rsidR="004C631C" w:rsidRPr="00675D48" w:rsidRDefault="004C631C" w:rsidP="004C631C">
            <w:pPr>
              <w:pStyle w:val="toc0"/>
              <w:rPr>
                <w:lang w:val="fr-CH"/>
              </w:rPr>
            </w:pPr>
          </w:p>
        </w:tc>
        <w:tc>
          <w:tcPr>
            <w:tcW w:w="7164" w:type="dxa"/>
          </w:tcPr>
          <w:p w:rsidR="004C631C" w:rsidRPr="00675D48" w:rsidRDefault="004C631C" w:rsidP="004C631C">
            <w:pPr>
              <w:pStyle w:val="toc0"/>
              <w:rPr>
                <w:lang w:val="fr-CH"/>
              </w:rPr>
            </w:pPr>
            <w:r w:rsidRPr="00675D48">
              <w:rPr>
                <w:rFonts w:asciiTheme="minorHAnsi" w:hAnsiTheme="minorHAnsi"/>
                <w:bCs/>
                <w:szCs w:val="24"/>
                <w:lang w:val="fr-CH"/>
              </w:rPr>
              <w:t>Sujets traités</w:t>
            </w:r>
          </w:p>
        </w:tc>
        <w:tc>
          <w:tcPr>
            <w:tcW w:w="2333" w:type="dxa"/>
          </w:tcPr>
          <w:p w:rsidR="004C631C" w:rsidRPr="00675D48" w:rsidRDefault="004C631C" w:rsidP="004C631C">
            <w:pPr>
              <w:pStyle w:val="toc0"/>
              <w:jc w:val="center"/>
              <w:rPr>
                <w:lang w:val="fr-CH"/>
              </w:rPr>
            </w:pPr>
            <w:bookmarkStart w:id="7" w:name="lt_pId018"/>
            <w:r w:rsidRPr="00675D48">
              <w:rPr>
                <w:lang w:val="fr-CH"/>
              </w:rPr>
              <w:t>Documents</w:t>
            </w:r>
            <w:bookmarkEnd w:id="7"/>
          </w:p>
        </w:tc>
      </w:tr>
      <w:tr w:rsidR="004C631C" w:rsidRPr="00675D48" w:rsidTr="00E30C99">
        <w:tc>
          <w:tcPr>
            <w:tcW w:w="534" w:type="dxa"/>
          </w:tcPr>
          <w:p w:rsidR="004C631C" w:rsidRPr="00675D48" w:rsidRDefault="004C631C" w:rsidP="004C631C">
            <w:pPr>
              <w:ind w:left="567" w:hanging="567"/>
              <w:rPr>
                <w:lang w:val="fr-CH"/>
              </w:rPr>
            </w:pPr>
            <w:r w:rsidRPr="00675D48">
              <w:rPr>
                <w:lang w:val="fr-CH"/>
              </w:rPr>
              <w:t>1</w:t>
            </w:r>
          </w:p>
        </w:tc>
        <w:tc>
          <w:tcPr>
            <w:tcW w:w="7164" w:type="dxa"/>
          </w:tcPr>
          <w:p w:rsidR="004C631C" w:rsidRPr="00675D48" w:rsidRDefault="004C631C" w:rsidP="004C631C">
            <w:pPr>
              <w:rPr>
                <w:lang w:val="fr-CH"/>
              </w:rPr>
            </w:pPr>
            <w:r w:rsidRPr="00675D48">
              <w:rPr>
                <w:lang w:val="fr-CH"/>
              </w:rPr>
              <w:t>Rapport du Président de la Commission 5</w:t>
            </w:r>
          </w:p>
        </w:tc>
        <w:tc>
          <w:tcPr>
            <w:tcW w:w="2333" w:type="dxa"/>
          </w:tcPr>
          <w:p w:rsidR="004C631C" w:rsidRPr="00675D48" w:rsidRDefault="00C86E54" w:rsidP="004C631C">
            <w:pPr>
              <w:jc w:val="center"/>
              <w:rPr>
                <w:lang w:val="fr-CH"/>
              </w:rPr>
            </w:pPr>
            <w:hyperlink r:id="rId9" w:history="1">
              <w:r w:rsidR="004C631C" w:rsidRPr="00675D48">
                <w:rPr>
                  <w:rStyle w:val="Hyperlink"/>
                  <w:lang w:val="fr-CH"/>
                </w:rPr>
                <w:t>155</w:t>
              </w:r>
            </w:hyperlink>
          </w:p>
        </w:tc>
      </w:tr>
      <w:tr w:rsidR="004C631C" w:rsidRPr="00675D48" w:rsidTr="00E30C99">
        <w:tc>
          <w:tcPr>
            <w:tcW w:w="534" w:type="dxa"/>
          </w:tcPr>
          <w:p w:rsidR="004C631C" w:rsidRPr="00675D48" w:rsidRDefault="004C631C" w:rsidP="004C631C">
            <w:pPr>
              <w:ind w:left="567" w:hanging="567"/>
              <w:rPr>
                <w:lang w:val="fr-CH"/>
              </w:rPr>
            </w:pPr>
            <w:r w:rsidRPr="00675D48">
              <w:rPr>
                <w:lang w:val="fr-CH"/>
              </w:rPr>
              <w:t>2</w:t>
            </w:r>
          </w:p>
        </w:tc>
        <w:tc>
          <w:tcPr>
            <w:tcW w:w="7164" w:type="dxa"/>
          </w:tcPr>
          <w:p w:rsidR="004C631C" w:rsidRPr="00675D48" w:rsidRDefault="004C631C" w:rsidP="004C631C">
            <w:pPr>
              <w:rPr>
                <w:lang w:val="fr-CH"/>
              </w:rPr>
            </w:pPr>
            <w:bookmarkStart w:id="8" w:name="lt_pId023"/>
            <w:r w:rsidRPr="00675D48">
              <w:rPr>
                <w:lang w:val="fr-CH"/>
              </w:rPr>
              <w:t>Rapport du Président de la Commission 6</w:t>
            </w:r>
            <w:bookmarkEnd w:id="8"/>
            <w:r w:rsidRPr="00675D48">
              <w:rPr>
                <w:lang w:val="fr-CH"/>
              </w:rPr>
              <w:t xml:space="preserve"> </w:t>
            </w:r>
          </w:p>
        </w:tc>
        <w:tc>
          <w:tcPr>
            <w:tcW w:w="2333" w:type="dxa"/>
          </w:tcPr>
          <w:p w:rsidR="004C631C" w:rsidRPr="00675D48" w:rsidRDefault="00C86E54" w:rsidP="004C631C">
            <w:pPr>
              <w:jc w:val="center"/>
              <w:rPr>
                <w:lang w:val="fr-CH"/>
              </w:rPr>
            </w:pPr>
            <w:hyperlink r:id="rId10" w:history="1">
              <w:r w:rsidR="004C631C" w:rsidRPr="00675D48">
                <w:rPr>
                  <w:rStyle w:val="Hyperlink"/>
                  <w:lang w:val="fr-CH"/>
                </w:rPr>
                <w:t>100</w:t>
              </w:r>
            </w:hyperlink>
          </w:p>
        </w:tc>
      </w:tr>
      <w:tr w:rsidR="004C631C" w:rsidRPr="00675D48" w:rsidTr="00E30C99">
        <w:tc>
          <w:tcPr>
            <w:tcW w:w="534" w:type="dxa"/>
          </w:tcPr>
          <w:p w:rsidR="004C631C" w:rsidRPr="00675D48" w:rsidRDefault="004C631C" w:rsidP="004C631C">
            <w:pPr>
              <w:ind w:left="567" w:hanging="567"/>
              <w:rPr>
                <w:lang w:val="fr-CH"/>
              </w:rPr>
            </w:pPr>
            <w:r w:rsidRPr="00675D48">
              <w:rPr>
                <w:lang w:val="fr-CH"/>
              </w:rPr>
              <w:t>3</w:t>
            </w:r>
          </w:p>
        </w:tc>
        <w:tc>
          <w:tcPr>
            <w:tcW w:w="7164" w:type="dxa"/>
          </w:tcPr>
          <w:p w:rsidR="004C631C" w:rsidRPr="00675D48" w:rsidRDefault="004C631C" w:rsidP="004C631C">
            <w:pPr>
              <w:rPr>
                <w:lang w:val="fr-CH"/>
              </w:rPr>
            </w:pPr>
            <w:r w:rsidRPr="00675D48">
              <w:rPr>
                <w:lang w:val="fr-CH"/>
              </w:rPr>
              <w:t>Rapport de la Présidente du Groupe de travail de la plénière</w:t>
            </w:r>
          </w:p>
        </w:tc>
        <w:tc>
          <w:tcPr>
            <w:tcW w:w="2333" w:type="dxa"/>
          </w:tcPr>
          <w:p w:rsidR="004C631C" w:rsidRPr="00675D48" w:rsidRDefault="00C86E54" w:rsidP="004C631C">
            <w:pPr>
              <w:jc w:val="center"/>
              <w:rPr>
                <w:lang w:val="fr-CH"/>
              </w:rPr>
            </w:pPr>
            <w:hyperlink r:id="rId11" w:history="1">
              <w:r w:rsidR="004C631C" w:rsidRPr="00675D48">
                <w:rPr>
                  <w:rStyle w:val="Hyperlink"/>
                  <w:lang w:val="fr-CH"/>
                </w:rPr>
                <w:t>143</w:t>
              </w:r>
            </w:hyperlink>
          </w:p>
        </w:tc>
      </w:tr>
      <w:tr w:rsidR="004C631C" w:rsidRPr="00675D48" w:rsidTr="00E30C99">
        <w:tc>
          <w:tcPr>
            <w:tcW w:w="534" w:type="dxa"/>
          </w:tcPr>
          <w:p w:rsidR="004C631C" w:rsidRPr="00675D48" w:rsidRDefault="004C631C" w:rsidP="004C631C">
            <w:pPr>
              <w:ind w:left="567" w:hanging="567"/>
              <w:rPr>
                <w:lang w:val="fr-CH"/>
              </w:rPr>
            </w:pPr>
            <w:r w:rsidRPr="00675D48">
              <w:rPr>
                <w:lang w:val="fr-CH"/>
              </w:rPr>
              <w:t>4</w:t>
            </w:r>
          </w:p>
        </w:tc>
        <w:tc>
          <w:tcPr>
            <w:tcW w:w="7164" w:type="dxa"/>
          </w:tcPr>
          <w:p w:rsidR="004C631C" w:rsidRPr="00675D48" w:rsidRDefault="004C631C" w:rsidP="004C631C">
            <w:pPr>
              <w:rPr>
                <w:lang w:val="fr-CH"/>
              </w:rPr>
            </w:pPr>
            <w:bookmarkStart w:id="9" w:name="lt_pId029"/>
            <w:r w:rsidRPr="00675D48">
              <w:rPr>
                <w:lang w:val="fr-CH"/>
              </w:rPr>
              <w:t>Quatorzième série de textes soumis par la Commission de rédaction en première lecture (B14)</w:t>
            </w:r>
            <w:bookmarkEnd w:id="9"/>
          </w:p>
        </w:tc>
        <w:tc>
          <w:tcPr>
            <w:tcW w:w="2333" w:type="dxa"/>
            <w:vMerge w:val="restart"/>
            <w:vAlign w:val="center"/>
          </w:tcPr>
          <w:p w:rsidR="004C631C" w:rsidRPr="00675D48" w:rsidRDefault="00C86E54" w:rsidP="003A1453">
            <w:pPr>
              <w:spacing w:before="0"/>
              <w:jc w:val="center"/>
              <w:rPr>
                <w:lang w:val="fr-CH"/>
              </w:rPr>
            </w:pPr>
            <w:hyperlink r:id="rId12" w:history="1">
              <w:r w:rsidR="004C631C" w:rsidRPr="00675D48">
                <w:rPr>
                  <w:rStyle w:val="Hyperlink"/>
                  <w:lang w:val="fr-CH"/>
                </w:rPr>
                <w:t>140</w:t>
              </w:r>
            </w:hyperlink>
          </w:p>
        </w:tc>
      </w:tr>
      <w:tr w:rsidR="004C631C" w:rsidRPr="00675D48" w:rsidTr="00E30C99">
        <w:tc>
          <w:tcPr>
            <w:tcW w:w="534" w:type="dxa"/>
          </w:tcPr>
          <w:p w:rsidR="004C631C" w:rsidRPr="00675D48" w:rsidRDefault="004C631C" w:rsidP="004C631C">
            <w:pPr>
              <w:ind w:left="567" w:hanging="567"/>
              <w:rPr>
                <w:lang w:val="fr-CH"/>
              </w:rPr>
            </w:pPr>
            <w:r w:rsidRPr="00675D48">
              <w:rPr>
                <w:lang w:val="fr-CH"/>
              </w:rPr>
              <w:t>5</w:t>
            </w:r>
          </w:p>
        </w:tc>
        <w:tc>
          <w:tcPr>
            <w:tcW w:w="7164" w:type="dxa"/>
          </w:tcPr>
          <w:p w:rsidR="004C631C" w:rsidRPr="00675D48" w:rsidRDefault="004C631C" w:rsidP="004C631C">
            <w:pPr>
              <w:rPr>
                <w:lang w:val="fr-CH"/>
              </w:rPr>
            </w:pPr>
            <w:bookmarkStart w:id="10" w:name="lt_pId032"/>
            <w:r w:rsidRPr="00675D48">
              <w:rPr>
                <w:lang w:val="fr-CH"/>
              </w:rPr>
              <w:t>Quatorzième série de textes soumis par la Commission de rédaction en seconde lecture</w:t>
            </w:r>
            <w:bookmarkEnd w:id="10"/>
          </w:p>
        </w:tc>
        <w:tc>
          <w:tcPr>
            <w:tcW w:w="2333" w:type="dxa"/>
            <w:vMerge/>
          </w:tcPr>
          <w:p w:rsidR="004C631C" w:rsidRPr="00675D48" w:rsidRDefault="004C631C" w:rsidP="004C631C">
            <w:pPr>
              <w:jc w:val="center"/>
              <w:rPr>
                <w:lang w:val="fr-CH"/>
              </w:rPr>
            </w:pPr>
          </w:p>
        </w:tc>
      </w:tr>
      <w:tr w:rsidR="004C631C" w:rsidRPr="00675D48" w:rsidTr="00E30C99">
        <w:tc>
          <w:tcPr>
            <w:tcW w:w="534" w:type="dxa"/>
          </w:tcPr>
          <w:p w:rsidR="004C631C" w:rsidRPr="00675D48" w:rsidRDefault="004C631C" w:rsidP="004C631C">
            <w:pPr>
              <w:ind w:left="567" w:hanging="567"/>
              <w:rPr>
                <w:lang w:val="fr-CH"/>
              </w:rPr>
            </w:pPr>
            <w:r w:rsidRPr="00675D48">
              <w:rPr>
                <w:lang w:val="fr-CH"/>
              </w:rPr>
              <w:t>6</w:t>
            </w:r>
          </w:p>
        </w:tc>
        <w:tc>
          <w:tcPr>
            <w:tcW w:w="7164" w:type="dxa"/>
          </w:tcPr>
          <w:p w:rsidR="004C631C" w:rsidRPr="00675D48" w:rsidRDefault="004C631C" w:rsidP="004C631C">
            <w:pPr>
              <w:tabs>
                <w:tab w:val="left" w:pos="4660"/>
              </w:tabs>
              <w:rPr>
                <w:lang w:val="fr-CH"/>
              </w:rPr>
            </w:pPr>
            <w:bookmarkStart w:id="11" w:name="lt_pId034"/>
            <w:r w:rsidRPr="00675D48">
              <w:rPr>
                <w:lang w:val="fr-CH"/>
              </w:rPr>
              <w:t>Dix-septième série de textes soumis par la Commission de rédaction en première lecture (B17)</w:t>
            </w:r>
            <w:bookmarkEnd w:id="11"/>
          </w:p>
        </w:tc>
        <w:tc>
          <w:tcPr>
            <w:tcW w:w="2333" w:type="dxa"/>
            <w:vMerge w:val="restart"/>
            <w:vAlign w:val="center"/>
          </w:tcPr>
          <w:p w:rsidR="004C631C" w:rsidRPr="00675D48" w:rsidRDefault="00C86E54" w:rsidP="003A1453">
            <w:pPr>
              <w:spacing w:before="0"/>
              <w:jc w:val="center"/>
              <w:rPr>
                <w:lang w:val="fr-CH"/>
              </w:rPr>
            </w:pPr>
            <w:hyperlink r:id="rId13" w:history="1">
              <w:r w:rsidR="004C631C" w:rsidRPr="00675D48">
                <w:rPr>
                  <w:rStyle w:val="Hyperlink"/>
                  <w:lang w:val="fr-CH"/>
                </w:rPr>
                <w:t>150</w:t>
              </w:r>
            </w:hyperlink>
          </w:p>
        </w:tc>
      </w:tr>
      <w:tr w:rsidR="004C631C" w:rsidRPr="00675D48" w:rsidTr="00E30C99">
        <w:tc>
          <w:tcPr>
            <w:tcW w:w="534" w:type="dxa"/>
          </w:tcPr>
          <w:p w:rsidR="004C631C" w:rsidRPr="00675D48" w:rsidRDefault="004C631C" w:rsidP="004C631C">
            <w:pPr>
              <w:ind w:left="567" w:hanging="567"/>
              <w:rPr>
                <w:lang w:val="fr-CH"/>
              </w:rPr>
            </w:pPr>
            <w:r w:rsidRPr="00675D48">
              <w:rPr>
                <w:lang w:val="fr-CH"/>
              </w:rPr>
              <w:t>7</w:t>
            </w:r>
          </w:p>
        </w:tc>
        <w:tc>
          <w:tcPr>
            <w:tcW w:w="7164" w:type="dxa"/>
          </w:tcPr>
          <w:p w:rsidR="004C631C" w:rsidRPr="00675D48" w:rsidRDefault="004C631C" w:rsidP="004C631C">
            <w:pPr>
              <w:tabs>
                <w:tab w:val="left" w:pos="4660"/>
              </w:tabs>
              <w:rPr>
                <w:lang w:val="fr-CH"/>
              </w:rPr>
            </w:pPr>
            <w:bookmarkStart w:id="12" w:name="lt_pId037"/>
            <w:r w:rsidRPr="00675D48">
              <w:rPr>
                <w:lang w:val="fr-CH"/>
              </w:rPr>
              <w:t>Dix-septième série de textes soumis par la Commission de rédaction en seconde lecture</w:t>
            </w:r>
            <w:bookmarkEnd w:id="12"/>
          </w:p>
        </w:tc>
        <w:tc>
          <w:tcPr>
            <w:tcW w:w="2333" w:type="dxa"/>
            <w:vMerge/>
          </w:tcPr>
          <w:p w:rsidR="004C631C" w:rsidRPr="00675D48" w:rsidRDefault="004C631C" w:rsidP="004C631C">
            <w:pPr>
              <w:jc w:val="center"/>
              <w:rPr>
                <w:lang w:val="fr-CH"/>
              </w:rPr>
            </w:pPr>
          </w:p>
        </w:tc>
      </w:tr>
      <w:tr w:rsidR="004C631C" w:rsidRPr="00675D48" w:rsidTr="00E30C99">
        <w:tc>
          <w:tcPr>
            <w:tcW w:w="534" w:type="dxa"/>
          </w:tcPr>
          <w:p w:rsidR="004C631C" w:rsidRPr="00675D48" w:rsidRDefault="004C631C" w:rsidP="004C631C">
            <w:pPr>
              <w:ind w:left="567" w:hanging="567"/>
              <w:rPr>
                <w:lang w:val="fr-CH"/>
              </w:rPr>
            </w:pPr>
            <w:r w:rsidRPr="00675D48">
              <w:rPr>
                <w:lang w:val="fr-CH"/>
              </w:rPr>
              <w:t>8</w:t>
            </w:r>
          </w:p>
        </w:tc>
        <w:tc>
          <w:tcPr>
            <w:tcW w:w="7164" w:type="dxa"/>
          </w:tcPr>
          <w:p w:rsidR="004C631C" w:rsidRPr="00675D48" w:rsidRDefault="004C631C" w:rsidP="004C631C">
            <w:pPr>
              <w:tabs>
                <w:tab w:val="left" w:pos="4660"/>
              </w:tabs>
              <w:rPr>
                <w:lang w:val="fr-CH"/>
              </w:rPr>
            </w:pPr>
            <w:bookmarkStart w:id="13" w:name="lt_pId039"/>
            <w:r w:rsidRPr="00675D48">
              <w:rPr>
                <w:lang w:val="fr-CH"/>
              </w:rPr>
              <w:t>Dix-huitième série de textes soumis par la Commission de rédaction en première lecture (B18)</w:t>
            </w:r>
            <w:bookmarkEnd w:id="13"/>
          </w:p>
        </w:tc>
        <w:tc>
          <w:tcPr>
            <w:tcW w:w="2333" w:type="dxa"/>
          </w:tcPr>
          <w:p w:rsidR="004C631C" w:rsidRPr="00675D48" w:rsidRDefault="00C86E54" w:rsidP="004C631C">
            <w:pPr>
              <w:jc w:val="center"/>
              <w:rPr>
                <w:lang w:val="fr-CH"/>
              </w:rPr>
            </w:pPr>
            <w:hyperlink r:id="rId14" w:history="1">
              <w:r w:rsidR="004C631C" w:rsidRPr="00675D48">
                <w:rPr>
                  <w:rStyle w:val="Hyperlink"/>
                  <w:lang w:val="fr-CH"/>
                </w:rPr>
                <w:t>159</w:t>
              </w:r>
            </w:hyperlink>
          </w:p>
        </w:tc>
      </w:tr>
      <w:tr w:rsidR="004C631C" w:rsidRPr="00675D48" w:rsidTr="00E30C99">
        <w:tc>
          <w:tcPr>
            <w:tcW w:w="534" w:type="dxa"/>
          </w:tcPr>
          <w:p w:rsidR="004C631C" w:rsidRPr="00675D48" w:rsidRDefault="004C631C" w:rsidP="004C631C">
            <w:pPr>
              <w:ind w:left="567" w:hanging="567"/>
              <w:rPr>
                <w:lang w:val="fr-CH"/>
              </w:rPr>
            </w:pPr>
            <w:r w:rsidRPr="00675D48">
              <w:rPr>
                <w:lang w:val="fr-CH"/>
              </w:rPr>
              <w:t>9</w:t>
            </w:r>
          </w:p>
        </w:tc>
        <w:tc>
          <w:tcPr>
            <w:tcW w:w="7164" w:type="dxa"/>
          </w:tcPr>
          <w:p w:rsidR="004C631C" w:rsidRPr="00675D48" w:rsidRDefault="003A1453" w:rsidP="004C631C">
            <w:pPr>
              <w:tabs>
                <w:tab w:val="left" w:pos="4660"/>
              </w:tabs>
              <w:rPr>
                <w:lang w:val="fr-CH"/>
              </w:rPr>
            </w:pPr>
            <w:bookmarkStart w:id="14" w:name="lt_pId042"/>
            <w:r>
              <w:rPr>
                <w:lang w:val="fr-CH"/>
              </w:rPr>
              <w:t xml:space="preserve">Vingt et </w:t>
            </w:r>
            <w:r w:rsidR="004C631C" w:rsidRPr="00675D48">
              <w:rPr>
                <w:lang w:val="fr-CH"/>
              </w:rPr>
              <w:t>unième série de textes soumis par la Commission de rédaction en première lecture (B21)</w:t>
            </w:r>
            <w:bookmarkEnd w:id="14"/>
            <w:r w:rsidR="004C631C" w:rsidRPr="00675D48">
              <w:rPr>
                <w:rFonts w:cs="Calibri"/>
                <w:b/>
                <w:color w:val="800000"/>
                <w:sz w:val="22"/>
                <w:lang w:val="fr-CH"/>
              </w:rPr>
              <w:t xml:space="preserve"> </w:t>
            </w:r>
          </w:p>
        </w:tc>
        <w:tc>
          <w:tcPr>
            <w:tcW w:w="2333" w:type="dxa"/>
          </w:tcPr>
          <w:p w:rsidR="004C631C" w:rsidRPr="00675D48" w:rsidRDefault="00C86E54" w:rsidP="004C631C">
            <w:pPr>
              <w:jc w:val="center"/>
              <w:rPr>
                <w:lang w:val="fr-CH"/>
              </w:rPr>
            </w:pPr>
            <w:hyperlink r:id="rId15" w:history="1">
              <w:r w:rsidR="004C631C" w:rsidRPr="00675D48">
                <w:rPr>
                  <w:rStyle w:val="Hyperlink"/>
                  <w:lang w:val="fr-CH"/>
                </w:rPr>
                <w:t>162</w:t>
              </w:r>
            </w:hyperlink>
          </w:p>
        </w:tc>
      </w:tr>
    </w:tbl>
    <w:p w:rsidR="008B6A61" w:rsidRPr="00675D48" w:rsidRDefault="008B6A61" w:rsidP="004C631C">
      <w:pPr>
        <w:rPr>
          <w:lang w:val="fr-CH"/>
        </w:rPr>
      </w:pPr>
    </w:p>
    <w:p w:rsidR="00BD1614" w:rsidRPr="00675D48" w:rsidRDefault="00BD1614" w:rsidP="004C631C">
      <w:pPr>
        <w:tabs>
          <w:tab w:val="clear" w:pos="567"/>
          <w:tab w:val="clear" w:pos="1134"/>
          <w:tab w:val="clear" w:pos="1701"/>
          <w:tab w:val="clear" w:pos="2268"/>
          <w:tab w:val="clear" w:pos="2835"/>
        </w:tabs>
        <w:overflowPunct/>
        <w:autoSpaceDE/>
        <w:autoSpaceDN/>
        <w:adjustRightInd/>
        <w:spacing w:before="0"/>
        <w:textAlignment w:val="auto"/>
        <w:rPr>
          <w:lang w:val="fr-CH"/>
        </w:rPr>
      </w:pPr>
      <w:r w:rsidRPr="00675D48">
        <w:rPr>
          <w:lang w:val="fr-CH"/>
        </w:rPr>
        <w:br w:type="page"/>
      </w:r>
    </w:p>
    <w:p w:rsidR="004C631C" w:rsidRPr="00675D48" w:rsidRDefault="004C631C" w:rsidP="003B5327">
      <w:pPr>
        <w:pStyle w:val="Heading1"/>
        <w:rPr>
          <w:lang w:val="fr-CH"/>
        </w:rPr>
      </w:pPr>
      <w:r w:rsidRPr="00675D48">
        <w:rPr>
          <w:lang w:val="fr-CH"/>
        </w:rPr>
        <w:lastRenderedPageBreak/>
        <w:t>1</w:t>
      </w:r>
      <w:r w:rsidRPr="00675D48">
        <w:rPr>
          <w:lang w:val="fr-CH"/>
        </w:rPr>
        <w:tab/>
      </w:r>
      <w:bookmarkStart w:id="15" w:name="lt_pId045"/>
      <w:r w:rsidRPr="00675D48">
        <w:rPr>
          <w:lang w:val="fr-CH"/>
        </w:rPr>
        <w:t>Rapport du Président de la Commission 5 (</w:t>
      </w:r>
      <w:hyperlink r:id="rId16" w:history="1">
        <w:r w:rsidRPr="00675D48">
          <w:rPr>
            <w:rStyle w:val="Hyperlink"/>
            <w:sz w:val="26"/>
            <w:szCs w:val="26"/>
            <w:lang w:val="fr-CH"/>
          </w:rPr>
          <w:t>Document 155</w:t>
        </w:r>
      </w:hyperlink>
      <w:r w:rsidRPr="00675D48">
        <w:rPr>
          <w:lang w:val="fr-CH"/>
        </w:rPr>
        <w:t>)</w:t>
      </w:r>
      <w:bookmarkEnd w:id="15"/>
    </w:p>
    <w:p w:rsidR="004C631C" w:rsidRPr="00675D48" w:rsidRDefault="004C631C" w:rsidP="00A04B76">
      <w:pPr>
        <w:tabs>
          <w:tab w:val="clear" w:pos="567"/>
          <w:tab w:val="clear" w:pos="1134"/>
          <w:tab w:val="clear" w:pos="1701"/>
          <w:tab w:val="clear" w:pos="2268"/>
          <w:tab w:val="clear" w:pos="2835"/>
        </w:tabs>
        <w:snapToGrid w:val="0"/>
        <w:spacing w:after="120"/>
        <w:rPr>
          <w:bCs/>
          <w:szCs w:val="24"/>
          <w:lang w:val="fr-CH"/>
        </w:rPr>
      </w:pPr>
      <w:r w:rsidRPr="00675D48">
        <w:rPr>
          <w:szCs w:val="24"/>
          <w:lang w:val="fr-CH"/>
        </w:rPr>
        <w:t>1.1</w:t>
      </w:r>
      <w:r w:rsidRPr="00675D48">
        <w:rPr>
          <w:szCs w:val="24"/>
          <w:lang w:val="fr-CH"/>
        </w:rPr>
        <w:tab/>
      </w:r>
      <w:bookmarkStart w:id="16" w:name="lt_pId047"/>
      <w:r w:rsidRPr="00675D48">
        <w:rPr>
          <w:szCs w:val="24"/>
          <w:lang w:val="fr-CH"/>
        </w:rPr>
        <w:t xml:space="preserve">Le </w:t>
      </w:r>
      <w:r w:rsidRPr="00675D48">
        <w:rPr>
          <w:b/>
          <w:bCs/>
          <w:szCs w:val="24"/>
          <w:lang w:val="fr-CH"/>
        </w:rPr>
        <w:t xml:space="preserve">Président de la Commission 5 </w:t>
      </w:r>
      <w:r w:rsidRPr="00675D48">
        <w:rPr>
          <w:szCs w:val="24"/>
          <w:lang w:val="fr-CH"/>
        </w:rPr>
        <w:t>présente le Document 1</w:t>
      </w:r>
      <w:r w:rsidR="003A1453">
        <w:rPr>
          <w:szCs w:val="24"/>
          <w:lang w:val="fr-CH"/>
        </w:rPr>
        <w:t>55 et indique que la Commission </w:t>
      </w:r>
      <w:r w:rsidRPr="00675D48">
        <w:rPr>
          <w:szCs w:val="24"/>
          <w:lang w:val="fr-CH"/>
        </w:rPr>
        <w:t>5 a tenu dix séances, guidée dans ses travaux par le mandat figurant dans le Document DT/8, et qu'elle a décidé de supprimer cinq résolutions, d'en réviser dix, d'</w:t>
      </w:r>
      <w:r w:rsidR="00A04B76" w:rsidRPr="00675D48">
        <w:rPr>
          <w:szCs w:val="24"/>
          <w:lang w:val="fr-CH"/>
        </w:rPr>
        <w:t>approuver</w:t>
      </w:r>
      <w:r w:rsidRPr="00675D48">
        <w:rPr>
          <w:szCs w:val="24"/>
          <w:lang w:val="fr-CH"/>
        </w:rPr>
        <w:t xml:space="preserve"> quatre projets de nouvelles résolutions et de transmettre deux résolutions contenant du texte entre crochets à la plénière afin qu'elle les examine plus avant. La Commission 5 a également décidé de formuler huit recommandations pour examen par la plénière, dont une recommandation concernant la</w:t>
      </w:r>
      <w:bookmarkStart w:id="17" w:name="lt_pId048"/>
      <w:bookmarkEnd w:id="16"/>
      <w:r w:rsidRPr="00675D48">
        <w:rPr>
          <w:bCs/>
          <w:szCs w:val="24"/>
          <w:lang w:val="fr-CH"/>
        </w:rPr>
        <w:t xml:space="preserve"> </w:t>
      </w:r>
      <w:r w:rsidRPr="00675D48">
        <w:rPr>
          <w:lang w:val="fr-CH"/>
        </w:rPr>
        <w:t xml:space="preserve">Résolution </w:t>
      </w:r>
      <w:r w:rsidRPr="00675D48">
        <w:rPr>
          <w:rStyle w:val="href"/>
          <w:lang w:val="fr-CH"/>
        </w:rPr>
        <w:t xml:space="preserve">119 </w:t>
      </w:r>
      <w:r w:rsidRPr="00675D48">
        <w:rPr>
          <w:lang w:val="fr-CH"/>
        </w:rPr>
        <w:t>(Rév. Antalya, 2006), intitulée "Méthodes visant à accroître l'efficacité et l'efficience du Comité du Règlement des radiocommunications"</w:t>
      </w:r>
      <w:r w:rsidRPr="00675D48">
        <w:rPr>
          <w:bCs/>
          <w:szCs w:val="24"/>
          <w:lang w:val="fr-CH"/>
        </w:rPr>
        <w:t>, qu'elle a décidé de ne pas modifier. Le Président de la Commission 5 appelle particulièrement l'attention sur la recommandation 7, qui porte sur l'intégration du principe d'égalité hommes/femmes dans le cadre de l'élection des fonctionnaires de l'UIT. La Commission a également décidé, à l'unanimité, de n'apporter aucune modification à la Constitution ou à la Convention de l'UIT à la PP-18. La plénière est invitée à approuver le rapport du Président de la Commission 5, ainsi que la série de huit recommandations qui y figure</w:t>
      </w:r>
      <w:bookmarkStart w:id="18" w:name="lt_pId051"/>
      <w:bookmarkEnd w:id="17"/>
      <w:r w:rsidRPr="00675D48">
        <w:rPr>
          <w:bCs/>
          <w:szCs w:val="24"/>
          <w:lang w:val="fr-CH"/>
        </w:rPr>
        <w:t>.</w:t>
      </w:r>
      <w:bookmarkEnd w:id="18"/>
    </w:p>
    <w:p w:rsidR="004C631C" w:rsidRPr="00675D48" w:rsidRDefault="004C631C" w:rsidP="004C631C">
      <w:pPr>
        <w:tabs>
          <w:tab w:val="clear" w:pos="567"/>
          <w:tab w:val="clear" w:pos="1134"/>
          <w:tab w:val="clear" w:pos="1701"/>
          <w:tab w:val="clear" w:pos="2268"/>
          <w:tab w:val="clear" w:pos="2835"/>
        </w:tabs>
        <w:snapToGrid w:val="0"/>
        <w:spacing w:after="120"/>
        <w:rPr>
          <w:bCs/>
          <w:szCs w:val="24"/>
          <w:lang w:val="fr-CH"/>
        </w:rPr>
      </w:pPr>
      <w:r w:rsidRPr="00675D48">
        <w:rPr>
          <w:bCs/>
          <w:szCs w:val="24"/>
          <w:lang w:val="fr-CH"/>
        </w:rPr>
        <w:t>1.2</w:t>
      </w:r>
      <w:r w:rsidRPr="00675D48">
        <w:rPr>
          <w:bCs/>
          <w:szCs w:val="24"/>
          <w:lang w:val="fr-CH"/>
        </w:rPr>
        <w:tab/>
      </w:r>
      <w:bookmarkStart w:id="19" w:name="lt_pId053"/>
      <w:r w:rsidRPr="00675D48">
        <w:rPr>
          <w:bCs/>
          <w:szCs w:val="24"/>
          <w:lang w:val="fr-CH"/>
        </w:rPr>
        <w:t xml:space="preserve">Le </w:t>
      </w:r>
      <w:r w:rsidRPr="00675D48">
        <w:rPr>
          <w:b/>
          <w:szCs w:val="24"/>
          <w:lang w:val="fr-CH"/>
        </w:rPr>
        <w:t>Président</w:t>
      </w:r>
      <w:r w:rsidRPr="00675D48">
        <w:rPr>
          <w:bCs/>
          <w:szCs w:val="24"/>
          <w:lang w:val="fr-CH"/>
        </w:rPr>
        <w:t xml:space="preserve"> félicite le Président de la Commission 5 pour son excellent travail et le remercie pour son appui.</w:t>
      </w:r>
      <w:bookmarkEnd w:id="19"/>
    </w:p>
    <w:p w:rsidR="004C631C" w:rsidRPr="00675D48" w:rsidRDefault="004C631C" w:rsidP="00C86E54">
      <w:pPr>
        <w:tabs>
          <w:tab w:val="clear" w:pos="567"/>
          <w:tab w:val="clear" w:pos="1134"/>
          <w:tab w:val="clear" w:pos="1701"/>
          <w:tab w:val="clear" w:pos="2268"/>
          <w:tab w:val="clear" w:pos="2835"/>
        </w:tabs>
        <w:snapToGrid w:val="0"/>
        <w:spacing w:after="120"/>
        <w:rPr>
          <w:szCs w:val="24"/>
          <w:lang w:val="fr-CH"/>
        </w:rPr>
      </w:pPr>
      <w:r w:rsidRPr="00675D48">
        <w:rPr>
          <w:szCs w:val="24"/>
          <w:lang w:val="fr-CH"/>
        </w:rPr>
        <w:t>1.3</w:t>
      </w:r>
      <w:r w:rsidRPr="00675D48">
        <w:rPr>
          <w:szCs w:val="24"/>
          <w:lang w:val="fr-CH"/>
        </w:rPr>
        <w:tab/>
      </w:r>
      <w:bookmarkStart w:id="20" w:name="lt_pId055"/>
      <w:r w:rsidRPr="00675D48">
        <w:rPr>
          <w:szCs w:val="24"/>
          <w:lang w:val="fr-CH"/>
        </w:rPr>
        <w:t xml:space="preserve">Le rapport du Président de la Commission 5 (Document 155) </w:t>
      </w:r>
      <w:r w:rsidR="00C86E54">
        <w:rPr>
          <w:szCs w:val="24"/>
          <w:lang w:val="fr-CH"/>
        </w:rPr>
        <w:t xml:space="preserve">et les huit recommandations qu’il contient sont </w:t>
      </w:r>
      <w:r w:rsidRPr="00675D48">
        <w:rPr>
          <w:b/>
          <w:bCs/>
          <w:szCs w:val="24"/>
          <w:lang w:val="fr-CH"/>
        </w:rPr>
        <w:t>approuvé</w:t>
      </w:r>
      <w:r w:rsidR="00C86E54">
        <w:rPr>
          <w:b/>
          <w:bCs/>
          <w:szCs w:val="24"/>
          <w:lang w:val="fr-CH"/>
        </w:rPr>
        <w:t>s</w:t>
      </w:r>
      <w:bookmarkStart w:id="21" w:name="_GoBack"/>
      <w:bookmarkEnd w:id="21"/>
      <w:r w:rsidRPr="00675D48">
        <w:rPr>
          <w:szCs w:val="24"/>
          <w:lang w:val="fr-CH"/>
        </w:rPr>
        <w:t>.</w:t>
      </w:r>
      <w:bookmarkEnd w:id="20"/>
    </w:p>
    <w:p w:rsidR="004C631C" w:rsidRPr="003B5327" w:rsidRDefault="004C631C" w:rsidP="003B5327">
      <w:pPr>
        <w:pStyle w:val="Heading1"/>
      </w:pPr>
      <w:r w:rsidRPr="003B5327">
        <w:t>2</w:t>
      </w:r>
      <w:r w:rsidRPr="003B5327">
        <w:tab/>
      </w:r>
      <w:bookmarkStart w:id="22" w:name="lt_pId057"/>
      <w:r w:rsidRPr="003B5327">
        <w:t>Rapport du Président de la Commission 6 (</w:t>
      </w:r>
      <w:hyperlink r:id="rId17" w:history="1">
        <w:r w:rsidRPr="003B5327">
          <w:rPr>
            <w:rStyle w:val="Hyperlink"/>
            <w:color w:val="auto"/>
            <w:u w:val="none"/>
          </w:rPr>
          <w:t>Document 100</w:t>
        </w:r>
      </w:hyperlink>
      <w:r w:rsidRPr="003B5327">
        <w:t>)</w:t>
      </w:r>
      <w:bookmarkEnd w:id="22"/>
    </w:p>
    <w:p w:rsidR="004C631C" w:rsidRPr="00675D48" w:rsidRDefault="004C631C" w:rsidP="00A04B76">
      <w:pPr>
        <w:tabs>
          <w:tab w:val="clear" w:pos="567"/>
          <w:tab w:val="clear" w:pos="1134"/>
          <w:tab w:val="clear" w:pos="1701"/>
          <w:tab w:val="clear" w:pos="2268"/>
          <w:tab w:val="clear" w:pos="2835"/>
        </w:tabs>
        <w:snapToGrid w:val="0"/>
        <w:spacing w:after="120"/>
        <w:rPr>
          <w:lang w:val="fr-CH"/>
        </w:rPr>
      </w:pPr>
      <w:r w:rsidRPr="00675D48">
        <w:rPr>
          <w:lang w:val="fr-CH"/>
        </w:rPr>
        <w:t>2.1</w:t>
      </w:r>
      <w:r w:rsidRPr="00675D48">
        <w:rPr>
          <w:lang w:val="fr-CH"/>
        </w:rPr>
        <w:tab/>
      </w:r>
      <w:bookmarkStart w:id="23" w:name="lt_pId059"/>
      <w:r w:rsidRPr="00675D48">
        <w:rPr>
          <w:lang w:val="fr-CH"/>
        </w:rPr>
        <w:t xml:space="preserve">Le </w:t>
      </w:r>
      <w:r w:rsidRPr="00675D48">
        <w:rPr>
          <w:b/>
          <w:bCs/>
          <w:lang w:val="fr-CH"/>
        </w:rPr>
        <w:t xml:space="preserve">Président de la Commission 6 </w:t>
      </w:r>
      <w:r w:rsidRPr="00675D48">
        <w:rPr>
          <w:lang w:val="fr-CH"/>
        </w:rPr>
        <w:t>présente le Document 100 et indique que la Commission</w:t>
      </w:r>
      <w:r w:rsidR="00A04B76" w:rsidRPr="00675D48">
        <w:rPr>
          <w:lang w:val="fr-CH"/>
        </w:rPr>
        <w:t> </w:t>
      </w:r>
      <w:r w:rsidRPr="00675D48">
        <w:rPr>
          <w:lang w:val="fr-CH"/>
        </w:rPr>
        <w:t>6, qui a tenu 13 séances, est parvenue à un consensus sur toutes les questions qu'elle a examinées, à l'exception d'une seule. Les participants sont notamment parvenus à s'entendre au sujet du plan stratégique et du plan financier de l'Union pour les années à venir. La Commission 6 est convenue de supprimer quatre résolutions, d'en réviser 22, d'approuver trois projets de nouvelles résolutions et de laisser inchangées quatre résolutions</w:t>
      </w:r>
      <w:bookmarkEnd w:id="23"/>
      <w:r w:rsidRPr="00675D48">
        <w:rPr>
          <w:lang w:val="fr-CH"/>
        </w:rPr>
        <w:t>.</w:t>
      </w:r>
    </w:p>
    <w:p w:rsidR="004C631C" w:rsidRPr="00675D48" w:rsidRDefault="004C631C" w:rsidP="004C631C">
      <w:pPr>
        <w:tabs>
          <w:tab w:val="clear" w:pos="567"/>
          <w:tab w:val="clear" w:pos="1134"/>
          <w:tab w:val="clear" w:pos="1701"/>
          <w:tab w:val="clear" w:pos="2268"/>
          <w:tab w:val="clear" w:pos="2835"/>
        </w:tabs>
        <w:snapToGrid w:val="0"/>
        <w:spacing w:after="120"/>
        <w:rPr>
          <w:lang w:val="fr-CH"/>
        </w:rPr>
      </w:pPr>
      <w:r w:rsidRPr="00675D48">
        <w:rPr>
          <w:lang w:val="fr-CH"/>
        </w:rPr>
        <w:t>2.2</w:t>
      </w:r>
      <w:r w:rsidRPr="00675D48">
        <w:rPr>
          <w:lang w:val="fr-CH"/>
        </w:rPr>
        <w:tab/>
      </w:r>
      <w:bookmarkStart w:id="24" w:name="lt_pId063"/>
      <w:r w:rsidRPr="00675D48">
        <w:rPr>
          <w:lang w:val="fr-CH"/>
        </w:rPr>
        <w:t>La Commission 6 est convenue de transmettre à la plénière le texte d'un projet de nouvelle décision, intitulée "Création d'un Groupe de travail du Conseil sur l'administration et la gestion</w:t>
      </w:r>
      <w:r w:rsidR="00A04B76" w:rsidRPr="00675D48">
        <w:rPr>
          <w:lang w:val="fr-CH"/>
        </w:rPr>
        <w:t>"</w:t>
      </w:r>
      <w:r w:rsidRPr="00675D48">
        <w:rPr>
          <w:lang w:val="fr-CH"/>
        </w:rPr>
        <w:t>, entièrement entre crochets, car il subsiste des désaccords quant au principe sur lequel repose la proposition, à savoir la fusion de deux groupes de travail du Conseil existants. Lorsque la plénière aura pris une décision quant à la marche à suivre, les questions connexes d'ordre rédactionnel qui demeurent en suspens dans les Résolutions 11, 48 et 154 seront résolues automatiquement. S'agissant de la Décision 12,</w:t>
      </w:r>
      <w:bookmarkStart w:id="25" w:name="lt_pId064"/>
      <w:bookmarkEnd w:id="24"/>
      <w:r w:rsidRPr="00675D48">
        <w:rPr>
          <w:lang w:val="fr-CH"/>
        </w:rPr>
        <w:t xml:space="preserve"> la Commission est convenue de conserver telle quelle la décision elle-même</w:t>
      </w:r>
      <w:r w:rsidR="00A04B76" w:rsidRPr="00675D48">
        <w:rPr>
          <w:lang w:val="fr-CH"/>
        </w:rPr>
        <w:t xml:space="preserve"> mais</w:t>
      </w:r>
      <w:r w:rsidRPr="00675D48">
        <w:rPr>
          <w:lang w:val="fr-CH"/>
        </w:rPr>
        <w:t xml:space="preserve"> de recommander à l'UIT de mener à bien une étude pour identifier les documents et les publications qu'il est réellement nécessaire de publier dans les six langues de l'Union</w:t>
      </w:r>
      <w:bookmarkStart w:id="26" w:name="lt_pId065"/>
      <w:bookmarkEnd w:id="25"/>
      <w:r w:rsidRPr="00675D48">
        <w:rPr>
          <w:rFonts w:eastAsia="SimSun" w:cs="Traditional Arabic"/>
          <w:lang w:val="fr-CH"/>
        </w:rPr>
        <w:t>.</w:t>
      </w:r>
      <w:bookmarkEnd w:id="26"/>
      <w:r w:rsidRPr="00675D48">
        <w:rPr>
          <w:rFonts w:eastAsia="SimSun" w:cs="Traditional Arabic"/>
          <w:lang w:val="fr-CH"/>
        </w:rPr>
        <w:t xml:space="preserve"> </w:t>
      </w:r>
      <w:bookmarkStart w:id="27" w:name="lt_pId066"/>
      <w:r w:rsidRPr="00675D48">
        <w:rPr>
          <w:lang w:val="fr-CH"/>
        </w:rPr>
        <w:t>La Commission a examiné les propositions visant à fusionner les Résolutions 72 et 151 dans une version révisée de la Résolution 151, permettant ainsi à la Confér</w:t>
      </w:r>
      <w:r w:rsidR="003A1453">
        <w:rPr>
          <w:lang w:val="fr-CH"/>
        </w:rPr>
        <w:t>ence de supprimer la Résolution </w:t>
      </w:r>
      <w:r w:rsidRPr="00675D48">
        <w:rPr>
          <w:lang w:val="fr-CH"/>
        </w:rPr>
        <w:t>72, et a décidé d'approuver ces propositions.</w:t>
      </w:r>
    </w:p>
    <w:bookmarkEnd w:id="27"/>
    <w:p w:rsidR="004C631C" w:rsidRPr="00675D48" w:rsidRDefault="004C631C" w:rsidP="004C631C">
      <w:pPr>
        <w:tabs>
          <w:tab w:val="clear" w:pos="567"/>
          <w:tab w:val="clear" w:pos="1134"/>
          <w:tab w:val="clear" w:pos="1701"/>
          <w:tab w:val="clear" w:pos="2268"/>
          <w:tab w:val="clear" w:pos="2835"/>
        </w:tabs>
        <w:snapToGrid w:val="0"/>
        <w:spacing w:after="120"/>
        <w:rPr>
          <w:rFonts w:eastAsia="SimSun" w:cs="Traditional Arabic"/>
          <w:lang w:val="fr-CH"/>
        </w:rPr>
      </w:pPr>
      <w:r w:rsidRPr="00675D48">
        <w:rPr>
          <w:rFonts w:eastAsia="SimSun" w:cs="Traditional Arabic"/>
          <w:lang w:val="fr-CH"/>
        </w:rPr>
        <w:t>2.3</w:t>
      </w:r>
      <w:r w:rsidRPr="00675D48">
        <w:rPr>
          <w:rFonts w:eastAsia="SimSun" w:cs="Traditional Arabic"/>
          <w:lang w:val="fr-CH"/>
        </w:rPr>
        <w:tab/>
      </w:r>
      <w:bookmarkStart w:id="28" w:name="lt_pId068"/>
      <w:r w:rsidRPr="00675D48">
        <w:rPr>
          <w:rFonts w:eastAsia="SimSun" w:cs="Traditional Arabic"/>
          <w:lang w:val="fr-CH"/>
        </w:rPr>
        <w:t>En ce qui concerne les locaux futurs du siège de l'Union, la Commission 6 a pris note du fait que tous les coûts ne pourraient pas être couverts p</w:t>
      </w:r>
      <w:r w:rsidR="00A04B76" w:rsidRPr="00675D48">
        <w:rPr>
          <w:rFonts w:eastAsia="SimSun" w:cs="Traditional Arabic"/>
          <w:lang w:val="fr-CH"/>
        </w:rPr>
        <w:t xml:space="preserve">ar le prêt consenti par le pays </w:t>
      </w:r>
      <w:r w:rsidRPr="00675D48">
        <w:rPr>
          <w:rFonts w:eastAsia="SimSun" w:cs="Traditional Arabic"/>
          <w:lang w:val="fr-CH"/>
        </w:rPr>
        <w:t>hôte en raison des modalités et conditions de ce prêt. En conséquence, un fonds spécial sera créé pour couvrir ces coûts au moyen de l'excédent et des économies résultant de la mise en oeuvre du budget. Cette question est l'objet du projet de nouvelle Résolution COM6/2</w:t>
      </w:r>
      <w:bookmarkStart w:id="29" w:name="lt_pId070"/>
      <w:bookmarkEnd w:id="28"/>
      <w:r w:rsidRPr="00675D48">
        <w:rPr>
          <w:rFonts w:eastAsia="SimSun" w:cs="Traditional Arabic"/>
          <w:lang w:val="fr-CH"/>
        </w:rPr>
        <w:t>.</w:t>
      </w:r>
      <w:bookmarkEnd w:id="29"/>
    </w:p>
    <w:p w:rsidR="004C631C" w:rsidRPr="00675D48" w:rsidRDefault="004C631C" w:rsidP="00A04B76">
      <w:pPr>
        <w:tabs>
          <w:tab w:val="clear" w:pos="567"/>
          <w:tab w:val="clear" w:pos="1134"/>
          <w:tab w:val="clear" w:pos="1701"/>
          <w:tab w:val="clear" w:pos="2268"/>
          <w:tab w:val="clear" w:pos="2835"/>
        </w:tabs>
        <w:snapToGrid w:val="0"/>
        <w:spacing w:after="120"/>
        <w:rPr>
          <w:rFonts w:eastAsia="SimSun" w:cs="Traditional Arabic"/>
          <w:lang w:val="fr-CH"/>
        </w:rPr>
      </w:pPr>
      <w:r w:rsidRPr="00675D48">
        <w:rPr>
          <w:rFonts w:eastAsia="SimSun" w:cs="Traditional Arabic"/>
          <w:lang w:val="fr-CH"/>
        </w:rPr>
        <w:lastRenderedPageBreak/>
        <w:t>2.4</w:t>
      </w:r>
      <w:r w:rsidRPr="00675D48">
        <w:rPr>
          <w:rFonts w:eastAsia="SimSun" w:cs="Traditional Arabic"/>
          <w:lang w:val="fr-CH"/>
        </w:rPr>
        <w:tab/>
      </w:r>
      <w:bookmarkStart w:id="30" w:name="lt_pId072"/>
      <w:r w:rsidRPr="00675D48">
        <w:rPr>
          <w:rFonts w:eastAsia="SimSun" w:cs="Traditional Arabic"/>
          <w:lang w:val="fr-CH"/>
        </w:rPr>
        <w:t xml:space="preserve">La Commission est convenue d'ajouter, dans le rapport du Président de la Commission 6, un texte qui, s'il est approuvé par la plénière et </w:t>
      </w:r>
      <w:r w:rsidR="00A04B76" w:rsidRPr="00675D48">
        <w:rPr>
          <w:rFonts w:eastAsia="SimSun" w:cs="Traditional Arabic"/>
          <w:lang w:val="fr-CH"/>
        </w:rPr>
        <w:t>inclus dans le</w:t>
      </w:r>
      <w:r w:rsidRPr="00675D48">
        <w:rPr>
          <w:rFonts w:eastAsia="SimSun" w:cs="Traditional Arabic"/>
          <w:lang w:val="fr-CH"/>
        </w:rPr>
        <w:t xml:space="preserve"> procès-verbal, permettra de supprimer </w:t>
      </w:r>
      <w:r w:rsidR="00A04B76" w:rsidRPr="00675D48">
        <w:rPr>
          <w:rFonts w:eastAsia="SimSun" w:cs="Traditional Arabic"/>
          <w:lang w:val="fr-CH"/>
        </w:rPr>
        <w:t>la Résolution 192 (Busan, 2014), intitulée</w:t>
      </w:r>
      <w:r w:rsidRPr="00675D48">
        <w:rPr>
          <w:rFonts w:eastAsia="SimSun" w:cs="Traditional Arabic"/>
          <w:lang w:val="fr-CH"/>
        </w:rPr>
        <w:t xml:space="preserve"> </w:t>
      </w:r>
      <w:bookmarkStart w:id="31" w:name="_Toc407016298"/>
      <w:r w:rsidR="00A04B76" w:rsidRPr="00675D48">
        <w:rPr>
          <w:rFonts w:eastAsia="SimSun" w:cs="Traditional Arabic"/>
          <w:lang w:val="fr-CH"/>
        </w:rPr>
        <w:t>"</w:t>
      </w:r>
      <w:r w:rsidRPr="00675D48">
        <w:rPr>
          <w:lang w:val="fr-CH"/>
        </w:rPr>
        <w:t>Participation de l'UIT aux mémorandums d'accord ayant des incidences financières ou stratégiques</w:t>
      </w:r>
      <w:bookmarkEnd w:id="31"/>
      <w:r w:rsidR="00A04B76" w:rsidRPr="00675D48">
        <w:rPr>
          <w:lang w:val="fr-CH"/>
        </w:rPr>
        <w:t>"</w:t>
      </w:r>
      <w:r w:rsidRPr="00675D48">
        <w:rPr>
          <w:rFonts w:eastAsia="SimSun" w:cs="Traditional Arabic"/>
          <w:lang w:val="fr-CH"/>
        </w:rPr>
        <w:t>.</w:t>
      </w:r>
      <w:bookmarkEnd w:id="30"/>
      <w:r w:rsidRPr="00675D48">
        <w:rPr>
          <w:rFonts w:eastAsia="SimSun" w:cs="Traditional Arabic"/>
          <w:lang w:val="fr-CH"/>
        </w:rPr>
        <w:t xml:space="preserve"> </w:t>
      </w:r>
    </w:p>
    <w:p w:rsidR="004C631C" w:rsidRPr="00675D48" w:rsidRDefault="004C631C" w:rsidP="004C631C">
      <w:pPr>
        <w:tabs>
          <w:tab w:val="clear" w:pos="567"/>
          <w:tab w:val="clear" w:pos="1134"/>
          <w:tab w:val="clear" w:pos="1701"/>
          <w:tab w:val="clear" w:pos="2268"/>
          <w:tab w:val="clear" w:pos="2835"/>
        </w:tabs>
        <w:snapToGrid w:val="0"/>
        <w:spacing w:after="120"/>
        <w:rPr>
          <w:lang w:val="fr-CH"/>
        </w:rPr>
      </w:pPr>
      <w:r w:rsidRPr="00675D48">
        <w:rPr>
          <w:lang w:val="fr-CH"/>
        </w:rPr>
        <w:t>2.5</w:t>
      </w:r>
      <w:r w:rsidRPr="00675D48">
        <w:rPr>
          <w:lang w:val="fr-CH"/>
        </w:rPr>
        <w:tab/>
      </w:r>
      <w:bookmarkStart w:id="32" w:name="lt_pId074"/>
      <w:r w:rsidRPr="00675D48">
        <w:rPr>
          <w:lang w:val="fr-CH"/>
        </w:rPr>
        <w:t xml:space="preserve">Le </w:t>
      </w:r>
      <w:r w:rsidRPr="003A1453">
        <w:rPr>
          <w:b/>
          <w:bCs/>
          <w:lang w:val="fr-CH"/>
        </w:rPr>
        <w:t>Président de la Commission 6</w:t>
      </w:r>
      <w:r w:rsidRPr="00675D48">
        <w:rPr>
          <w:lang w:val="fr-CH"/>
        </w:rPr>
        <w:t xml:space="preserve"> exprime sa reconnaissance à tous ceux qui ont participé aux travaux de la Commission pour leur coopération et leur appui, qui ont permis d'obtenir des résultats fructueux.</w:t>
      </w:r>
      <w:bookmarkEnd w:id="32"/>
    </w:p>
    <w:p w:rsidR="004C631C" w:rsidRPr="00675D48" w:rsidRDefault="004C631C" w:rsidP="004C631C">
      <w:pPr>
        <w:tabs>
          <w:tab w:val="clear" w:pos="567"/>
          <w:tab w:val="clear" w:pos="1134"/>
          <w:tab w:val="clear" w:pos="1701"/>
          <w:tab w:val="clear" w:pos="2268"/>
          <w:tab w:val="clear" w:pos="2835"/>
        </w:tabs>
        <w:snapToGrid w:val="0"/>
        <w:spacing w:after="120"/>
        <w:rPr>
          <w:lang w:val="fr-CH"/>
        </w:rPr>
      </w:pPr>
      <w:r w:rsidRPr="00675D48">
        <w:rPr>
          <w:lang w:val="fr-CH"/>
        </w:rPr>
        <w:t>2.6</w:t>
      </w:r>
      <w:r w:rsidRPr="00675D48">
        <w:rPr>
          <w:lang w:val="fr-CH"/>
        </w:rPr>
        <w:tab/>
      </w:r>
      <w:bookmarkStart w:id="33" w:name="lt_pId076"/>
      <w:r w:rsidRPr="00675D48">
        <w:rPr>
          <w:lang w:val="fr-CH"/>
        </w:rPr>
        <w:t xml:space="preserve">La </w:t>
      </w:r>
      <w:r w:rsidRPr="00675D48">
        <w:rPr>
          <w:b/>
          <w:bCs/>
          <w:lang w:val="fr-CH"/>
        </w:rPr>
        <w:t>déléguée de la Fédération de Russie</w:t>
      </w:r>
      <w:r w:rsidRPr="00675D48">
        <w:rPr>
          <w:lang w:val="fr-CH"/>
        </w:rPr>
        <w:t>, s'exprimant au nom de la RCC, propose que le §</w:t>
      </w:r>
      <w:r w:rsidR="00A04B76" w:rsidRPr="00675D48">
        <w:rPr>
          <w:lang w:val="fr-CH"/>
        </w:rPr>
        <w:t> </w:t>
      </w:r>
      <w:r w:rsidRPr="00675D48">
        <w:rPr>
          <w:lang w:val="fr-CH"/>
        </w:rPr>
        <w:t>24 du rapport figurant dans le Document 100 soit modifié, afin que le Conseil soit chargé d'examiner les lignes directrices concernant les plans d'amortissement afférents au règlement des arriérés et des comptes spéciaux d'arriérés (Document C99/27) et de les mettre à jour, si nécessaire.</w:t>
      </w:r>
      <w:bookmarkEnd w:id="33"/>
    </w:p>
    <w:p w:rsidR="004C631C" w:rsidRPr="00675D48" w:rsidRDefault="004C631C" w:rsidP="00A04B76">
      <w:pPr>
        <w:tabs>
          <w:tab w:val="clear" w:pos="567"/>
          <w:tab w:val="clear" w:pos="1134"/>
          <w:tab w:val="clear" w:pos="1701"/>
          <w:tab w:val="clear" w:pos="2268"/>
          <w:tab w:val="clear" w:pos="2835"/>
        </w:tabs>
        <w:snapToGrid w:val="0"/>
        <w:spacing w:after="120"/>
        <w:rPr>
          <w:lang w:val="fr-CH"/>
        </w:rPr>
      </w:pPr>
      <w:r w:rsidRPr="00675D48">
        <w:rPr>
          <w:lang w:val="fr-CH"/>
        </w:rPr>
        <w:t>2.7</w:t>
      </w:r>
      <w:r w:rsidRPr="00675D48">
        <w:rPr>
          <w:lang w:val="fr-CH"/>
        </w:rPr>
        <w:tab/>
      </w:r>
      <w:bookmarkStart w:id="34" w:name="lt_pId078"/>
      <w:r w:rsidRPr="00675D48">
        <w:rPr>
          <w:lang w:val="fr-CH"/>
        </w:rPr>
        <w:t xml:space="preserve">Le </w:t>
      </w:r>
      <w:r w:rsidRPr="00675D48">
        <w:rPr>
          <w:b/>
          <w:bCs/>
          <w:lang w:val="fr-CH"/>
        </w:rPr>
        <w:t>Président de la Commission 6</w:t>
      </w:r>
      <w:r w:rsidRPr="00675D48">
        <w:rPr>
          <w:lang w:val="fr-CH"/>
        </w:rPr>
        <w:t xml:space="preserve"> se demande s'il appartient à la plénière de modifier le rapport d'un président de commission et déclare qu'en tout état de cause, la modification proposée est superflue. En effet, la référence faite au §</w:t>
      </w:r>
      <w:r w:rsidR="00A04B76" w:rsidRPr="00675D48">
        <w:rPr>
          <w:lang w:val="fr-CH"/>
        </w:rPr>
        <w:t xml:space="preserve"> </w:t>
      </w:r>
      <w:r w:rsidRPr="00675D48">
        <w:rPr>
          <w:lang w:val="fr-CH"/>
        </w:rPr>
        <w:t xml:space="preserve">24 du rapport a une visée générale, et des instructions complètes à l'intention du Conseil sont </w:t>
      </w:r>
      <w:r w:rsidR="00A04B76" w:rsidRPr="00675D48">
        <w:rPr>
          <w:lang w:val="fr-CH"/>
        </w:rPr>
        <w:t>énoncées</w:t>
      </w:r>
      <w:r w:rsidRPr="00675D48">
        <w:rPr>
          <w:lang w:val="fr-CH"/>
        </w:rPr>
        <w:t xml:space="preserve"> dans la révision de la Résolution 41</w:t>
      </w:r>
      <w:bookmarkStart w:id="35" w:name="lt_pId079"/>
      <w:bookmarkEnd w:id="34"/>
      <w:r w:rsidRPr="00675D48">
        <w:rPr>
          <w:lang w:val="fr-CH"/>
        </w:rPr>
        <w:t>.</w:t>
      </w:r>
      <w:bookmarkEnd w:id="35"/>
    </w:p>
    <w:p w:rsidR="004C631C" w:rsidRPr="00675D48" w:rsidRDefault="004C631C" w:rsidP="004C631C">
      <w:pPr>
        <w:tabs>
          <w:tab w:val="clear" w:pos="567"/>
          <w:tab w:val="clear" w:pos="1134"/>
          <w:tab w:val="clear" w:pos="1701"/>
          <w:tab w:val="clear" w:pos="2268"/>
          <w:tab w:val="clear" w:pos="2835"/>
        </w:tabs>
        <w:snapToGrid w:val="0"/>
        <w:spacing w:after="120"/>
        <w:rPr>
          <w:lang w:val="fr-CH"/>
        </w:rPr>
      </w:pPr>
      <w:r w:rsidRPr="00675D48">
        <w:rPr>
          <w:lang w:val="fr-CH"/>
        </w:rPr>
        <w:t>2.8</w:t>
      </w:r>
      <w:r w:rsidRPr="00675D48">
        <w:rPr>
          <w:lang w:val="fr-CH"/>
        </w:rPr>
        <w:tab/>
      </w:r>
      <w:bookmarkStart w:id="36" w:name="lt_pId081"/>
      <w:r w:rsidRPr="00675D48">
        <w:rPr>
          <w:lang w:val="fr-CH"/>
        </w:rPr>
        <w:t xml:space="preserve">Le </w:t>
      </w:r>
      <w:r w:rsidRPr="00675D48">
        <w:rPr>
          <w:b/>
          <w:bCs/>
          <w:lang w:val="fr-CH"/>
        </w:rPr>
        <w:t>délégué de l'Arabie saoudite</w:t>
      </w:r>
      <w:r w:rsidRPr="00675D48">
        <w:rPr>
          <w:lang w:val="fr-CH"/>
        </w:rPr>
        <w:t xml:space="preserve"> est d'avis, au sujet du projet de nouvelle décision concernant la création d'un Groupe de travail du Conseil sur l'administration et la gestion, que les deux groupes de travail existants qu'il est proposé de fusionner sont investis d'un mandat important qu'ils exercent efficacement. L'intervenant n'est pas favorable à la proposition visant à créer un nouveau groupe de travail et n'appuie donc pas le projet de nouvelle décision</w:t>
      </w:r>
      <w:bookmarkEnd w:id="36"/>
      <w:r w:rsidRPr="00675D48">
        <w:rPr>
          <w:lang w:val="fr-CH"/>
        </w:rPr>
        <w:t>.</w:t>
      </w:r>
    </w:p>
    <w:p w:rsidR="004C631C" w:rsidRPr="00675D48" w:rsidRDefault="004C631C" w:rsidP="004C631C">
      <w:pPr>
        <w:tabs>
          <w:tab w:val="clear" w:pos="567"/>
          <w:tab w:val="clear" w:pos="1134"/>
          <w:tab w:val="clear" w:pos="1701"/>
          <w:tab w:val="clear" w:pos="2268"/>
          <w:tab w:val="clear" w:pos="2835"/>
        </w:tabs>
        <w:snapToGrid w:val="0"/>
        <w:spacing w:after="120"/>
        <w:rPr>
          <w:lang w:val="fr-CH"/>
        </w:rPr>
      </w:pPr>
      <w:r w:rsidRPr="00675D48">
        <w:rPr>
          <w:lang w:val="fr-CH"/>
        </w:rPr>
        <w:t>2.9</w:t>
      </w:r>
      <w:r w:rsidRPr="00675D48">
        <w:rPr>
          <w:lang w:val="fr-CH"/>
        </w:rPr>
        <w:tab/>
      </w:r>
      <w:bookmarkStart w:id="37" w:name="lt_pId084"/>
      <w:r w:rsidRPr="00675D48">
        <w:rPr>
          <w:lang w:val="fr-CH"/>
        </w:rPr>
        <w:t xml:space="preserve">Le </w:t>
      </w:r>
      <w:r w:rsidRPr="00675D48">
        <w:rPr>
          <w:b/>
          <w:bCs/>
          <w:lang w:val="fr-CH"/>
        </w:rPr>
        <w:t>Président de la Commission 6</w:t>
      </w:r>
      <w:r w:rsidRPr="00675D48">
        <w:rPr>
          <w:lang w:val="fr-CH"/>
        </w:rPr>
        <w:t xml:space="preserve"> rappelle que l'absence de consensus au sein de la Commission quant à cette question est clairement reflétée dans son rapport et déclare que ce sujet sera soumis au débat lorsque la plénière examinera le projet de nouvelle décision dans le cadre de la dix-huitième série de textes (Document 159).</w:t>
      </w:r>
      <w:bookmarkEnd w:id="37"/>
    </w:p>
    <w:p w:rsidR="004C631C" w:rsidRPr="00675D48" w:rsidRDefault="004C631C" w:rsidP="004C631C">
      <w:pPr>
        <w:tabs>
          <w:tab w:val="clear" w:pos="567"/>
          <w:tab w:val="clear" w:pos="1134"/>
          <w:tab w:val="clear" w:pos="1701"/>
          <w:tab w:val="clear" w:pos="2268"/>
          <w:tab w:val="clear" w:pos="2835"/>
        </w:tabs>
        <w:snapToGrid w:val="0"/>
        <w:spacing w:after="120"/>
        <w:rPr>
          <w:lang w:val="fr-CH"/>
        </w:rPr>
      </w:pPr>
      <w:r w:rsidRPr="00675D48">
        <w:rPr>
          <w:lang w:val="fr-CH"/>
        </w:rPr>
        <w:t>2.10</w:t>
      </w:r>
      <w:r w:rsidRPr="00675D48">
        <w:rPr>
          <w:lang w:val="fr-CH"/>
        </w:rPr>
        <w:tab/>
      </w:r>
      <w:bookmarkStart w:id="38" w:name="lt_pId086"/>
      <w:r w:rsidRPr="00675D48">
        <w:rPr>
          <w:lang w:val="fr-CH"/>
        </w:rPr>
        <w:t xml:space="preserve">Le </w:t>
      </w:r>
      <w:r w:rsidRPr="00675D48">
        <w:rPr>
          <w:b/>
          <w:bCs/>
          <w:lang w:val="fr-CH"/>
        </w:rPr>
        <w:t>Président</w:t>
      </w:r>
      <w:r w:rsidRPr="00675D48">
        <w:rPr>
          <w:lang w:val="fr-CH"/>
        </w:rPr>
        <w:t xml:space="preserve"> considère que la conférence convient d'approuver le rapport du Président de la Commission 6 (Document 100), d'approuver le texte concernant la Résolution 192 et de le faire figurer dans le procès-verbal de la séance, et de supprimer la Résolution 192 par voie de conséquence.</w:t>
      </w:r>
      <w:bookmarkEnd w:id="38"/>
    </w:p>
    <w:p w:rsidR="004C631C" w:rsidRPr="00675D48" w:rsidRDefault="004C631C" w:rsidP="004C631C">
      <w:pPr>
        <w:tabs>
          <w:tab w:val="clear" w:pos="567"/>
          <w:tab w:val="clear" w:pos="1134"/>
          <w:tab w:val="clear" w:pos="1701"/>
          <w:tab w:val="clear" w:pos="2268"/>
          <w:tab w:val="clear" w:pos="2835"/>
        </w:tabs>
        <w:snapToGrid w:val="0"/>
        <w:spacing w:after="120"/>
        <w:rPr>
          <w:lang w:val="fr-CH"/>
        </w:rPr>
      </w:pPr>
      <w:r w:rsidRPr="00675D48">
        <w:rPr>
          <w:lang w:val="fr-CH"/>
        </w:rPr>
        <w:t>2.11</w:t>
      </w:r>
      <w:r w:rsidRPr="00675D48">
        <w:rPr>
          <w:lang w:val="fr-CH"/>
        </w:rPr>
        <w:tab/>
      </w:r>
      <w:bookmarkStart w:id="39" w:name="lt_pId088"/>
      <w:r w:rsidRPr="00675D48">
        <w:rPr>
          <w:lang w:val="fr-CH"/>
        </w:rPr>
        <w:t xml:space="preserve">Le </w:t>
      </w:r>
      <w:r w:rsidRPr="00675D48">
        <w:rPr>
          <w:b/>
          <w:bCs/>
          <w:lang w:val="fr-CH"/>
        </w:rPr>
        <w:t>délégué de la République islamique d'Iran</w:t>
      </w:r>
      <w:r w:rsidRPr="00675D48">
        <w:rPr>
          <w:lang w:val="fr-CH"/>
        </w:rPr>
        <w:t xml:space="preserve"> déclare qu'il accepte l'inclusion du </w:t>
      </w:r>
      <w:r w:rsidR="00A04B76" w:rsidRPr="00675D48">
        <w:rPr>
          <w:lang w:val="fr-CH"/>
        </w:rPr>
        <w:t>texte lié à la Résolution 192 dans le</w:t>
      </w:r>
      <w:r w:rsidRPr="00675D48">
        <w:rPr>
          <w:lang w:val="fr-CH"/>
        </w:rPr>
        <w:t xml:space="preserve"> procès-verbal de la séance plénière, comme cela a été fait par le passé dans des cas similaires, sous réserve qu'il soit conféré à ce texte le même statut que s'il avait figuré dans une décision ou une résolution.</w:t>
      </w:r>
      <w:bookmarkEnd w:id="39"/>
    </w:p>
    <w:p w:rsidR="004C631C" w:rsidRPr="00675D48" w:rsidRDefault="004C631C" w:rsidP="004C631C">
      <w:pPr>
        <w:tabs>
          <w:tab w:val="clear" w:pos="567"/>
          <w:tab w:val="clear" w:pos="1134"/>
          <w:tab w:val="clear" w:pos="1701"/>
          <w:tab w:val="clear" w:pos="2268"/>
          <w:tab w:val="clear" w:pos="2835"/>
        </w:tabs>
        <w:snapToGrid w:val="0"/>
        <w:spacing w:after="120"/>
        <w:rPr>
          <w:lang w:val="fr-CH"/>
        </w:rPr>
      </w:pPr>
      <w:r w:rsidRPr="00675D48">
        <w:rPr>
          <w:lang w:val="fr-CH"/>
        </w:rPr>
        <w:t>2.12</w:t>
      </w:r>
      <w:r w:rsidRPr="00675D48">
        <w:rPr>
          <w:lang w:val="fr-CH"/>
        </w:rPr>
        <w:tab/>
      </w:r>
      <w:bookmarkStart w:id="40" w:name="lt_pId090"/>
      <w:r w:rsidRPr="00675D48">
        <w:rPr>
          <w:lang w:val="fr-CH"/>
        </w:rPr>
        <w:t xml:space="preserve">Il en est ainsi </w:t>
      </w:r>
      <w:r w:rsidRPr="00675D48">
        <w:rPr>
          <w:b/>
          <w:bCs/>
          <w:lang w:val="fr-CH"/>
        </w:rPr>
        <w:t>décidé</w:t>
      </w:r>
      <w:r w:rsidRPr="00675D48">
        <w:rPr>
          <w:lang w:val="fr-CH"/>
        </w:rPr>
        <w:t>.</w:t>
      </w:r>
      <w:bookmarkEnd w:id="40"/>
    </w:p>
    <w:p w:rsidR="004C631C" w:rsidRPr="00675D48" w:rsidRDefault="004C631C" w:rsidP="004C631C">
      <w:pPr>
        <w:tabs>
          <w:tab w:val="clear" w:pos="567"/>
          <w:tab w:val="clear" w:pos="1134"/>
          <w:tab w:val="clear" w:pos="1701"/>
          <w:tab w:val="clear" w:pos="2268"/>
          <w:tab w:val="clear" w:pos="2835"/>
        </w:tabs>
        <w:snapToGrid w:val="0"/>
        <w:spacing w:after="120"/>
        <w:rPr>
          <w:lang w:val="fr-CH"/>
        </w:rPr>
      </w:pPr>
      <w:r w:rsidRPr="00675D48">
        <w:rPr>
          <w:lang w:val="fr-CH"/>
        </w:rPr>
        <w:t>2.13</w:t>
      </w:r>
      <w:r w:rsidRPr="00675D48">
        <w:rPr>
          <w:lang w:val="fr-CH"/>
        </w:rPr>
        <w:tab/>
      </w:r>
      <w:bookmarkStart w:id="41" w:name="lt_pId092"/>
      <w:r w:rsidRPr="00675D48">
        <w:rPr>
          <w:lang w:val="fr-CH"/>
        </w:rPr>
        <w:t xml:space="preserve">Par conséquent, le texte ci-après est </w:t>
      </w:r>
      <w:r w:rsidRPr="00675D48">
        <w:rPr>
          <w:b/>
          <w:bCs/>
          <w:lang w:val="fr-CH"/>
        </w:rPr>
        <w:t>approuvé</w:t>
      </w:r>
      <w:r w:rsidRPr="00675D48">
        <w:rPr>
          <w:lang w:val="fr-CH"/>
        </w:rPr>
        <w:t xml:space="preserve"> en tant que décision de la Conférence:</w:t>
      </w:r>
      <w:bookmarkEnd w:id="41"/>
    </w:p>
    <w:p w:rsidR="004C631C" w:rsidRPr="00675D48" w:rsidRDefault="004C631C" w:rsidP="004C631C">
      <w:pPr>
        <w:rPr>
          <w:lang w:val="fr-CH"/>
        </w:rPr>
      </w:pPr>
      <w:r w:rsidRPr="00675D48">
        <w:rPr>
          <w:lang w:val="fr-CH"/>
        </w:rPr>
        <w:t>"La présente Conférence de plénipotentiaires (Dubaï, 2018) pense que les mémorandums d'accord auxquels l'UIT participe qui ont, selon le Secrétaire général, des incidences financières ou stratégiques importantes ne devraient être conclus que sous réserve de l'obtention de l'approbation préalable du Conseil.</w:t>
      </w:r>
    </w:p>
    <w:p w:rsidR="004C631C" w:rsidRPr="00675D48" w:rsidRDefault="004C631C" w:rsidP="004C631C">
      <w:pPr>
        <w:rPr>
          <w:lang w:val="fr-CH"/>
        </w:rPr>
      </w:pPr>
      <w:r w:rsidRPr="00675D48">
        <w:rPr>
          <w:lang w:val="fr-CH"/>
        </w:rPr>
        <w:t>Par conséquent, le Secrétaire général soumettra les mémorandums d'accord qui ont des incidences financières ou stratégiques importantes à la session ordinaire du Conseil pour obtenir son approbation préalable.</w:t>
      </w:r>
    </w:p>
    <w:p w:rsidR="004C631C" w:rsidRPr="00675D48" w:rsidRDefault="004C631C" w:rsidP="004C631C">
      <w:pPr>
        <w:rPr>
          <w:lang w:val="fr-CH"/>
        </w:rPr>
      </w:pPr>
      <w:r w:rsidRPr="00675D48">
        <w:rPr>
          <w:lang w:val="fr-CH"/>
        </w:rPr>
        <w:lastRenderedPageBreak/>
        <w:t>Par ailleurs, un rapport sur les autres mémorandums d'accord conclus par l'UIT pendant la période considérée continuera d'être soumis.</w:t>
      </w:r>
    </w:p>
    <w:p w:rsidR="004C631C" w:rsidRPr="00675D48" w:rsidRDefault="004C631C" w:rsidP="004C631C">
      <w:pPr>
        <w:rPr>
          <w:lang w:val="fr-CH"/>
        </w:rPr>
      </w:pPr>
      <w:r w:rsidRPr="00675D48">
        <w:rPr>
          <w:lang w:val="fr-CH"/>
        </w:rPr>
        <w:t>Le Conseil, lorsqu'il examinera la participation de l'UIT à des mémorandums d'accord qui ont des incidences financières ou stratégiques importantes, appliquera les principes suivants:</w:t>
      </w:r>
    </w:p>
    <w:p w:rsidR="004C631C" w:rsidRPr="00675D48" w:rsidRDefault="004C631C" w:rsidP="004C631C">
      <w:pPr>
        <w:pStyle w:val="enumlev1"/>
        <w:rPr>
          <w:lang w:val="fr-CH"/>
        </w:rPr>
      </w:pPr>
      <w:r w:rsidRPr="00675D48">
        <w:rPr>
          <w:lang w:val="fr-CH"/>
        </w:rPr>
        <w:t>i)</w:t>
      </w:r>
      <w:r w:rsidRPr="00675D48">
        <w:rPr>
          <w:lang w:val="fr-CH"/>
        </w:rPr>
        <w:tab/>
        <w:t>toute implication du Secrétaire général à ce titre devrait être conforme à l'objet de l'Union énoncé dans l'article 1 de la Constitution et contribuer à sa réalisation, et être dans les limites des plans stratégique et financier de l'Union;</w:t>
      </w:r>
    </w:p>
    <w:p w:rsidR="004C631C" w:rsidRPr="00675D48" w:rsidRDefault="004C631C" w:rsidP="004C631C">
      <w:pPr>
        <w:pStyle w:val="enumlev1"/>
        <w:rPr>
          <w:lang w:val="fr-CH"/>
        </w:rPr>
      </w:pPr>
      <w:r w:rsidRPr="00675D48">
        <w:rPr>
          <w:lang w:val="fr-CH"/>
        </w:rPr>
        <w:t>ii)</w:t>
      </w:r>
      <w:r w:rsidRPr="00675D48">
        <w:rPr>
          <w:lang w:val="fr-CH"/>
        </w:rPr>
        <w:tab/>
        <w:t>les Etats Membres et les Membres de Secteur seront tenus informés des activités menées par l'UIT lorsqu'elle participe à des mémorandums d'accord qui ont des incidences financières ou stratégiques importantes;</w:t>
      </w:r>
    </w:p>
    <w:p w:rsidR="004C631C" w:rsidRPr="00675D48" w:rsidRDefault="004C631C" w:rsidP="004C631C">
      <w:pPr>
        <w:pStyle w:val="enumlev1"/>
        <w:rPr>
          <w:lang w:val="fr-CH"/>
        </w:rPr>
      </w:pPr>
      <w:r w:rsidRPr="00675D48">
        <w:rPr>
          <w:lang w:val="fr-CH"/>
        </w:rPr>
        <w:t>iii)</w:t>
      </w:r>
      <w:r w:rsidRPr="00675D48">
        <w:rPr>
          <w:lang w:val="fr-CH"/>
        </w:rPr>
        <w:tab/>
        <w:t>la souveraineté et les droits des Etats Membres de l'UIT doivent être pleinement respectés et préservés.</w:t>
      </w:r>
    </w:p>
    <w:p w:rsidR="004C631C" w:rsidRPr="00675D48" w:rsidRDefault="004C631C" w:rsidP="004C631C">
      <w:pPr>
        <w:rPr>
          <w:lang w:val="fr-CH"/>
        </w:rPr>
      </w:pPr>
      <w:r w:rsidRPr="00675D48">
        <w:rPr>
          <w:lang w:val="fr-CH"/>
        </w:rPr>
        <w:t>L'activité ci-dessus doit être couverte dans le rapport soumis par le Conseil à la Conférence de plénipotentiaires sur la mise en oeuvre du Plan stratégique et des activités de l'Union."</w:t>
      </w:r>
    </w:p>
    <w:p w:rsidR="004C631C" w:rsidRPr="00675D48" w:rsidRDefault="004C631C" w:rsidP="004C631C">
      <w:pPr>
        <w:pStyle w:val="Heading1"/>
        <w:keepNext w:val="0"/>
        <w:keepLines w:val="0"/>
        <w:tabs>
          <w:tab w:val="clear" w:pos="567"/>
          <w:tab w:val="clear" w:pos="1134"/>
          <w:tab w:val="clear" w:pos="1701"/>
          <w:tab w:val="clear" w:pos="2268"/>
          <w:tab w:val="clear" w:pos="2835"/>
        </w:tabs>
        <w:snapToGrid w:val="0"/>
        <w:spacing w:after="120"/>
        <w:ind w:left="709" w:hanging="709"/>
        <w:rPr>
          <w:sz w:val="26"/>
          <w:szCs w:val="26"/>
          <w:lang w:val="fr-CH"/>
        </w:rPr>
      </w:pPr>
      <w:r w:rsidRPr="00675D48">
        <w:rPr>
          <w:sz w:val="26"/>
          <w:szCs w:val="26"/>
          <w:lang w:val="fr-CH"/>
        </w:rPr>
        <w:t>3</w:t>
      </w:r>
      <w:r w:rsidRPr="00675D48">
        <w:rPr>
          <w:sz w:val="26"/>
          <w:szCs w:val="26"/>
          <w:lang w:val="fr-CH"/>
        </w:rPr>
        <w:tab/>
      </w:r>
      <w:bookmarkStart w:id="42" w:name="lt_pId105"/>
      <w:r w:rsidRPr="00675D48">
        <w:rPr>
          <w:lang w:val="fr-CH"/>
        </w:rPr>
        <w:t>Rapport de la Présidente du Groupe de travail de la plénière</w:t>
      </w:r>
      <w:r w:rsidRPr="00675D48">
        <w:rPr>
          <w:sz w:val="26"/>
          <w:szCs w:val="26"/>
          <w:lang w:val="fr-CH"/>
        </w:rPr>
        <w:t xml:space="preserve"> (</w:t>
      </w:r>
      <w:hyperlink r:id="rId18" w:history="1">
        <w:r w:rsidRPr="00675D48">
          <w:rPr>
            <w:rStyle w:val="Hyperlink"/>
            <w:sz w:val="26"/>
            <w:szCs w:val="26"/>
            <w:lang w:val="fr-CH"/>
          </w:rPr>
          <w:t>Document 143</w:t>
        </w:r>
      </w:hyperlink>
      <w:r w:rsidRPr="00675D48">
        <w:rPr>
          <w:sz w:val="26"/>
          <w:szCs w:val="26"/>
          <w:lang w:val="fr-CH"/>
        </w:rPr>
        <w:t>)</w:t>
      </w:r>
      <w:bookmarkEnd w:id="42"/>
    </w:p>
    <w:p w:rsidR="004C631C" w:rsidRPr="00675D48" w:rsidRDefault="004C631C" w:rsidP="00A04B76">
      <w:pPr>
        <w:tabs>
          <w:tab w:val="clear" w:pos="567"/>
          <w:tab w:val="clear" w:pos="1134"/>
          <w:tab w:val="clear" w:pos="1701"/>
          <w:tab w:val="clear" w:pos="2268"/>
          <w:tab w:val="clear" w:pos="2835"/>
        </w:tabs>
        <w:snapToGrid w:val="0"/>
        <w:spacing w:after="120"/>
        <w:rPr>
          <w:lang w:val="fr-CH"/>
        </w:rPr>
      </w:pPr>
      <w:r w:rsidRPr="00675D48">
        <w:rPr>
          <w:lang w:val="fr-CH"/>
        </w:rPr>
        <w:t>3.1</w:t>
      </w:r>
      <w:r w:rsidRPr="00675D48">
        <w:rPr>
          <w:lang w:val="fr-CH"/>
        </w:rPr>
        <w:tab/>
      </w:r>
      <w:bookmarkStart w:id="43" w:name="lt_pId107"/>
      <w:r w:rsidRPr="00675D48">
        <w:rPr>
          <w:lang w:val="fr-CH"/>
        </w:rPr>
        <w:t xml:space="preserve">La </w:t>
      </w:r>
      <w:r w:rsidRPr="00675D48">
        <w:rPr>
          <w:b/>
          <w:bCs/>
          <w:lang w:val="fr-CH"/>
        </w:rPr>
        <w:t xml:space="preserve">Présidente du Groupe de travail de la plénière </w:t>
      </w:r>
      <w:r w:rsidRPr="00675D48">
        <w:rPr>
          <w:lang w:val="fr-CH"/>
        </w:rPr>
        <w:t>présente son rapport figurant dans le Document 143 et déclare que le groupe de travail a tenu 10 séances et a examiné 90 propositions émanant d'Etats Membres. Huit groupes ad hoc ont été créés afin d'accélérer les travaux. Huit révisions de résolutions et trois propositions de nouvelles résolutions ont été examinées dans le cadre de travaux de synthèse informels. Le groupe de travail a approuvé trois nouvelles résolutions, révisé 14 résolutions et approuvé une proposition visant à ne pas modifier une résolution. Il a également approuvé une nouvelle Recommandation</w:t>
      </w:r>
      <w:bookmarkStart w:id="44" w:name="lt_pId110"/>
      <w:bookmarkEnd w:id="43"/>
      <w:r w:rsidRPr="00675D48">
        <w:rPr>
          <w:lang w:val="fr-CH"/>
        </w:rPr>
        <w:t>.</w:t>
      </w:r>
      <w:bookmarkEnd w:id="44"/>
      <w:r w:rsidRPr="00675D48">
        <w:rPr>
          <w:lang w:val="fr-CH"/>
        </w:rPr>
        <w:t xml:space="preserve"> Une série supplémentaire constituée de huit résolutions révisées et d'une nouvelle résolution, comprenant un certain nombre de dispositions entre crochets, est soumise à la plénière afin qu'elle l'examine plus avant. L'Annexe 3 du rapport contient des déclarations qui ont été soumises en vue d'être intégrées dans le rapport: une déclaration de M. Vladimir Minkin (Fédération de Russie), qui a présidé les discussions ad hoc concernant le SMSI, au sujet de l'approbation de la Résolution 140 révisée; une déclaration de la délégation des Etats-Unis concernant la proposition de nouvelle résolution sur les études relatives aux mégadonnées; une déclaration de la délégation de la Fédération de Russie sur cette même question; et une déclaration de la CEPT concernant l'approbation de</w:t>
      </w:r>
      <w:r w:rsidR="00A04B76" w:rsidRPr="00675D48">
        <w:rPr>
          <w:lang w:val="fr-CH"/>
        </w:rPr>
        <w:t xml:space="preserve"> la</w:t>
      </w:r>
      <w:r w:rsidRPr="00675D48">
        <w:rPr>
          <w:lang w:val="fr-CH"/>
        </w:rPr>
        <w:t xml:space="preserve"> nouvelle résolution sur les OTT</w:t>
      </w:r>
      <w:bookmarkStart w:id="45" w:name="lt_pId116"/>
      <w:r w:rsidRPr="00675D48">
        <w:rPr>
          <w:lang w:val="fr-CH"/>
        </w:rPr>
        <w:t>.</w:t>
      </w:r>
      <w:bookmarkEnd w:id="45"/>
      <w:r w:rsidRPr="00675D48">
        <w:rPr>
          <w:lang w:val="fr-CH"/>
        </w:rPr>
        <w:t xml:space="preserve"> </w:t>
      </w:r>
    </w:p>
    <w:p w:rsidR="004C631C" w:rsidRPr="00675D48" w:rsidRDefault="004C631C" w:rsidP="00A04B76">
      <w:pPr>
        <w:tabs>
          <w:tab w:val="clear" w:pos="567"/>
          <w:tab w:val="clear" w:pos="1134"/>
          <w:tab w:val="clear" w:pos="1701"/>
          <w:tab w:val="clear" w:pos="2268"/>
          <w:tab w:val="clear" w:pos="2835"/>
        </w:tabs>
        <w:snapToGrid w:val="0"/>
        <w:spacing w:after="120"/>
        <w:rPr>
          <w:lang w:val="fr-CH"/>
        </w:rPr>
      </w:pPr>
      <w:r w:rsidRPr="00675D48">
        <w:rPr>
          <w:lang w:val="fr-CH"/>
        </w:rPr>
        <w:t>3.2</w:t>
      </w:r>
      <w:r w:rsidRPr="00675D48">
        <w:rPr>
          <w:lang w:val="fr-CH"/>
        </w:rPr>
        <w:tab/>
      </w:r>
      <w:bookmarkStart w:id="46" w:name="lt_pId118"/>
      <w:r w:rsidRPr="00675D48">
        <w:rPr>
          <w:lang w:val="fr-CH"/>
        </w:rPr>
        <w:t xml:space="preserve">Le caractère problématique des sujets examinés par le Groupe de travail de la plénière, dont bon nombre avaient trait </w:t>
      </w:r>
      <w:r w:rsidR="00A04B76" w:rsidRPr="00675D48">
        <w:rPr>
          <w:lang w:val="fr-CH"/>
        </w:rPr>
        <w:t>à de</w:t>
      </w:r>
      <w:r w:rsidRPr="00675D48">
        <w:rPr>
          <w:lang w:val="fr-CH"/>
        </w:rPr>
        <w:t xml:space="preserve"> nouvelles technologies et questions, a parfois donné lieu à des débats difficiles, mais l'engagement de tous les participants et leur disposition à trouver des solutions de compromis dans l'intérêt général ont porté leurs fruits. La plénière est instamment priée de tenir compte des travaux déjà accomplis lorsqu'elle examinera de nouveau ces sujets</w:t>
      </w:r>
      <w:bookmarkStart w:id="47" w:name="lt_pId119"/>
      <w:bookmarkEnd w:id="46"/>
      <w:r w:rsidRPr="00675D48">
        <w:rPr>
          <w:lang w:val="fr-CH"/>
        </w:rPr>
        <w:t>.</w:t>
      </w:r>
      <w:bookmarkEnd w:id="47"/>
    </w:p>
    <w:p w:rsidR="004C631C" w:rsidRPr="00675D48" w:rsidRDefault="004C631C" w:rsidP="004C631C">
      <w:pPr>
        <w:tabs>
          <w:tab w:val="clear" w:pos="567"/>
          <w:tab w:val="clear" w:pos="1134"/>
          <w:tab w:val="clear" w:pos="1701"/>
          <w:tab w:val="clear" w:pos="2268"/>
          <w:tab w:val="clear" w:pos="2835"/>
        </w:tabs>
        <w:snapToGrid w:val="0"/>
        <w:spacing w:after="120"/>
        <w:rPr>
          <w:lang w:val="fr-CH"/>
        </w:rPr>
      </w:pPr>
      <w:r w:rsidRPr="00675D48">
        <w:rPr>
          <w:lang w:val="fr-CH"/>
        </w:rPr>
        <w:t>3.3</w:t>
      </w:r>
      <w:r w:rsidRPr="00675D48">
        <w:rPr>
          <w:lang w:val="fr-CH"/>
        </w:rPr>
        <w:tab/>
      </w:r>
      <w:bookmarkStart w:id="48" w:name="lt_pId121"/>
      <w:r w:rsidRPr="00675D48">
        <w:rPr>
          <w:lang w:val="fr-CH"/>
        </w:rPr>
        <w:t xml:space="preserve">Le </w:t>
      </w:r>
      <w:r w:rsidRPr="00675D48">
        <w:rPr>
          <w:b/>
          <w:bCs/>
          <w:lang w:val="fr-CH"/>
        </w:rPr>
        <w:t xml:space="preserve">Président </w:t>
      </w:r>
      <w:r w:rsidRPr="00675D48">
        <w:rPr>
          <w:lang w:val="fr-CH"/>
        </w:rPr>
        <w:t>remercie la Présidente et les membres du Groupe de travail de la plénière pour leur excellent travail.</w:t>
      </w:r>
      <w:bookmarkEnd w:id="48"/>
    </w:p>
    <w:p w:rsidR="004C631C" w:rsidRPr="00675D48" w:rsidRDefault="004C631C" w:rsidP="00A04B76">
      <w:pPr>
        <w:tabs>
          <w:tab w:val="clear" w:pos="567"/>
          <w:tab w:val="clear" w:pos="1134"/>
          <w:tab w:val="clear" w:pos="1701"/>
          <w:tab w:val="clear" w:pos="2268"/>
          <w:tab w:val="clear" w:pos="2835"/>
        </w:tabs>
        <w:snapToGrid w:val="0"/>
        <w:spacing w:after="120"/>
        <w:rPr>
          <w:lang w:val="fr-CH"/>
        </w:rPr>
      </w:pPr>
      <w:r w:rsidRPr="00675D48">
        <w:rPr>
          <w:lang w:val="fr-CH"/>
        </w:rPr>
        <w:t>3.4</w:t>
      </w:r>
      <w:r w:rsidRPr="00675D48">
        <w:rPr>
          <w:lang w:val="fr-CH"/>
        </w:rPr>
        <w:tab/>
      </w:r>
      <w:bookmarkStart w:id="49" w:name="lt_pId123"/>
      <w:r w:rsidRPr="00675D48">
        <w:rPr>
          <w:lang w:val="fr-CH"/>
        </w:rPr>
        <w:t xml:space="preserve">Le </w:t>
      </w:r>
      <w:r w:rsidRPr="00675D48">
        <w:rPr>
          <w:b/>
          <w:bCs/>
          <w:lang w:val="fr-CH"/>
        </w:rPr>
        <w:t xml:space="preserve">délégué du Royaume-Uni, </w:t>
      </w:r>
      <w:r w:rsidRPr="00675D48">
        <w:rPr>
          <w:lang w:val="fr-CH"/>
        </w:rPr>
        <w:t xml:space="preserve">s'exprimant au nom de la CEPT </w:t>
      </w:r>
      <w:r w:rsidR="00A04B76" w:rsidRPr="00675D48">
        <w:rPr>
          <w:lang w:val="fr-CH"/>
        </w:rPr>
        <w:t>et appuyé par le</w:t>
      </w:r>
      <w:r w:rsidRPr="00675D48">
        <w:rPr>
          <w:lang w:val="fr-CH"/>
        </w:rPr>
        <w:t xml:space="preserve"> </w:t>
      </w:r>
      <w:r w:rsidRPr="00675D48">
        <w:rPr>
          <w:b/>
          <w:bCs/>
          <w:lang w:val="fr-CH"/>
        </w:rPr>
        <w:t>délégué du Canada</w:t>
      </w:r>
      <w:r w:rsidRPr="00675D48">
        <w:rPr>
          <w:lang w:val="fr-CH"/>
        </w:rPr>
        <w:t>, déclare que la CEPT souscrit à la déclaration faite par les Etats-Unis concernant les études relatives aux mégadonnées et souhaite qu'il en soit pris note dans le document.</w:t>
      </w:r>
      <w:bookmarkEnd w:id="49"/>
    </w:p>
    <w:p w:rsidR="004C631C" w:rsidRPr="00675D48" w:rsidRDefault="004C631C" w:rsidP="004C631C">
      <w:pPr>
        <w:tabs>
          <w:tab w:val="clear" w:pos="567"/>
          <w:tab w:val="clear" w:pos="1134"/>
          <w:tab w:val="clear" w:pos="1701"/>
          <w:tab w:val="clear" w:pos="2268"/>
          <w:tab w:val="clear" w:pos="2835"/>
        </w:tabs>
        <w:snapToGrid w:val="0"/>
        <w:spacing w:after="120"/>
        <w:rPr>
          <w:lang w:val="fr-CH"/>
        </w:rPr>
      </w:pPr>
      <w:r w:rsidRPr="00675D48">
        <w:rPr>
          <w:lang w:val="fr-CH"/>
        </w:rPr>
        <w:lastRenderedPageBreak/>
        <w:t>3.5</w:t>
      </w:r>
      <w:r w:rsidRPr="00675D48">
        <w:rPr>
          <w:lang w:val="fr-CH"/>
        </w:rPr>
        <w:tab/>
      </w:r>
      <w:bookmarkStart w:id="50" w:name="lt_pId125"/>
      <w:r w:rsidRPr="00675D48">
        <w:rPr>
          <w:lang w:val="fr-CH"/>
        </w:rPr>
        <w:t xml:space="preserve">La </w:t>
      </w:r>
      <w:r w:rsidRPr="00675D48">
        <w:rPr>
          <w:b/>
          <w:bCs/>
          <w:lang w:val="fr-CH"/>
        </w:rPr>
        <w:t xml:space="preserve">Présidente du Groupe de travail de la plénière </w:t>
      </w:r>
      <w:r w:rsidRPr="00675D48">
        <w:rPr>
          <w:lang w:val="fr-CH"/>
        </w:rPr>
        <w:t>déclare que le Document 143 sera modifié en conséquence.</w:t>
      </w:r>
      <w:bookmarkEnd w:id="50"/>
    </w:p>
    <w:p w:rsidR="004C631C" w:rsidRPr="00675D48" w:rsidRDefault="004C631C" w:rsidP="004C631C">
      <w:pPr>
        <w:tabs>
          <w:tab w:val="clear" w:pos="567"/>
          <w:tab w:val="clear" w:pos="1134"/>
          <w:tab w:val="clear" w:pos="1701"/>
          <w:tab w:val="clear" w:pos="2268"/>
          <w:tab w:val="clear" w:pos="2835"/>
        </w:tabs>
        <w:snapToGrid w:val="0"/>
        <w:spacing w:after="120"/>
        <w:rPr>
          <w:lang w:val="fr-CH"/>
        </w:rPr>
      </w:pPr>
      <w:r w:rsidRPr="00675D48">
        <w:rPr>
          <w:lang w:val="fr-CH"/>
        </w:rPr>
        <w:t>3.6</w:t>
      </w:r>
      <w:r w:rsidRPr="00675D48">
        <w:rPr>
          <w:lang w:val="fr-CH"/>
        </w:rPr>
        <w:tab/>
      </w:r>
      <w:bookmarkStart w:id="51" w:name="lt_pId127"/>
      <w:r w:rsidRPr="00675D48">
        <w:rPr>
          <w:lang w:val="fr-CH"/>
        </w:rPr>
        <w:t xml:space="preserve">Le rapport de la Présidente du Groupe de travail de la plénière (Document 143) est </w:t>
      </w:r>
      <w:r w:rsidRPr="00675D48">
        <w:rPr>
          <w:b/>
          <w:bCs/>
          <w:lang w:val="fr-CH"/>
        </w:rPr>
        <w:t>approuvé</w:t>
      </w:r>
      <w:r w:rsidRPr="00675D48">
        <w:rPr>
          <w:lang w:val="fr-CH"/>
        </w:rPr>
        <w:t xml:space="preserve"> tel que modifié.</w:t>
      </w:r>
      <w:bookmarkEnd w:id="51"/>
    </w:p>
    <w:p w:rsidR="004C631C" w:rsidRPr="00675D48" w:rsidRDefault="004C631C" w:rsidP="00A04B76">
      <w:pPr>
        <w:pStyle w:val="Heading1"/>
        <w:rPr>
          <w:lang w:val="fr-CH"/>
        </w:rPr>
      </w:pPr>
      <w:r w:rsidRPr="00675D48">
        <w:rPr>
          <w:lang w:val="fr-CH"/>
        </w:rPr>
        <w:t>4</w:t>
      </w:r>
      <w:r w:rsidRPr="00675D48">
        <w:rPr>
          <w:lang w:val="fr-CH"/>
        </w:rPr>
        <w:tab/>
      </w:r>
      <w:bookmarkStart w:id="52" w:name="lt_pId130"/>
      <w:r w:rsidRPr="00675D48">
        <w:rPr>
          <w:lang w:val="fr-CH"/>
        </w:rPr>
        <w:t>Quatorzième série de textes soumis par la Commission de rédaction en première lecture (B14) (</w:t>
      </w:r>
      <w:hyperlink r:id="rId19" w:history="1">
        <w:r w:rsidRPr="00675D48">
          <w:rPr>
            <w:rStyle w:val="Hyperlink"/>
            <w:lang w:val="fr-CH"/>
          </w:rPr>
          <w:t>Document 140</w:t>
        </w:r>
      </w:hyperlink>
      <w:r w:rsidRPr="00675D48">
        <w:rPr>
          <w:lang w:val="fr-CH"/>
        </w:rPr>
        <w:t>)</w:t>
      </w:r>
      <w:bookmarkEnd w:id="52"/>
    </w:p>
    <w:p w:rsidR="004C631C" w:rsidRPr="00675D48" w:rsidRDefault="004C631C" w:rsidP="004C631C">
      <w:pPr>
        <w:rPr>
          <w:b/>
          <w:bCs/>
          <w:lang w:val="fr-CH"/>
        </w:rPr>
      </w:pPr>
      <w:bookmarkStart w:id="53" w:name="lt_pId131"/>
      <w:r w:rsidRPr="00675D48">
        <w:rPr>
          <w:b/>
          <w:bCs/>
          <w:lang w:val="fr-CH"/>
        </w:rPr>
        <w:t xml:space="preserve">Projet de </w:t>
      </w:r>
      <w:bookmarkStart w:id="54" w:name="_Toc407016244"/>
      <w:r w:rsidRPr="00675D48">
        <w:rPr>
          <w:b/>
          <w:bCs/>
          <w:lang w:val="fr-CH"/>
        </w:rPr>
        <w:t xml:space="preserve">Résolution </w:t>
      </w:r>
      <w:r w:rsidRPr="00675D48">
        <w:rPr>
          <w:rStyle w:val="href"/>
          <w:b/>
          <w:bCs/>
          <w:lang w:val="fr-CH"/>
        </w:rPr>
        <w:t>150</w:t>
      </w:r>
      <w:r w:rsidRPr="00675D48">
        <w:rPr>
          <w:b/>
          <w:bCs/>
          <w:lang w:val="fr-CH"/>
        </w:rPr>
        <w:t xml:space="preserve"> (Rév. Dubaï, 2018)</w:t>
      </w:r>
      <w:bookmarkEnd w:id="54"/>
      <w:r w:rsidRPr="00675D48">
        <w:rPr>
          <w:b/>
          <w:bCs/>
          <w:lang w:val="fr-CH"/>
        </w:rPr>
        <w:t xml:space="preserve"> – </w:t>
      </w:r>
      <w:bookmarkStart w:id="55" w:name="_Toc407016245"/>
      <w:r w:rsidRPr="00675D48">
        <w:rPr>
          <w:b/>
          <w:bCs/>
          <w:lang w:val="fr-CH"/>
        </w:rPr>
        <w:t xml:space="preserve">Approbation des comptes de l'Union pour les années 2014 à </w:t>
      </w:r>
      <w:bookmarkEnd w:id="55"/>
      <w:r w:rsidRPr="00675D48">
        <w:rPr>
          <w:b/>
          <w:bCs/>
          <w:lang w:val="fr-CH"/>
        </w:rPr>
        <w:t>2017</w:t>
      </w:r>
    </w:p>
    <w:bookmarkEnd w:id="53"/>
    <w:p w:rsidR="004C631C" w:rsidRPr="00675D48" w:rsidRDefault="004C631C" w:rsidP="004C631C">
      <w:pPr>
        <w:tabs>
          <w:tab w:val="clear" w:pos="567"/>
          <w:tab w:val="clear" w:pos="1134"/>
          <w:tab w:val="clear" w:pos="1701"/>
          <w:tab w:val="clear" w:pos="2268"/>
          <w:tab w:val="clear" w:pos="2835"/>
        </w:tabs>
        <w:snapToGrid w:val="0"/>
        <w:spacing w:after="120"/>
        <w:rPr>
          <w:lang w:val="fr-CH"/>
        </w:rPr>
      </w:pPr>
      <w:r w:rsidRPr="00675D48">
        <w:rPr>
          <w:lang w:val="fr-CH"/>
        </w:rPr>
        <w:t>4.1</w:t>
      </w:r>
      <w:r w:rsidRPr="00675D48">
        <w:rPr>
          <w:lang w:val="fr-CH"/>
        </w:rPr>
        <w:tab/>
      </w:r>
      <w:bookmarkStart w:id="56" w:name="lt_pId133"/>
      <w:r w:rsidRPr="00675D48">
        <w:rPr>
          <w:b/>
          <w:bCs/>
          <w:lang w:val="fr-CH"/>
        </w:rPr>
        <w:t>Adopté</w:t>
      </w:r>
      <w:r w:rsidRPr="00675D48">
        <w:rPr>
          <w:lang w:val="fr-CH"/>
        </w:rPr>
        <w:t>.</w:t>
      </w:r>
      <w:bookmarkEnd w:id="56"/>
    </w:p>
    <w:p w:rsidR="004C631C" w:rsidRPr="00675D48" w:rsidRDefault="004C631C" w:rsidP="004C631C">
      <w:pPr>
        <w:tabs>
          <w:tab w:val="clear" w:pos="567"/>
          <w:tab w:val="clear" w:pos="1134"/>
          <w:tab w:val="clear" w:pos="1701"/>
          <w:tab w:val="clear" w:pos="2268"/>
          <w:tab w:val="clear" w:pos="2835"/>
        </w:tabs>
        <w:snapToGrid w:val="0"/>
        <w:spacing w:after="120"/>
        <w:rPr>
          <w:lang w:val="fr-CH"/>
        </w:rPr>
      </w:pPr>
      <w:r w:rsidRPr="00675D48">
        <w:rPr>
          <w:lang w:val="fr-CH"/>
        </w:rPr>
        <w:t>4.2</w:t>
      </w:r>
      <w:r w:rsidRPr="00675D48">
        <w:rPr>
          <w:lang w:val="fr-CH"/>
        </w:rPr>
        <w:tab/>
      </w:r>
      <w:bookmarkStart w:id="57" w:name="lt_pId135"/>
      <w:r w:rsidRPr="00675D48">
        <w:rPr>
          <w:lang w:val="fr-CH"/>
        </w:rPr>
        <w:t xml:space="preserve">La quatorzième série de textes soumis par la Commission de rédaction en première lecture (B14) (Document 140) est </w:t>
      </w:r>
      <w:r w:rsidRPr="00675D48">
        <w:rPr>
          <w:b/>
          <w:lang w:val="fr-CH"/>
        </w:rPr>
        <w:t>approuvée</w:t>
      </w:r>
      <w:r w:rsidRPr="00675D48">
        <w:rPr>
          <w:lang w:val="fr-CH"/>
        </w:rPr>
        <w:t>.</w:t>
      </w:r>
    </w:p>
    <w:bookmarkEnd w:id="57"/>
    <w:p w:rsidR="004C631C" w:rsidRPr="003B5327" w:rsidRDefault="004C631C" w:rsidP="003B5327">
      <w:pPr>
        <w:pStyle w:val="Heading1"/>
      </w:pPr>
      <w:r w:rsidRPr="003B5327">
        <w:t>5</w:t>
      </w:r>
      <w:r w:rsidRPr="003B5327">
        <w:tab/>
      </w:r>
      <w:bookmarkStart w:id="58" w:name="lt_pId137"/>
      <w:r w:rsidRPr="003B5327">
        <w:t xml:space="preserve">Quatorzième série de textes soumis par la Commission de rédaction en seconde lecture </w:t>
      </w:r>
      <w:bookmarkStart w:id="59" w:name="lt_pId138"/>
      <w:bookmarkEnd w:id="58"/>
      <w:r w:rsidRPr="003B5327">
        <w:t>(Document 140)</w:t>
      </w:r>
      <w:bookmarkEnd w:id="59"/>
    </w:p>
    <w:p w:rsidR="004C631C" w:rsidRPr="00675D48" w:rsidRDefault="004C631C" w:rsidP="004C631C">
      <w:pPr>
        <w:tabs>
          <w:tab w:val="clear" w:pos="567"/>
          <w:tab w:val="clear" w:pos="1134"/>
          <w:tab w:val="clear" w:pos="1701"/>
          <w:tab w:val="clear" w:pos="2268"/>
          <w:tab w:val="clear" w:pos="2835"/>
        </w:tabs>
        <w:snapToGrid w:val="0"/>
        <w:spacing w:after="120"/>
        <w:rPr>
          <w:lang w:val="fr-CH"/>
        </w:rPr>
      </w:pPr>
      <w:r w:rsidRPr="00675D48">
        <w:rPr>
          <w:lang w:val="fr-CH"/>
        </w:rPr>
        <w:t>5.1</w:t>
      </w:r>
      <w:r w:rsidRPr="00675D48">
        <w:rPr>
          <w:lang w:val="fr-CH"/>
        </w:rPr>
        <w:tab/>
      </w:r>
      <w:bookmarkStart w:id="60" w:name="lt_pId140"/>
      <w:r w:rsidRPr="00675D48">
        <w:rPr>
          <w:lang w:val="fr-CH"/>
        </w:rPr>
        <w:t xml:space="preserve">La quatorzième série de textes soumis par la Commission de rédaction (Document 140) est </w:t>
      </w:r>
      <w:r w:rsidRPr="00675D48">
        <w:rPr>
          <w:b/>
          <w:lang w:val="fr-CH"/>
        </w:rPr>
        <w:t>approuvée</w:t>
      </w:r>
      <w:r w:rsidRPr="00675D48">
        <w:rPr>
          <w:lang w:val="fr-CH"/>
        </w:rPr>
        <w:t xml:space="preserve"> en seconde lecture.</w:t>
      </w:r>
    </w:p>
    <w:bookmarkEnd w:id="60"/>
    <w:p w:rsidR="004C631C" w:rsidRPr="003B5327" w:rsidRDefault="004C631C" w:rsidP="004C631C">
      <w:pPr>
        <w:pStyle w:val="Heading1"/>
        <w:keepNext w:val="0"/>
        <w:keepLines w:val="0"/>
        <w:tabs>
          <w:tab w:val="clear" w:pos="567"/>
          <w:tab w:val="clear" w:pos="1134"/>
          <w:tab w:val="clear" w:pos="1701"/>
          <w:tab w:val="clear" w:pos="2268"/>
          <w:tab w:val="clear" w:pos="2835"/>
        </w:tabs>
        <w:snapToGrid w:val="0"/>
        <w:spacing w:after="120"/>
        <w:ind w:left="709" w:hanging="709"/>
        <w:rPr>
          <w:szCs w:val="28"/>
          <w:lang w:val="fr-CH"/>
        </w:rPr>
      </w:pPr>
      <w:r w:rsidRPr="003B5327">
        <w:rPr>
          <w:szCs w:val="28"/>
          <w:lang w:val="fr-CH"/>
        </w:rPr>
        <w:t>6</w:t>
      </w:r>
      <w:r w:rsidRPr="003B5327">
        <w:rPr>
          <w:szCs w:val="28"/>
          <w:lang w:val="fr-CH"/>
        </w:rPr>
        <w:tab/>
      </w:r>
      <w:bookmarkStart w:id="61" w:name="lt_pId142"/>
      <w:r w:rsidRPr="003B5327">
        <w:rPr>
          <w:szCs w:val="28"/>
          <w:lang w:val="fr-CH"/>
        </w:rPr>
        <w:t xml:space="preserve">Dix-septième série de textes soumis par la Commission de rédaction en première lecture </w:t>
      </w:r>
      <w:bookmarkStart w:id="62" w:name="lt_pId143"/>
      <w:bookmarkEnd w:id="61"/>
      <w:r w:rsidRPr="003B5327">
        <w:rPr>
          <w:szCs w:val="28"/>
          <w:lang w:val="fr-CH"/>
        </w:rPr>
        <w:t>(B17) (</w:t>
      </w:r>
      <w:hyperlink r:id="rId20" w:history="1">
        <w:r w:rsidRPr="003B5327">
          <w:rPr>
            <w:rStyle w:val="Hyperlink"/>
            <w:szCs w:val="28"/>
            <w:lang w:val="fr-CH"/>
          </w:rPr>
          <w:t>Document 150</w:t>
        </w:r>
      </w:hyperlink>
      <w:r w:rsidRPr="003B5327">
        <w:rPr>
          <w:szCs w:val="28"/>
          <w:lang w:val="fr-CH"/>
        </w:rPr>
        <w:t>)</w:t>
      </w:r>
      <w:bookmarkEnd w:id="62"/>
      <w:r w:rsidRPr="003B5327">
        <w:rPr>
          <w:rFonts w:cs="Calibri"/>
          <w:color w:val="800000"/>
          <w:szCs w:val="28"/>
          <w:lang w:val="fr-CH"/>
        </w:rPr>
        <w:t xml:space="preserve"> </w:t>
      </w:r>
    </w:p>
    <w:p w:rsidR="004C631C" w:rsidRPr="00675D48" w:rsidRDefault="004C631C" w:rsidP="004C631C">
      <w:pPr>
        <w:rPr>
          <w:b/>
          <w:bCs/>
          <w:lang w:val="fr-CH"/>
        </w:rPr>
      </w:pPr>
      <w:bookmarkStart w:id="63" w:name="lt_pId144"/>
      <w:r w:rsidRPr="00675D48">
        <w:rPr>
          <w:b/>
          <w:bCs/>
          <w:lang w:val="fr-CH"/>
        </w:rPr>
        <w:t xml:space="preserve">Projet de Résolution 2 (Rév. Dubaï, 2018) – </w:t>
      </w:r>
      <w:bookmarkStart w:id="64" w:name="_Toc407016182"/>
      <w:r w:rsidRPr="00675D48">
        <w:rPr>
          <w:b/>
          <w:bCs/>
          <w:lang w:val="fr-CH"/>
        </w:rPr>
        <w:t>Forum mondial des politiques de télécommunication et des technologies de l'information et des communications</w:t>
      </w:r>
      <w:bookmarkEnd w:id="64"/>
    </w:p>
    <w:p w:rsidR="004C631C" w:rsidRPr="00675D48" w:rsidRDefault="00DA2774" w:rsidP="00DA2774">
      <w:pPr>
        <w:rPr>
          <w:b/>
          <w:bCs/>
          <w:lang w:val="fr-CH"/>
        </w:rPr>
      </w:pPr>
      <w:r w:rsidRPr="00675D48">
        <w:rPr>
          <w:b/>
          <w:bCs/>
          <w:lang w:val="fr-CH"/>
        </w:rPr>
        <w:t xml:space="preserve">Projet de </w:t>
      </w:r>
      <w:r w:rsidR="004C631C" w:rsidRPr="00675D48">
        <w:rPr>
          <w:b/>
          <w:bCs/>
          <w:lang w:val="fr-CH"/>
        </w:rPr>
        <w:t xml:space="preserve">Résolution </w:t>
      </w:r>
      <w:r w:rsidR="004C631C" w:rsidRPr="00675D48">
        <w:rPr>
          <w:rStyle w:val="href"/>
          <w:b/>
          <w:bCs/>
          <w:lang w:val="fr-CH"/>
        </w:rPr>
        <w:t>135</w:t>
      </w:r>
      <w:r w:rsidR="004C631C" w:rsidRPr="00675D48">
        <w:rPr>
          <w:b/>
          <w:bCs/>
          <w:lang w:val="fr-CH"/>
        </w:rPr>
        <w:t xml:space="preserve"> (Rév. Dubaï, 2018) </w:t>
      </w:r>
      <w:r w:rsidRPr="00675D48">
        <w:rPr>
          <w:b/>
          <w:bCs/>
          <w:lang w:val="fr-CH"/>
        </w:rPr>
        <w:t>–</w:t>
      </w:r>
      <w:r w:rsidR="004C631C" w:rsidRPr="00675D48">
        <w:rPr>
          <w:rFonts w:ascii="Segoe UI Symbol" w:hAnsi="Segoe UI Symbol"/>
          <w:b/>
          <w:bCs/>
          <w:lang w:val="fr-CH"/>
        </w:rPr>
        <w:t xml:space="preserve"> </w:t>
      </w:r>
      <w:bookmarkStart w:id="65" w:name="_Toc407016231"/>
      <w:r w:rsidR="004C631C" w:rsidRPr="00675D48">
        <w:rPr>
          <w:b/>
          <w:bCs/>
          <w:lang w:val="fr-CH"/>
        </w:rPr>
        <w:t>Rôle de l'UIT dans le développement pérenne et durable des télécommunications et des technologies de l'information et de la communication, dans la fourniture d'une assistance technique et d'avis aux pays en développement et dans la mise en oeuvre de projets nationaux, régionaux et interrégionaux</w:t>
      </w:r>
      <w:bookmarkEnd w:id="65"/>
    </w:p>
    <w:bookmarkEnd w:id="63"/>
    <w:p w:rsidR="004C631C" w:rsidRPr="00675D48" w:rsidRDefault="004C631C" w:rsidP="004C631C">
      <w:pPr>
        <w:tabs>
          <w:tab w:val="clear" w:pos="567"/>
          <w:tab w:val="clear" w:pos="1134"/>
          <w:tab w:val="clear" w:pos="1701"/>
          <w:tab w:val="clear" w:pos="2268"/>
          <w:tab w:val="clear" w:pos="2835"/>
        </w:tabs>
        <w:snapToGrid w:val="0"/>
        <w:spacing w:after="120"/>
        <w:rPr>
          <w:lang w:val="fr-CH"/>
        </w:rPr>
      </w:pPr>
      <w:r w:rsidRPr="00675D48">
        <w:rPr>
          <w:lang w:val="fr-CH"/>
        </w:rPr>
        <w:t>6.1</w:t>
      </w:r>
      <w:r w:rsidRPr="00675D48">
        <w:rPr>
          <w:lang w:val="fr-CH"/>
        </w:rPr>
        <w:tab/>
      </w:r>
      <w:bookmarkStart w:id="66" w:name="lt_pId147"/>
      <w:r w:rsidRPr="00675D48">
        <w:rPr>
          <w:b/>
          <w:bCs/>
          <w:lang w:val="fr-CH"/>
        </w:rPr>
        <w:t>Adoptés</w:t>
      </w:r>
      <w:r w:rsidRPr="00675D48">
        <w:rPr>
          <w:lang w:val="fr-CH"/>
        </w:rPr>
        <w:t>.</w:t>
      </w:r>
      <w:bookmarkEnd w:id="66"/>
    </w:p>
    <w:p w:rsidR="004C631C" w:rsidRPr="00675D48" w:rsidRDefault="004C631C" w:rsidP="004C631C">
      <w:pPr>
        <w:tabs>
          <w:tab w:val="clear" w:pos="567"/>
          <w:tab w:val="clear" w:pos="1134"/>
          <w:tab w:val="clear" w:pos="1701"/>
          <w:tab w:val="clear" w:pos="2268"/>
          <w:tab w:val="clear" w:pos="2835"/>
        </w:tabs>
        <w:snapToGrid w:val="0"/>
        <w:spacing w:after="120"/>
        <w:rPr>
          <w:b/>
          <w:bCs/>
          <w:lang w:val="fr-CH"/>
        </w:rPr>
      </w:pPr>
      <w:r w:rsidRPr="00675D48">
        <w:rPr>
          <w:lang w:val="fr-CH"/>
        </w:rPr>
        <w:t>6.2</w:t>
      </w:r>
      <w:r w:rsidRPr="00675D48">
        <w:rPr>
          <w:lang w:val="fr-CH"/>
        </w:rPr>
        <w:tab/>
      </w:r>
      <w:bookmarkStart w:id="67" w:name="lt_pId149"/>
      <w:r w:rsidRPr="00675D48">
        <w:rPr>
          <w:lang w:val="fr-CH"/>
        </w:rPr>
        <w:t xml:space="preserve">La dix-septième série de textes soumis par la Commission de rédaction en première lecture (B17) (Document 150) est </w:t>
      </w:r>
      <w:r w:rsidRPr="00675D48">
        <w:rPr>
          <w:b/>
          <w:bCs/>
          <w:lang w:val="fr-CH"/>
        </w:rPr>
        <w:t>approuvée</w:t>
      </w:r>
      <w:r w:rsidRPr="005C5E7E">
        <w:rPr>
          <w:lang w:val="fr-CH"/>
        </w:rPr>
        <w:t>.</w:t>
      </w:r>
      <w:bookmarkEnd w:id="67"/>
      <w:r w:rsidRPr="00675D48">
        <w:rPr>
          <w:rFonts w:cs="Calibri"/>
          <w:b/>
          <w:bCs/>
          <w:color w:val="800000"/>
          <w:sz w:val="22"/>
          <w:lang w:val="fr-CH"/>
        </w:rPr>
        <w:t xml:space="preserve"> </w:t>
      </w:r>
    </w:p>
    <w:p w:rsidR="004C631C" w:rsidRPr="003B5327" w:rsidRDefault="004C631C" w:rsidP="003B5327">
      <w:pPr>
        <w:pStyle w:val="Heading1"/>
      </w:pPr>
      <w:r w:rsidRPr="003B5327">
        <w:t>7</w:t>
      </w:r>
      <w:r w:rsidRPr="003B5327">
        <w:tab/>
      </w:r>
      <w:bookmarkStart w:id="68" w:name="lt_pId151"/>
      <w:r w:rsidRPr="003B5327">
        <w:t xml:space="preserve">Dix-septième série de textes soumis par la Commission de rédaction en seconde </w:t>
      </w:r>
      <w:bookmarkStart w:id="69" w:name="lt_pId152"/>
      <w:bookmarkEnd w:id="68"/>
      <w:r w:rsidRPr="003B5327">
        <w:t>lecture (</w:t>
      </w:r>
      <w:hyperlink r:id="rId21" w:history="1">
        <w:r w:rsidRPr="003B5327">
          <w:rPr>
            <w:rStyle w:val="Hyperlink"/>
            <w:color w:val="auto"/>
            <w:u w:val="none"/>
          </w:rPr>
          <w:t>Document 150</w:t>
        </w:r>
      </w:hyperlink>
      <w:r w:rsidRPr="003B5327">
        <w:t>)</w:t>
      </w:r>
      <w:bookmarkEnd w:id="69"/>
    </w:p>
    <w:p w:rsidR="004C631C" w:rsidRPr="00675D48" w:rsidRDefault="004C631C" w:rsidP="004C631C">
      <w:pPr>
        <w:tabs>
          <w:tab w:val="clear" w:pos="567"/>
          <w:tab w:val="clear" w:pos="1134"/>
          <w:tab w:val="clear" w:pos="1701"/>
          <w:tab w:val="clear" w:pos="2268"/>
          <w:tab w:val="clear" w:pos="2835"/>
        </w:tabs>
        <w:snapToGrid w:val="0"/>
        <w:spacing w:after="120"/>
        <w:rPr>
          <w:lang w:val="fr-CH"/>
        </w:rPr>
      </w:pPr>
      <w:r w:rsidRPr="00675D48">
        <w:rPr>
          <w:lang w:val="fr-CH"/>
        </w:rPr>
        <w:t>7.1</w:t>
      </w:r>
      <w:r w:rsidRPr="00675D48">
        <w:rPr>
          <w:lang w:val="fr-CH"/>
        </w:rPr>
        <w:tab/>
      </w:r>
      <w:bookmarkStart w:id="70" w:name="lt_pId154"/>
      <w:r w:rsidRPr="00675D48">
        <w:rPr>
          <w:lang w:val="fr-CH"/>
        </w:rPr>
        <w:t xml:space="preserve">La dix-septième série de textes soumis par la Commission de rédaction (Document 150) est </w:t>
      </w:r>
      <w:r w:rsidRPr="00675D48">
        <w:rPr>
          <w:b/>
          <w:bCs/>
          <w:lang w:val="fr-CH"/>
        </w:rPr>
        <w:t>approuvée</w:t>
      </w:r>
      <w:r w:rsidRPr="00675D48">
        <w:rPr>
          <w:lang w:val="fr-CH"/>
        </w:rPr>
        <w:t xml:space="preserve"> en seconde lecture.</w:t>
      </w:r>
      <w:bookmarkEnd w:id="70"/>
    </w:p>
    <w:p w:rsidR="004C631C" w:rsidRPr="00675D48" w:rsidRDefault="004C631C" w:rsidP="003B5327">
      <w:pPr>
        <w:pStyle w:val="Heading1"/>
        <w:rPr>
          <w:lang w:val="fr-CH"/>
        </w:rPr>
      </w:pPr>
      <w:r w:rsidRPr="00675D48">
        <w:rPr>
          <w:lang w:val="fr-CH"/>
        </w:rPr>
        <w:lastRenderedPageBreak/>
        <w:t>8</w:t>
      </w:r>
      <w:r w:rsidRPr="00675D48">
        <w:rPr>
          <w:lang w:val="fr-CH"/>
        </w:rPr>
        <w:tab/>
      </w:r>
      <w:bookmarkStart w:id="71" w:name="lt_pId156"/>
      <w:r w:rsidRPr="00675D48">
        <w:rPr>
          <w:lang w:val="fr-CH"/>
        </w:rPr>
        <w:t>Dix-huitième série de textes soumis par la Commission de rédaction en première lecture</w:t>
      </w:r>
      <w:bookmarkStart w:id="72" w:name="lt_pId157"/>
      <w:bookmarkEnd w:id="71"/>
      <w:r w:rsidRPr="00675D48">
        <w:rPr>
          <w:lang w:val="fr-CH"/>
        </w:rPr>
        <w:t xml:space="preserve"> (B18) (</w:t>
      </w:r>
      <w:hyperlink r:id="rId22" w:history="1">
        <w:r w:rsidRPr="00675D48">
          <w:rPr>
            <w:rStyle w:val="Hyperlink"/>
            <w:sz w:val="26"/>
            <w:szCs w:val="26"/>
            <w:lang w:val="fr-CH"/>
          </w:rPr>
          <w:t>Document 159</w:t>
        </w:r>
      </w:hyperlink>
      <w:r w:rsidRPr="00675D48">
        <w:rPr>
          <w:lang w:val="fr-CH"/>
        </w:rPr>
        <w:t>)</w:t>
      </w:r>
      <w:bookmarkEnd w:id="72"/>
    </w:p>
    <w:p w:rsidR="004C631C" w:rsidRPr="003B5327" w:rsidRDefault="004C631C" w:rsidP="004C631C">
      <w:pPr>
        <w:rPr>
          <w:rFonts w:cs="Calibri"/>
          <w:b/>
          <w:bCs/>
          <w:sz w:val="22"/>
          <w:highlight w:val="yellow"/>
          <w:lang w:val="fr-CH"/>
        </w:rPr>
      </w:pPr>
      <w:bookmarkStart w:id="73" w:name="lt_pId158"/>
      <w:r w:rsidRPr="00675D48">
        <w:rPr>
          <w:b/>
          <w:bCs/>
          <w:lang w:val="fr-CH"/>
        </w:rPr>
        <w:t>Projet de Décision COM6/1 (Dubaï, 2018)</w:t>
      </w:r>
      <w:bookmarkEnd w:id="73"/>
      <w:r w:rsidRPr="00675D48">
        <w:rPr>
          <w:b/>
          <w:bCs/>
          <w:lang w:val="fr-CH"/>
        </w:rPr>
        <w:t xml:space="preserve"> – Groupe de travail du Conseil sur les ressources financières, les ressources humaines et les plans stratégique et financier</w:t>
      </w:r>
    </w:p>
    <w:p w:rsidR="004C631C" w:rsidRPr="00675D48" w:rsidRDefault="004C631C" w:rsidP="004C631C">
      <w:pPr>
        <w:tabs>
          <w:tab w:val="clear" w:pos="567"/>
          <w:tab w:val="clear" w:pos="1134"/>
          <w:tab w:val="clear" w:pos="1701"/>
          <w:tab w:val="clear" w:pos="2268"/>
          <w:tab w:val="clear" w:pos="2835"/>
        </w:tabs>
        <w:snapToGrid w:val="0"/>
        <w:spacing w:after="120"/>
        <w:rPr>
          <w:lang w:val="fr-CH"/>
        </w:rPr>
      </w:pPr>
      <w:r w:rsidRPr="00675D48">
        <w:rPr>
          <w:lang w:val="fr-CH"/>
        </w:rPr>
        <w:t>8.1</w:t>
      </w:r>
      <w:r w:rsidRPr="00675D48">
        <w:rPr>
          <w:lang w:val="fr-CH"/>
        </w:rPr>
        <w:tab/>
      </w:r>
      <w:bookmarkStart w:id="74" w:name="lt_pId160"/>
      <w:r w:rsidRPr="00675D48">
        <w:rPr>
          <w:lang w:val="fr-CH"/>
        </w:rPr>
        <w:t xml:space="preserve">La </w:t>
      </w:r>
      <w:r w:rsidRPr="00675D48">
        <w:rPr>
          <w:b/>
          <w:bCs/>
          <w:lang w:val="fr-CH"/>
        </w:rPr>
        <w:t xml:space="preserve">Présidente de la Commission de rédaction </w:t>
      </w:r>
      <w:r w:rsidRPr="00675D48">
        <w:rPr>
          <w:lang w:val="fr-CH"/>
        </w:rPr>
        <w:t>appelle l'attention sur le fait que l'intégralité du projet de Décision se trouve entre crochets. Elle observe que l'issue des débats de la plénière sur ce sujet aura des incidences d'ordre rédactionnel sur un certain nombre de textes qui demeurent en suspens dans l'attente d'une décision</w:t>
      </w:r>
      <w:bookmarkEnd w:id="74"/>
      <w:r w:rsidRPr="00675D48">
        <w:rPr>
          <w:lang w:val="fr-CH"/>
        </w:rPr>
        <w:t>.</w:t>
      </w:r>
    </w:p>
    <w:p w:rsidR="004C631C" w:rsidRPr="00675D48" w:rsidRDefault="004C631C" w:rsidP="00DA2774">
      <w:pPr>
        <w:tabs>
          <w:tab w:val="clear" w:pos="567"/>
          <w:tab w:val="clear" w:pos="1134"/>
          <w:tab w:val="clear" w:pos="1701"/>
          <w:tab w:val="clear" w:pos="2268"/>
          <w:tab w:val="clear" w:pos="2835"/>
        </w:tabs>
        <w:snapToGrid w:val="0"/>
        <w:spacing w:after="120"/>
        <w:rPr>
          <w:lang w:val="fr-CH"/>
        </w:rPr>
      </w:pPr>
      <w:r w:rsidRPr="00675D48">
        <w:rPr>
          <w:lang w:val="fr-CH"/>
        </w:rPr>
        <w:t>8.2</w:t>
      </w:r>
      <w:r w:rsidRPr="00675D48">
        <w:rPr>
          <w:lang w:val="fr-CH"/>
        </w:rPr>
        <w:tab/>
      </w:r>
      <w:bookmarkStart w:id="75" w:name="lt_pId163"/>
      <w:r w:rsidRPr="00675D48">
        <w:rPr>
          <w:lang w:val="fr-CH"/>
        </w:rPr>
        <w:t xml:space="preserve">Dans la mesure où il est clair, au vu des observations initiales formulées par un certain nombre de délégués, qu'il n'y a pas de consensus </w:t>
      </w:r>
      <w:r w:rsidR="00DA2774" w:rsidRPr="00675D48">
        <w:rPr>
          <w:lang w:val="fr-CH"/>
        </w:rPr>
        <w:t>quant au</w:t>
      </w:r>
      <w:r w:rsidRPr="00675D48">
        <w:rPr>
          <w:lang w:val="fr-CH"/>
        </w:rPr>
        <w:t xml:space="preserve"> fond de la proposition visant à créer un Groupe de travail du Conseil sur les ressources financières, les ressources humaines et les plans stratégique et financier en fusionnant deux groupes de travail existant</w:t>
      </w:r>
      <w:r w:rsidR="00DA2774" w:rsidRPr="00675D48">
        <w:rPr>
          <w:lang w:val="fr-CH"/>
        </w:rPr>
        <w:t>s</w:t>
      </w:r>
      <w:r w:rsidRPr="00675D48">
        <w:rPr>
          <w:lang w:val="fr-CH"/>
        </w:rPr>
        <w:t xml:space="preserve">, et compte tenu de la suggestion du </w:t>
      </w:r>
      <w:r w:rsidRPr="00675D48">
        <w:rPr>
          <w:b/>
          <w:bCs/>
          <w:lang w:val="fr-CH"/>
        </w:rPr>
        <w:t xml:space="preserve">délégué de la République islamique d'Iran </w:t>
      </w:r>
      <w:r w:rsidRPr="00675D48">
        <w:rPr>
          <w:lang w:val="fr-CH"/>
        </w:rPr>
        <w:t xml:space="preserve">selon laquelle il serait improductif de reproduire les discussions qui ont été menées au sein de la Commission 6, le </w:t>
      </w:r>
      <w:r w:rsidRPr="00675D48">
        <w:rPr>
          <w:b/>
          <w:bCs/>
          <w:lang w:val="fr-CH"/>
        </w:rPr>
        <w:t>Président</w:t>
      </w:r>
      <w:r w:rsidRPr="00675D48">
        <w:rPr>
          <w:lang w:val="fr-CH"/>
        </w:rPr>
        <w:t xml:space="preserve"> demande aux parties intéressées de tenir des consultations informelles afin de parvenir à un accord sur la marche à suivre.</w:t>
      </w:r>
      <w:bookmarkEnd w:id="75"/>
    </w:p>
    <w:p w:rsidR="004C631C" w:rsidRPr="00675D48" w:rsidRDefault="004C631C" w:rsidP="00DA2774">
      <w:pPr>
        <w:tabs>
          <w:tab w:val="clear" w:pos="567"/>
          <w:tab w:val="clear" w:pos="1134"/>
          <w:tab w:val="clear" w:pos="1701"/>
          <w:tab w:val="clear" w:pos="2268"/>
          <w:tab w:val="clear" w:pos="2835"/>
        </w:tabs>
        <w:snapToGrid w:val="0"/>
        <w:spacing w:after="120"/>
        <w:rPr>
          <w:lang w:val="fr-CH"/>
        </w:rPr>
      </w:pPr>
      <w:r w:rsidRPr="00675D48">
        <w:rPr>
          <w:lang w:val="fr-CH"/>
        </w:rPr>
        <w:t>8.3</w:t>
      </w:r>
      <w:r w:rsidRPr="00675D48">
        <w:rPr>
          <w:lang w:val="fr-CH"/>
        </w:rPr>
        <w:tab/>
      </w:r>
      <w:bookmarkStart w:id="76" w:name="lt_pId165"/>
      <w:r w:rsidRPr="00675D48">
        <w:rPr>
          <w:lang w:val="fr-CH"/>
        </w:rPr>
        <w:t xml:space="preserve">Le </w:t>
      </w:r>
      <w:r w:rsidRPr="00675D48">
        <w:rPr>
          <w:b/>
          <w:bCs/>
          <w:lang w:val="fr-CH"/>
        </w:rPr>
        <w:t xml:space="preserve">Président de la Commission 6 </w:t>
      </w:r>
      <w:r w:rsidRPr="00675D48">
        <w:rPr>
          <w:lang w:val="fr-CH"/>
        </w:rPr>
        <w:t>fait observer qu'en vertu de la Décision 11 (Rév.</w:t>
      </w:r>
      <w:r w:rsidR="00DA2774" w:rsidRPr="00675D48">
        <w:rPr>
          <w:lang w:val="fr-CH"/>
        </w:rPr>
        <w:t> </w:t>
      </w:r>
      <w:r w:rsidRPr="00675D48">
        <w:rPr>
          <w:lang w:val="fr-CH"/>
        </w:rPr>
        <w:t>Dubaï,</w:t>
      </w:r>
      <w:r w:rsidR="00DA2774" w:rsidRPr="00675D48">
        <w:rPr>
          <w:lang w:val="fr-CH"/>
        </w:rPr>
        <w:t> </w:t>
      </w:r>
      <w:r w:rsidRPr="00675D48">
        <w:rPr>
          <w:lang w:val="fr-CH"/>
        </w:rPr>
        <w:t>2018), intitulée "Création et gestion des groupes de travail du Conseil", le Conseil peut traiter directement cette question sur le fond, sans que des instructions particulières ne lui soient données par la Conférence de plénipotentiaires.</w:t>
      </w:r>
      <w:bookmarkEnd w:id="76"/>
    </w:p>
    <w:p w:rsidR="004C631C" w:rsidRPr="00675D48" w:rsidRDefault="004C631C" w:rsidP="004C631C">
      <w:pPr>
        <w:tabs>
          <w:tab w:val="clear" w:pos="567"/>
          <w:tab w:val="clear" w:pos="1134"/>
          <w:tab w:val="clear" w:pos="1701"/>
          <w:tab w:val="clear" w:pos="2268"/>
          <w:tab w:val="clear" w:pos="2835"/>
        </w:tabs>
        <w:snapToGrid w:val="0"/>
        <w:spacing w:after="120"/>
        <w:rPr>
          <w:szCs w:val="24"/>
          <w:lang w:val="fr-CH"/>
        </w:rPr>
      </w:pPr>
      <w:r w:rsidRPr="00675D48">
        <w:rPr>
          <w:szCs w:val="24"/>
          <w:lang w:val="fr-CH"/>
        </w:rPr>
        <w:t>8.4</w:t>
      </w:r>
      <w:r w:rsidRPr="00675D48">
        <w:rPr>
          <w:szCs w:val="24"/>
          <w:lang w:val="fr-CH"/>
        </w:rPr>
        <w:tab/>
      </w:r>
      <w:bookmarkStart w:id="77" w:name="lt_pId167"/>
      <w:r w:rsidRPr="00675D48">
        <w:rPr>
          <w:szCs w:val="24"/>
          <w:lang w:val="fr-CH"/>
        </w:rPr>
        <w:t xml:space="preserve">A l'issue de discussions informelles, le </w:t>
      </w:r>
      <w:r w:rsidRPr="00675D48">
        <w:rPr>
          <w:b/>
          <w:bCs/>
          <w:szCs w:val="24"/>
          <w:lang w:val="fr-CH"/>
        </w:rPr>
        <w:t xml:space="preserve">délégué de la Fédération de Russie </w:t>
      </w:r>
      <w:r w:rsidRPr="00675D48">
        <w:rPr>
          <w:szCs w:val="24"/>
          <w:lang w:val="fr-CH"/>
        </w:rPr>
        <w:t>présente un résumé des conclusions et déclare qu'un accord a été obtenu, selon lequel la question peut et doit être traitée par le Conseil, et que les administrations sont libres de soumettre des contributions à ce sujet au moyen de la procédure habituelle.</w:t>
      </w:r>
      <w:bookmarkEnd w:id="77"/>
    </w:p>
    <w:p w:rsidR="004C631C" w:rsidRPr="00675D48" w:rsidRDefault="004C631C" w:rsidP="00DA2774">
      <w:pPr>
        <w:tabs>
          <w:tab w:val="clear" w:pos="567"/>
          <w:tab w:val="clear" w:pos="1134"/>
          <w:tab w:val="clear" w:pos="1701"/>
          <w:tab w:val="clear" w:pos="2268"/>
          <w:tab w:val="clear" w:pos="2835"/>
        </w:tabs>
        <w:snapToGrid w:val="0"/>
        <w:spacing w:after="120"/>
        <w:rPr>
          <w:szCs w:val="24"/>
          <w:lang w:val="fr-CH"/>
        </w:rPr>
      </w:pPr>
      <w:r w:rsidRPr="00675D48">
        <w:rPr>
          <w:szCs w:val="24"/>
          <w:lang w:val="fr-CH"/>
        </w:rPr>
        <w:t>8.5</w:t>
      </w:r>
      <w:r w:rsidRPr="00675D48">
        <w:rPr>
          <w:szCs w:val="24"/>
          <w:lang w:val="fr-CH"/>
        </w:rPr>
        <w:tab/>
      </w:r>
      <w:bookmarkStart w:id="78" w:name="lt_pId169"/>
      <w:r w:rsidRPr="00675D48">
        <w:rPr>
          <w:szCs w:val="24"/>
          <w:lang w:val="fr-CH"/>
        </w:rPr>
        <w:t xml:space="preserve">Le </w:t>
      </w:r>
      <w:r w:rsidRPr="00675D48">
        <w:rPr>
          <w:b/>
          <w:bCs/>
          <w:szCs w:val="24"/>
          <w:lang w:val="fr-CH"/>
        </w:rPr>
        <w:t>Président de la Commission 6</w:t>
      </w:r>
      <w:r w:rsidRPr="00675D48">
        <w:rPr>
          <w:szCs w:val="24"/>
          <w:lang w:val="fr-CH"/>
        </w:rPr>
        <w:t xml:space="preserve"> </w:t>
      </w:r>
      <w:r w:rsidR="00DA2774" w:rsidRPr="00675D48">
        <w:rPr>
          <w:szCs w:val="24"/>
          <w:lang w:val="fr-CH"/>
        </w:rPr>
        <w:t>réaffirme</w:t>
      </w:r>
      <w:r w:rsidRPr="00675D48">
        <w:rPr>
          <w:szCs w:val="24"/>
          <w:lang w:val="fr-CH"/>
        </w:rPr>
        <w:t xml:space="preserve"> qu'en vertu de la Décision 11, il n'est pas nécessaire que la Conférence de plénipotentiaires donne des instructions particulières au Conseil.</w:t>
      </w:r>
      <w:bookmarkEnd w:id="78"/>
    </w:p>
    <w:p w:rsidR="004C631C" w:rsidRPr="00675D48" w:rsidRDefault="004C631C" w:rsidP="004C631C">
      <w:pPr>
        <w:tabs>
          <w:tab w:val="clear" w:pos="567"/>
          <w:tab w:val="clear" w:pos="1134"/>
          <w:tab w:val="clear" w:pos="1701"/>
          <w:tab w:val="clear" w:pos="2268"/>
          <w:tab w:val="clear" w:pos="2835"/>
        </w:tabs>
        <w:snapToGrid w:val="0"/>
        <w:spacing w:after="120"/>
        <w:rPr>
          <w:szCs w:val="24"/>
          <w:lang w:val="fr-CH"/>
        </w:rPr>
      </w:pPr>
      <w:r w:rsidRPr="00675D48">
        <w:rPr>
          <w:szCs w:val="24"/>
          <w:lang w:val="fr-CH"/>
        </w:rPr>
        <w:t>8.6</w:t>
      </w:r>
      <w:r w:rsidRPr="00675D48">
        <w:rPr>
          <w:szCs w:val="24"/>
          <w:lang w:val="fr-CH"/>
        </w:rPr>
        <w:tab/>
      </w:r>
      <w:bookmarkStart w:id="79" w:name="lt_pId171"/>
      <w:r w:rsidRPr="00675D48">
        <w:rPr>
          <w:szCs w:val="24"/>
          <w:lang w:val="fr-CH"/>
        </w:rPr>
        <w:t xml:space="preserve">En conséquence, il est </w:t>
      </w:r>
      <w:r w:rsidRPr="00675D48">
        <w:rPr>
          <w:b/>
          <w:bCs/>
          <w:szCs w:val="24"/>
          <w:lang w:val="fr-CH"/>
        </w:rPr>
        <w:t>décidé</w:t>
      </w:r>
      <w:r w:rsidRPr="00675D48">
        <w:rPr>
          <w:szCs w:val="24"/>
          <w:lang w:val="fr-CH"/>
        </w:rPr>
        <w:t xml:space="preserve"> qu'aucune décision de la Conférence de plénipotentiaire</w:t>
      </w:r>
      <w:r w:rsidR="00AB0CBA" w:rsidRPr="00675D48">
        <w:rPr>
          <w:szCs w:val="24"/>
          <w:lang w:val="fr-CH"/>
        </w:rPr>
        <w:t>s</w:t>
      </w:r>
      <w:r w:rsidRPr="00675D48">
        <w:rPr>
          <w:szCs w:val="24"/>
          <w:lang w:val="fr-CH"/>
        </w:rPr>
        <w:t xml:space="preserve"> n'est nécessaire sur cette question.</w:t>
      </w:r>
      <w:bookmarkEnd w:id="79"/>
    </w:p>
    <w:p w:rsidR="004C631C" w:rsidRPr="00675D48" w:rsidRDefault="004C631C" w:rsidP="003B5327">
      <w:pPr>
        <w:pStyle w:val="Heading1"/>
        <w:rPr>
          <w:rFonts w:cstheme="majorBidi"/>
          <w:sz w:val="26"/>
          <w:szCs w:val="26"/>
          <w:lang w:val="fr-CH"/>
        </w:rPr>
      </w:pPr>
      <w:r w:rsidRPr="00675D48">
        <w:rPr>
          <w:rFonts w:cstheme="majorBidi"/>
          <w:sz w:val="26"/>
          <w:szCs w:val="26"/>
          <w:lang w:val="fr-CH"/>
        </w:rPr>
        <w:t>9</w:t>
      </w:r>
      <w:r w:rsidRPr="00675D48">
        <w:rPr>
          <w:rFonts w:cstheme="majorBidi"/>
          <w:sz w:val="26"/>
          <w:szCs w:val="26"/>
          <w:lang w:val="fr-CH"/>
        </w:rPr>
        <w:tab/>
      </w:r>
      <w:bookmarkStart w:id="80" w:name="lt_pId174"/>
      <w:r w:rsidR="00431957">
        <w:rPr>
          <w:lang w:val="fr-CH"/>
        </w:rPr>
        <w:t xml:space="preserve">Vingt et </w:t>
      </w:r>
      <w:r w:rsidRPr="00675D48">
        <w:rPr>
          <w:lang w:val="fr-CH"/>
        </w:rPr>
        <w:t>unième série de textes soumis par la Commission de rédaction en première lecture (B21)</w:t>
      </w:r>
      <w:r w:rsidRPr="00675D48">
        <w:rPr>
          <w:rFonts w:cs="Calibri"/>
          <w:color w:val="800000"/>
          <w:sz w:val="22"/>
          <w:lang w:val="fr-CH"/>
        </w:rPr>
        <w:t xml:space="preserve"> </w:t>
      </w:r>
      <w:r w:rsidRPr="00675D48">
        <w:rPr>
          <w:rFonts w:cstheme="majorBidi"/>
          <w:sz w:val="26"/>
          <w:szCs w:val="26"/>
          <w:lang w:val="fr-CH"/>
        </w:rPr>
        <w:t>(</w:t>
      </w:r>
      <w:hyperlink r:id="rId23" w:history="1">
        <w:r w:rsidRPr="00675D48">
          <w:rPr>
            <w:rStyle w:val="Hyperlink"/>
            <w:rFonts w:cstheme="majorBidi"/>
            <w:sz w:val="26"/>
            <w:szCs w:val="26"/>
            <w:lang w:val="fr-CH"/>
          </w:rPr>
          <w:t>Document 162</w:t>
        </w:r>
      </w:hyperlink>
      <w:r w:rsidRPr="00675D48">
        <w:rPr>
          <w:rFonts w:cstheme="majorBidi"/>
          <w:sz w:val="26"/>
          <w:szCs w:val="26"/>
          <w:lang w:val="fr-CH"/>
        </w:rPr>
        <w:t>)</w:t>
      </w:r>
      <w:bookmarkEnd w:id="80"/>
    </w:p>
    <w:p w:rsidR="004C631C" w:rsidRPr="00675D48" w:rsidRDefault="004C631C" w:rsidP="004536FF">
      <w:pPr>
        <w:tabs>
          <w:tab w:val="clear" w:pos="567"/>
          <w:tab w:val="clear" w:pos="1134"/>
          <w:tab w:val="clear" w:pos="1701"/>
          <w:tab w:val="clear" w:pos="2268"/>
          <w:tab w:val="clear" w:pos="2835"/>
        </w:tabs>
        <w:snapToGrid w:val="0"/>
        <w:spacing w:after="120"/>
        <w:rPr>
          <w:rFonts w:cstheme="majorBidi"/>
          <w:szCs w:val="24"/>
          <w:lang w:val="fr-CH"/>
        </w:rPr>
      </w:pPr>
      <w:r w:rsidRPr="00675D48">
        <w:rPr>
          <w:rFonts w:cstheme="majorBidi"/>
          <w:szCs w:val="24"/>
          <w:lang w:val="fr-CH"/>
        </w:rPr>
        <w:t>9.1</w:t>
      </w:r>
      <w:r w:rsidRPr="00675D48">
        <w:rPr>
          <w:rFonts w:cstheme="majorBidi"/>
          <w:szCs w:val="24"/>
          <w:lang w:val="fr-CH"/>
        </w:rPr>
        <w:tab/>
      </w:r>
      <w:bookmarkStart w:id="81" w:name="lt_pId176"/>
      <w:r w:rsidRPr="00675D48">
        <w:rPr>
          <w:rFonts w:cstheme="majorBidi"/>
          <w:szCs w:val="24"/>
          <w:lang w:val="fr-CH"/>
        </w:rPr>
        <w:t xml:space="preserve">Sur la suggestion du </w:t>
      </w:r>
      <w:r w:rsidRPr="00675D48">
        <w:rPr>
          <w:rFonts w:cstheme="majorBidi"/>
          <w:b/>
          <w:bCs/>
          <w:szCs w:val="24"/>
          <w:lang w:val="fr-CH"/>
        </w:rPr>
        <w:t>Président</w:t>
      </w:r>
      <w:r w:rsidRPr="00675D48">
        <w:rPr>
          <w:rFonts w:cstheme="majorBidi"/>
          <w:szCs w:val="24"/>
          <w:lang w:val="fr-CH"/>
        </w:rPr>
        <w:t xml:space="preserve">, il est </w:t>
      </w:r>
      <w:r w:rsidRPr="00675D48">
        <w:rPr>
          <w:rFonts w:cstheme="majorBidi"/>
          <w:b/>
          <w:bCs/>
          <w:szCs w:val="24"/>
          <w:lang w:val="fr-CH"/>
        </w:rPr>
        <w:t>décidé</w:t>
      </w:r>
      <w:r w:rsidRPr="00675D48">
        <w:rPr>
          <w:rFonts w:cstheme="majorBidi"/>
          <w:szCs w:val="24"/>
          <w:lang w:val="fr-CH"/>
        </w:rPr>
        <w:t xml:space="preserve"> que le projet de Résolution 102 (Rév.</w:t>
      </w:r>
      <w:r w:rsidR="004536FF" w:rsidRPr="00675D48">
        <w:rPr>
          <w:rFonts w:cstheme="majorBidi"/>
          <w:szCs w:val="24"/>
          <w:lang w:val="fr-CH"/>
        </w:rPr>
        <w:t> </w:t>
      </w:r>
      <w:r w:rsidRPr="00675D48">
        <w:rPr>
          <w:rFonts w:cstheme="majorBidi"/>
          <w:szCs w:val="24"/>
          <w:lang w:val="fr-CH"/>
        </w:rPr>
        <w:t>Dubaï,</w:t>
      </w:r>
      <w:r w:rsidR="004536FF" w:rsidRPr="00675D48">
        <w:rPr>
          <w:rFonts w:cstheme="majorBidi"/>
          <w:szCs w:val="24"/>
          <w:lang w:val="fr-CH"/>
        </w:rPr>
        <w:t> </w:t>
      </w:r>
      <w:r w:rsidRPr="00675D48">
        <w:rPr>
          <w:rFonts w:cstheme="majorBidi"/>
          <w:szCs w:val="24"/>
          <w:lang w:val="fr-CH"/>
        </w:rPr>
        <w:t>2018) sera examiné en premier.</w:t>
      </w:r>
      <w:bookmarkEnd w:id="81"/>
    </w:p>
    <w:p w:rsidR="004C631C" w:rsidRPr="00675D48" w:rsidRDefault="004C631C" w:rsidP="004C631C">
      <w:pPr>
        <w:rPr>
          <w:rFonts w:cstheme="majorBidi"/>
          <w:b/>
          <w:bCs/>
          <w:szCs w:val="24"/>
          <w:highlight w:val="cyan"/>
          <w:lang w:val="fr-CH"/>
        </w:rPr>
      </w:pPr>
      <w:bookmarkStart w:id="82" w:name="_Toc407016216"/>
      <w:bookmarkStart w:id="83" w:name="lt_pId177"/>
      <w:r w:rsidRPr="00675D48">
        <w:rPr>
          <w:b/>
          <w:bCs/>
          <w:lang w:val="fr-CH"/>
        </w:rPr>
        <w:t xml:space="preserve">Projet de Résolution </w:t>
      </w:r>
      <w:r w:rsidRPr="00675D48">
        <w:rPr>
          <w:rStyle w:val="href"/>
          <w:b/>
          <w:bCs/>
          <w:lang w:val="fr-CH"/>
        </w:rPr>
        <w:t>102</w:t>
      </w:r>
      <w:r w:rsidRPr="00675D48">
        <w:rPr>
          <w:b/>
          <w:bCs/>
          <w:lang w:val="fr-CH"/>
        </w:rPr>
        <w:t xml:space="preserve"> (Rév. Dubaï, 2018)</w:t>
      </w:r>
      <w:bookmarkEnd w:id="82"/>
      <w:r w:rsidRPr="00675D48">
        <w:rPr>
          <w:b/>
          <w:bCs/>
          <w:lang w:val="fr-CH"/>
        </w:rPr>
        <w:t xml:space="preserve"> – </w:t>
      </w:r>
      <w:bookmarkStart w:id="84" w:name="_Toc407016217"/>
      <w:r w:rsidRPr="00675D48">
        <w:rPr>
          <w:b/>
          <w:bCs/>
          <w:lang w:val="fr-CH"/>
        </w:rPr>
        <w:t>Rôle de l'UIT concernant les questions de politiques publiques internationales ayant trait à l'Internet et à la gestion des ressources de l'Internet, y compris les noms de domaine et les adresses</w:t>
      </w:r>
      <w:bookmarkEnd w:id="84"/>
    </w:p>
    <w:bookmarkEnd w:id="83"/>
    <w:p w:rsidR="003B5327" w:rsidRDefault="004C631C" w:rsidP="004C631C">
      <w:pPr>
        <w:tabs>
          <w:tab w:val="clear" w:pos="567"/>
          <w:tab w:val="clear" w:pos="1134"/>
          <w:tab w:val="clear" w:pos="1701"/>
          <w:tab w:val="clear" w:pos="2268"/>
          <w:tab w:val="clear" w:pos="2835"/>
        </w:tabs>
        <w:snapToGrid w:val="0"/>
        <w:spacing w:after="120"/>
        <w:rPr>
          <w:rFonts w:cstheme="majorBidi"/>
          <w:szCs w:val="24"/>
          <w:lang w:val="fr-CH"/>
        </w:rPr>
      </w:pPr>
      <w:r w:rsidRPr="00675D48">
        <w:rPr>
          <w:rFonts w:cstheme="majorBidi"/>
          <w:szCs w:val="24"/>
          <w:lang w:val="fr-CH"/>
        </w:rPr>
        <w:t>9.2</w:t>
      </w:r>
      <w:r w:rsidRPr="00675D48">
        <w:rPr>
          <w:rFonts w:cstheme="majorBidi"/>
          <w:szCs w:val="24"/>
          <w:lang w:val="fr-CH"/>
        </w:rPr>
        <w:tab/>
      </w:r>
      <w:bookmarkStart w:id="85" w:name="lt_pId179"/>
      <w:r w:rsidRPr="00675D48">
        <w:rPr>
          <w:rFonts w:cstheme="majorBidi"/>
          <w:szCs w:val="24"/>
          <w:lang w:val="fr-CH"/>
        </w:rPr>
        <w:t xml:space="preserve">La </w:t>
      </w:r>
      <w:r w:rsidRPr="00675D48">
        <w:rPr>
          <w:rFonts w:cstheme="majorBidi"/>
          <w:b/>
          <w:bCs/>
          <w:szCs w:val="24"/>
          <w:lang w:val="fr-CH"/>
        </w:rPr>
        <w:t>Présidente du Groupe de travail de la plénière</w:t>
      </w:r>
      <w:r w:rsidRPr="00675D48">
        <w:rPr>
          <w:rFonts w:cstheme="majorBidi"/>
          <w:szCs w:val="24"/>
          <w:lang w:val="fr-CH"/>
        </w:rPr>
        <w:t xml:space="preserve"> déclare que, bien que la majeure partie du projet de résolution, dont des modifications proposées et de larges segments de texte nouveau, ait été approuvée au sein du groupe de travail, deux questions importantes restent en suspens: l'élargissement de la participation au Groupe de travail du Conseil sur les questions de </w:t>
      </w:r>
      <w:r w:rsidR="003B5327">
        <w:rPr>
          <w:rFonts w:cstheme="majorBidi"/>
          <w:szCs w:val="24"/>
          <w:lang w:val="fr-CH"/>
        </w:rPr>
        <w:br w:type="page"/>
      </w:r>
    </w:p>
    <w:p w:rsidR="004C631C" w:rsidRPr="00675D48" w:rsidRDefault="004C631C" w:rsidP="004C631C">
      <w:pPr>
        <w:tabs>
          <w:tab w:val="clear" w:pos="567"/>
          <w:tab w:val="clear" w:pos="1134"/>
          <w:tab w:val="clear" w:pos="1701"/>
          <w:tab w:val="clear" w:pos="2268"/>
          <w:tab w:val="clear" w:pos="2835"/>
        </w:tabs>
        <w:snapToGrid w:val="0"/>
        <w:spacing w:after="120"/>
        <w:rPr>
          <w:rFonts w:cstheme="majorBidi"/>
          <w:szCs w:val="24"/>
          <w:lang w:val="fr-CH"/>
        </w:rPr>
      </w:pPr>
      <w:r w:rsidRPr="00675D48">
        <w:rPr>
          <w:rFonts w:cstheme="majorBidi"/>
          <w:szCs w:val="24"/>
          <w:lang w:val="fr-CH"/>
        </w:rPr>
        <w:lastRenderedPageBreak/>
        <w:t xml:space="preserve">politiques publiques internationales relatives à l'Internet (GTC-Internet) afin d'inclure des entités autres que des Etats Membres, ainsi que la nature des produits de ce groupe; et la question de savoir si l'Union peut convenir d'ajouter d'autres entités à la liste des organisations compétentes mentionnée dans la note </w:t>
      </w:r>
      <w:r w:rsidR="00AB0CBA" w:rsidRPr="00675D48">
        <w:rPr>
          <w:rFonts w:cstheme="majorBidi"/>
          <w:szCs w:val="24"/>
          <w:lang w:val="fr-CH"/>
        </w:rPr>
        <w:t xml:space="preserve">de bas de page </w:t>
      </w:r>
      <w:r w:rsidRPr="00675D48">
        <w:rPr>
          <w:rFonts w:cstheme="majorBidi"/>
          <w:szCs w:val="24"/>
          <w:lang w:val="fr-CH"/>
        </w:rPr>
        <w:t>1 du projet de résolution et ailleurs</w:t>
      </w:r>
      <w:bookmarkStart w:id="86" w:name="lt_pId181"/>
      <w:bookmarkEnd w:id="85"/>
      <w:r w:rsidRPr="00675D48">
        <w:rPr>
          <w:rFonts w:cstheme="majorBidi"/>
          <w:szCs w:val="24"/>
          <w:lang w:val="fr-CH"/>
        </w:rPr>
        <w:t>.</w:t>
      </w:r>
      <w:bookmarkEnd w:id="86"/>
    </w:p>
    <w:p w:rsidR="004C631C" w:rsidRPr="00675D48" w:rsidRDefault="004C631C" w:rsidP="00AB0CBA">
      <w:pPr>
        <w:tabs>
          <w:tab w:val="clear" w:pos="567"/>
          <w:tab w:val="clear" w:pos="1134"/>
          <w:tab w:val="clear" w:pos="1701"/>
          <w:tab w:val="clear" w:pos="2268"/>
          <w:tab w:val="clear" w:pos="2835"/>
        </w:tabs>
        <w:snapToGrid w:val="0"/>
        <w:spacing w:after="120"/>
        <w:rPr>
          <w:highlight w:val="yellow"/>
          <w:lang w:val="fr-CH"/>
        </w:rPr>
      </w:pPr>
      <w:r w:rsidRPr="00675D48">
        <w:rPr>
          <w:rFonts w:cstheme="majorBidi"/>
          <w:szCs w:val="24"/>
          <w:lang w:val="fr-CH"/>
        </w:rPr>
        <w:t>9.3</w:t>
      </w:r>
      <w:r w:rsidRPr="00675D48">
        <w:rPr>
          <w:rFonts w:cstheme="majorBidi"/>
          <w:szCs w:val="24"/>
          <w:lang w:val="fr-CH"/>
        </w:rPr>
        <w:tab/>
      </w:r>
      <w:bookmarkStart w:id="87" w:name="lt_pId183"/>
      <w:r w:rsidRPr="00675D48">
        <w:rPr>
          <w:rFonts w:cstheme="majorBidi"/>
          <w:szCs w:val="24"/>
          <w:lang w:val="fr-CH"/>
        </w:rPr>
        <w:t xml:space="preserve">Le </w:t>
      </w:r>
      <w:r w:rsidRPr="00675D48">
        <w:rPr>
          <w:rFonts w:cstheme="majorBidi"/>
          <w:b/>
          <w:bCs/>
          <w:szCs w:val="24"/>
          <w:lang w:val="fr-CH"/>
        </w:rPr>
        <w:t>délégué de l'Arabie saoudite</w:t>
      </w:r>
      <w:r w:rsidRPr="00675D48">
        <w:rPr>
          <w:rFonts w:cstheme="majorBidi"/>
          <w:szCs w:val="24"/>
          <w:lang w:val="fr-CH"/>
        </w:rPr>
        <w:t xml:space="preserve"> déclare que le point </w:t>
      </w:r>
      <w:r w:rsidRPr="005C5E7E">
        <w:rPr>
          <w:rFonts w:cstheme="majorBidi"/>
          <w:i/>
          <w:iCs/>
          <w:szCs w:val="24"/>
          <w:lang w:val="fr-CH"/>
        </w:rPr>
        <w:t>n)</w:t>
      </w:r>
      <w:r w:rsidRPr="00675D48">
        <w:rPr>
          <w:rFonts w:cstheme="majorBidi"/>
          <w:szCs w:val="24"/>
          <w:lang w:val="fr-CH"/>
        </w:rPr>
        <w:t xml:space="preserve"> du </w:t>
      </w:r>
      <w:r w:rsidRPr="00675D48">
        <w:rPr>
          <w:rFonts w:cstheme="majorBidi"/>
          <w:i/>
          <w:iCs/>
          <w:szCs w:val="24"/>
          <w:lang w:val="fr-CH"/>
        </w:rPr>
        <w:t xml:space="preserve">considérant </w:t>
      </w:r>
      <w:r w:rsidRPr="00675D48">
        <w:rPr>
          <w:rFonts w:cstheme="majorBidi"/>
          <w:szCs w:val="24"/>
          <w:lang w:val="fr-CH"/>
        </w:rPr>
        <w:t xml:space="preserve">proposé devrait être accepté, dans la mesure où le mémorandum d'accord conclu avec l'Autorité chargée de l'architecture des objets numériques (DONA) est toujours en vigueur. Pour favoriser l'inclusion, la liste des organisations compétentes </w:t>
      </w:r>
      <w:r w:rsidR="00AB0CBA" w:rsidRPr="00675D48">
        <w:rPr>
          <w:rFonts w:cstheme="majorBidi"/>
          <w:szCs w:val="24"/>
          <w:lang w:val="fr-CH"/>
        </w:rPr>
        <w:t>figurant</w:t>
      </w:r>
      <w:r w:rsidRPr="00675D48">
        <w:rPr>
          <w:rFonts w:cstheme="majorBidi"/>
          <w:szCs w:val="24"/>
          <w:lang w:val="fr-CH"/>
        </w:rPr>
        <w:t xml:space="preserve"> dans la note </w:t>
      </w:r>
      <w:r w:rsidR="00AB0CBA" w:rsidRPr="00675D48">
        <w:rPr>
          <w:rFonts w:cstheme="majorBidi"/>
          <w:szCs w:val="24"/>
          <w:lang w:val="fr-CH"/>
        </w:rPr>
        <w:t xml:space="preserve">de bas de page </w:t>
      </w:r>
      <w:r w:rsidRPr="00675D48">
        <w:rPr>
          <w:rFonts w:cstheme="majorBidi"/>
          <w:szCs w:val="24"/>
          <w:lang w:val="fr-CH"/>
        </w:rPr>
        <w:t xml:space="preserve">1 devrait être revue afin d'y ajouter de nouvelles organisations, car cette liste n'a pas été mise à jour depuis un certain temps. S'agissant du texte relatif au GTC-Internet, les crochets peuvent être supprimés sous réserve qu'il soit indiqué, au </w:t>
      </w:r>
      <w:r w:rsidRPr="00675D48">
        <w:rPr>
          <w:rFonts w:cstheme="majorBidi"/>
          <w:i/>
          <w:iCs/>
          <w:szCs w:val="24"/>
          <w:lang w:val="fr-CH"/>
        </w:rPr>
        <w:t>reconnaissant</w:t>
      </w:r>
      <w:r w:rsidRPr="00675D48">
        <w:rPr>
          <w:rFonts w:cstheme="majorBidi"/>
          <w:szCs w:val="24"/>
          <w:lang w:val="fr-CH"/>
        </w:rPr>
        <w:t>, qu'aux termes de l'Article 14 du Règlement intérieur du Conseil, le GTC-Internet peut élaborer des résolutions et des décisions et les soumettre au Conseil</w:t>
      </w:r>
      <w:bookmarkEnd w:id="87"/>
      <w:r w:rsidRPr="00675D48">
        <w:rPr>
          <w:lang w:val="fr-CH"/>
        </w:rPr>
        <w:t xml:space="preserve">. </w:t>
      </w:r>
    </w:p>
    <w:p w:rsidR="004C631C" w:rsidRPr="00675D48" w:rsidRDefault="004C631C" w:rsidP="00AB0CBA">
      <w:pPr>
        <w:tabs>
          <w:tab w:val="clear" w:pos="567"/>
          <w:tab w:val="clear" w:pos="1134"/>
          <w:tab w:val="clear" w:pos="1701"/>
          <w:tab w:val="clear" w:pos="2268"/>
          <w:tab w:val="clear" w:pos="2835"/>
        </w:tabs>
        <w:snapToGrid w:val="0"/>
        <w:spacing w:after="120"/>
        <w:rPr>
          <w:rFonts w:cstheme="majorBidi"/>
          <w:szCs w:val="24"/>
          <w:lang w:val="fr-CH"/>
        </w:rPr>
      </w:pPr>
      <w:r w:rsidRPr="00675D48">
        <w:rPr>
          <w:rFonts w:cstheme="majorBidi"/>
          <w:szCs w:val="24"/>
          <w:lang w:val="fr-CH"/>
        </w:rPr>
        <w:t>9.4</w:t>
      </w:r>
      <w:r w:rsidRPr="00675D48">
        <w:rPr>
          <w:rFonts w:cstheme="majorBidi"/>
          <w:szCs w:val="24"/>
          <w:lang w:val="fr-CH"/>
        </w:rPr>
        <w:tab/>
      </w:r>
      <w:bookmarkStart w:id="88" w:name="lt_pId187"/>
      <w:r w:rsidRPr="00675D48">
        <w:rPr>
          <w:rFonts w:cstheme="majorBidi"/>
          <w:szCs w:val="24"/>
          <w:lang w:val="fr-CH"/>
        </w:rPr>
        <w:t xml:space="preserve">La </w:t>
      </w:r>
      <w:r w:rsidRPr="00675D48">
        <w:rPr>
          <w:rFonts w:cstheme="majorBidi"/>
          <w:b/>
          <w:bCs/>
          <w:szCs w:val="24"/>
          <w:lang w:val="fr-CH"/>
        </w:rPr>
        <w:t>déléguée de la République sudafricaine</w:t>
      </w:r>
      <w:r w:rsidRPr="00675D48">
        <w:rPr>
          <w:rFonts w:cstheme="majorBidi"/>
          <w:szCs w:val="24"/>
          <w:lang w:val="fr-CH"/>
        </w:rPr>
        <w:t xml:space="preserve">, s'exprimant au nom du Groupe africain </w:t>
      </w:r>
      <w:r w:rsidR="00AB0CBA" w:rsidRPr="00675D48">
        <w:rPr>
          <w:rFonts w:cstheme="majorBidi"/>
          <w:szCs w:val="24"/>
          <w:lang w:val="fr-CH"/>
        </w:rPr>
        <w:t xml:space="preserve">et appuyée par les </w:t>
      </w:r>
      <w:r w:rsidRPr="00675D48">
        <w:rPr>
          <w:rFonts w:cstheme="majorBidi"/>
          <w:b/>
          <w:bCs/>
          <w:szCs w:val="24"/>
          <w:lang w:val="fr-CH"/>
        </w:rPr>
        <w:t xml:space="preserve">délégués de l'Ouganda </w:t>
      </w:r>
      <w:r w:rsidRPr="00431957">
        <w:rPr>
          <w:rFonts w:cstheme="majorBidi"/>
          <w:szCs w:val="24"/>
          <w:lang w:val="fr-CH"/>
        </w:rPr>
        <w:t xml:space="preserve">et </w:t>
      </w:r>
      <w:r w:rsidRPr="00675D48">
        <w:rPr>
          <w:rFonts w:cstheme="majorBidi"/>
          <w:b/>
          <w:bCs/>
          <w:szCs w:val="24"/>
          <w:lang w:val="fr-CH"/>
        </w:rPr>
        <w:t>du Kenya</w:t>
      </w:r>
      <w:r w:rsidRPr="00675D48">
        <w:rPr>
          <w:rFonts w:cstheme="majorBidi"/>
          <w:szCs w:val="24"/>
          <w:lang w:val="fr-CH"/>
        </w:rPr>
        <w:t xml:space="preserve">, se dit favorable au texte figurant au point 1 du </w:t>
      </w:r>
      <w:r w:rsidRPr="00675D48">
        <w:rPr>
          <w:rFonts w:cstheme="majorBidi"/>
          <w:i/>
          <w:iCs/>
          <w:szCs w:val="24"/>
          <w:lang w:val="fr-CH"/>
        </w:rPr>
        <w:t>décide</w:t>
      </w:r>
      <w:r w:rsidRPr="00675D48">
        <w:rPr>
          <w:rFonts w:cstheme="majorBidi"/>
          <w:szCs w:val="24"/>
          <w:lang w:val="fr-CH"/>
        </w:rPr>
        <w:t xml:space="preserve"> et à l'inclusion de la DONA dans la note </w:t>
      </w:r>
      <w:r w:rsidR="00AB0CBA" w:rsidRPr="00675D48">
        <w:rPr>
          <w:rFonts w:cstheme="majorBidi"/>
          <w:szCs w:val="24"/>
          <w:lang w:val="fr-CH"/>
        </w:rPr>
        <w:t xml:space="preserve">de bas de page </w:t>
      </w:r>
      <w:r w:rsidRPr="00675D48">
        <w:rPr>
          <w:rFonts w:cstheme="majorBidi"/>
          <w:szCs w:val="24"/>
          <w:lang w:val="fr-CH"/>
        </w:rPr>
        <w:t xml:space="preserve">1 de ce paragraphe. Il est important que tous les Etats Membres, en particulier les pays en développement, soient associés aux travaux portant sur les questions </w:t>
      </w:r>
      <w:r w:rsidR="00AB0CBA" w:rsidRPr="00675D48">
        <w:rPr>
          <w:rFonts w:cstheme="majorBidi"/>
          <w:szCs w:val="24"/>
          <w:lang w:val="fr-CH"/>
        </w:rPr>
        <w:t>visées</w:t>
      </w:r>
      <w:r w:rsidRPr="00675D48">
        <w:rPr>
          <w:rFonts w:cstheme="majorBidi"/>
          <w:szCs w:val="24"/>
          <w:lang w:val="fr-CH"/>
        </w:rPr>
        <w:t xml:space="preserve"> au point 1 du </w:t>
      </w:r>
      <w:r w:rsidRPr="00675D48">
        <w:rPr>
          <w:rFonts w:cstheme="majorBidi"/>
          <w:i/>
          <w:iCs/>
          <w:szCs w:val="24"/>
          <w:lang w:val="fr-CH"/>
        </w:rPr>
        <w:t>décide</w:t>
      </w:r>
      <w:r w:rsidRPr="00675D48">
        <w:rPr>
          <w:rFonts w:cstheme="majorBidi"/>
          <w:szCs w:val="24"/>
          <w:lang w:val="fr-CH"/>
        </w:rPr>
        <w:t>, et la participation de la DONA, entité à but non lucratif qui bénéficie de l'appui de l'UIT en vertu d'un mémorandum d'accord entre ces deux organisations, pourrait contribuer à garantir que les ressources de l'Internet soient pleinement utilisées et produisent le maximum d'avantages au profit de tous.</w:t>
      </w:r>
      <w:bookmarkStart w:id="89" w:name="lt_pId188"/>
      <w:bookmarkEnd w:id="88"/>
      <w:r w:rsidR="005C5E7E">
        <w:rPr>
          <w:rFonts w:cstheme="majorBidi"/>
          <w:szCs w:val="24"/>
          <w:lang w:val="fr-CH"/>
        </w:rPr>
        <w:t xml:space="preserve"> Le texte figurant au </w:t>
      </w:r>
      <w:r w:rsidRPr="00675D48">
        <w:rPr>
          <w:rFonts w:cstheme="majorBidi"/>
          <w:szCs w:val="24"/>
          <w:lang w:val="fr-CH"/>
        </w:rPr>
        <w:t xml:space="preserve">point 1 du </w:t>
      </w:r>
      <w:r w:rsidRPr="00675D48">
        <w:rPr>
          <w:rFonts w:cstheme="majorBidi"/>
          <w:i/>
          <w:iCs/>
          <w:szCs w:val="24"/>
          <w:lang w:val="fr-CH"/>
        </w:rPr>
        <w:t>charge le Conseil</w:t>
      </w:r>
      <w:r w:rsidRPr="00675D48">
        <w:rPr>
          <w:rFonts w:cstheme="majorBidi"/>
          <w:szCs w:val="24"/>
          <w:lang w:val="fr-CH"/>
        </w:rPr>
        <w:t xml:space="preserve"> devrait être approuvé, afin de conserver la composition actuelle</w:t>
      </w:r>
      <w:r w:rsidR="005C5E7E">
        <w:rPr>
          <w:rFonts w:cstheme="majorBidi"/>
          <w:szCs w:val="24"/>
          <w:lang w:val="fr-CH"/>
        </w:rPr>
        <w:t xml:space="preserve"> du </w:t>
      </w:r>
      <w:r w:rsidRPr="00675D48">
        <w:rPr>
          <w:rFonts w:cstheme="majorBidi"/>
          <w:szCs w:val="24"/>
          <w:lang w:val="fr-CH"/>
        </w:rPr>
        <w:t xml:space="preserve">GTC-Internet, de même que les points 2 et 4 du </w:t>
      </w:r>
      <w:r w:rsidRPr="00675D48">
        <w:rPr>
          <w:rFonts w:cstheme="majorBidi"/>
          <w:i/>
          <w:iCs/>
          <w:szCs w:val="24"/>
          <w:lang w:val="fr-CH"/>
        </w:rPr>
        <w:t>charge le Conseil</w:t>
      </w:r>
      <w:bookmarkStart w:id="90" w:name="lt_pId189"/>
      <w:bookmarkEnd w:id="89"/>
      <w:r w:rsidRPr="00675D48">
        <w:rPr>
          <w:rFonts w:cstheme="majorBidi"/>
          <w:szCs w:val="24"/>
          <w:lang w:val="fr-CH"/>
        </w:rPr>
        <w:t>.</w:t>
      </w:r>
      <w:bookmarkEnd w:id="90"/>
    </w:p>
    <w:p w:rsidR="004C631C" w:rsidRPr="00675D48" w:rsidRDefault="004C631C" w:rsidP="00AB0CBA">
      <w:pPr>
        <w:tabs>
          <w:tab w:val="clear" w:pos="567"/>
          <w:tab w:val="clear" w:pos="1134"/>
          <w:tab w:val="clear" w:pos="1701"/>
          <w:tab w:val="clear" w:pos="2268"/>
          <w:tab w:val="clear" w:pos="2835"/>
        </w:tabs>
        <w:snapToGrid w:val="0"/>
        <w:spacing w:after="120"/>
        <w:rPr>
          <w:rFonts w:cstheme="majorBidi"/>
          <w:szCs w:val="24"/>
          <w:lang w:val="fr-CH"/>
        </w:rPr>
      </w:pPr>
      <w:r w:rsidRPr="00675D48">
        <w:rPr>
          <w:rFonts w:cstheme="majorBidi"/>
          <w:szCs w:val="24"/>
          <w:lang w:val="fr-CH"/>
        </w:rPr>
        <w:t>9.5</w:t>
      </w:r>
      <w:r w:rsidRPr="00675D48">
        <w:rPr>
          <w:rFonts w:cstheme="majorBidi"/>
          <w:szCs w:val="24"/>
          <w:lang w:val="fr-CH"/>
        </w:rPr>
        <w:tab/>
      </w:r>
      <w:bookmarkStart w:id="91" w:name="lt_pId191"/>
      <w:r w:rsidRPr="00675D48">
        <w:rPr>
          <w:rFonts w:cstheme="majorBidi"/>
          <w:szCs w:val="24"/>
          <w:lang w:val="fr-CH"/>
        </w:rPr>
        <w:t xml:space="preserve">Le </w:t>
      </w:r>
      <w:r w:rsidRPr="00675D48">
        <w:rPr>
          <w:rFonts w:cstheme="majorBidi"/>
          <w:b/>
          <w:bCs/>
          <w:szCs w:val="24"/>
          <w:lang w:val="fr-CH"/>
        </w:rPr>
        <w:t>délégué du Royaume-Uni</w:t>
      </w:r>
      <w:r w:rsidRPr="00675D48">
        <w:rPr>
          <w:rFonts w:cstheme="majorBidi"/>
          <w:szCs w:val="24"/>
          <w:lang w:val="fr-CH"/>
        </w:rPr>
        <w:t xml:space="preserve">, s'exprimant au nom de la CEPT </w:t>
      </w:r>
      <w:r w:rsidR="00AB0CBA" w:rsidRPr="00675D48">
        <w:rPr>
          <w:rFonts w:cstheme="majorBidi"/>
          <w:szCs w:val="24"/>
          <w:lang w:val="fr-CH"/>
        </w:rPr>
        <w:t>et appuyée par</w:t>
      </w:r>
      <w:r w:rsidRPr="00675D48">
        <w:rPr>
          <w:rFonts w:cstheme="majorBidi"/>
          <w:szCs w:val="24"/>
          <w:lang w:val="fr-CH"/>
        </w:rPr>
        <w:t xml:space="preserve"> la </w:t>
      </w:r>
      <w:r w:rsidRPr="00675D48">
        <w:rPr>
          <w:rFonts w:cstheme="majorBidi"/>
          <w:b/>
          <w:bCs/>
          <w:szCs w:val="24"/>
          <w:lang w:val="fr-CH"/>
        </w:rPr>
        <w:t>déléguée de la Norvège</w:t>
      </w:r>
      <w:r w:rsidRPr="00675D48">
        <w:rPr>
          <w:rFonts w:cstheme="majorBidi"/>
          <w:szCs w:val="24"/>
          <w:lang w:val="fr-CH"/>
        </w:rPr>
        <w:t xml:space="preserve">, déclare qu'afin de préserver la neutralité technologique, il ne devrait pas être fait référence, dans les résolutions de la Conférence de plénipotentiaires ayant trait à l'Internet, à la DONA ou à l'architecture des objets numériques (DOA). L'architecture DOA est une technologie propriétaire qui appartient à un groupe privé et qui ne joue pas un rôle majeur dans la gestion de l'Internet. La note </w:t>
      </w:r>
      <w:r w:rsidR="00AB0CBA" w:rsidRPr="00675D48">
        <w:rPr>
          <w:rFonts w:cstheme="majorBidi"/>
          <w:szCs w:val="24"/>
          <w:lang w:val="fr-CH"/>
        </w:rPr>
        <w:t xml:space="preserve">de bas de page </w:t>
      </w:r>
      <w:r w:rsidRPr="00675D48">
        <w:rPr>
          <w:rFonts w:cstheme="majorBidi"/>
          <w:szCs w:val="24"/>
          <w:lang w:val="fr-CH"/>
        </w:rPr>
        <w:t>1, qui figure dans la Résolution 102 depuis plusieurs années, devrait rester inchangée. Tout en étant résolument favorable au fai</w:t>
      </w:r>
      <w:r w:rsidR="005C5E7E">
        <w:rPr>
          <w:rFonts w:cstheme="majorBidi"/>
          <w:szCs w:val="24"/>
          <w:lang w:val="fr-CH"/>
        </w:rPr>
        <w:t>t d'élargir la participation au </w:t>
      </w:r>
      <w:r w:rsidRPr="00675D48">
        <w:rPr>
          <w:rFonts w:cstheme="majorBidi"/>
          <w:szCs w:val="24"/>
          <w:lang w:val="fr-CH"/>
        </w:rPr>
        <w:t xml:space="preserve">GTC-Internet pour inclure toutes les parties prenantes, la CEPT est consciente que d'autres ne sont pas encore convaincus que cette mesure est nécessaire. La CEPT peut donc accepter que la composition actuelle du groupe soit conservée et que cela soit reflété au point 1 du </w:t>
      </w:r>
      <w:r w:rsidRPr="00675D48">
        <w:rPr>
          <w:rFonts w:cstheme="majorBidi"/>
          <w:i/>
          <w:iCs/>
          <w:szCs w:val="24"/>
          <w:lang w:val="fr-CH"/>
        </w:rPr>
        <w:t>ch</w:t>
      </w:r>
      <w:r w:rsidR="005C5E7E">
        <w:rPr>
          <w:rFonts w:cstheme="majorBidi"/>
          <w:i/>
          <w:iCs/>
          <w:szCs w:val="24"/>
          <w:lang w:val="fr-CH"/>
        </w:rPr>
        <w:t>arge le </w:t>
      </w:r>
      <w:r w:rsidRPr="00675D48">
        <w:rPr>
          <w:rFonts w:cstheme="majorBidi"/>
          <w:i/>
          <w:iCs/>
          <w:szCs w:val="24"/>
          <w:lang w:val="fr-CH"/>
        </w:rPr>
        <w:t>Conseil</w:t>
      </w:r>
      <w:bookmarkStart w:id="92" w:name="lt_pId195"/>
      <w:bookmarkEnd w:id="91"/>
      <w:r w:rsidRPr="00675D48">
        <w:rPr>
          <w:rFonts w:cstheme="majorBidi"/>
          <w:szCs w:val="24"/>
          <w:lang w:val="fr-CH"/>
        </w:rPr>
        <w:t>.</w:t>
      </w:r>
      <w:bookmarkEnd w:id="92"/>
    </w:p>
    <w:p w:rsidR="004C631C" w:rsidRPr="00675D48" w:rsidRDefault="004C631C" w:rsidP="00AB0CBA">
      <w:pPr>
        <w:tabs>
          <w:tab w:val="clear" w:pos="567"/>
          <w:tab w:val="clear" w:pos="1134"/>
          <w:tab w:val="clear" w:pos="1701"/>
          <w:tab w:val="clear" w:pos="2268"/>
          <w:tab w:val="clear" w:pos="2835"/>
        </w:tabs>
        <w:snapToGrid w:val="0"/>
        <w:spacing w:after="120"/>
        <w:rPr>
          <w:lang w:val="fr-CH"/>
        </w:rPr>
      </w:pPr>
      <w:r w:rsidRPr="00675D48">
        <w:rPr>
          <w:rFonts w:cstheme="majorBidi"/>
          <w:szCs w:val="24"/>
          <w:lang w:val="fr-CH"/>
        </w:rPr>
        <w:t>9.6</w:t>
      </w:r>
      <w:r w:rsidRPr="00675D48">
        <w:rPr>
          <w:rFonts w:cstheme="majorBidi"/>
          <w:szCs w:val="24"/>
          <w:lang w:val="fr-CH"/>
        </w:rPr>
        <w:tab/>
      </w:r>
      <w:bookmarkStart w:id="93" w:name="lt_pId197"/>
      <w:r w:rsidRPr="00675D48">
        <w:rPr>
          <w:rFonts w:cstheme="majorBidi"/>
          <w:szCs w:val="24"/>
          <w:lang w:val="fr-CH"/>
        </w:rPr>
        <w:t xml:space="preserve">Les </w:t>
      </w:r>
      <w:r w:rsidRPr="00675D48">
        <w:rPr>
          <w:rFonts w:cstheme="majorBidi"/>
          <w:b/>
          <w:bCs/>
          <w:szCs w:val="24"/>
          <w:lang w:val="fr-CH"/>
        </w:rPr>
        <w:t>délégués du Bahreïn</w:t>
      </w:r>
      <w:r w:rsidRPr="00431957">
        <w:rPr>
          <w:rFonts w:cstheme="majorBidi"/>
          <w:szCs w:val="24"/>
          <w:lang w:val="fr-CH"/>
        </w:rPr>
        <w:t>,</w:t>
      </w:r>
      <w:r w:rsidRPr="00675D48">
        <w:rPr>
          <w:rFonts w:cstheme="majorBidi"/>
          <w:b/>
          <w:bCs/>
          <w:szCs w:val="24"/>
          <w:lang w:val="fr-CH"/>
        </w:rPr>
        <w:t xml:space="preserve"> de la Jordanie </w:t>
      </w:r>
      <w:r w:rsidRPr="00675D48">
        <w:rPr>
          <w:rFonts w:cstheme="majorBidi"/>
          <w:szCs w:val="24"/>
          <w:lang w:val="fr-CH"/>
        </w:rPr>
        <w:t xml:space="preserve">et </w:t>
      </w:r>
      <w:r w:rsidRPr="00431957">
        <w:rPr>
          <w:rFonts w:cstheme="majorBidi"/>
          <w:b/>
          <w:bCs/>
          <w:szCs w:val="24"/>
          <w:lang w:val="fr-CH"/>
        </w:rPr>
        <w:t xml:space="preserve">du </w:t>
      </w:r>
      <w:r w:rsidRPr="00675D48">
        <w:rPr>
          <w:rFonts w:cstheme="majorBidi"/>
          <w:b/>
          <w:bCs/>
          <w:szCs w:val="24"/>
          <w:lang w:val="fr-CH"/>
        </w:rPr>
        <w:t>Koweït</w:t>
      </w:r>
      <w:r w:rsidRPr="00675D48">
        <w:rPr>
          <w:rFonts w:cstheme="majorBidi"/>
          <w:szCs w:val="24"/>
          <w:lang w:val="fr-CH"/>
        </w:rPr>
        <w:t xml:space="preserve"> souscrivent à la proposition </w:t>
      </w:r>
      <w:r w:rsidR="00AB0CBA" w:rsidRPr="00675D48">
        <w:rPr>
          <w:rFonts w:cstheme="majorBidi"/>
          <w:szCs w:val="24"/>
          <w:lang w:val="fr-CH"/>
        </w:rPr>
        <w:t>du</w:t>
      </w:r>
      <w:r w:rsidRPr="00675D48">
        <w:rPr>
          <w:rFonts w:cstheme="majorBidi"/>
          <w:szCs w:val="24"/>
          <w:lang w:val="fr-CH"/>
        </w:rPr>
        <w:t xml:space="preserve"> délégué de l'Arabie saoudite visant à faire référence à l'Article 14 du Règlement intérieur du Conseil au </w:t>
      </w:r>
      <w:r w:rsidRPr="00675D48">
        <w:rPr>
          <w:rFonts w:cstheme="majorBidi"/>
          <w:i/>
          <w:iCs/>
          <w:szCs w:val="24"/>
          <w:lang w:val="fr-CH"/>
        </w:rPr>
        <w:t>reconnaissant</w:t>
      </w:r>
      <w:r w:rsidRPr="00675D48">
        <w:rPr>
          <w:rFonts w:cstheme="majorBidi"/>
          <w:szCs w:val="24"/>
          <w:lang w:val="fr-CH"/>
        </w:rPr>
        <w:t xml:space="preserve">. De plus, dans la mesure où le mémorandum d'accord entre l'UIT et la DONA est encore en vigueur, la DONA devrait être ajoutée à la liste des organisations </w:t>
      </w:r>
      <w:r w:rsidR="00AB0CBA" w:rsidRPr="00675D48">
        <w:rPr>
          <w:rFonts w:cstheme="majorBidi"/>
          <w:szCs w:val="24"/>
          <w:lang w:val="fr-CH"/>
        </w:rPr>
        <w:t>figurant</w:t>
      </w:r>
      <w:r w:rsidRPr="00675D48">
        <w:rPr>
          <w:rFonts w:cstheme="majorBidi"/>
          <w:szCs w:val="24"/>
          <w:lang w:val="fr-CH"/>
        </w:rPr>
        <w:t xml:space="preserve"> dans la note </w:t>
      </w:r>
      <w:r w:rsidR="00AB0CBA" w:rsidRPr="00675D48">
        <w:rPr>
          <w:rFonts w:cstheme="majorBidi"/>
          <w:szCs w:val="24"/>
          <w:lang w:val="fr-CH"/>
        </w:rPr>
        <w:t xml:space="preserve">de bas de page </w:t>
      </w:r>
      <w:r w:rsidRPr="00675D48">
        <w:rPr>
          <w:rFonts w:cstheme="majorBidi"/>
          <w:szCs w:val="24"/>
          <w:lang w:val="fr-CH"/>
        </w:rPr>
        <w:t>1</w:t>
      </w:r>
      <w:bookmarkStart w:id="94" w:name="lt_pId198"/>
      <w:bookmarkEnd w:id="93"/>
      <w:r w:rsidRPr="00675D48">
        <w:rPr>
          <w:lang w:val="fr-CH"/>
        </w:rPr>
        <w:t>.</w:t>
      </w:r>
      <w:bookmarkEnd w:id="94"/>
    </w:p>
    <w:p w:rsidR="004C631C" w:rsidRPr="00675D48" w:rsidRDefault="004C631C" w:rsidP="004C631C">
      <w:pPr>
        <w:tabs>
          <w:tab w:val="clear" w:pos="567"/>
          <w:tab w:val="clear" w:pos="1134"/>
          <w:tab w:val="clear" w:pos="1701"/>
          <w:tab w:val="clear" w:pos="2268"/>
          <w:tab w:val="clear" w:pos="2835"/>
        </w:tabs>
        <w:snapToGrid w:val="0"/>
        <w:spacing w:after="120"/>
        <w:rPr>
          <w:lang w:val="fr-CH"/>
        </w:rPr>
      </w:pPr>
      <w:r w:rsidRPr="00675D48">
        <w:rPr>
          <w:lang w:val="fr-CH"/>
        </w:rPr>
        <w:t>9.7</w:t>
      </w:r>
      <w:r w:rsidRPr="00675D48">
        <w:rPr>
          <w:lang w:val="fr-CH"/>
        </w:rPr>
        <w:tab/>
      </w:r>
      <w:bookmarkStart w:id="95" w:name="lt_pId200"/>
      <w:r w:rsidRPr="00675D48">
        <w:rPr>
          <w:lang w:val="fr-CH"/>
        </w:rPr>
        <w:t xml:space="preserve">Le </w:t>
      </w:r>
      <w:r w:rsidRPr="00675D48">
        <w:rPr>
          <w:b/>
          <w:bCs/>
          <w:lang w:val="fr-CH"/>
        </w:rPr>
        <w:t>délégué du Mali</w:t>
      </w:r>
      <w:r w:rsidRPr="00675D48">
        <w:rPr>
          <w:lang w:val="fr-CH"/>
        </w:rPr>
        <w:t xml:space="preserve"> souscrit pleinement à la proposition faite par la déléguée de la République sudafricaine et propose que des consultations informelles soient tenues afin de parvenir à un consensus.</w:t>
      </w:r>
      <w:bookmarkEnd w:id="95"/>
    </w:p>
    <w:p w:rsidR="003B5327" w:rsidRDefault="003B5327" w:rsidP="002931B5">
      <w:pPr>
        <w:tabs>
          <w:tab w:val="clear" w:pos="567"/>
          <w:tab w:val="clear" w:pos="1134"/>
          <w:tab w:val="clear" w:pos="1701"/>
          <w:tab w:val="clear" w:pos="2268"/>
          <w:tab w:val="clear" w:pos="2835"/>
        </w:tabs>
        <w:snapToGrid w:val="0"/>
        <w:spacing w:after="120"/>
        <w:rPr>
          <w:szCs w:val="24"/>
          <w:lang w:val="fr-CH"/>
        </w:rPr>
      </w:pPr>
      <w:r>
        <w:rPr>
          <w:szCs w:val="24"/>
          <w:lang w:val="fr-CH"/>
        </w:rPr>
        <w:br w:type="page"/>
      </w:r>
    </w:p>
    <w:p w:rsidR="004C631C" w:rsidRPr="00675D48" w:rsidRDefault="004C631C" w:rsidP="002931B5">
      <w:pPr>
        <w:tabs>
          <w:tab w:val="clear" w:pos="567"/>
          <w:tab w:val="clear" w:pos="1134"/>
          <w:tab w:val="clear" w:pos="1701"/>
          <w:tab w:val="clear" w:pos="2268"/>
          <w:tab w:val="clear" w:pos="2835"/>
        </w:tabs>
        <w:snapToGrid w:val="0"/>
        <w:spacing w:after="120"/>
        <w:rPr>
          <w:szCs w:val="24"/>
          <w:lang w:val="fr-CH"/>
        </w:rPr>
      </w:pPr>
      <w:r w:rsidRPr="00675D48">
        <w:rPr>
          <w:szCs w:val="24"/>
          <w:lang w:val="fr-CH"/>
        </w:rPr>
        <w:lastRenderedPageBreak/>
        <w:t>9.8</w:t>
      </w:r>
      <w:r w:rsidRPr="00675D48">
        <w:rPr>
          <w:szCs w:val="24"/>
          <w:lang w:val="fr-CH"/>
        </w:rPr>
        <w:tab/>
      </w:r>
      <w:bookmarkStart w:id="96" w:name="lt_pId202"/>
      <w:r w:rsidRPr="00675D48">
        <w:rPr>
          <w:szCs w:val="24"/>
          <w:lang w:val="fr-CH"/>
        </w:rPr>
        <w:t xml:space="preserve">La </w:t>
      </w:r>
      <w:r w:rsidRPr="00675D48">
        <w:rPr>
          <w:b/>
          <w:bCs/>
          <w:szCs w:val="24"/>
          <w:lang w:val="fr-CH"/>
        </w:rPr>
        <w:t>déléguée de l'Australie</w:t>
      </w:r>
      <w:r w:rsidRPr="00675D48">
        <w:rPr>
          <w:szCs w:val="24"/>
          <w:lang w:val="fr-CH"/>
        </w:rPr>
        <w:t xml:space="preserve"> déclare que, contrairement aux organisations déjà listées dans la note </w:t>
      </w:r>
      <w:r w:rsidR="002931B5" w:rsidRPr="00675D48">
        <w:rPr>
          <w:szCs w:val="24"/>
          <w:lang w:val="fr-CH"/>
        </w:rPr>
        <w:t xml:space="preserve">de bas de page </w:t>
      </w:r>
      <w:r w:rsidRPr="00675D48">
        <w:rPr>
          <w:szCs w:val="24"/>
          <w:lang w:val="fr-CH"/>
        </w:rPr>
        <w:t xml:space="preserve">1, la DONA n'a pas pour rôle de </w:t>
      </w:r>
      <w:r w:rsidR="002931B5" w:rsidRPr="00675D48">
        <w:rPr>
          <w:szCs w:val="24"/>
          <w:lang w:val="fr-CH"/>
        </w:rPr>
        <w:t>s'occuper des</w:t>
      </w:r>
      <w:r w:rsidRPr="00675D48">
        <w:rPr>
          <w:szCs w:val="24"/>
          <w:lang w:val="fr-CH"/>
        </w:rPr>
        <w:t xml:space="preserve"> normes et </w:t>
      </w:r>
      <w:r w:rsidR="002931B5" w:rsidRPr="00675D48">
        <w:rPr>
          <w:szCs w:val="24"/>
          <w:lang w:val="fr-CH"/>
        </w:rPr>
        <w:t>du</w:t>
      </w:r>
      <w:r w:rsidRPr="00675D48">
        <w:rPr>
          <w:szCs w:val="24"/>
          <w:lang w:val="fr-CH"/>
        </w:rPr>
        <w:t xml:space="preserve"> fonctionnement technique fondamental de l'Internet, mais d'exploiter une application fonctionnant sur l'Internet. Il n'y a donc pas lieu de l'inclure dans la liste. S'agissant de la composition du GTC-Internet, l'intervenante fait siennes les observations formulées par le délégué du Royaume-Uni au nom de la CEPT</w:t>
      </w:r>
      <w:bookmarkEnd w:id="96"/>
      <w:r w:rsidRPr="00675D48">
        <w:rPr>
          <w:szCs w:val="24"/>
          <w:lang w:val="fr-CH"/>
        </w:rPr>
        <w:t xml:space="preserve">. </w:t>
      </w:r>
    </w:p>
    <w:p w:rsidR="004C631C" w:rsidRPr="00675D48" w:rsidRDefault="004C631C" w:rsidP="002931B5">
      <w:pPr>
        <w:keepNext/>
        <w:keepLines/>
        <w:tabs>
          <w:tab w:val="clear" w:pos="567"/>
          <w:tab w:val="clear" w:pos="1134"/>
          <w:tab w:val="clear" w:pos="1701"/>
          <w:tab w:val="clear" w:pos="2268"/>
          <w:tab w:val="clear" w:pos="2835"/>
        </w:tabs>
        <w:snapToGrid w:val="0"/>
        <w:spacing w:after="120"/>
        <w:rPr>
          <w:szCs w:val="24"/>
          <w:lang w:val="fr-CH"/>
        </w:rPr>
      </w:pPr>
      <w:r w:rsidRPr="00675D48">
        <w:rPr>
          <w:szCs w:val="24"/>
          <w:lang w:val="fr-CH"/>
        </w:rPr>
        <w:t>9.9</w:t>
      </w:r>
      <w:r w:rsidRPr="00675D48">
        <w:rPr>
          <w:szCs w:val="24"/>
          <w:lang w:val="fr-CH"/>
        </w:rPr>
        <w:tab/>
      </w:r>
      <w:bookmarkStart w:id="97" w:name="lt_pId206"/>
      <w:r w:rsidRPr="00675D48">
        <w:rPr>
          <w:szCs w:val="24"/>
          <w:lang w:val="fr-CH"/>
        </w:rPr>
        <w:t xml:space="preserve">La </w:t>
      </w:r>
      <w:r w:rsidRPr="00675D48">
        <w:rPr>
          <w:b/>
          <w:bCs/>
          <w:szCs w:val="24"/>
          <w:lang w:val="fr-CH"/>
        </w:rPr>
        <w:t>déléguée de la Suède</w:t>
      </w:r>
      <w:r w:rsidRPr="00675D48">
        <w:rPr>
          <w:szCs w:val="24"/>
          <w:lang w:val="fr-CH"/>
        </w:rPr>
        <w:t xml:space="preserve"> souscrit à la position de la CEPT et de l'Australie et souligne que, comme l'indiquent les textes et les titres des versions antérieures adoptées précédemment par la Conférence de plénipotentiaires, la Résolution 102 a pour objet la gestion des noms de domaine et des adresses Internet. L'intervenante n'est pas favorable à ce que la DONA soit mentionnée dans le texte, car il ne s'agit que d'un service d'annuaire Internet parmi bien d'autres</w:t>
      </w:r>
      <w:bookmarkStart w:id="98" w:name="lt_pId207"/>
      <w:bookmarkEnd w:id="97"/>
      <w:r w:rsidRPr="00675D48">
        <w:rPr>
          <w:szCs w:val="24"/>
          <w:lang w:val="fr-CH"/>
        </w:rPr>
        <w:t>.</w:t>
      </w:r>
      <w:bookmarkEnd w:id="98"/>
      <w:r w:rsidRPr="00675D48">
        <w:rPr>
          <w:szCs w:val="24"/>
          <w:lang w:val="fr-CH"/>
        </w:rPr>
        <w:t xml:space="preserve"> </w:t>
      </w:r>
    </w:p>
    <w:p w:rsidR="004C631C" w:rsidRPr="00675D48" w:rsidRDefault="004C631C" w:rsidP="004C631C">
      <w:pPr>
        <w:tabs>
          <w:tab w:val="clear" w:pos="567"/>
          <w:tab w:val="clear" w:pos="1134"/>
          <w:tab w:val="clear" w:pos="1701"/>
          <w:tab w:val="clear" w:pos="2268"/>
          <w:tab w:val="clear" w:pos="2835"/>
        </w:tabs>
        <w:snapToGrid w:val="0"/>
        <w:spacing w:after="120"/>
        <w:rPr>
          <w:szCs w:val="24"/>
          <w:lang w:val="fr-CH"/>
        </w:rPr>
      </w:pPr>
      <w:r w:rsidRPr="00675D48">
        <w:rPr>
          <w:szCs w:val="24"/>
          <w:lang w:val="fr-CH"/>
        </w:rPr>
        <w:t>9.10</w:t>
      </w:r>
      <w:r w:rsidRPr="00675D48">
        <w:rPr>
          <w:szCs w:val="24"/>
          <w:lang w:val="fr-CH"/>
        </w:rPr>
        <w:tab/>
      </w:r>
      <w:bookmarkStart w:id="99" w:name="lt_pId209"/>
      <w:r w:rsidRPr="00675D48">
        <w:rPr>
          <w:szCs w:val="24"/>
          <w:lang w:val="fr-CH"/>
        </w:rPr>
        <w:t xml:space="preserve">Le </w:t>
      </w:r>
      <w:r w:rsidRPr="00675D48">
        <w:rPr>
          <w:b/>
          <w:bCs/>
          <w:szCs w:val="24"/>
          <w:lang w:val="fr-CH"/>
        </w:rPr>
        <w:t xml:space="preserve">délégué de la République islamique d'Iran </w:t>
      </w:r>
      <w:r w:rsidRPr="00675D48">
        <w:rPr>
          <w:szCs w:val="24"/>
          <w:lang w:val="fr-CH"/>
        </w:rPr>
        <w:t xml:space="preserve">propose que les différentes questions à l'étude soient examinées séparément, en commençant par le point 1 du </w:t>
      </w:r>
      <w:r w:rsidRPr="00675D48">
        <w:rPr>
          <w:i/>
          <w:iCs/>
          <w:szCs w:val="24"/>
          <w:lang w:val="fr-CH"/>
        </w:rPr>
        <w:t>décide</w:t>
      </w:r>
      <w:r w:rsidRPr="00675D48">
        <w:rPr>
          <w:szCs w:val="24"/>
          <w:lang w:val="fr-CH"/>
        </w:rPr>
        <w:t xml:space="preserve"> et par le point </w:t>
      </w:r>
      <w:r w:rsidRPr="00675D48">
        <w:rPr>
          <w:i/>
          <w:iCs/>
          <w:szCs w:val="24"/>
          <w:lang w:val="fr-CH"/>
        </w:rPr>
        <w:t>n)</w:t>
      </w:r>
      <w:r w:rsidRPr="00675D48">
        <w:rPr>
          <w:szCs w:val="24"/>
          <w:lang w:val="fr-CH"/>
        </w:rPr>
        <w:t xml:space="preserve"> du </w:t>
      </w:r>
      <w:r w:rsidRPr="00675D48">
        <w:rPr>
          <w:i/>
          <w:iCs/>
          <w:szCs w:val="24"/>
          <w:lang w:val="fr-CH"/>
        </w:rPr>
        <w:t>considérant</w:t>
      </w:r>
      <w:bookmarkEnd w:id="99"/>
      <w:r w:rsidRPr="00675D48">
        <w:rPr>
          <w:szCs w:val="24"/>
          <w:lang w:val="fr-CH"/>
        </w:rPr>
        <w:t>, qui sont liés.</w:t>
      </w:r>
    </w:p>
    <w:p w:rsidR="004C631C" w:rsidRPr="00675D48" w:rsidRDefault="004C631C" w:rsidP="002931B5">
      <w:pPr>
        <w:tabs>
          <w:tab w:val="clear" w:pos="567"/>
          <w:tab w:val="clear" w:pos="1134"/>
          <w:tab w:val="clear" w:pos="1701"/>
          <w:tab w:val="clear" w:pos="2268"/>
          <w:tab w:val="clear" w:pos="2835"/>
        </w:tabs>
        <w:snapToGrid w:val="0"/>
        <w:spacing w:after="120"/>
        <w:rPr>
          <w:szCs w:val="24"/>
          <w:lang w:val="fr-CH"/>
        </w:rPr>
      </w:pPr>
      <w:r w:rsidRPr="00675D48">
        <w:rPr>
          <w:szCs w:val="24"/>
          <w:lang w:val="fr-CH"/>
        </w:rPr>
        <w:t>9.11</w:t>
      </w:r>
      <w:r w:rsidRPr="00675D48">
        <w:rPr>
          <w:szCs w:val="24"/>
          <w:lang w:val="fr-CH"/>
        </w:rPr>
        <w:tab/>
      </w:r>
      <w:bookmarkStart w:id="100" w:name="lt_pId211"/>
      <w:r w:rsidRPr="00675D48">
        <w:rPr>
          <w:szCs w:val="24"/>
          <w:lang w:val="fr-CH"/>
        </w:rPr>
        <w:t xml:space="preserve">La </w:t>
      </w:r>
      <w:r w:rsidRPr="00675D48">
        <w:rPr>
          <w:b/>
          <w:bCs/>
          <w:szCs w:val="24"/>
          <w:lang w:val="fr-CH"/>
        </w:rPr>
        <w:t>déléguée des Etats-Unis</w:t>
      </w:r>
      <w:r w:rsidRPr="00675D48">
        <w:rPr>
          <w:szCs w:val="24"/>
          <w:lang w:val="fr-CH"/>
        </w:rPr>
        <w:t xml:space="preserve">, s'exprimant au nom de la CITEL, fait siennes les observations formulées au nom de la CEPT, ainsi que par la Suède et l'Australie, et déclare que le texte figurant au point 1 du </w:t>
      </w:r>
      <w:r w:rsidRPr="00675D48">
        <w:rPr>
          <w:i/>
          <w:iCs/>
          <w:szCs w:val="24"/>
          <w:lang w:val="fr-CH"/>
        </w:rPr>
        <w:t xml:space="preserve">charge le Conseil </w:t>
      </w:r>
      <w:r w:rsidRPr="00675D48">
        <w:rPr>
          <w:szCs w:val="24"/>
          <w:lang w:val="fr-CH"/>
        </w:rPr>
        <w:t xml:space="preserve">devrait être conservé tel qu'il a été adopté par la PP-14. L'intervenante n'est pas favorable à l'inclusion du texte entre crochets dans la note </w:t>
      </w:r>
      <w:r w:rsidR="002931B5" w:rsidRPr="00675D48">
        <w:rPr>
          <w:szCs w:val="24"/>
          <w:lang w:val="fr-CH"/>
        </w:rPr>
        <w:t>de bas de page </w:t>
      </w:r>
      <w:r w:rsidRPr="00675D48">
        <w:rPr>
          <w:szCs w:val="24"/>
          <w:lang w:val="fr-CH"/>
        </w:rPr>
        <w:t>1</w:t>
      </w:r>
      <w:bookmarkStart w:id="101" w:name="lt_pId212"/>
      <w:bookmarkEnd w:id="100"/>
      <w:r w:rsidRPr="00675D48">
        <w:rPr>
          <w:szCs w:val="24"/>
          <w:lang w:val="fr-CH"/>
        </w:rPr>
        <w:t>.</w:t>
      </w:r>
      <w:bookmarkEnd w:id="101"/>
    </w:p>
    <w:p w:rsidR="004C631C" w:rsidRPr="00675D48" w:rsidRDefault="004C631C" w:rsidP="004C631C">
      <w:pPr>
        <w:tabs>
          <w:tab w:val="clear" w:pos="567"/>
          <w:tab w:val="clear" w:pos="1134"/>
          <w:tab w:val="clear" w:pos="1701"/>
          <w:tab w:val="clear" w:pos="2268"/>
          <w:tab w:val="clear" w:pos="2835"/>
        </w:tabs>
        <w:snapToGrid w:val="0"/>
        <w:spacing w:after="120"/>
        <w:rPr>
          <w:szCs w:val="24"/>
          <w:lang w:val="fr-CH"/>
        </w:rPr>
      </w:pPr>
      <w:r w:rsidRPr="00675D48">
        <w:rPr>
          <w:szCs w:val="24"/>
          <w:lang w:val="fr-CH"/>
        </w:rPr>
        <w:t>9.12</w:t>
      </w:r>
      <w:r w:rsidRPr="00675D48">
        <w:rPr>
          <w:szCs w:val="24"/>
          <w:lang w:val="fr-CH"/>
        </w:rPr>
        <w:tab/>
      </w:r>
      <w:bookmarkStart w:id="102" w:name="lt_pId214"/>
      <w:r w:rsidRPr="00675D48">
        <w:rPr>
          <w:szCs w:val="24"/>
          <w:lang w:val="fr-CH"/>
        </w:rPr>
        <w:t xml:space="preserve">Le </w:t>
      </w:r>
      <w:r w:rsidRPr="00675D48">
        <w:rPr>
          <w:b/>
          <w:bCs/>
          <w:szCs w:val="24"/>
          <w:lang w:val="fr-CH"/>
        </w:rPr>
        <w:t xml:space="preserve">délégué de Cuba </w:t>
      </w:r>
      <w:r w:rsidRPr="00675D48">
        <w:rPr>
          <w:szCs w:val="24"/>
          <w:lang w:val="fr-CH"/>
        </w:rPr>
        <w:t>déclare que l'architecture DOA est pertinente pour la gestion des ressources de l'Internet et qu'e</w:t>
      </w:r>
      <w:r w:rsidR="002931B5" w:rsidRPr="00675D48">
        <w:rPr>
          <w:szCs w:val="24"/>
          <w:lang w:val="fr-CH"/>
        </w:rPr>
        <w:t>lle prendra une importance croissant</w:t>
      </w:r>
      <w:r w:rsidRPr="00675D48">
        <w:rPr>
          <w:szCs w:val="24"/>
          <w:lang w:val="fr-CH"/>
        </w:rPr>
        <w:t>e à mesure que l'Internet des objets (IoT) continuera de se développer. Cette architecture est compatible avec les technologies existantes, mais peut également faire office de solution alternative. L'UIT se doit de respecter la neutralité technologique et ne devrait donc pas e</w:t>
      </w:r>
      <w:r w:rsidR="002931B5" w:rsidRPr="00675D48">
        <w:rPr>
          <w:szCs w:val="24"/>
          <w:lang w:val="fr-CH"/>
        </w:rPr>
        <w:t xml:space="preserve">xclure la technologie DOA. Par </w:t>
      </w:r>
      <w:r w:rsidRPr="00675D48">
        <w:rPr>
          <w:szCs w:val="24"/>
          <w:lang w:val="fr-CH"/>
        </w:rPr>
        <w:t xml:space="preserve">conséquent, il est </w:t>
      </w:r>
      <w:r w:rsidR="002931B5" w:rsidRPr="00675D48">
        <w:rPr>
          <w:szCs w:val="24"/>
          <w:lang w:val="fr-CH"/>
        </w:rPr>
        <w:t xml:space="preserve">parfaitement </w:t>
      </w:r>
      <w:r w:rsidRPr="00675D48">
        <w:rPr>
          <w:szCs w:val="24"/>
          <w:lang w:val="fr-CH"/>
        </w:rPr>
        <w:t xml:space="preserve">justifié de faire référence à l'institution, à savoir la DONA, qui est responsable de son développement. L'intervenant souscrit à la proposition faite par l'Arabie saoudite, qui consiste à faire référence à l'Article 14 du Règlement intérieur du Conseil au </w:t>
      </w:r>
      <w:r w:rsidRPr="00675D48">
        <w:rPr>
          <w:i/>
          <w:iCs/>
          <w:szCs w:val="24"/>
          <w:lang w:val="fr-CH"/>
        </w:rPr>
        <w:t>reconnaissant.</w:t>
      </w:r>
      <w:bookmarkEnd w:id="102"/>
    </w:p>
    <w:p w:rsidR="004C631C" w:rsidRPr="00675D48" w:rsidRDefault="004C631C" w:rsidP="004C631C">
      <w:pPr>
        <w:tabs>
          <w:tab w:val="clear" w:pos="567"/>
          <w:tab w:val="clear" w:pos="1134"/>
          <w:tab w:val="clear" w:pos="1701"/>
          <w:tab w:val="clear" w:pos="2268"/>
          <w:tab w:val="clear" w:pos="2835"/>
        </w:tabs>
        <w:snapToGrid w:val="0"/>
        <w:spacing w:after="120"/>
        <w:rPr>
          <w:szCs w:val="24"/>
          <w:lang w:val="fr-CH"/>
        </w:rPr>
      </w:pPr>
      <w:r w:rsidRPr="00675D48">
        <w:rPr>
          <w:szCs w:val="24"/>
          <w:lang w:val="fr-CH"/>
        </w:rPr>
        <w:t>9.13</w:t>
      </w:r>
      <w:r w:rsidRPr="00675D48">
        <w:rPr>
          <w:szCs w:val="24"/>
          <w:lang w:val="fr-CH"/>
        </w:rPr>
        <w:tab/>
      </w:r>
      <w:bookmarkStart w:id="103" w:name="lt_pId220"/>
      <w:r w:rsidRPr="00675D48">
        <w:rPr>
          <w:szCs w:val="24"/>
          <w:lang w:val="fr-CH"/>
        </w:rPr>
        <w:t xml:space="preserve">Le </w:t>
      </w:r>
      <w:r w:rsidRPr="00675D48">
        <w:rPr>
          <w:b/>
          <w:bCs/>
          <w:szCs w:val="24"/>
          <w:lang w:val="fr-CH"/>
        </w:rPr>
        <w:t>délégué du Mexique</w:t>
      </w:r>
      <w:r w:rsidRPr="00675D48">
        <w:rPr>
          <w:szCs w:val="24"/>
          <w:lang w:val="fr-CH"/>
        </w:rPr>
        <w:t xml:space="preserve"> déclare que si l'on veut préserver la neutralité technologique de l'Union, il n'y a pas lieu de mentionner l'architecture DOA, dont les droits de propriété intellectuelle appartiennent à la DONA. Il semble y avoir une incohérence quant à la position de ceux qui souhaitent ajouter la DONA à la liste des organisations figurant dans la note </w:t>
      </w:r>
      <w:r w:rsidR="002931B5" w:rsidRPr="00675D48">
        <w:rPr>
          <w:szCs w:val="24"/>
          <w:lang w:val="fr-CH"/>
        </w:rPr>
        <w:t xml:space="preserve">de bas de page </w:t>
      </w:r>
      <w:r w:rsidRPr="00675D48">
        <w:rPr>
          <w:szCs w:val="24"/>
          <w:lang w:val="fr-CH"/>
        </w:rPr>
        <w:t xml:space="preserve">1, mais ne sont pas favorables à ouvrir la participation au GTC-Internet aux Membres de Secteur. Etant donné qu'un consensus ne pourra vraisemblablement pas être obtenu au sujet de la modification du texte figurant au point 1 du </w:t>
      </w:r>
      <w:r w:rsidRPr="00675D48">
        <w:rPr>
          <w:i/>
          <w:iCs/>
          <w:szCs w:val="24"/>
          <w:lang w:val="fr-CH"/>
        </w:rPr>
        <w:t>charge le Conseil</w:t>
      </w:r>
      <w:r w:rsidRPr="00675D48">
        <w:rPr>
          <w:szCs w:val="24"/>
          <w:lang w:val="fr-CH"/>
        </w:rPr>
        <w:t>, l'intervenant propose de conserver le texte adopté en 2014, en laissant inchangée la composition du GTC-Internet. Pour résumer, compte tenu de l'absence de consensus, le texte entre crochets devrait être supprimé</w:t>
      </w:r>
      <w:bookmarkStart w:id="104" w:name="lt_pId223"/>
      <w:bookmarkEnd w:id="103"/>
      <w:r w:rsidRPr="00675D48">
        <w:rPr>
          <w:szCs w:val="24"/>
          <w:lang w:val="fr-CH"/>
        </w:rPr>
        <w:t>.</w:t>
      </w:r>
      <w:bookmarkEnd w:id="104"/>
    </w:p>
    <w:p w:rsidR="004C631C" w:rsidRPr="00675D48" w:rsidRDefault="004C631C" w:rsidP="004C631C">
      <w:pPr>
        <w:tabs>
          <w:tab w:val="clear" w:pos="567"/>
          <w:tab w:val="clear" w:pos="1134"/>
          <w:tab w:val="clear" w:pos="1701"/>
          <w:tab w:val="clear" w:pos="2268"/>
          <w:tab w:val="clear" w:pos="2835"/>
        </w:tabs>
        <w:snapToGrid w:val="0"/>
        <w:spacing w:after="120"/>
        <w:rPr>
          <w:szCs w:val="24"/>
          <w:lang w:val="fr-CH"/>
        </w:rPr>
      </w:pPr>
      <w:r w:rsidRPr="00675D48">
        <w:rPr>
          <w:szCs w:val="24"/>
          <w:lang w:val="fr-CH"/>
        </w:rPr>
        <w:t>9.14</w:t>
      </w:r>
      <w:r w:rsidRPr="00675D48">
        <w:rPr>
          <w:szCs w:val="24"/>
          <w:lang w:val="fr-CH"/>
        </w:rPr>
        <w:tab/>
      </w:r>
      <w:bookmarkStart w:id="105" w:name="lt_pId225"/>
      <w:r w:rsidRPr="00675D48">
        <w:rPr>
          <w:szCs w:val="24"/>
          <w:lang w:val="fr-CH"/>
        </w:rPr>
        <w:t xml:space="preserve">Le </w:t>
      </w:r>
      <w:r w:rsidRPr="00675D48">
        <w:rPr>
          <w:b/>
          <w:bCs/>
          <w:szCs w:val="24"/>
          <w:lang w:val="fr-CH"/>
        </w:rPr>
        <w:t>délégué de la Nouvelle-Zélande</w:t>
      </w:r>
      <w:r w:rsidRPr="00675D48">
        <w:rPr>
          <w:szCs w:val="24"/>
          <w:lang w:val="fr-CH"/>
        </w:rPr>
        <w:t xml:space="preserve"> souscrit aux observations formulées au nom de la CEPT et de la CITEL et souligne que la Résolution 102 a servi efficacement son objectif depuis plusieurs années, sans qu'il soit fait mention de la DONA. De plus, la liste figurant dans la note </w:t>
      </w:r>
      <w:r w:rsidR="002931B5" w:rsidRPr="00675D48">
        <w:rPr>
          <w:szCs w:val="24"/>
          <w:lang w:val="fr-CH"/>
        </w:rPr>
        <w:t xml:space="preserve">de bas de page </w:t>
      </w:r>
      <w:r w:rsidRPr="00675D48">
        <w:rPr>
          <w:szCs w:val="24"/>
          <w:lang w:val="fr-CH"/>
        </w:rPr>
        <w:t>1 laisse explicitement ouverte la possibilité d'une collaboration et d'une coordination avec d'autres organisations compétentes qui ne sont pas listées, ce qui pourrait comprendre la DONA. Le texte de la Résolution tel qu'approuvé par la PP-14 semble être la meilleure solution pour obtenir un consensus, y compris en ce qui concerne la composition du GTC-Internet, même si l'intervenant préfèrerait que les Membres de Secteur soient associés aux travaux de ce groupe</w:t>
      </w:r>
      <w:bookmarkStart w:id="106" w:name="lt_pId227"/>
      <w:bookmarkEnd w:id="105"/>
      <w:r w:rsidRPr="00675D48">
        <w:rPr>
          <w:szCs w:val="24"/>
          <w:lang w:val="fr-CH"/>
        </w:rPr>
        <w:t>.</w:t>
      </w:r>
      <w:bookmarkEnd w:id="106"/>
    </w:p>
    <w:p w:rsidR="004C631C" w:rsidRPr="00675D48" w:rsidRDefault="004C631C" w:rsidP="004C631C">
      <w:pPr>
        <w:tabs>
          <w:tab w:val="clear" w:pos="567"/>
          <w:tab w:val="clear" w:pos="1134"/>
          <w:tab w:val="clear" w:pos="1701"/>
          <w:tab w:val="clear" w:pos="2268"/>
          <w:tab w:val="clear" w:pos="2835"/>
        </w:tabs>
        <w:snapToGrid w:val="0"/>
        <w:spacing w:after="120"/>
        <w:rPr>
          <w:szCs w:val="24"/>
          <w:lang w:val="fr-CH"/>
        </w:rPr>
      </w:pPr>
      <w:r w:rsidRPr="00675D48">
        <w:rPr>
          <w:szCs w:val="24"/>
          <w:lang w:val="fr-CH"/>
        </w:rPr>
        <w:lastRenderedPageBreak/>
        <w:t>9.15</w:t>
      </w:r>
      <w:r w:rsidRPr="00675D48">
        <w:rPr>
          <w:szCs w:val="24"/>
          <w:lang w:val="fr-CH"/>
        </w:rPr>
        <w:tab/>
      </w:r>
      <w:bookmarkStart w:id="107" w:name="lt_pId229"/>
      <w:r w:rsidRPr="00675D48">
        <w:rPr>
          <w:szCs w:val="24"/>
          <w:lang w:val="fr-CH"/>
        </w:rPr>
        <w:t xml:space="preserve">La </w:t>
      </w:r>
      <w:r w:rsidRPr="00675D48">
        <w:rPr>
          <w:b/>
          <w:bCs/>
          <w:szCs w:val="24"/>
          <w:lang w:val="fr-CH"/>
        </w:rPr>
        <w:t>déléguée du Japon</w:t>
      </w:r>
      <w:r w:rsidRPr="00675D48">
        <w:rPr>
          <w:szCs w:val="24"/>
          <w:lang w:val="fr-CH"/>
        </w:rPr>
        <w:t xml:space="preserve"> déclare qu'elle n'est pas favorable à l'inclusion du texte entre crochets dans la note </w:t>
      </w:r>
      <w:r w:rsidR="002931B5" w:rsidRPr="00675D48">
        <w:rPr>
          <w:szCs w:val="24"/>
          <w:lang w:val="fr-CH"/>
        </w:rPr>
        <w:t xml:space="preserve">de bas de page </w:t>
      </w:r>
      <w:r w:rsidRPr="00675D48">
        <w:rPr>
          <w:szCs w:val="24"/>
          <w:lang w:val="fr-CH"/>
        </w:rPr>
        <w:t xml:space="preserve">1. Le point </w:t>
      </w:r>
      <w:r w:rsidRPr="00675D48">
        <w:rPr>
          <w:i/>
          <w:iCs/>
          <w:szCs w:val="24"/>
          <w:lang w:val="fr-CH"/>
        </w:rPr>
        <w:t>n)</w:t>
      </w:r>
      <w:r w:rsidRPr="00675D48">
        <w:rPr>
          <w:szCs w:val="24"/>
          <w:lang w:val="fr-CH"/>
        </w:rPr>
        <w:t xml:space="preserve"> du </w:t>
      </w:r>
      <w:r w:rsidRPr="00675D48">
        <w:rPr>
          <w:i/>
          <w:iCs/>
          <w:szCs w:val="24"/>
          <w:lang w:val="fr-CH"/>
        </w:rPr>
        <w:t>considérant</w:t>
      </w:r>
      <w:r w:rsidRPr="00675D48">
        <w:rPr>
          <w:szCs w:val="24"/>
          <w:lang w:val="fr-CH"/>
        </w:rPr>
        <w:t xml:space="preserve"> devrait être supprimé, car les résolutions de la Conférence de plénipotentiaires devraient être neutres du point de vue technologique. S'agissant de la composition du GTC-Internet, l'intervenante est d'avis que le texte adopté en 2014 devrait être conservé, puisqu'aucun consensus ne se dégage en vue de le modifier</w:t>
      </w:r>
      <w:bookmarkStart w:id="108" w:name="lt_pId231"/>
      <w:bookmarkEnd w:id="107"/>
      <w:r w:rsidRPr="00675D48">
        <w:rPr>
          <w:szCs w:val="24"/>
          <w:lang w:val="fr-CH"/>
        </w:rPr>
        <w:t>.</w:t>
      </w:r>
      <w:bookmarkEnd w:id="108"/>
    </w:p>
    <w:p w:rsidR="004C631C" w:rsidRPr="00675D48" w:rsidRDefault="004C631C" w:rsidP="004C631C">
      <w:pPr>
        <w:tabs>
          <w:tab w:val="clear" w:pos="567"/>
          <w:tab w:val="clear" w:pos="1134"/>
          <w:tab w:val="clear" w:pos="1701"/>
          <w:tab w:val="clear" w:pos="2268"/>
          <w:tab w:val="clear" w:pos="2835"/>
        </w:tabs>
        <w:snapToGrid w:val="0"/>
        <w:spacing w:after="120"/>
        <w:rPr>
          <w:lang w:val="fr-CH"/>
        </w:rPr>
      </w:pPr>
      <w:r w:rsidRPr="00675D48">
        <w:rPr>
          <w:szCs w:val="24"/>
          <w:lang w:val="fr-CH"/>
        </w:rPr>
        <w:t>9.16</w:t>
      </w:r>
      <w:r w:rsidRPr="00675D48">
        <w:rPr>
          <w:szCs w:val="24"/>
          <w:lang w:val="fr-CH"/>
        </w:rPr>
        <w:tab/>
      </w:r>
      <w:bookmarkStart w:id="109" w:name="lt_pId233"/>
      <w:r w:rsidRPr="00675D48">
        <w:rPr>
          <w:szCs w:val="24"/>
          <w:lang w:val="fr-CH"/>
        </w:rPr>
        <w:t xml:space="preserve">Le </w:t>
      </w:r>
      <w:r w:rsidRPr="00675D48">
        <w:rPr>
          <w:b/>
          <w:bCs/>
          <w:szCs w:val="24"/>
          <w:lang w:val="fr-CH"/>
        </w:rPr>
        <w:t xml:space="preserve">délégué des Pays-Bas </w:t>
      </w:r>
      <w:r w:rsidRPr="00675D48">
        <w:rPr>
          <w:szCs w:val="24"/>
          <w:lang w:val="fr-CH"/>
        </w:rPr>
        <w:t>souscrit aux observations formulées par les délégués du Royaume-Uni, au nom de la CEPT, de la Suède et de l'Australie</w:t>
      </w:r>
      <w:r w:rsidRPr="00675D48">
        <w:rPr>
          <w:lang w:val="fr-CH"/>
        </w:rPr>
        <w:t>.</w:t>
      </w:r>
      <w:bookmarkEnd w:id="109"/>
    </w:p>
    <w:p w:rsidR="004C631C" w:rsidRPr="00675D48" w:rsidRDefault="004C631C" w:rsidP="004C631C">
      <w:pPr>
        <w:tabs>
          <w:tab w:val="clear" w:pos="567"/>
          <w:tab w:val="clear" w:pos="1134"/>
          <w:tab w:val="clear" w:pos="1701"/>
          <w:tab w:val="clear" w:pos="2268"/>
          <w:tab w:val="clear" w:pos="2835"/>
        </w:tabs>
        <w:overflowPunct/>
        <w:autoSpaceDE/>
        <w:autoSpaceDN/>
        <w:snapToGrid w:val="0"/>
        <w:spacing w:before="240" w:after="120"/>
        <w:textAlignment w:val="auto"/>
        <w:rPr>
          <w:b/>
          <w:highlight w:val="cyan"/>
          <w:lang w:val="fr-CH"/>
        </w:rPr>
      </w:pPr>
      <w:bookmarkStart w:id="110" w:name="lt_pId234"/>
      <w:r w:rsidRPr="00675D48">
        <w:rPr>
          <w:b/>
          <w:bCs/>
          <w:lang w:val="fr-CH"/>
        </w:rPr>
        <w:t>La séance est levée à</w:t>
      </w:r>
      <w:r w:rsidRPr="00675D48">
        <w:rPr>
          <w:b/>
          <w:lang w:val="fr-CH"/>
        </w:rPr>
        <w:t xml:space="preserve"> 13 heures.</w:t>
      </w:r>
      <w:bookmarkEnd w:id="110"/>
    </w:p>
    <w:p w:rsidR="004C631C" w:rsidRPr="00675D48" w:rsidRDefault="004C631C" w:rsidP="004C631C">
      <w:pPr>
        <w:tabs>
          <w:tab w:val="clear" w:pos="567"/>
          <w:tab w:val="clear" w:pos="1134"/>
          <w:tab w:val="clear" w:pos="1701"/>
          <w:tab w:val="clear" w:pos="2268"/>
          <w:tab w:val="clear" w:pos="2835"/>
          <w:tab w:val="left" w:pos="6521"/>
        </w:tabs>
        <w:overflowPunct/>
        <w:autoSpaceDE/>
        <w:autoSpaceDN/>
        <w:snapToGrid w:val="0"/>
        <w:spacing w:before="600"/>
        <w:textAlignment w:val="auto"/>
        <w:rPr>
          <w:lang w:val="fr-CH"/>
        </w:rPr>
      </w:pPr>
      <w:bookmarkStart w:id="111" w:name="lt_pId235"/>
      <w:r w:rsidRPr="00675D48">
        <w:rPr>
          <w:lang w:val="fr-CH"/>
        </w:rPr>
        <w:t>Le Secrétaire général:</w:t>
      </w:r>
      <w:bookmarkEnd w:id="111"/>
      <w:r w:rsidRPr="00675D48">
        <w:rPr>
          <w:lang w:val="fr-CH"/>
        </w:rPr>
        <w:tab/>
      </w:r>
      <w:bookmarkStart w:id="112" w:name="lt_pId236"/>
      <w:r w:rsidRPr="00675D48">
        <w:rPr>
          <w:lang w:val="fr-CH"/>
        </w:rPr>
        <w:t>Le Président:</w:t>
      </w:r>
      <w:bookmarkEnd w:id="112"/>
    </w:p>
    <w:p w:rsidR="004C631C" w:rsidRPr="00675D48" w:rsidRDefault="004C631C" w:rsidP="004C631C">
      <w:pPr>
        <w:tabs>
          <w:tab w:val="clear" w:pos="567"/>
          <w:tab w:val="clear" w:pos="1134"/>
          <w:tab w:val="clear" w:pos="1701"/>
          <w:tab w:val="clear" w:pos="2268"/>
          <w:tab w:val="clear" w:pos="2835"/>
          <w:tab w:val="left" w:pos="6521"/>
        </w:tabs>
        <w:overflowPunct/>
        <w:autoSpaceDE/>
        <w:autoSpaceDN/>
        <w:snapToGrid w:val="0"/>
        <w:spacing w:before="0"/>
        <w:textAlignment w:val="auto"/>
        <w:rPr>
          <w:lang w:val="fr-CH"/>
        </w:rPr>
      </w:pPr>
      <w:bookmarkStart w:id="113" w:name="lt_pId237"/>
      <w:r w:rsidRPr="00675D48">
        <w:rPr>
          <w:lang w:val="fr-CH"/>
        </w:rPr>
        <w:t>H.</w:t>
      </w:r>
      <w:bookmarkEnd w:id="113"/>
      <w:r w:rsidRPr="00675D48">
        <w:rPr>
          <w:lang w:val="fr-CH"/>
        </w:rPr>
        <w:t xml:space="preserve"> </w:t>
      </w:r>
      <w:bookmarkStart w:id="114" w:name="lt_pId238"/>
      <w:r w:rsidRPr="00675D48">
        <w:rPr>
          <w:lang w:val="fr-CH"/>
        </w:rPr>
        <w:t>ZHAO</w:t>
      </w:r>
      <w:bookmarkEnd w:id="114"/>
      <w:r w:rsidRPr="00675D48">
        <w:rPr>
          <w:lang w:val="fr-CH"/>
        </w:rPr>
        <w:tab/>
      </w:r>
      <w:bookmarkStart w:id="115" w:name="lt_pId239"/>
      <w:r w:rsidRPr="00675D48">
        <w:rPr>
          <w:lang w:val="fr-CH"/>
        </w:rPr>
        <w:t>M. ALMESMAR</w:t>
      </w:r>
      <w:bookmarkEnd w:id="115"/>
    </w:p>
    <w:sectPr w:rsidR="004C631C" w:rsidRPr="00675D48" w:rsidSect="003A0B7D">
      <w:headerReference w:type="default" r:id="rId24"/>
      <w:footerReference w:type="default" r:id="rId25"/>
      <w:footerReference w:type="first" r:id="rId26"/>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D9F" w:rsidRDefault="00791D9F">
      <w:r>
        <w:separator/>
      </w:r>
    </w:p>
  </w:endnote>
  <w:endnote w:type="continuationSeparator" w:id="0">
    <w:p w:rsidR="00791D9F" w:rsidRDefault="00791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Default="003B5327" w:rsidP="004C631C">
    <w:pPr>
      <w:pStyle w:val="Footer"/>
      <w:tabs>
        <w:tab w:val="clear" w:pos="5954"/>
        <w:tab w:val="clear" w:pos="9639"/>
        <w:tab w:val="left" w:pos="7655"/>
        <w:tab w:val="right" w:pos="9498"/>
      </w:tabs>
    </w:pPr>
    <w:fldSimple w:instr=" FILENAME \p \* MERGEFORMAT ">
      <w:r w:rsidR="004C631C">
        <w:t>P:\FRA\SG\CONF-SG\PP18\100\173F.docx</w:t>
      </w:r>
    </w:fldSimple>
    <w:r w:rsidR="004C631C">
      <w:t xml:space="preserve"> (448157)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D9F" w:rsidRDefault="00791D9F">
      <w:r>
        <w:t>____________________</w:t>
      </w:r>
    </w:p>
  </w:footnote>
  <w:footnote w:type="continuationSeparator" w:id="0">
    <w:p w:rsidR="00791D9F" w:rsidRDefault="00791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C86E54">
      <w:rPr>
        <w:noProof/>
      </w:rPr>
      <w:t>2</w:t>
    </w:r>
    <w:r>
      <w:fldChar w:fldCharType="end"/>
    </w:r>
  </w:p>
  <w:p w:rsidR="00BD1614" w:rsidRDefault="00BD1614" w:rsidP="004C631C">
    <w:pPr>
      <w:pStyle w:val="Header"/>
    </w:pPr>
    <w:r>
      <w:t>PP1</w:t>
    </w:r>
    <w:r w:rsidR="001E2226">
      <w:t>8</w:t>
    </w:r>
    <w:r w:rsidR="00417658">
      <w:t>/</w:t>
    </w:r>
    <w:r w:rsidR="004C631C">
      <w:t>173</w:t>
    </w:r>
    <w:r w:rsidR="00417658">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EC5F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2E97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90C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BC1E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30A3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EA78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2CC5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9C8B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342C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12DA8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D9F"/>
    <w:rsid w:val="000054D8"/>
    <w:rsid w:val="00060D74"/>
    <w:rsid w:val="00072D5C"/>
    <w:rsid w:val="0008398C"/>
    <w:rsid w:val="00084308"/>
    <w:rsid w:val="00084EA9"/>
    <w:rsid w:val="000B14B6"/>
    <w:rsid w:val="000C467B"/>
    <w:rsid w:val="000D15FB"/>
    <w:rsid w:val="000F58F7"/>
    <w:rsid w:val="001051E4"/>
    <w:rsid w:val="001354EA"/>
    <w:rsid w:val="00136FCE"/>
    <w:rsid w:val="00153BA4"/>
    <w:rsid w:val="001941AD"/>
    <w:rsid w:val="001A0682"/>
    <w:rsid w:val="001B4D8D"/>
    <w:rsid w:val="001D31B2"/>
    <w:rsid w:val="001E1B9B"/>
    <w:rsid w:val="001E2226"/>
    <w:rsid w:val="001F6233"/>
    <w:rsid w:val="002355CD"/>
    <w:rsid w:val="00270B2F"/>
    <w:rsid w:val="002931B5"/>
    <w:rsid w:val="002A0E1B"/>
    <w:rsid w:val="002C1059"/>
    <w:rsid w:val="002C2F9C"/>
    <w:rsid w:val="00322DEA"/>
    <w:rsid w:val="00355FBD"/>
    <w:rsid w:val="00381461"/>
    <w:rsid w:val="003A0B7D"/>
    <w:rsid w:val="003A1453"/>
    <w:rsid w:val="003A45C2"/>
    <w:rsid w:val="003B5327"/>
    <w:rsid w:val="003C4BE2"/>
    <w:rsid w:val="003D147D"/>
    <w:rsid w:val="003D637A"/>
    <w:rsid w:val="00417658"/>
    <w:rsid w:val="00430015"/>
    <w:rsid w:val="00431957"/>
    <w:rsid w:val="004536FF"/>
    <w:rsid w:val="004678D0"/>
    <w:rsid w:val="00482954"/>
    <w:rsid w:val="004951C0"/>
    <w:rsid w:val="004C631C"/>
    <w:rsid w:val="00524001"/>
    <w:rsid w:val="00564B63"/>
    <w:rsid w:val="00575DC7"/>
    <w:rsid w:val="005836C2"/>
    <w:rsid w:val="005A4EFD"/>
    <w:rsid w:val="005A5ABE"/>
    <w:rsid w:val="005C2ECC"/>
    <w:rsid w:val="005C5E7E"/>
    <w:rsid w:val="005C6744"/>
    <w:rsid w:val="005E419E"/>
    <w:rsid w:val="005F63BD"/>
    <w:rsid w:val="00611CF1"/>
    <w:rsid w:val="006201D9"/>
    <w:rsid w:val="006277DB"/>
    <w:rsid w:val="00635B7B"/>
    <w:rsid w:val="00655B98"/>
    <w:rsid w:val="006710E6"/>
    <w:rsid w:val="00675D48"/>
    <w:rsid w:val="00686973"/>
    <w:rsid w:val="006A2656"/>
    <w:rsid w:val="006A6342"/>
    <w:rsid w:val="006B6C9C"/>
    <w:rsid w:val="006C7AE3"/>
    <w:rsid w:val="006D55E8"/>
    <w:rsid w:val="006E1921"/>
    <w:rsid w:val="006F36F9"/>
    <w:rsid w:val="0070576B"/>
    <w:rsid w:val="00713335"/>
    <w:rsid w:val="00727C2F"/>
    <w:rsid w:val="00735F13"/>
    <w:rsid w:val="007717F2"/>
    <w:rsid w:val="00772E3B"/>
    <w:rsid w:val="0078134C"/>
    <w:rsid w:val="00791D9F"/>
    <w:rsid w:val="007A5830"/>
    <w:rsid w:val="00801256"/>
    <w:rsid w:val="008703CB"/>
    <w:rsid w:val="008B61AF"/>
    <w:rsid w:val="008B6A61"/>
    <w:rsid w:val="008C33C2"/>
    <w:rsid w:val="008C6137"/>
    <w:rsid w:val="008E2DB4"/>
    <w:rsid w:val="00901DD5"/>
    <w:rsid w:val="0090735B"/>
    <w:rsid w:val="00912D5E"/>
    <w:rsid w:val="00934340"/>
    <w:rsid w:val="00956DC7"/>
    <w:rsid w:val="00966CD3"/>
    <w:rsid w:val="00987A20"/>
    <w:rsid w:val="009A0E15"/>
    <w:rsid w:val="009D4037"/>
    <w:rsid w:val="009F0592"/>
    <w:rsid w:val="00A04B76"/>
    <w:rsid w:val="00A20E72"/>
    <w:rsid w:val="00A246DC"/>
    <w:rsid w:val="00A47BAF"/>
    <w:rsid w:val="00A542D3"/>
    <w:rsid w:val="00A5784F"/>
    <w:rsid w:val="00A8436E"/>
    <w:rsid w:val="00A95B66"/>
    <w:rsid w:val="00AB0CBA"/>
    <w:rsid w:val="00AE0667"/>
    <w:rsid w:val="00B41E0A"/>
    <w:rsid w:val="00B56DE0"/>
    <w:rsid w:val="00B71F12"/>
    <w:rsid w:val="00B96B1E"/>
    <w:rsid w:val="00BB2A6F"/>
    <w:rsid w:val="00BD1614"/>
    <w:rsid w:val="00BD5DA6"/>
    <w:rsid w:val="00BF7D25"/>
    <w:rsid w:val="00C010C0"/>
    <w:rsid w:val="00C40CB5"/>
    <w:rsid w:val="00C54CE6"/>
    <w:rsid w:val="00C575E2"/>
    <w:rsid w:val="00C7368B"/>
    <w:rsid w:val="00C86E54"/>
    <w:rsid w:val="00C92746"/>
    <w:rsid w:val="00CC4DC5"/>
    <w:rsid w:val="00CE1A7C"/>
    <w:rsid w:val="00D0464B"/>
    <w:rsid w:val="00D12C74"/>
    <w:rsid w:val="00D2263F"/>
    <w:rsid w:val="00D56483"/>
    <w:rsid w:val="00D5658F"/>
    <w:rsid w:val="00D56AD6"/>
    <w:rsid w:val="00D70019"/>
    <w:rsid w:val="00D74B58"/>
    <w:rsid w:val="00D82ABE"/>
    <w:rsid w:val="00DA2774"/>
    <w:rsid w:val="00DA4ABA"/>
    <w:rsid w:val="00DA685B"/>
    <w:rsid w:val="00DA742B"/>
    <w:rsid w:val="00DF25C1"/>
    <w:rsid w:val="00DF48F7"/>
    <w:rsid w:val="00DF4964"/>
    <w:rsid w:val="00DF4D73"/>
    <w:rsid w:val="00DF79B0"/>
    <w:rsid w:val="00E1047D"/>
    <w:rsid w:val="00E34BBF"/>
    <w:rsid w:val="00E443FA"/>
    <w:rsid w:val="00E5061A"/>
    <w:rsid w:val="00E54FCE"/>
    <w:rsid w:val="00E60DA1"/>
    <w:rsid w:val="00E93D35"/>
    <w:rsid w:val="00EA45DB"/>
    <w:rsid w:val="00ED2CD9"/>
    <w:rsid w:val="00F07DA7"/>
    <w:rsid w:val="00F564C1"/>
    <w:rsid w:val="00F77FA2"/>
    <w:rsid w:val="00F8357A"/>
    <w:rsid w:val="00FA1B77"/>
    <w:rsid w:val="00FB4B65"/>
    <w:rsid w:val="00FB5741"/>
    <w:rsid w:val="00FB74B8"/>
    <w:rsid w:val="00FC49E0"/>
    <w:rsid w:val="00FE1CC5"/>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7153BE1-46A3-4D6F-A5CC-F364A602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eading1Char">
    <w:name w:val="Heading 1 Char"/>
    <w:basedOn w:val="DefaultParagraphFont"/>
    <w:link w:val="Heading1"/>
    <w:rsid w:val="004C631C"/>
    <w:rPr>
      <w:rFonts w:ascii="Calibri" w:hAnsi="Calibri"/>
      <w:b/>
      <w:sz w:val="28"/>
      <w:lang w:val="fr-FR" w:eastAsia="en-US"/>
    </w:rPr>
  </w:style>
  <w:style w:type="character" w:customStyle="1" w:styleId="enumlev1Char">
    <w:name w:val="enumlev1 Char"/>
    <w:basedOn w:val="DefaultParagraphFont"/>
    <w:link w:val="enumlev1"/>
    <w:rsid w:val="004C631C"/>
    <w:rPr>
      <w:rFonts w:ascii="Calibri" w:hAnsi="Calibri"/>
      <w:sz w:val="24"/>
      <w:lang w:val="fr-FR" w:eastAsia="en-US"/>
    </w:rPr>
  </w:style>
  <w:style w:type="character" w:styleId="FollowedHyperlink">
    <w:name w:val="FollowedHyperlink"/>
    <w:basedOn w:val="DefaultParagraphFont"/>
    <w:semiHidden/>
    <w:unhideWhenUsed/>
    <w:rsid w:val="00A04B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PP-C-0150/en" TargetMode="External"/><Relationship Id="rId18" Type="http://schemas.openxmlformats.org/officeDocument/2006/relationships/hyperlink" Target="https://www.itu.int/md/S18-PP-C-0143/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md/S18-PP-C-0150/en" TargetMode="External"/><Relationship Id="rId7" Type="http://schemas.openxmlformats.org/officeDocument/2006/relationships/endnotes" Target="endnotes.xml"/><Relationship Id="rId12" Type="http://schemas.openxmlformats.org/officeDocument/2006/relationships/hyperlink" Target="https://www.itu.int/md/S18-PP-C-0140/en" TargetMode="External"/><Relationship Id="rId17" Type="http://schemas.openxmlformats.org/officeDocument/2006/relationships/hyperlink" Target="https://www.itu.int/md/S18-PP-C-0100/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S18-PP-C-0155/en" TargetMode="External"/><Relationship Id="rId20" Type="http://schemas.openxmlformats.org/officeDocument/2006/relationships/hyperlink" Target="https://www.itu.int/md/S18-PP-C-015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PP-C-0143/e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S18-PP-C-0162/en" TargetMode="External"/><Relationship Id="rId23" Type="http://schemas.openxmlformats.org/officeDocument/2006/relationships/hyperlink" Target="https://www.itu.int/md/S18-PP-C-0162/en" TargetMode="External"/><Relationship Id="rId28" Type="http://schemas.openxmlformats.org/officeDocument/2006/relationships/theme" Target="theme/theme1.xml"/><Relationship Id="rId10" Type="http://schemas.openxmlformats.org/officeDocument/2006/relationships/hyperlink" Target="https://www.itu.int/md/S18-PP-C-0100/en" TargetMode="External"/><Relationship Id="rId19" Type="http://schemas.openxmlformats.org/officeDocument/2006/relationships/hyperlink" Target="https://www.itu.int/md/S18-PP-C-0140/en" TargetMode="External"/><Relationship Id="rId4" Type="http://schemas.openxmlformats.org/officeDocument/2006/relationships/settings" Target="settings.xml"/><Relationship Id="rId9" Type="http://schemas.openxmlformats.org/officeDocument/2006/relationships/hyperlink" Target="https://www.itu.int/md/S18-PP-C-0155/en" TargetMode="External"/><Relationship Id="rId14" Type="http://schemas.openxmlformats.org/officeDocument/2006/relationships/hyperlink" Target="https://www.itu.int/md/S18-PP-C-0159/en" TargetMode="External"/><Relationship Id="rId22" Type="http://schemas.openxmlformats.org/officeDocument/2006/relationships/hyperlink" Target="https://www.itu.int/md/S18-PP-C-0159/en"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PP18Summaryrec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89370-7A22-47CA-A5BD-FBD8D49D8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PF_PP18Summaryrecord.dotx</Template>
  <TotalTime>0</TotalTime>
  <Pages>9</Pages>
  <Words>3966</Words>
  <Characters>21737</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Manager/>
  <Company>International Telecommunication Union (ITU)</Company>
  <LinksUpToDate>false</LinksUpToDate>
  <CharactersWithSpaces>25652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Gozel, Elsa</dc:creator>
  <cp:keywords/>
  <dc:description/>
  <cp:lastModifiedBy>Janin</cp:lastModifiedBy>
  <cp:revision>2</cp:revision>
  <dcterms:created xsi:type="dcterms:W3CDTF">2019-01-18T08:11:00Z</dcterms:created>
  <dcterms:modified xsi:type="dcterms:W3CDTF">2019-01-18T08:11:00Z</dcterms:modified>
  <cp:category>Conference document</cp:category>
</cp:coreProperties>
</file>