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E46111" w:rsidTr="006C39CB">
        <w:trPr>
          <w:cantSplit/>
        </w:trPr>
        <w:tc>
          <w:tcPr>
            <w:tcW w:w="6911" w:type="dxa"/>
          </w:tcPr>
          <w:p w:rsidR="00F96AB4" w:rsidRPr="00E46111" w:rsidRDefault="00F96AB4" w:rsidP="00604371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E46111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E46111">
              <w:rPr>
                <w:b/>
                <w:bCs/>
                <w:sz w:val="28"/>
                <w:szCs w:val="28"/>
                <w:lang w:val="ru-RU"/>
              </w:rPr>
              <w:t>1</w:t>
            </w:r>
            <w:r w:rsidR="002D024B" w:rsidRPr="00E46111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E46111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E46111">
              <w:rPr>
                <w:rFonts w:ascii="Verdana" w:hAnsi="Verdana"/>
                <w:szCs w:val="22"/>
                <w:lang w:val="ru-RU"/>
              </w:rPr>
              <w:br/>
            </w:r>
            <w:r w:rsidR="002D024B" w:rsidRPr="00E46111">
              <w:rPr>
                <w:b/>
                <w:szCs w:val="22"/>
                <w:lang w:val="ru-RU"/>
              </w:rPr>
              <w:t>Дубай</w:t>
            </w:r>
            <w:proofErr w:type="gramEnd"/>
            <w:r w:rsidRPr="00E46111">
              <w:rPr>
                <w:b/>
                <w:bCs/>
                <w:lang w:val="ru-RU"/>
              </w:rPr>
              <w:t>, 2</w:t>
            </w:r>
            <w:r w:rsidR="002D024B" w:rsidRPr="00E46111">
              <w:rPr>
                <w:b/>
                <w:bCs/>
                <w:lang w:val="ru-RU"/>
              </w:rPr>
              <w:t>9</w:t>
            </w:r>
            <w:r w:rsidRPr="00E46111">
              <w:rPr>
                <w:b/>
                <w:bCs/>
                <w:lang w:val="ru-RU"/>
              </w:rPr>
              <w:t xml:space="preserve"> октября – </w:t>
            </w:r>
            <w:r w:rsidR="002D024B" w:rsidRPr="00E46111">
              <w:rPr>
                <w:b/>
                <w:bCs/>
                <w:lang w:val="ru-RU"/>
              </w:rPr>
              <w:t>16</w:t>
            </w:r>
            <w:r w:rsidRPr="00E46111">
              <w:rPr>
                <w:b/>
                <w:bCs/>
                <w:lang w:val="ru-RU"/>
              </w:rPr>
              <w:t xml:space="preserve"> ноября 201</w:t>
            </w:r>
            <w:r w:rsidR="002D024B" w:rsidRPr="00E46111">
              <w:rPr>
                <w:b/>
                <w:bCs/>
                <w:lang w:val="ru-RU"/>
              </w:rPr>
              <w:t>8</w:t>
            </w:r>
            <w:r w:rsidRPr="00E46111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E46111" w:rsidRDefault="00F96AB4" w:rsidP="006C39CB">
            <w:pPr>
              <w:rPr>
                <w:lang w:val="ru-RU"/>
              </w:rPr>
            </w:pPr>
            <w:bookmarkStart w:id="1" w:name="ditulogo"/>
            <w:bookmarkEnd w:id="1"/>
            <w:r w:rsidRPr="00E46111">
              <w:rPr>
                <w:lang w:val="ru-RU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E46111" w:rsidTr="006C39C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E46111" w:rsidRDefault="00F96AB4" w:rsidP="006C39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E46111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E46111" w:rsidTr="006C39C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E46111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E46111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E46111" w:rsidTr="006C39CB">
        <w:trPr>
          <w:cantSplit/>
        </w:trPr>
        <w:tc>
          <w:tcPr>
            <w:tcW w:w="6911" w:type="dxa"/>
          </w:tcPr>
          <w:p w:rsidR="00F96AB4" w:rsidRPr="00E46111" w:rsidRDefault="00BD5BC7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E46111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F96AB4" w:rsidRPr="00E46111" w:rsidRDefault="00BD5BC7" w:rsidP="00EE1914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E46111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7B05E5" w:rsidRPr="00E46111">
              <w:rPr>
                <w:rFonts w:cstheme="minorHAnsi"/>
                <w:b/>
                <w:bCs/>
                <w:szCs w:val="28"/>
                <w:lang w:val="ru-RU"/>
              </w:rPr>
              <w:t>1</w:t>
            </w:r>
            <w:r w:rsidR="00EE1914" w:rsidRPr="00E46111">
              <w:rPr>
                <w:rFonts w:cstheme="minorHAnsi"/>
                <w:b/>
                <w:bCs/>
                <w:szCs w:val="28"/>
                <w:lang w:val="ru-RU"/>
              </w:rPr>
              <w:t>72</w:t>
            </w:r>
            <w:r w:rsidRPr="00E46111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E46111" w:rsidTr="006C39CB">
        <w:trPr>
          <w:cantSplit/>
        </w:trPr>
        <w:tc>
          <w:tcPr>
            <w:tcW w:w="6911" w:type="dxa"/>
          </w:tcPr>
          <w:p w:rsidR="00F96AB4" w:rsidRPr="00E46111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E46111" w:rsidRDefault="00EE1914" w:rsidP="007B05E5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46111">
              <w:rPr>
                <w:b/>
                <w:bCs/>
                <w:lang w:val="ru-RU"/>
              </w:rPr>
              <w:t>27</w:t>
            </w:r>
            <w:r w:rsidR="007B05E5" w:rsidRPr="00E46111">
              <w:rPr>
                <w:b/>
                <w:bCs/>
                <w:lang w:val="ru-RU"/>
              </w:rPr>
              <w:t xml:space="preserve"> ноя</w:t>
            </w:r>
            <w:r w:rsidR="00BD5BC7" w:rsidRPr="00E46111">
              <w:rPr>
                <w:b/>
                <w:bCs/>
                <w:lang w:val="ru-RU"/>
              </w:rPr>
              <w:t xml:space="preserve">бря </w:t>
            </w:r>
            <w:r w:rsidR="007B05E5" w:rsidRPr="00E46111">
              <w:rPr>
                <w:b/>
                <w:bCs/>
                <w:lang w:val="ru-RU"/>
              </w:rPr>
              <w:t>2018</w:t>
            </w:r>
            <w:r w:rsidR="00BD5BC7" w:rsidRPr="00E46111">
              <w:rPr>
                <w:b/>
                <w:bCs/>
                <w:lang w:val="ru-RU"/>
              </w:rPr>
              <w:t xml:space="preserve"> </w:t>
            </w:r>
            <w:r w:rsidR="00F96AB4" w:rsidRPr="00E46111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E46111" w:rsidTr="006C39CB">
        <w:trPr>
          <w:cantSplit/>
        </w:trPr>
        <w:tc>
          <w:tcPr>
            <w:tcW w:w="6911" w:type="dxa"/>
          </w:tcPr>
          <w:p w:rsidR="00F96AB4" w:rsidRPr="00E46111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E46111" w:rsidRDefault="00BD5BC7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E46111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E46111" w:rsidTr="006C39CB">
        <w:trPr>
          <w:cantSplit/>
        </w:trPr>
        <w:tc>
          <w:tcPr>
            <w:tcW w:w="10031" w:type="dxa"/>
            <w:gridSpan w:val="2"/>
          </w:tcPr>
          <w:p w:rsidR="00F96AB4" w:rsidRPr="00E46111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E46111" w:rsidTr="006C39CB">
        <w:trPr>
          <w:cantSplit/>
        </w:trPr>
        <w:tc>
          <w:tcPr>
            <w:tcW w:w="10031" w:type="dxa"/>
            <w:gridSpan w:val="2"/>
          </w:tcPr>
          <w:p w:rsidR="00F96AB4" w:rsidRPr="00E46111" w:rsidRDefault="00F96AB4" w:rsidP="006C39CB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F96AB4" w:rsidRPr="00E46111" w:rsidTr="006C39CB">
        <w:trPr>
          <w:cantSplit/>
        </w:trPr>
        <w:tc>
          <w:tcPr>
            <w:tcW w:w="10031" w:type="dxa"/>
            <w:gridSpan w:val="2"/>
          </w:tcPr>
          <w:p w:rsidR="007B05E5" w:rsidRPr="00E46111" w:rsidRDefault="007B05E5" w:rsidP="007B05E5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E46111">
              <w:rPr>
                <w:lang w:val="ru-RU"/>
              </w:rPr>
              <w:t>протокол</w:t>
            </w:r>
          </w:p>
          <w:p w:rsidR="00F96AB4" w:rsidRPr="00E46111" w:rsidRDefault="00EE1914" w:rsidP="007B05E5">
            <w:pPr>
              <w:pStyle w:val="Title1"/>
              <w:rPr>
                <w:lang w:val="ru-RU"/>
              </w:rPr>
            </w:pPr>
            <w:r w:rsidRPr="00E46111">
              <w:rPr>
                <w:lang w:val="ru-RU"/>
              </w:rPr>
              <w:t xml:space="preserve">пятнадцатого </w:t>
            </w:r>
            <w:r w:rsidR="007B05E5" w:rsidRPr="00E46111">
              <w:rPr>
                <w:lang w:val="ru-RU"/>
              </w:rPr>
              <w:t>ПЛЕНАРНОГО ЗАСЕДАНИЯ</w:t>
            </w:r>
          </w:p>
        </w:tc>
      </w:tr>
      <w:tr w:rsidR="007B05E5" w:rsidRPr="00E46111" w:rsidTr="006C39CB">
        <w:trPr>
          <w:cantSplit/>
        </w:trPr>
        <w:tc>
          <w:tcPr>
            <w:tcW w:w="10031" w:type="dxa"/>
            <w:gridSpan w:val="2"/>
          </w:tcPr>
          <w:p w:rsidR="007B05E5" w:rsidRPr="00E46111" w:rsidRDefault="00EE1914" w:rsidP="00EE1914">
            <w:pPr>
              <w:pStyle w:val="Normalaftertitle"/>
              <w:jc w:val="center"/>
              <w:rPr>
                <w:lang w:val="ru-RU"/>
              </w:rPr>
            </w:pPr>
            <w:r w:rsidRPr="00E46111">
              <w:rPr>
                <w:lang w:val="ru-RU"/>
              </w:rPr>
              <w:t>Среда</w:t>
            </w:r>
            <w:r w:rsidR="007B05E5" w:rsidRPr="00E46111">
              <w:rPr>
                <w:lang w:val="ru-RU"/>
              </w:rPr>
              <w:t xml:space="preserve">, </w:t>
            </w:r>
            <w:r w:rsidRPr="00E46111">
              <w:rPr>
                <w:lang w:val="ru-RU"/>
              </w:rPr>
              <w:t>14</w:t>
            </w:r>
            <w:r w:rsidR="007B05E5" w:rsidRPr="00E46111">
              <w:rPr>
                <w:lang w:val="ru-RU"/>
              </w:rPr>
              <w:t xml:space="preserve"> ноября 2018 года, </w:t>
            </w:r>
            <w:r w:rsidRPr="00E46111">
              <w:rPr>
                <w:lang w:val="ru-RU"/>
              </w:rPr>
              <w:t>21</w:t>
            </w:r>
            <w:r w:rsidR="007B05E5" w:rsidRPr="00E46111">
              <w:rPr>
                <w:lang w:val="ru-RU"/>
              </w:rPr>
              <w:t xml:space="preserve"> час. 10 мин.</w:t>
            </w:r>
          </w:p>
        </w:tc>
      </w:tr>
      <w:tr w:rsidR="007B05E5" w:rsidRPr="00E46111" w:rsidTr="006C39CB">
        <w:trPr>
          <w:cantSplit/>
        </w:trPr>
        <w:tc>
          <w:tcPr>
            <w:tcW w:w="10031" w:type="dxa"/>
            <w:gridSpan w:val="2"/>
          </w:tcPr>
          <w:p w:rsidR="007B05E5" w:rsidRPr="00E46111" w:rsidRDefault="007B05E5" w:rsidP="007B05E5">
            <w:pPr>
              <w:jc w:val="center"/>
              <w:rPr>
                <w:lang w:val="ru-RU"/>
              </w:rPr>
            </w:pPr>
            <w:r w:rsidRPr="00E46111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Председатель</w:t>
            </w:r>
            <w:r w:rsidRPr="00E46111">
              <w:rPr>
                <w:rFonts w:asciiTheme="minorHAnsi" w:hAnsiTheme="minorHAnsi"/>
                <w:szCs w:val="22"/>
                <w:lang w:val="ru-RU"/>
              </w:rPr>
              <w:t xml:space="preserve">: г-н </w:t>
            </w:r>
            <w:proofErr w:type="spellStart"/>
            <w:r w:rsidRPr="00E46111">
              <w:rPr>
                <w:rFonts w:asciiTheme="minorHAnsi" w:hAnsiTheme="minorHAnsi"/>
                <w:szCs w:val="22"/>
                <w:lang w:val="ru-RU"/>
              </w:rPr>
              <w:t>Маджед</w:t>
            </w:r>
            <w:proofErr w:type="spellEnd"/>
            <w:r w:rsidRPr="00E46111">
              <w:rPr>
                <w:rFonts w:asciiTheme="minorHAnsi" w:hAnsiTheme="minorHAnsi"/>
                <w:szCs w:val="22"/>
                <w:lang w:val="ru-RU"/>
              </w:rPr>
              <w:t xml:space="preserve"> АЛЬ-</w:t>
            </w:r>
            <w:proofErr w:type="spellStart"/>
            <w:r w:rsidRPr="00E46111">
              <w:rPr>
                <w:rFonts w:asciiTheme="minorHAnsi" w:hAnsiTheme="minorHAnsi"/>
                <w:szCs w:val="22"/>
                <w:lang w:val="ru-RU"/>
              </w:rPr>
              <w:t>МЕСМАР</w:t>
            </w:r>
            <w:proofErr w:type="spellEnd"/>
            <w:r w:rsidRPr="00E46111">
              <w:rPr>
                <w:rFonts w:asciiTheme="minorHAnsi" w:hAnsiTheme="minorHAnsi"/>
                <w:szCs w:val="22"/>
                <w:lang w:val="ru-RU"/>
              </w:rPr>
              <w:t xml:space="preserve"> (Объединенные Арабские Эмираты)</w:t>
            </w:r>
          </w:p>
        </w:tc>
      </w:tr>
      <w:bookmarkEnd w:id="5"/>
    </w:tbl>
    <w:p w:rsidR="00F96AB4" w:rsidRPr="00E46111" w:rsidRDefault="00F96AB4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546"/>
        <w:gridCol w:w="1951"/>
      </w:tblGrid>
      <w:tr w:rsidR="007B05E5" w:rsidRPr="00E46111" w:rsidTr="00E46111">
        <w:tc>
          <w:tcPr>
            <w:tcW w:w="534" w:type="dxa"/>
          </w:tcPr>
          <w:p w:rsidR="007B05E5" w:rsidRPr="00E46111" w:rsidRDefault="007B05E5" w:rsidP="006C39CB">
            <w:pPr>
              <w:rPr>
                <w:b/>
                <w:bCs/>
                <w:lang w:val="ru-RU"/>
              </w:rPr>
            </w:pPr>
          </w:p>
        </w:tc>
        <w:tc>
          <w:tcPr>
            <w:tcW w:w="7546" w:type="dxa"/>
          </w:tcPr>
          <w:p w:rsidR="007B05E5" w:rsidRPr="00E46111" w:rsidRDefault="007B05E5" w:rsidP="006C39CB">
            <w:pPr>
              <w:pStyle w:val="toc0"/>
              <w:rPr>
                <w:szCs w:val="22"/>
                <w:lang w:val="ru-RU"/>
              </w:rPr>
            </w:pPr>
            <w:r w:rsidRPr="00E46111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1951" w:type="dxa"/>
          </w:tcPr>
          <w:p w:rsidR="007B05E5" w:rsidRPr="00E46111" w:rsidRDefault="007B05E5" w:rsidP="006C39CB">
            <w:pPr>
              <w:pStyle w:val="toc0"/>
              <w:jc w:val="center"/>
              <w:rPr>
                <w:szCs w:val="22"/>
                <w:lang w:val="ru-RU"/>
              </w:rPr>
            </w:pPr>
            <w:r w:rsidRPr="00E46111">
              <w:rPr>
                <w:szCs w:val="22"/>
                <w:lang w:val="ru-RU"/>
              </w:rPr>
              <w:t>Документы</w:t>
            </w:r>
          </w:p>
        </w:tc>
      </w:tr>
      <w:tr w:rsidR="00EE1914" w:rsidRPr="00E46111" w:rsidTr="00E46111">
        <w:tc>
          <w:tcPr>
            <w:tcW w:w="534" w:type="dxa"/>
          </w:tcPr>
          <w:p w:rsidR="00EE1914" w:rsidRPr="00E46111" w:rsidRDefault="00EE1914" w:rsidP="00EE1914">
            <w:pPr>
              <w:rPr>
                <w:lang w:val="ru-RU"/>
              </w:rPr>
            </w:pPr>
            <w:r w:rsidRPr="00E46111">
              <w:rPr>
                <w:lang w:val="ru-RU"/>
              </w:rPr>
              <w:t>1</w:t>
            </w:r>
          </w:p>
        </w:tc>
        <w:tc>
          <w:tcPr>
            <w:tcW w:w="7546" w:type="dxa"/>
          </w:tcPr>
          <w:p w:rsidR="00EE1914" w:rsidRPr="00E46111" w:rsidRDefault="00EE1914" w:rsidP="00E46111">
            <w:pPr>
              <w:rPr>
                <w:lang w:val="ru-RU"/>
              </w:rPr>
            </w:pPr>
            <w:r w:rsidRPr="00E46111">
              <w:rPr>
                <w:lang w:val="ru-RU"/>
              </w:rPr>
              <w:t>Пятнадцатая серия текстов, представленных Редакционным комитетом для</w:t>
            </w:r>
            <w:r w:rsidR="00E46111">
              <w:t> </w:t>
            </w:r>
            <w:r w:rsidRPr="00E46111">
              <w:rPr>
                <w:lang w:val="ru-RU"/>
              </w:rPr>
              <w:t>первого чтения (</w:t>
            </w:r>
            <w:proofErr w:type="spellStart"/>
            <w:r w:rsidRPr="00E46111">
              <w:rPr>
                <w:lang w:val="ru-RU"/>
              </w:rPr>
              <w:t>B15</w:t>
            </w:r>
            <w:proofErr w:type="spellEnd"/>
            <w:r w:rsidRPr="00E46111">
              <w:rPr>
                <w:lang w:val="ru-RU"/>
              </w:rPr>
              <w:t>)</w:t>
            </w:r>
          </w:p>
        </w:tc>
        <w:tc>
          <w:tcPr>
            <w:tcW w:w="1951" w:type="dxa"/>
          </w:tcPr>
          <w:p w:rsidR="00EE1914" w:rsidRPr="00E46111" w:rsidRDefault="00E46111" w:rsidP="00EE1914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8" w:history="1">
              <w:r w:rsidR="00EE1914" w:rsidRPr="00E46111">
                <w:rPr>
                  <w:rStyle w:val="Hyperlink"/>
                  <w:lang w:val="ru-RU"/>
                </w:rPr>
                <w:t>148</w:t>
              </w:r>
            </w:hyperlink>
          </w:p>
        </w:tc>
      </w:tr>
      <w:tr w:rsidR="00EE1914" w:rsidRPr="00E46111" w:rsidTr="00E46111">
        <w:tc>
          <w:tcPr>
            <w:tcW w:w="534" w:type="dxa"/>
          </w:tcPr>
          <w:p w:rsidR="00EE1914" w:rsidRPr="00E46111" w:rsidRDefault="00EE1914" w:rsidP="00EE1914">
            <w:pPr>
              <w:rPr>
                <w:lang w:val="ru-RU"/>
              </w:rPr>
            </w:pPr>
            <w:r w:rsidRPr="00E46111">
              <w:rPr>
                <w:lang w:val="ru-RU"/>
              </w:rPr>
              <w:t>2</w:t>
            </w:r>
          </w:p>
        </w:tc>
        <w:tc>
          <w:tcPr>
            <w:tcW w:w="7546" w:type="dxa"/>
          </w:tcPr>
          <w:p w:rsidR="00EE1914" w:rsidRPr="00E46111" w:rsidRDefault="00EE1914" w:rsidP="00EE1914">
            <w:pPr>
              <w:rPr>
                <w:lang w:val="ru-RU"/>
              </w:rPr>
            </w:pPr>
            <w:r w:rsidRPr="00E46111">
              <w:rPr>
                <w:lang w:val="ru-RU"/>
              </w:rPr>
              <w:t>Пятнадцатая серия текстов, представленных Редакционным комитетом – второе чтение</w:t>
            </w:r>
          </w:p>
        </w:tc>
        <w:tc>
          <w:tcPr>
            <w:tcW w:w="1951" w:type="dxa"/>
          </w:tcPr>
          <w:p w:rsidR="00EE1914" w:rsidRPr="00E46111" w:rsidRDefault="00E46111" w:rsidP="00EE1914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9" w:history="1">
              <w:r w:rsidR="00EE1914" w:rsidRPr="00E46111">
                <w:rPr>
                  <w:rStyle w:val="Hyperlink"/>
                  <w:lang w:val="ru-RU"/>
                </w:rPr>
                <w:t>148</w:t>
              </w:r>
            </w:hyperlink>
          </w:p>
        </w:tc>
      </w:tr>
      <w:tr w:rsidR="00EE1914" w:rsidRPr="00E46111" w:rsidTr="00E46111">
        <w:tc>
          <w:tcPr>
            <w:tcW w:w="534" w:type="dxa"/>
          </w:tcPr>
          <w:p w:rsidR="00EE1914" w:rsidRPr="00E46111" w:rsidRDefault="00EE1914" w:rsidP="00EE1914">
            <w:pPr>
              <w:rPr>
                <w:lang w:val="ru-RU"/>
              </w:rPr>
            </w:pPr>
            <w:r w:rsidRPr="00E46111">
              <w:rPr>
                <w:lang w:val="ru-RU"/>
              </w:rPr>
              <w:t>3</w:t>
            </w:r>
          </w:p>
        </w:tc>
        <w:tc>
          <w:tcPr>
            <w:tcW w:w="7546" w:type="dxa"/>
          </w:tcPr>
          <w:p w:rsidR="00EE1914" w:rsidRPr="00E46111" w:rsidRDefault="00EE1914" w:rsidP="00E46111">
            <w:pPr>
              <w:rPr>
                <w:lang w:val="ru-RU"/>
              </w:rPr>
            </w:pPr>
            <w:r w:rsidRPr="00E46111">
              <w:rPr>
                <w:lang w:val="ru-RU"/>
              </w:rPr>
              <w:t>Одиннадцатая серия текстов, представленных Редакционным комитетом для</w:t>
            </w:r>
            <w:r w:rsidR="00E46111">
              <w:t> </w:t>
            </w:r>
            <w:r w:rsidRPr="00E46111">
              <w:rPr>
                <w:lang w:val="ru-RU"/>
              </w:rPr>
              <w:t>первого чтения (</w:t>
            </w:r>
            <w:proofErr w:type="spellStart"/>
            <w:r w:rsidRPr="00E46111">
              <w:rPr>
                <w:lang w:val="ru-RU"/>
              </w:rPr>
              <w:t>B11</w:t>
            </w:r>
            <w:proofErr w:type="spellEnd"/>
            <w:r w:rsidRPr="00E46111">
              <w:rPr>
                <w:lang w:val="ru-RU"/>
              </w:rPr>
              <w:t>)</w:t>
            </w:r>
          </w:p>
        </w:tc>
        <w:tc>
          <w:tcPr>
            <w:tcW w:w="1951" w:type="dxa"/>
          </w:tcPr>
          <w:p w:rsidR="00EE1914" w:rsidRPr="00E46111" w:rsidRDefault="00E46111" w:rsidP="00EE1914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0" w:history="1">
              <w:r w:rsidR="00EE1914" w:rsidRPr="00E46111">
                <w:rPr>
                  <w:rStyle w:val="Hyperlink"/>
                  <w:lang w:val="ru-RU"/>
                </w:rPr>
                <w:t>137</w:t>
              </w:r>
            </w:hyperlink>
          </w:p>
        </w:tc>
      </w:tr>
      <w:tr w:rsidR="00EE1914" w:rsidRPr="00E46111" w:rsidTr="00E46111">
        <w:tc>
          <w:tcPr>
            <w:tcW w:w="534" w:type="dxa"/>
          </w:tcPr>
          <w:p w:rsidR="00EE1914" w:rsidRPr="00E46111" w:rsidRDefault="00EE1914" w:rsidP="00EE1914">
            <w:pPr>
              <w:rPr>
                <w:lang w:val="ru-RU"/>
              </w:rPr>
            </w:pPr>
            <w:r w:rsidRPr="00E46111">
              <w:rPr>
                <w:lang w:val="ru-RU"/>
              </w:rPr>
              <w:t>4</w:t>
            </w:r>
          </w:p>
        </w:tc>
        <w:tc>
          <w:tcPr>
            <w:tcW w:w="7546" w:type="dxa"/>
          </w:tcPr>
          <w:p w:rsidR="00EE1914" w:rsidRPr="00E46111" w:rsidRDefault="00EE1914" w:rsidP="00E46111">
            <w:pPr>
              <w:rPr>
                <w:lang w:val="ru-RU"/>
              </w:rPr>
            </w:pPr>
            <w:r w:rsidRPr="00E46111">
              <w:rPr>
                <w:lang w:val="ru-RU"/>
              </w:rPr>
              <w:t>Двенадцатая серия текстов, представленных Редакционным комитетом для</w:t>
            </w:r>
            <w:r w:rsidR="00E46111">
              <w:t> </w:t>
            </w:r>
            <w:r w:rsidRPr="00E46111">
              <w:rPr>
                <w:lang w:val="ru-RU"/>
              </w:rPr>
              <w:t>первого чтения (</w:t>
            </w:r>
            <w:proofErr w:type="spellStart"/>
            <w:r w:rsidRPr="00E46111">
              <w:rPr>
                <w:lang w:val="ru-RU"/>
              </w:rPr>
              <w:t>B12</w:t>
            </w:r>
            <w:proofErr w:type="spellEnd"/>
            <w:r w:rsidRPr="00E46111">
              <w:rPr>
                <w:lang w:val="ru-RU"/>
              </w:rPr>
              <w:t>)</w:t>
            </w:r>
          </w:p>
        </w:tc>
        <w:tc>
          <w:tcPr>
            <w:tcW w:w="1951" w:type="dxa"/>
          </w:tcPr>
          <w:p w:rsidR="00EE1914" w:rsidRPr="00E46111" w:rsidRDefault="00E46111" w:rsidP="00EE1914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1" w:history="1">
              <w:r w:rsidR="00EE1914" w:rsidRPr="00E46111">
                <w:rPr>
                  <w:rStyle w:val="Hyperlink"/>
                  <w:lang w:val="ru-RU"/>
                </w:rPr>
                <w:t>138</w:t>
              </w:r>
            </w:hyperlink>
          </w:p>
        </w:tc>
      </w:tr>
      <w:tr w:rsidR="00EE1914" w:rsidRPr="00E46111" w:rsidTr="00E46111">
        <w:tc>
          <w:tcPr>
            <w:tcW w:w="534" w:type="dxa"/>
          </w:tcPr>
          <w:p w:rsidR="00EE1914" w:rsidRPr="00E46111" w:rsidRDefault="00EE1914" w:rsidP="00EE1914">
            <w:pPr>
              <w:rPr>
                <w:lang w:val="ru-RU"/>
              </w:rPr>
            </w:pPr>
            <w:r w:rsidRPr="00E46111">
              <w:rPr>
                <w:lang w:val="ru-RU"/>
              </w:rPr>
              <w:t>5</w:t>
            </w:r>
          </w:p>
        </w:tc>
        <w:tc>
          <w:tcPr>
            <w:tcW w:w="7546" w:type="dxa"/>
          </w:tcPr>
          <w:p w:rsidR="00EE1914" w:rsidRPr="00E46111" w:rsidRDefault="00EE1914" w:rsidP="00E46111">
            <w:pPr>
              <w:rPr>
                <w:lang w:val="ru-RU"/>
              </w:rPr>
            </w:pPr>
            <w:r w:rsidRPr="00E46111">
              <w:rPr>
                <w:lang w:val="ru-RU"/>
              </w:rPr>
              <w:t>Вторая серия текстов, представленных Редакционным комитетом для</w:t>
            </w:r>
            <w:r w:rsidR="00E46111">
              <w:t> </w:t>
            </w:r>
            <w:r w:rsidRPr="00E46111">
              <w:rPr>
                <w:lang w:val="ru-RU"/>
              </w:rPr>
              <w:t>второго чтения (</w:t>
            </w:r>
            <w:proofErr w:type="spellStart"/>
            <w:r w:rsidRPr="00E46111">
              <w:rPr>
                <w:lang w:val="ru-RU"/>
              </w:rPr>
              <w:t>R2</w:t>
            </w:r>
            <w:proofErr w:type="spellEnd"/>
            <w:r w:rsidRPr="00E46111">
              <w:rPr>
                <w:lang w:val="ru-RU"/>
              </w:rPr>
              <w:t>)</w:t>
            </w:r>
          </w:p>
        </w:tc>
        <w:tc>
          <w:tcPr>
            <w:tcW w:w="1951" w:type="dxa"/>
          </w:tcPr>
          <w:p w:rsidR="00EE1914" w:rsidRPr="00E46111" w:rsidRDefault="00E46111" w:rsidP="00EE1914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2" w:history="1">
              <w:r w:rsidR="00EE1914" w:rsidRPr="00E46111">
                <w:rPr>
                  <w:rStyle w:val="Hyperlink"/>
                  <w:lang w:val="ru-RU"/>
                </w:rPr>
                <w:t>151</w:t>
              </w:r>
            </w:hyperlink>
          </w:p>
        </w:tc>
      </w:tr>
      <w:tr w:rsidR="00EE1914" w:rsidRPr="00E46111" w:rsidTr="00E46111">
        <w:tc>
          <w:tcPr>
            <w:tcW w:w="534" w:type="dxa"/>
          </w:tcPr>
          <w:p w:rsidR="00EE1914" w:rsidRPr="00E46111" w:rsidRDefault="00EE1914" w:rsidP="00EE1914">
            <w:pPr>
              <w:rPr>
                <w:lang w:val="ru-RU"/>
              </w:rPr>
            </w:pPr>
            <w:r w:rsidRPr="00E46111">
              <w:rPr>
                <w:lang w:val="ru-RU"/>
              </w:rPr>
              <w:t>6</w:t>
            </w:r>
          </w:p>
        </w:tc>
        <w:tc>
          <w:tcPr>
            <w:tcW w:w="7546" w:type="dxa"/>
          </w:tcPr>
          <w:p w:rsidR="00EE1914" w:rsidRPr="00E46111" w:rsidRDefault="00EE1914" w:rsidP="00E46111">
            <w:pPr>
              <w:rPr>
                <w:lang w:val="ru-RU"/>
              </w:rPr>
            </w:pPr>
            <w:r w:rsidRPr="00E46111">
              <w:rPr>
                <w:lang w:val="ru-RU"/>
              </w:rPr>
              <w:t>Третья серия текстов, представленных Редакционным комитетом для</w:t>
            </w:r>
            <w:r w:rsidR="00E46111">
              <w:t> </w:t>
            </w:r>
            <w:bookmarkStart w:id="6" w:name="_GoBack"/>
            <w:bookmarkEnd w:id="6"/>
            <w:r w:rsidRPr="00E46111">
              <w:rPr>
                <w:lang w:val="ru-RU"/>
              </w:rPr>
              <w:t>второго чтения (</w:t>
            </w:r>
            <w:proofErr w:type="spellStart"/>
            <w:r w:rsidRPr="00E46111">
              <w:rPr>
                <w:lang w:val="ru-RU"/>
              </w:rPr>
              <w:t>R3</w:t>
            </w:r>
            <w:proofErr w:type="spellEnd"/>
            <w:r w:rsidRPr="00E46111">
              <w:rPr>
                <w:lang w:val="ru-RU"/>
              </w:rPr>
              <w:t>)</w:t>
            </w:r>
          </w:p>
        </w:tc>
        <w:tc>
          <w:tcPr>
            <w:tcW w:w="1951" w:type="dxa"/>
            <w:vAlign w:val="center"/>
          </w:tcPr>
          <w:p w:rsidR="00EE1914" w:rsidRPr="00E46111" w:rsidRDefault="00E46111" w:rsidP="00EE1914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3" w:history="1">
              <w:r w:rsidR="00EE1914" w:rsidRPr="00E46111">
                <w:rPr>
                  <w:rStyle w:val="Hyperlink"/>
                  <w:lang w:val="ru-RU"/>
                </w:rPr>
                <w:t>152</w:t>
              </w:r>
            </w:hyperlink>
          </w:p>
        </w:tc>
      </w:tr>
      <w:tr w:rsidR="00EE1914" w:rsidRPr="00E46111" w:rsidTr="00E46111">
        <w:tc>
          <w:tcPr>
            <w:tcW w:w="534" w:type="dxa"/>
          </w:tcPr>
          <w:p w:rsidR="00EE1914" w:rsidRPr="00E46111" w:rsidRDefault="00EE1914" w:rsidP="00EE1914">
            <w:pPr>
              <w:rPr>
                <w:lang w:val="ru-RU"/>
              </w:rPr>
            </w:pPr>
            <w:r w:rsidRPr="00E46111">
              <w:rPr>
                <w:lang w:val="ru-RU"/>
              </w:rPr>
              <w:t>7</w:t>
            </w:r>
          </w:p>
        </w:tc>
        <w:tc>
          <w:tcPr>
            <w:tcW w:w="7546" w:type="dxa"/>
          </w:tcPr>
          <w:p w:rsidR="00EE1914" w:rsidRPr="00E46111" w:rsidRDefault="00EE1914" w:rsidP="00E46111">
            <w:pPr>
              <w:rPr>
                <w:lang w:val="ru-RU"/>
              </w:rPr>
            </w:pPr>
            <w:r w:rsidRPr="00E46111">
              <w:rPr>
                <w:lang w:val="ru-RU"/>
              </w:rPr>
              <w:t>Одиннадцатая серия текстов, представленных Редакционным комитетом</w:t>
            </w:r>
            <w:r w:rsidR="00E46111">
              <w:t> </w:t>
            </w:r>
            <w:r w:rsidRPr="00E46111">
              <w:rPr>
                <w:lang w:val="ru-RU"/>
              </w:rPr>
              <w:t>– второе чтение</w:t>
            </w:r>
          </w:p>
        </w:tc>
        <w:tc>
          <w:tcPr>
            <w:tcW w:w="1951" w:type="dxa"/>
          </w:tcPr>
          <w:p w:rsidR="00EE1914" w:rsidRPr="00E46111" w:rsidRDefault="00E46111" w:rsidP="00EE1914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4" w:history="1">
              <w:r w:rsidR="00EE1914" w:rsidRPr="00E46111">
                <w:rPr>
                  <w:rStyle w:val="Hyperlink"/>
                  <w:lang w:val="ru-RU"/>
                </w:rPr>
                <w:t>137</w:t>
              </w:r>
            </w:hyperlink>
          </w:p>
        </w:tc>
      </w:tr>
      <w:tr w:rsidR="00EE1914" w:rsidRPr="00E46111" w:rsidTr="00E46111">
        <w:tc>
          <w:tcPr>
            <w:tcW w:w="534" w:type="dxa"/>
          </w:tcPr>
          <w:p w:rsidR="00EE1914" w:rsidRPr="00E46111" w:rsidRDefault="00EE1914" w:rsidP="00EE1914">
            <w:pPr>
              <w:rPr>
                <w:lang w:val="ru-RU"/>
              </w:rPr>
            </w:pPr>
            <w:r w:rsidRPr="00E46111">
              <w:rPr>
                <w:lang w:val="ru-RU"/>
              </w:rPr>
              <w:t>8</w:t>
            </w:r>
          </w:p>
        </w:tc>
        <w:tc>
          <w:tcPr>
            <w:tcW w:w="7546" w:type="dxa"/>
          </w:tcPr>
          <w:p w:rsidR="00EE1914" w:rsidRPr="00E46111" w:rsidRDefault="00EE1914" w:rsidP="00EE1914">
            <w:pPr>
              <w:rPr>
                <w:lang w:val="ru-RU"/>
              </w:rPr>
            </w:pPr>
            <w:r w:rsidRPr="00E46111">
              <w:rPr>
                <w:lang w:val="ru-RU"/>
              </w:rPr>
              <w:t>Двенадцатая серия текстов, представленных Редакционным комитетом – второе чтение</w:t>
            </w:r>
          </w:p>
        </w:tc>
        <w:tc>
          <w:tcPr>
            <w:tcW w:w="1951" w:type="dxa"/>
            <w:vAlign w:val="center"/>
          </w:tcPr>
          <w:p w:rsidR="00EE1914" w:rsidRPr="00E46111" w:rsidRDefault="00E46111" w:rsidP="00EE1914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15" w:history="1">
              <w:r w:rsidR="00EE1914" w:rsidRPr="00E46111">
                <w:rPr>
                  <w:rStyle w:val="Hyperlink"/>
                  <w:lang w:val="ru-RU"/>
                </w:rPr>
                <w:t>138</w:t>
              </w:r>
            </w:hyperlink>
          </w:p>
        </w:tc>
      </w:tr>
    </w:tbl>
    <w:p w:rsidR="00F96AB4" w:rsidRPr="00E46111" w:rsidRDefault="00F96AB4" w:rsidP="007B05E5">
      <w:pPr>
        <w:rPr>
          <w:lang w:val="ru-RU"/>
        </w:rPr>
      </w:pPr>
      <w:r w:rsidRPr="00E46111">
        <w:rPr>
          <w:lang w:val="ru-RU"/>
        </w:rPr>
        <w:br w:type="page"/>
      </w:r>
    </w:p>
    <w:p w:rsidR="00955C78" w:rsidRPr="00E46111" w:rsidRDefault="00955C78" w:rsidP="00E80474">
      <w:pPr>
        <w:pStyle w:val="Heading1"/>
        <w:rPr>
          <w:lang w:val="ru-RU"/>
        </w:rPr>
      </w:pPr>
      <w:r w:rsidRPr="00E46111">
        <w:rPr>
          <w:lang w:val="ru-RU"/>
        </w:rPr>
        <w:lastRenderedPageBreak/>
        <w:t>1</w:t>
      </w:r>
      <w:r w:rsidRPr="00E46111">
        <w:rPr>
          <w:lang w:val="ru-RU"/>
        </w:rPr>
        <w:tab/>
      </w:r>
      <w:r w:rsidR="00E80474" w:rsidRPr="00E46111">
        <w:rPr>
          <w:lang w:val="ru-RU"/>
        </w:rPr>
        <w:t>Пятнадцатая серия текстов, представленных Редакционным комитетом для первого чтения (</w:t>
      </w:r>
      <w:proofErr w:type="spellStart"/>
      <w:r w:rsidR="00E80474" w:rsidRPr="00E46111">
        <w:rPr>
          <w:lang w:val="ru-RU"/>
        </w:rPr>
        <w:t>B15</w:t>
      </w:r>
      <w:proofErr w:type="spellEnd"/>
      <w:r w:rsidR="00E80474" w:rsidRPr="00E46111">
        <w:rPr>
          <w:lang w:val="ru-RU"/>
        </w:rPr>
        <w:t xml:space="preserve">) (Документ </w:t>
      </w:r>
      <w:hyperlink r:id="rId16" w:history="1">
        <w:r w:rsidR="00E80474" w:rsidRPr="00E46111">
          <w:rPr>
            <w:rStyle w:val="Hyperlink"/>
            <w:lang w:val="ru-RU"/>
          </w:rPr>
          <w:t>148</w:t>
        </w:r>
      </w:hyperlink>
      <w:r w:rsidR="00E80474" w:rsidRPr="00E46111">
        <w:rPr>
          <w:lang w:val="ru-RU"/>
        </w:rPr>
        <w:t>)</w:t>
      </w:r>
    </w:p>
    <w:p w:rsidR="00E80474" w:rsidRPr="00E46111" w:rsidRDefault="00E80474" w:rsidP="00E80474">
      <w:pPr>
        <w:rPr>
          <w:b/>
          <w:bCs/>
          <w:lang w:val="ru-RU"/>
        </w:rPr>
      </w:pPr>
      <w:r w:rsidRPr="00E46111">
        <w:rPr>
          <w:b/>
          <w:bCs/>
          <w:lang w:val="ru-RU"/>
        </w:rPr>
        <w:t>Проект Резолюции 71 (</w:t>
      </w:r>
      <w:proofErr w:type="spellStart"/>
      <w:r w:rsidRPr="00E46111">
        <w:rPr>
          <w:b/>
          <w:bCs/>
          <w:lang w:val="ru-RU"/>
        </w:rPr>
        <w:t>Пересм</w:t>
      </w:r>
      <w:proofErr w:type="spellEnd"/>
      <w:r w:rsidRPr="00E46111">
        <w:rPr>
          <w:b/>
          <w:bCs/>
          <w:lang w:val="ru-RU"/>
        </w:rPr>
        <w:t>. Дубай, 2018 г.) − Стратегический план Союза на 2020–2023 годы</w:t>
      </w:r>
    </w:p>
    <w:p w:rsidR="00955C78" w:rsidRPr="00E46111" w:rsidRDefault="00955C78" w:rsidP="00E80474">
      <w:pPr>
        <w:rPr>
          <w:lang w:val="ru-RU"/>
        </w:rPr>
      </w:pPr>
      <w:r w:rsidRPr="00E46111">
        <w:rPr>
          <w:lang w:val="ru-RU"/>
        </w:rPr>
        <w:t>1.1</w:t>
      </w:r>
      <w:r w:rsidRPr="00E46111">
        <w:rPr>
          <w:lang w:val="ru-RU"/>
        </w:rPr>
        <w:tab/>
      </w:r>
      <w:r w:rsidR="00580F4A" w:rsidRPr="00E46111">
        <w:rPr>
          <w:rFonts w:asciiTheme="minorHAnsi" w:hAnsiTheme="minorHAnsi"/>
          <w:b/>
          <w:bCs/>
          <w:szCs w:val="22"/>
          <w:lang w:val="ru-RU"/>
        </w:rPr>
        <w:t>Принимае</w:t>
      </w:r>
      <w:r w:rsidR="00E80474" w:rsidRPr="00E46111">
        <w:rPr>
          <w:rFonts w:asciiTheme="minorHAnsi" w:hAnsiTheme="minorHAnsi"/>
          <w:b/>
          <w:bCs/>
          <w:szCs w:val="22"/>
          <w:lang w:val="ru-RU"/>
        </w:rPr>
        <w:t>тся</w:t>
      </w:r>
      <w:r w:rsidR="00E80474" w:rsidRPr="00E46111">
        <w:rPr>
          <w:lang w:val="ru-RU"/>
        </w:rPr>
        <w:t>.</w:t>
      </w:r>
    </w:p>
    <w:p w:rsidR="00E80474" w:rsidRPr="00E46111" w:rsidRDefault="00E80474" w:rsidP="00662C12">
      <w:pPr>
        <w:rPr>
          <w:lang w:val="ru-RU"/>
        </w:rPr>
      </w:pPr>
      <w:r w:rsidRPr="00E46111">
        <w:rPr>
          <w:lang w:val="ru-RU"/>
        </w:rPr>
        <w:t>1.2</w:t>
      </w:r>
      <w:r w:rsidRPr="00E46111">
        <w:rPr>
          <w:lang w:val="ru-RU"/>
        </w:rPr>
        <w:tab/>
        <w:t>Пятнадцатая серия текстов, представленных Редакционным комитетом для первого чтения (</w:t>
      </w:r>
      <w:proofErr w:type="spellStart"/>
      <w:r w:rsidRPr="00E46111">
        <w:rPr>
          <w:lang w:val="ru-RU"/>
        </w:rPr>
        <w:t>В15</w:t>
      </w:r>
      <w:proofErr w:type="spellEnd"/>
      <w:r w:rsidRPr="00E46111">
        <w:rPr>
          <w:lang w:val="ru-RU"/>
        </w:rPr>
        <w:t xml:space="preserve">) (Документ 148), </w:t>
      </w:r>
      <w:r w:rsidRPr="00E46111">
        <w:rPr>
          <w:b/>
          <w:bCs/>
          <w:lang w:val="ru-RU"/>
        </w:rPr>
        <w:t>утверждается</w:t>
      </w:r>
      <w:r w:rsidRPr="00E46111">
        <w:rPr>
          <w:lang w:val="ru-RU"/>
        </w:rPr>
        <w:t>.</w:t>
      </w:r>
    </w:p>
    <w:p w:rsidR="00955C78" w:rsidRPr="00E46111" w:rsidRDefault="00955C78" w:rsidP="00137F78">
      <w:pPr>
        <w:pStyle w:val="Heading1"/>
        <w:rPr>
          <w:lang w:val="ru-RU"/>
        </w:rPr>
      </w:pPr>
      <w:r w:rsidRPr="00E46111">
        <w:rPr>
          <w:lang w:val="ru-RU"/>
        </w:rPr>
        <w:t>2</w:t>
      </w:r>
      <w:r w:rsidRPr="00E46111">
        <w:rPr>
          <w:lang w:val="ru-RU"/>
        </w:rPr>
        <w:tab/>
      </w:r>
      <w:r w:rsidR="00137F78" w:rsidRPr="00E46111">
        <w:rPr>
          <w:lang w:val="ru-RU"/>
        </w:rPr>
        <w:t xml:space="preserve">Пятнадцатая серия текстов, представленных Редакционным комитетом – второе чтение (Документ </w:t>
      </w:r>
      <w:hyperlink r:id="rId17" w:history="1">
        <w:r w:rsidR="00137F78" w:rsidRPr="00E46111">
          <w:rPr>
            <w:rStyle w:val="Hyperlink"/>
            <w:lang w:val="ru-RU"/>
          </w:rPr>
          <w:t>148</w:t>
        </w:r>
      </w:hyperlink>
      <w:r w:rsidR="00137F78" w:rsidRPr="00E46111">
        <w:rPr>
          <w:lang w:val="ru-RU"/>
        </w:rPr>
        <w:t>)</w:t>
      </w:r>
    </w:p>
    <w:p w:rsidR="00955C78" w:rsidRPr="00E46111" w:rsidRDefault="00955C78" w:rsidP="00137F78">
      <w:pPr>
        <w:rPr>
          <w:lang w:val="ru-RU"/>
        </w:rPr>
      </w:pPr>
      <w:r w:rsidRPr="00E46111">
        <w:rPr>
          <w:lang w:val="ru-RU"/>
        </w:rPr>
        <w:t>2.1</w:t>
      </w:r>
      <w:r w:rsidRPr="00E46111">
        <w:rPr>
          <w:lang w:val="ru-RU"/>
        </w:rPr>
        <w:tab/>
      </w:r>
      <w:r w:rsidR="00137F78" w:rsidRPr="00E46111">
        <w:rPr>
          <w:lang w:val="ru-RU"/>
        </w:rPr>
        <w:t xml:space="preserve">Пятнадцатая серия текстов, представленных Редакционным комитетом (Документ 148) </w:t>
      </w:r>
      <w:r w:rsidR="00137F78" w:rsidRPr="00E46111">
        <w:rPr>
          <w:b/>
          <w:bCs/>
          <w:lang w:val="ru-RU"/>
        </w:rPr>
        <w:t>утверждается</w:t>
      </w:r>
      <w:r w:rsidR="00137F78" w:rsidRPr="00E46111">
        <w:rPr>
          <w:lang w:val="ru-RU"/>
        </w:rPr>
        <w:t xml:space="preserve"> во втором чтении.</w:t>
      </w:r>
    </w:p>
    <w:p w:rsidR="00955C78" w:rsidRPr="00E46111" w:rsidRDefault="00955C78" w:rsidP="00015107">
      <w:pPr>
        <w:rPr>
          <w:lang w:val="ru-RU"/>
        </w:rPr>
      </w:pPr>
      <w:r w:rsidRPr="00E46111">
        <w:rPr>
          <w:lang w:val="ru-RU"/>
        </w:rPr>
        <w:t>2.2</w:t>
      </w:r>
      <w:r w:rsidRPr="00E46111">
        <w:rPr>
          <w:lang w:val="ru-RU"/>
        </w:rPr>
        <w:tab/>
      </w:r>
      <w:bookmarkStart w:id="7" w:name="lt_pId053"/>
      <w:r w:rsidR="000701E4" w:rsidRPr="00E46111">
        <w:rPr>
          <w:b/>
          <w:bCs/>
          <w:lang w:val="ru-RU"/>
        </w:rPr>
        <w:t>Делегат от Соединенных Штатов Америки</w:t>
      </w:r>
      <w:r w:rsidR="00137F78" w:rsidRPr="00E46111">
        <w:rPr>
          <w:lang w:val="ru-RU"/>
        </w:rPr>
        <w:t xml:space="preserve">, </w:t>
      </w:r>
      <w:r w:rsidR="000701E4" w:rsidRPr="00E46111">
        <w:rPr>
          <w:lang w:val="ru-RU"/>
        </w:rPr>
        <w:t xml:space="preserve">поздравив участников конференции с принятием Стратегического плана Союза на </w:t>
      </w:r>
      <w:r w:rsidR="00137F78" w:rsidRPr="00E46111">
        <w:rPr>
          <w:lang w:val="ru-RU"/>
        </w:rPr>
        <w:t xml:space="preserve">2020−2023 </w:t>
      </w:r>
      <w:r w:rsidR="000701E4" w:rsidRPr="00E46111">
        <w:rPr>
          <w:lang w:val="ru-RU"/>
        </w:rPr>
        <w:t xml:space="preserve">годы и поблагодарив коллег за сотрудничество при его доработке, говорит, что план стал одним из самых важных итогов Конференции и будет определять </w:t>
      </w:r>
      <w:r w:rsidR="0034700C" w:rsidRPr="00E46111">
        <w:rPr>
          <w:lang w:val="ru-RU"/>
        </w:rPr>
        <w:t xml:space="preserve">курс Союза, поскольку </w:t>
      </w:r>
      <w:r w:rsidR="0017541A" w:rsidRPr="00E46111">
        <w:rPr>
          <w:lang w:val="ru-RU"/>
        </w:rPr>
        <w:t xml:space="preserve">он был разработан с </w:t>
      </w:r>
      <w:r w:rsidR="0034700C" w:rsidRPr="00E46111">
        <w:rPr>
          <w:lang w:val="ru-RU"/>
        </w:rPr>
        <w:t>цел</w:t>
      </w:r>
      <w:r w:rsidR="0017541A" w:rsidRPr="00E46111">
        <w:rPr>
          <w:lang w:val="ru-RU"/>
        </w:rPr>
        <w:t>ью</w:t>
      </w:r>
      <w:r w:rsidR="0034700C" w:rsidRPr="00E46111">
        <w:rPr>
          <w:lang w:val="ru-RU"/>
        </w:rPr>
        <w:t xml:space="preserve"> расширения возможностей установления соединений и обеспечения того, чтобы люди могли воспользоваться предоставляемыми электросвязью и ИКТ возможност</w:t>
      </w:r>
      <w:r w:rsidR="0017541A" w:rsidRPr="00E46111">
        <w:rPr>
          <w:lang w:val="ru-RU"/>
        </w:rPr>
        <w:t>ями</w:t>
      </w:r>
      <w:r w:rsidR="0034700C" w:rsidRPr="00E46111">
        <w:rPr>
          <w:lang w:val="ru-RU"/>
        </w:rPr>
        <w:t xml:space="preserve">. Она выражает особую признательность делегату от Бразилии г-ну Марио </w:t>
      </w:r>
      <w:proofErr w:type="spellStart"/>
      <w:r w:rsidR="0034700C" w:rsidRPr="00E46111">
        <w:rPr>
          <w:lang w:val="ru-RU"/>
        </w:rPr>
        <w:t>Родриго</w:t>
      </w:r>
      <w:proofErr w:type="spellEnd"/>
      <w:r w:rsidR="0034700C" w:rsidRPr="00E46111">
        <w:rPr>
          <w:lang w:val="ru-RU"/>
        </w:rPr>
        <w:t xml:space="preserve"> </w:t>
      </w:r>
      <w:proofErr w:type="spellStart"/>
      <w:r w:rsidR="0034700C" w:rsidRPr="00E46111">
        <w:rPr>
          <w:lang w:val="ru-RU"/>
        </w:rPr>
        <w:t>Канасс</w:t>
      </w:r>
      <w:r w:rsidR="00015107" w:rsidRPr="00E46111">
        <w:rPr>
          <w:lang w:val="ru-RU"/>
        </w:rPr>
        <w:t>е</w:t>
      </w:r>
      <w:proofErr w:type="spellEnd"/>
      <w:r w:rsidR="0034700C" w:rsidRPr="00E46111">
        <w:rPr>
          <w:lang w:val="ru-RU"/>
        </w:rPr>
        <w:t xml:space="preserve"> за его успешное и дальновидное руководство </w:t>
      </w:r>
      <w:r w:rsidR="00E97984" w:rsidRPr="00E46111">
        <w:rPr>
          <w:lang w:val="ru-RU"/>
        </w:rPr>
        <w:t>С</w:t>
      </w:r>
      <w:r w:rsidR="0034700C" w:rsidRPr="00E46111">
        <w:rPr>
          <w:lang w:val="ru-RU"/>
        </w:rPr>
        <w:t xml:space="preserve">пециальной группой и </w:t>
      </w:r>
      <w:r w:rsidR="00E97984" w:rsidRPr="00E46111">
        <w:rPr>
          <w:lang w:val="ru-RU"/>
        </w:rPr>
        <w:t>Р</w:t>
      </w:r>
      <w:r w:rsidR="0034700C" w:rsidRPr="00E46111">
        <w:rPr>
          <w:lang w:val="ru-RU"/>
        </w:rPr>
        <w:t>абочей группой Совета, которые занимались разработкой Стратегического плана</w:t>
      </w:r>
      <w:bookmarkStart w:id="8" w:name="lt_pId054"/>
      <w:bookmarkEnd w:id="7"/>
      <w:r w:rsidR="00137F78" w:rsidRPr="00E46111">
        <w:rPr>
          <w:lang w:val="ru-RU"/>
        </w:rPr>
        <w:t>.</w:t>
      </w:r>
      <w:bookmarkEnd w:id="8"/>
    </w:p>
    <w:p w:rsidR="00955C78" w:rsidRPr="00E46111" w:rsidRDefault="00955C78" w:rsidP="0088277A">
      <w:pPr>
        <w:rPr>
          <w:lang w:val="ru-RU"/>
        </w:rPr>
      </w:pPr>
      <w:r w:rsidRPr="00E46111">
        <w:rPr>
          <w:lang w:val="ru-RU"/>
        </w:rPr>
        <w:t>2.3</w:t>
      </w:r>
      <w:r w:rsidRPr="00E46111">
        <w:rPr>
          <w:lang w:val="ru-RU"/>
        </w:rPr>
        <w:tab/>
      </w:r>
      <w:bookmarkStart w:id="9" w:name="lt_pId056"/>
      <w:r w:rsidR="00E97984" w:rsidRPr="00E46111">
        <w:rPr>
          <w:b/>
          <w:bCs/>
          <w:lang w:val="ru-RU"/>
        </w:rPr>
        <w:t>Делегат от Чешской Республики</w:t>
      </w:r>
      <w:r w:rsidR="00137F78" w:rsidRPr="00E46111">
        <w:rPr>
          <w:lang w:val="ru-RU"/>
        </w:rPr>
        <w:t xml:space="preserve"> </w:t>
      </w:r>
      <w:r w:rsidR="00E97984" w:rsidRPr="00E46111">
        <w:rPr>
          <w:lang w:val="ru-RU"/>
        </w:rPr>
        <w:t xml:space="preserve">благодарит г-на </w:t>
      </w:r>
      <w:proofErr w:type="spellStart"/>
      <w:r w:rsidR="00E97984" w:rsidRPr="00E46111">
        <w:rPr>
          <w:lang w:val="ru-RU"/>
        </w:rPr>
        <w:t>Канассу</w:t>
      </w:r>
      <w:proofErr w:type="spellEnd"/>
      <w:r w:rsidR="00E97984" w:rsidRPr="00E46111">
        <w:rPr>
          <w:lang w:val="ru-RU"/>
        </w:rPr>
        <w:t xml:space="preserve"> за его </w:t>
      </w:r>
      <w:r w:rsidR="0017541A" w:rsidRPr="00E46111">
        <w:rPr>
          <w:lang w:val="ru-RU"/>
        </w:rPr>
        <w:t xml:space="preserve">квалифицированное </w:t>
      </w:r>
      <w:r w:rsidR="00E97984" w:rsidRPr="00E46111">
        <w:rPr>
          <w:lang w:val="ru-RU"/>
        </w:rPr>
        <w:t xml:space="preserve">председательство в Специальной группе и Рабочей группе Совета, а также всех участников и региональные группы, </w:t>
      </w:r>
      <w:r w:rsidR="0088277A" w:rsidRPr="00E46111">
        <w:rPr>
          <w:lang w:val="ru-RU"/>
        </w:rPr>
        <w:t xml:space="preserve">вовлеченные </w:t>
      </w:r>
      <w:r w:rsidR="00E97984" w:rsidRPr="00E46111">
        <w:rPr>
          <w:lang w:val="ru-RU"/>
        </w:rPr>
        <w:t xml:space="preserve">в </w:t>
      </w:r>
      <w:r w:rsidR="003E66B5" w:rsidRPr="00E46111">
        <w:rPr>
          <w:lang w:val="ru-RU"/>
        </w:rPr>
        <w:t xml:space="preserve">процесс достижения </w:t>
      </w:r>
      <w:r w:rsidR="00E97984" w:rsidRPr="00E46111">
        <w:rPr>
          <w:lang w:val="ru-RU"/>
        </w:rPr>
        <w:t xml:space="preserve">успешного компромисса </w:t>
      </w:r>
      <w:r w:rsidR="003D60FD" w:rsidRPr="00E46111">
        <w:rPr>
          <w:lang w:val="ru-RU"/>
        </w:rPr>
        <w:t xml:space="preserve">по </w:t>
      </w:r>
      <w:r w:rsidR="00E97984" w:rsidRPr="00E46111">
        <w:rPr>
          <w:lang w:val="ru-RU"/>
        </w:rPr>
        <w:t>Стратегическо</w:t>
      </w:r>
      <w:r w:rsidR="003D60FD" w:rsidRPr="00E46111">
        <w:rPr>
          <w:lang w:val="ru-RU"/>
        </w:rPr>
        <w:t>му</w:t>
      </w:r>
      <w:r w:rsidR="00E97984" w:rsidRPr="00E46111">
        <w:rPr>
          <w:lang w:val="ru-RU"/>
        </w:rPr>
        <w:t xml:space="preserve"> план</w:t>
      </w:r>
      <w:r w:rsidR="003D60FD" w:rsidRPr="00E46111">
        <w:rPr>
          <w:lang w:val="ru-RU"/>
        </w:rPr>
        <w:t>у</w:t>
      </w:r>
      <w:r w:rsidR="00137F78" w:rsidRPr="00E46111">
        <w:rPr>
          <w:lang w:val="ru-RU"/>
        </w:rPr>
        <w:t>.</w:t>
      </w:r>
      <w:bookmarkEnd w:id="9"/>
    </w:p>
    <w:p w:rsidR="00915CB8" w:rsidRPr="00E46111" w:rsidRDefault="00915CB8" w:rsidP="002D3DC3">
      <w:pPr>
        <w:pStyle w:val="Heading1"/>
        <w:rPr>
          <w:lang w:val="ru-RU"/>
        </w:rPr>
      </w:pPr>
      <w:r w:rsidRPr="00E46111">
        <w:rPr>
          <w:lang w:val="ru-RU"/>
        </w:rPr>
        <w:t>3</w:t>
      </w:r>
      <w:r w:rsidRPr="00E46111">
        <w:rPr>
          <w:lang w:val="ru-RU"/>
        </w:rPr>
        <w:tab/>
      </w:r>
      <w:r w:rsidR="001821B9" w:rsidRPr="00E46111">
        <w:rPr>
          <w:lang w:val="ru-RU"/>
        </w:rPr>
        <w:t>Одиннадцатая серия текстов, представленных Редакционным комитетом для первого чтения (</w:t>
      </w:r>
      <w:proofErr w:type="spellStart"/>
      <w:r w:rsidR="001821B9" w:rsidRPr="00E46111">
        <w:rPr>
          <w:lang w:val="ru-RU"/>
        </w:rPr>
        <w:t>B11</w:t>
      </w:r>
      <w:proofErr w:type="spellEnd"/>
      <w:r w:rsidR="001821B9" w:rsidRPr="00E46111">
        <w:rPr>
          <w:lang w:val="ru-RU"/>
        </w:rPr>
        <w:t xml:space="preserve">) (Документ </w:t>
      </w:r>
      <w:hyperlink r:id="rId18" w:history="1">
        <w:r w:rsidR="001821B9" w:rsidRPr="00E46111">
          <w:rPr>
            <w:rStyle w:val="Hyperlink"/>
            <w:lang w:val="ru-RU"/>
          </w:rPr>
          <w:t>137</w:t>
        </w:r>
      </w:hyperlink>
      <w:r w:rsidR="001821B9" w:rsidRPr="00E46111">
        <w:rPr>
          <w:lang w:val="ru-RU"/>
        </w:rPr>
        <w:t>)</w:t>
      </w:r>
    </w:p>
    <w:p w:rsidR="00915CB8" w:rsidRPr="00E46111" w:rsidRDefault="00915CB8" w:rsidP="003D60FD">
      <w:pPr>
        <w:rPr>
          <w:lang w:val="ru-RU"/>
        </w:rPr>
      </w:pPr>
      <w:r w:rsidRPr="00E46111">
        <w:rPr>
          <w:lang w:val="ru-RU"/>
        </w:rPr>
        <w:t>3.1</w:t>
      </w:r>
      <w:r w:rsidRPr="00E46111">
        <w:rPr>
          <w:lang w:val="ru-RU"/>
        </w:rPr>
        <w:tab/>
      </w:r>
      <w:bookmarkStart w:id="10" w:name="lt_pId060"/>
      <w:r w:rsidR="009C6B52" w:rsidRPr="00E46111">
        <w:rPr>
          <w:b/>
          <w:lang w:val="ru-RU"/>
        </w:rPr>
        <w:t>Председатель Редакционного комитета</w:t>
      </w:r>
      <w:r w:rsidR="001821B9" w:rsidRPr="00E46111">
        <w:rPr>
          <w:b/>
          <w:lang w:val="ru-RU"/>
        </w:rPr>
        <w:t xml:space="preserve"> </w:t>
      </w:r>
      <w:r w:rsidR="009C6B52" w:rsidRPr="00E46111">
        <w:rPr>
          <w:lang w:val="ru-RU"/>
        </w:rPr>
        <w:t xml:space="preserve">обращает внимание на то, что пункт </w:t>
      </w:r>
      <w:r w:rsidR="009C6B52" w:rsidRPr="00E46111">
        <w:rPr>
          <w:i/>
          <w:iCs/>
          <w:lang w:val="ru-RU"/>
        </w:rPr>
        <w:t>b)</w:t>
      </w:r>
      <w:r w:rsidR="009C6B52" w:rsidRPr="00E46111">
        <w:rPr>
          <w:lang w:val="ru-RU"/>
        </w:rPr>
        <w:t xml:space="preserve"> раздела </w:t>
      </w:r>
      <w:r w:rsidR="009C6B52" w:rsidRPr="00E46111">
        <w:rPr>
          <w:i/>
          <w:iCs/>
          <w:lang w:val="ru-RU"/>
        </w:rPr>
        <w:t>памятуя</w:t>
      </w:r>
      <w:r w:rsidR="009C6B52" w:rsidRPr="00E46111">
        <w:rPr>
          <w:lang w:val="ru-RU"/>
        </w:rPr>
        <w:t xml:space="preserve"> проекта Резолюции </w:t>
      </w:r>
      <w:r w:rsidR="001821B9" w:rsidRPr="00E46111">
        <w:rPr>
          <w:lang w:val="ru-RU"/>
        </w:rPr>
        <w:t>191 (</w:t>
      </w:r>
      <w:proofErr w:type="spellStart"/>
      <w:r w:rsidR="001821B9" w:rsidRPr="00E46111">
        <w:rPr>
          <w:lang w:val="ru-RU"/>
        </w:rPr>
        <w:t>Пересм</w:t>
      </w:r>
      <w:proofErr w:type="spellEnd"/>
      <w:r w:rsidR="001821B9" w:rsidRPr="00E46111">
        <w:rPr>
          <w:lang w:val="ru-RU"/>
        </w:rPr>
        <w:t>. Дубай, 2018 г.)</w:t>
      </w:r>
      <w:r w:rsidR="009C6B52" w:rsidRPr="00E46111">
        <w:rPr>
          <w:lang w:val="ru-RU"/>
        </w:rPr>
        <w:t xml:space="preserve">, касающийся Стратегического плана Союза на </w:t>
      </w:r>
      <w:r w:rsidR="001821B9" w:rsidRPr="00E46111">
        <w:rPr>
          <w:lang w:val="ru-RU"/>
        </w:rPr>
        <w:t>2020−2023</w:t>
      </w:r>
      <w:r w:rsidR="009C6B52" w:rsidRPr="00E46111">
        <w:rPr>
          <w:lang w:val="ru-RU"/>
        </w:rPr>
        <w:t xml:space="preserve"> годы, содержит текст в квадратных скобках</w:t>
      </w:r>
      <w:r w:rsidR="001821B9" w:rsidRPr="00E46111">
        <w:rPr>
          <w:lang w:val="ru-RU"/>
        </w:rPr>
        <w:t>.</w:t>
      </w:r>
      <w:bookmarkEnd w:id="10"/>
      <w:r w:rsidR="001821B9" w:rsidRPr="00E46111">
        <w:rPr>
          <w:lang w:val="ru-RU"/>
        </w:rPr>
        <w:t xml:space="preserve"> </w:t>
      </w:r>
      <w:bookmarkStart w:id="11" w:name="lt_pId061"/>
      <w:r w:rsidR="009C6B52" w:rsidRPr="00E46111">
        <w:rPr>
          <w:lang w:val="ru-RU"/>
        </w:rPr>
        <w:t xml:space="preserve">Поскольку </w:t>
      </w:r>
      <w:r w:rsidR="003D60FD" w:rsidRPr="00E46111">
        <w:rPr>
          <w:lang w:val="ru-RU"/>
        </w:rPr>
        <w:t>П</w:t>
      </w:r>
      <w:r w:rsidR="009C6B52" w:rsidRPr="00E46111">
        <w:rPr>
          <w:lang w:val="ru-RU"/>
        </w:rPr>
        <w:t xml:space="preserve">лан уже был принят, скобки можно </w:t>
      </w:r>
      <w:r w:rsidR="003D60FD" w:rsidRPr="00E46111">
        <w:rPr>
          <w:lang w:val="ru-RU"/>
        </w:rPr>
        <w:t xml:space="preserve">снять </w:t>
      </w:r>
      <w:r w:rsidR="009C6B52" w:rsidRPr="00E46111">
        <w:rPr>
          <w:lang w:val="ru-RU"/>
        </w:rPr>
        <w:t xml:space="preserve">и принять текст в </w:t>
      </w:r>
      <w:r w:rsidR="003D60FD" w:rsidRPr="00E46111">
        <w:rPr>
          <w:lang w:val="ru-RU"/>
        </w:rPr>
        <w:t xml:space="preserve">том </w:t>
      </w:r>
      <w:r w:rsidR="009C6B52" w:rsidRPr="00E46111">
        <w:rPr>
          <w:lang w:val="ru-RU"/>
        </w:rPr>
        <w:t>виде</w:t>
      </w:r>
      <w:r w:rsidR="003D60FD" w:rsidRPr="00E46111">
        <w:rPr>
          <w:lang w:val="ru-RU"/>
        </w:rPr>
        <w:t>, в котором он представлен</w:t>
      </w:r>
      <w:r w:rsidR="001821B9" w:rsidRPr="00E46111">
        <w:rPr>
          <w:lang w:val="ru-RU"/>
        </w:rPr>
        <w:t>.</w:t>
      </w:r>
      <w:bookmarkEnd w:id="11"/>
    </w:p>
    <w:p w:rsidR="004A6CDD" w:rsidRPr="00E46111" w:rsidRDefault="004A6CDD" w:rsidP="004A6CDD">
      <w:pPr>
        <w:rPr>
          <w:b/>
          <w:bCs/>
          <w:lang w:val="ru-RU"/>
        </w:rPr>
      </w:pPr>
      <w:r w:rsidRPr="00E46111">
        <w:rPr>
          <w:b/>
          <w:bCs/>
          <w:lang w:val="ru-RU"/>
        </w:rPr>
        <w:t>Проект Резолюции 25 (</w:t>
      </w:r>
      <w:proofErr w:type="spellStart"/>
      <w:r w:rsidRPr="00E46111">
        <w:rPr>
          <w:b/>
          <w:bCs/>
          <w:lang w:val="ru-RU"/>
        </w:rPr>
        <w:t>Пересм</w:t>
      </w:r>
      <w:proofErr w:type="spellEnd"/>
      <w:r w:rsidRPr="00E46111">
        <w:rPr>
          <w:b/>
          <w:bCs/>
          <w:lang w:val="ru-RU"/>
        </w:rPr>
        <w:t>. Дубай, 2018 г.) − Укрепление регионального присутствия</w:t>
      </w:r>
    </w:p>
    <w:p w:rsidR="004A6CDD" w:rsidRPr="00E46111" w:rsidRDefault="004A6CDD" w:rsidP="004A6CDD">
      <w:pPr>
        <w:rPr>
          <w:b/>
          <w:bCs/>
          <w:lang w:val="ru-RU"/>
        </w:rPr>
      </w:pPr>
      <w:r w:rsidRPr="00E46111">
        <w:rPr>
          <w:b/>
          <w:bCs/>
          <w:lang w:val="ru-RU"/>
        </w:rPr>
        <w:t>Проект Резолюции 131 (</w:t>
      </w:r>
      <w:proofErr w:type="spellStart"/>
      <w:r w:rsidRPr="00E46111">
        <w:rPr>
          <w:b/>
          <w:bCs/>
          <w:lang w:val="ru-RU"/>
        </w:rPr>
        <w:t>Пересм</w:t>
      </w:r>
      <w:proofErr w:type="spellEnd"/>
      <w:r w:rsidRPr="00E46111">
        <w:rPr>
          <w:b/>
          <w:bCs/>
          <w:lang w:val="ru-RU"/>
        </w:rPr>
        <w:t xml:space="preserve">. Дубай, 2018 г.) − </w:t>
      </w:r>
      <w:bookmarkStart w:id="12" w:name="_Toc407102933"/>
      <w:r w:rsidRPr="00E46111">
        <w:rPr>
          <w:b/>
          <w:bCs/>
          <w:lang w:val="ru-RU"/>
        </w:rPr>
        <w:t>Измерение информационно-коммуникационных технологий для построения объединяющего и открытого для всех информационного общества</w:t>
      </w:r>
      <w:bookmarkEnd w:id="12"/>
    </w:p>
    <w:p w:rsidR="004A6CDD" w:rsidRPr="00E46111" w:rsidRDefault="004A6CDD" w:rsidP="004A6CDD">
      <w:pPr>
        <w:rPr>
          <w:b/>
          <w:bCs/>
          <w:lang w:val="ru-RU"/>
        </w:rPr>
      </w:pPr>
      <w:r w:rsidRPr="00E46111">
        <w:rPr>
          <w:b/>
          <w:bCs/>
          <w:lang w:val="ru-RU"/>
        </w:rPr>
        <w:t>Проект Резолюции 157 (</w:t>
      </w:r>
      <w:proofErr w:type="spellStart"/>
      <w:r w:rsidRPr="00E46111">
        <w:rPr>
          <w:b/>
          <w:bCs/>
          <w:lang w:val="ru-RU"/>
        </w:rPr>
        <w:t>Пересм</w:t>
      </w:r>
      <w:proofErr w:type="spellEnd"/>
      <w:r w:rsidRPr="00E46111">
        <w:rPr>
          <w:b/>
          <w:bCs/>
          <w:lang w:val="ru-RU"/>
        </w:rPr>
        <w:t>. Дубай, 2018 г.) − Укрепление функций исполнения проектов и мониторинга проектов в МСЭ</w:t>
      </w:r>
    </w:p>
    <w:p w:rsidR="004A6CDD" w:rsidRPr="00E46111" w:rsidRDefault="004A6CDD" w:rsidP="004A6CDD">
      <w:pPr>
        <w:rPr>
          <w:lang w:val="ru-RU"/>
        </w:rPr>
      </w:pPr>
      <w:r w:rsidRPr="00E46111">
        <w:rPr>
          <w:b/>
          <w:bCs/>
          <w:lang w:val="ru-RU"/>
        </w:rPr>
        <w:t>Проект Резолюции 191 (</w:t>
      </w:r>
      <w:proofErr w:type="spellStart"/>
      <w:r w:rsidRPr="00E46111">
        <w:rPr>
          <w:b/>
          <w:bCs/>
          <w:lang w:val="ru-RU"/>
        </w:rPr>
        <w:t>Пересм</w:t>
      </w:r>
      <w:proofErr w:type="spellEnd"/>
      <w:r w:rsidRPr="00E46111">
        <w:rPr>
          <w:b/>
          <w:bCs/>
          <w:lang w:val="ru-RU"/>
        </w:rPr>
        <w:t xml:space="preserve">. Дубай, 2018 г.) − </w:t>
      </w:r>
      <w:bookmarkStart w:id="13" w:name="_Toc407103003"/>
      <w:r w:rsidRPr="00E46111">
        <w:rPr>
          <w:b/>
          <w:bCs/>
          <w:lang w:val="ru-RU"/>
        </w:rPr>
        <w:t>Стратегия координации усилий трех Секторов Союза</w:t>
      </w:r>
      <w:bookmarkEnd w:id="13"/>
    </w:p>
    <w:p w:rsidR="00915CB8" w:rsidRPr="00E46111" w:rsidRDefault="00915CB8" w:rsidP="004A6CDD">
      <w:pPr>
        <w:rPr>
          <w:lang w:val="ru-RU"/>
        </w:rPr>
      </w:pPr>
      <w:r w:rsidRPr="00E46111">
        <w:rPr>
          <w:lang w:val="ru-RU"/>
        </w:rPr>
        <w:t>3.2</w:t>
      </w:r>
      <w:r w:rsidRPr="00E46111">
        <w:rPr>
          <w:lang w:val="ru-RU"/>
        </w:rPr>
        <w:tab/>
      </w:r>
      <w:r w:rsidR="004A6CDD" w:rsidRPr="00E46111">
        <w:rPr>
          <w:rFonts w:asciiTheme="minorHAnsi" w:hAnsiTheme="minorHAnsi"/>
          <w:b/>
          <w:bCs/>
          <w:szCs w:val="22"/>
          <w:lang w:val="ru-RU"/>
        </w:rPr>
        <w:t>Принимаются</w:t>
      </w:r>
      <w:r w:rsidR="004A6CDD" w:rsidRPr="00E46111">
        <w:rPr>
          <w:lang w:val="ru-RU"/>
        </w:rPr>
        <w:t>.</w:t>
      </w:r>
    </w:p>
    <w:p w:rsidR="00BD2196" w:rsidRPr="00E46111" w:rsidRDefault="00BD2196" w:rsidP="00BD2196">
      <w:pPr>
        <w:rPr>
          <w:b/>
          <w:bCs/>
          <w:lang w:val="ru-RU"/>
        </w:rPr>
      </w:pPr>
      <w:proofErr w:type="spellStart"/>
      <w:r w:rsidRPr="00E46111">
        <w:rPr>
          <w:b/>
          <w:bCs/>
          <w:lang w:val="ru-RU"/>
        </w:rPr>
        <w:t>SUP</w:t>
      </w:r>
      <w:proofErr w:type="spellEnd"/>
      <w:r w:rsidRPr="00E46111">
        <w:rPr>
          <w:b/>
          <w:bCs/>
          <w:lang w:val="ru-RU"/>
        </w:rPr>
        <w:t xml:space="preserve"> Решение 13 (</w:t>
      </w:r>
      <w:proofErr w:type="spellStart"/>
      <w:r w:rsidRPr="00E46111">
        <w:rPr>
          <w:b/>
          <w:bCs/>
          <w:lang w:val="ru-RU"/>
        </w:rPr>
        <w:t>Пусан</w:t>
      </w:r>
      <w:proofErr w:type="spellEnd"/>
      <w:r w:rsidRPr="00E46111">
        <w:rPr>
          <w:b/>
          <w:bCs/>
          <w:lang w:val="ru-RU"/>
        </w:rPr>
        <w:t>, 2014 г.) − Механизм мониторинга программ и проектов МСЭ</w:t>
      </w:r>
    </w:p>
    <w:p w:rsidR="00BD2196" w:rsidRPr="00E46111" w:rsidRDefault="00BD2196" w:rsidP="00BD2196">
      <w:pPr>
        <w:rPr>
          <w:lang w:val="ru-RU"/>
        </w:rPr>
      </w:pPr>
      <w:r w:rsidRPr="00E46111">
        <w:rPr>
          <w:lang w:val="ru-RU"/>
        </w:rPr>
        <w:t>3.3</w:t>
      </w:r>
      <w:r w:rsidRPr="00E46111">
        <w:rPr>
          <w:lang w:val="ru-RU"/>
        </w:rPr>
        <w:tab/>
      </w:r>
      <w:r w:rsidRPr="00E46111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Pr="00E46111">
        <w:rPr>
          <w:lang w:val="ru-RU"/>
        </w:rPr>
        <w:t>.</w:t>
      </w:r>
    </w:p>
    <w:p w:rsidR="00BD2196" w:rsidRPr="00E46111" w:rsidRDefault="00BD2196" w:rsidP="000C67EA">
      <w:pPr>
        <w:rPr>
          <w:lang w:val="ru-RU"/>
        </w:rPr>
      </w:pPr>
      <w:r w:rsidRPr="00E46111">
        <w:rPr>
          <w:lang w:val="ru-RU"/>
        </w:rPr>
        <w:t>3.4</w:t>
      </w:r>
      <w:r w:rsidRPr="00E46111">
        <w:rPr>
          <w:lang w:val="ru-RU"/>
        </w:rPr>
        <w:tab/>
        <w:t>Одиннадцатая серия текстов, представленных Редакционным комитетом для первого чтения (</w:t>
      </w:r>
      <w:proofErr w:type="spellStart"/>
      <w:r w:rsidRPr="00E46111">
        <w:rPr>
          <w:lang w:val="ru-RU"/>
        </w:rPr>
        <w:t>В1</w:t>
      </w:r>
      <w:r w:rsidR="000C67EA" w:rsidRPr="00E46111">
        <w:rPr>
          <w:lang w:val="ru-RU"/>
        </w:rPr>
        <w:t>1</w:t>
      </w:r>
      <w:proofErr w:type="spellEnd"/>
      <w:r w:rsidRPr="00E46111">
        <w:rPr>
          <w:lang w:val="ru-RU"/>
        </w:rPr>
        <w:t>) (Документ 1</w:t>
      </w:r>
      <w:r w:rsidR="000C67EA" w:rsidRPr="00E46111">
        <w:rPr>
          <w:lang w:val="ru-RU"/>
        </w:rPr>
        <w:t>37</w:t>
      </w:r>
      <w:r w:rsidRPr="00E46111">
        <w:rPr>
          <w:lang w:val="ru-RU"/>
        </w:rPr>
        <w:t>),</w:t>
      </w:r>
      <w:r w:rsidRPr="00E46111">
        <w:rPr>
          <w:rFonts w:asciiTheme="minorHAnsi" w:hAnsiTheme="minorHAnsi"/>
          <w:szCs w:val="22"/>
          <w:lang w:val="ru-RU"/>
        </w:rPr>
        <w:t xml:space="preserve"> </w:t>
      </w:r>
      <w:r w:rsidRPr="00E46111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Pr="00E46111">
        <w:rPr>
          <w:rFonts w:asciiTheme="minorHAnsi" w:hAnsiTheme="minorHAnsi"/>
          <w:lang w:val="ru-RU"/>
        </w:rPr>
        <w:t>.</w:t>
      </w:r>
    </w:p>
    <w:p w:rsidR="00915CB8" w:rsidRPr="00E46111" w:rsidRDefault="00915CB8" w:rsidP="00EE1B5E">
      <w:pPr>
        <w:pStyle w:val="Heading1"/>
        <w:rPr>
          <w:lang w:val="ru-RU"/>
        </w:rPr>
      </w:pPr>
      <w:r w:rsidRPr="00E46111">
        <w:rPr>
          <w:lang w:val="ru-RU"/>
        </w:rPr>
        <w:lastRenderedPageBreak/>
        <w:t>4</w:t>
      </w:r>
      <w:r w:rsidRPr="00E46111">
        <w:rPr>
          <w:lang w:val="ru-RU"/>
        </w:rPr>
        <w:tab/>
      </w:r>
      <w:r w:rsidR="00EE1B5E" w:rsidRPr="00E46111">
        <w:rPr>
          <w:lang w:val="ru-RU"/>
        </w:rPr>
        <w:t>Двенадцатая серия текстов, представленных Редакционным комитетом для первого чтения (</w:t>
      </w:r>
      <w:proofErr w:type="spellStart"/>
      <w:r w:rsidR="00EE1B5E" w:rsidRPr="00E46111">
        <w:rPr>
          <w:lang w:val="ru-RU"/>
        </w:rPr>
        <w:t>B12</w:t>
      </w:r>
      <w:proofErr w:type="spellEnd"/>
      <w:r w:rsidR="00EE1B5E" w:rsidRPr="00E46111">
        <w:rPr>
          <w:lang w:val="ru-RU"/>
        </w:rPr>
        <w:t xml:space="preserve">) (Документ </w:t>
      </w:r>
      <w:hyperlink r:id="rId19" w:history="1">
        <w:r w:rsidR="00EE1B5E" w:rsidRPr="00E46111">
          <w:rPr>
            <w:rStyle w:val="Hyperlink"/>
            <w:lang w:val="ru-RU"/>
          </w:rPr>
          <w:t>138</w:t>
        </w:r>
      </w:hyperlink>
      <w:r w:rsidR="00EE1B5E" w:rsidRPr="00E46111">
        <w:rPr>
          <w:lang w:val="ru-RU"/>
        </w:rPr>
        <w:t>)</w:t>
      </w:r>
    </w:p>
    <w:p w:rsidR="00EE1B5E" w:rsidRPr="00E46111" w:rsidRDefault="00EE1B5E" w:rsidP="00EE1B5E">
      <w:pPr>
        <w:rPr>
          <w:b/>
          <w:bCs/>
          <w:lang w:val="ru-RU"/>
        </w:rPr>
      </w:pPr>
      <w:r w:rsidRPr="00E46111">
        <w:rPr>
          <w:b/>
          <w:bCs/>
          <w:lang w:val="ru-RU"/>
        </w:rPr>
        <w:t>Проект Резолюции 70 (</w:t>
      </w:r>
      <w:proofErr w:type="spellStart"/>
      <w:r w:rsidRPr="00E46111">
        <w:rPr>
          <w:b/>
          <w:bCs/>
          <w:lang w:val="ru-RU"/>
        </w:rPr>
        <w:t>Пересм</w:t>
      </w:r>
      <w:proofErr w:type="spellEnd"/>
      <w:r w:rsidRPr="00E46111">
        <w:rPr>
          <w:b/>
          <w:bCs/>
          <w:lang w:val="ru-RU"/>
        </w:rPr>
        <w:t>. Дубай, 2018 г.) − Учет гендерных аспектов в деятельности МСЭ и содействие обеспечению гендерного равенства и расширению прав и возможностей женщин посредством электросвязи/информационно-коммуникационных технологий</w:t>
      </w:r>
    </w:p>
    <w:p w:rsidR="00EE1B5E" w:rsidRPr="00E46111" w:rsidRDefault="00EE1B5E" w:rsidP="00EE1B5E">
      <w:pPr>
        <w:rPr>
          <w:b/>
          <w:bCs/>
          <w:lang w:val="ru-RU"/>
        </w:rPr>
      </w:pPr>
      <w:r w:rsidRPr="00E46111">
        <w:rPr>
          <w:b/>
          <w:bCs/>
          <w:lang w:val="ru-RU"/>
        </w:rPr>
        <w:t>Проект Резолюции 137 (</w:t>
      </w:r>
      <w:proofErr w:type="spellStart"/>
      <w:r w:rsidRPr="00E46111">
        <w:rPr>
          <w:b/>
          <w:bCs/>
          <w:lang w:val="ru-RU"/>
        </w:rPr>
        <w:t>Пересм</w:t>
      </w:r>
      <w:proofErr w:type="spellEnd"/>
      <w:r w:rsidRPr="00E46111">
        <w:rPr>
          <w:b/>
          <w:bCs/>
          <w:lang w:val="ru-RU"/>
        </w:rPr>
        <w:t>. Дубай, 2018 г.) − Развертывание будущих сетей в развивающихся странах</w:t>
      </w:r>
    </w:p>
    <w:p w:rsidR="00EE1B5E" w:rsidRPr="00E46111" w:rsidRDefault="00EE1B5E" w:rsidP="00EE1B5E">
      <w:pPr>
        <w:rPr>
          <w:b/>
          <w:bCs/>
          <w:lang w:val="ru-RU"/>
        </w:rPr>
      </w:pPr>
      <w:r w:rsidRPr="00E46111">
        <w:rPr>
          <w:b/>
          <w:bCs/>
          <w:lang w:val="ru-RU"/>
        </w:rPr>
        <w:t>Проект Резолюции 179 (</w:t>
      </w:r>
      <w:proofErr w:type="spellStart"/>
      <w:r w:rsidRPr="00E46111">
        <w:rPr>
          <w:b/>
          <w:bCs/>
          <w:lang w:val="ru-RU"/>
        </w:rPr>
        <w:t>Пересм</w:t>
      </w:r>
      <w:proofErr w:type="spellEnd"/>
      <w:r w:rsidRPr="00E46111">
        <w:rPr>
          <w:b/>
          <w:bCs/>
          <w:lang w:val="ru-RU"/>
        </w:rPr>
        <w:t xml:space="preserve">. Дубай, 2018 г.) − </w:t>
      </w:r>
      <w:bookmarkStart w:id="14" w:name="_Toc407102983"/>
      <w:r w:rsidRPr="00E46111">
        <w:rPr>
          <w:b/>
          <w:bCs/>
          <w:lang w:val="ru-RU"/>
        </w:rPr>
        <w:t>Роль МСЭ в защите ребенка в онлайновой среде</w:t>
      </w:r>
      <w:bookmarkEnd w:id="14"/>
    </w:p>
    <w:p w:rsidR="00EE1B5E" w:rsidRPr="00E46111" w:rsidRDefault="00EE1B5E" w:rsidP="00EE1B5E">
      <w:pPr>
        <w:rPr>
          <w:b/>
          <w:bCs/>
          <w:lang w:val="ru-RU"/>
        </w:rPr>
      </w:pPr>
      <w:r w:rsidRPr="00E46111">
        <w:rPr>
          <w:b/>
          <w:bCs/>
          <w:lang w:val="ru-RU"/>
        </w:rPr>
        <w:t>Проект Резолюции 203 (</w:t>
      </w:r>
      <w:proofErr w:type="spellStart"/>
      <w:r w:rsidRPr="00E46111">
        <w:rPr>
          <w:b/>
          <w:bCs/>
          <w:lang w:val="ru-RU"/>
        </w:rPr>
        <w:t>Пересм</w:t>
      </w:r>
      <w:proofErr w:type="spellEnd"/>
      <w:r w:rsidRPr="00E46111">
        <w:rPr>
          <w:b/>
          <w:bCs/>
          <w:lang w:val="ru-RU"/>
        </w:rPr>
        <w:t xml:space="preserve">. Дубай, 2018 г.) − </w:t>
      </w:r>
      <w:bookmarkStart w:id="15" w:name="_Toc407103027"/>
      <w:r w:rsidRPr="00E46111">
        <w:rPr>
          <w:b/>
          <w:bCs/>
          <w:lang w:val="ru-RU"/>
        </w:rPr>
        <w:t>Возможность установления соединения с сетями широкополосной связи</w:t>
      </w:r>
      <w:bookmarkEnd w:id="15"/>
    </w:p>
    <w:p w:rsidR="00EE1B5E" w:rsidRPr="00E46111" w:rsidRDefault="00EE1B5E" w:rsidP="00EE1B5E">
      <w:pPr>
        <w:rPr>
          <w:b/>
          <w:bCs/>
          <w:lang w:val="ru-RU"/>
        </w:rPr>
      </w:pPr>
      <w:r w:rsidRPr="00E46111">
        <w:rPr>
          <w:b/>
          <w:bCs/>
          <w:lang w:val="ru-RU"/>
        </w:rPr>
        <w:t xml:space="preserve">Проект Резолюции </w:t>
      </w:r>
      <w:proofErr w:type="spellStart"/>
      <w:r w:rsidRPr="00E46111">
        <w:rPr>
          <w:rFonts w:asciiTheme="minorHAnsi" w:hAnsiTheme="minorHAnsi"/>
          <w:b/>
          <w:bCs/>
          <w:szCs w:val="24"/>
          <w:lang w:val="ru-RU"/>
        </w:rPr>
        <w:t>WGPL</w:t>
      </w:r>
      <w:proofErr w:type="spellEnd"/>
      <w:r w:rsidRPr="00E46111">
        <w:rPr>
          <w:rFonts w:asciiTheme="minorHAnsi" w:hAnsiTheme="minorHAnsi"/>
          <w:b/>
          <w:bCs/>
          <w:szCs w:val="24"/>
          <w:lang w:val="ru-RU"/>
        </w:rPr>
        <w:t>/2</w:t>
      </w:r>
      <w:r w:rsidRPr="00E46111">
        <w:rPr>
          <w:b/>
          <w:bCs/>
          <w:lang w:val="ru-RU"/>
        </w:rPr>
        <w:t xml:space="preserve"> (Дубай, 2018 г.) − Роль МСЭ в содействии ориентированным на электросвязь/информационно-коммуникационные технологии инновациям для поддержки цифровой экономики и цифрового общества</w:t>
      </w:r>
    </w:p>
    <w:p w:rsidR="007E4D0F" w:rsidRPr="00E46111" w:rsidRDefault="00915CB8" w:rsidP="00EE1B5E">
      <w:pPr>
        <w:rPr>
          <w:lang w:val="ru-RU"/>
        </w:rPr>
      </w:pPr>
      <w:r w:rsidRPr="00E46111">
        <w:rPr>
          <w:lang w:val="ru-RU"/>
        </w:rPr>
        <w:t>4.1</w:t>
      </w:r>
      <w:r w:rsidRPr="00E46111">
        <w:rPr>
          <w:lang w:val="ru-RU"/>
        </w:rPr>
        <w:tab/>
      </w:r>
      <w:r w:rsidR="00EE1B5E" w:rsidRPr="00E46111">
        <w:rPr>
          <w:rFonts w:asciiTheme="minorHAnsi" w:hAnsiTheme="minorHAnsi"/>
          <w:b/>
          <w:bCs/>
          <w:szCs w:val="22"/>
          <w:lang w:val="ru-RU"/>
        </w:rPr>
        <w:t>Принимаются</w:t>
      </w:r>
      <w:r w:rsidR="00EE1B5E" w:rsidRPr="00E46111">
        <w:rPr>
          <w:lang w:val="ru-RU"/>
        </w:rPr>
        <w:t>.</w:t>
      </w:r>
    </w:p>
    <w:p w:rsidR="00B54075" w:rsidRPr="00E46111" w:rsidRDefault="00B54075" w:rsidP="00B54075">
      <w:pPr>
        <w:rPr>
          <w:lang w:val="ru-RU"/>
        </w:rPr>
      </w:pPr>
      <w:r w:rsidRPr="00E46111">
        <w:rPr>
          <w:b/>
          <w:bCs/>
          <w:lang w:val="ru-RU"/>
        </w:rPr>
        <w:t xml:space="preserve">Проект Резолюции </w:t>
      </w:r>
      <w:proofErr w:type="spellStart"/>
      <w:r w:rsidRPr="00E46111">
        <w:rPr>
          <w:rFonts w:asciiTheme="minorHAnsi" w:hAnsiTheme="minorHAnsi"/>
          <w:b/>
          <w:bCs/>
          <w:szCs w:val="24"/>
          <w:lang w:val="ru-RU"/>
        </w:rPr>
        <w:t>WGPL</w:t>
      </w:r>
      <w:proofErr w:type="spellEnd"/>
      <w:r w:rsidRPr="00E46111">
        <w:rPr>
          <w:rFonts w:asciiTheme="minorHAnsi" w:hAnsiTheme="minorHAnsi"/>
          <w:b/>
          <w:bCs/>
          <w:szCs w:val="24"/>
          <w:lang w:val="ru-RU"/>
        </w:rPr>
        <w:t>/3</w:t>
      </w:r>
      <w:r w:rsidRPr="00E46111">
        <w:rPr>
          <w:b/>
          <w:bCs/>
          <w:lang w:val="ru-RU"/>
        </w:rPr>
        <w:t xml:space="preserve"> (Дубай, 2018 г.) − </w:t>
      </w:r>
      <w:proofErr w:type="spellStart"/>
      <w:r w:rsidRPr="00E46111">
        <w:rPr>
          <w:b/>
          <w:bCs/>
          <w:lang w:val="ru-RU"/>
        </w:rPr>
        <w:t>OTT</w:t>
      </w:r>
      <w:proofErr w:type="spellEnd"/>
    </w:p>
    <w:p w:rsidR="00915CB8" w:rsidRPr="00E46111" w:rsidRDefault="00915CB8" w:rsidP="0093409A">
      <w:pPr>
        <w:rPr>
          <w:lang w:val="ru-RU"/>
        </w:rPr>
      </w:pPr>
      <w:r w:rsidRPr="00E46111">
        <w:rPr>
          <w:lang w:val="ru-RU"/>
        </w:rPr>
        <w:t>4.2</w:t>
      </w:r>
      <w:r w:rsidRPr="00E46111">
        <w:rPr>
          <w:lang w:val="ru-RU"/>
        </w:rPr>
        <w:tab/>
      </w:r>
      <w:bookmarkStart w:id="16" w:name="lt_pId084"/>
      <w:r w:rsidR="009C6B52" w:rsidRPr="00E46111">
        <w:rPr>
          <w:b/>
          <w:bCs/>
          <w:lang w:val="ru-RU"/>
        </w:rPr>
        <w:t>Делегат от Исламской Республики Иран</w:t>
      </w:r>
      <w:r w:rsidR="002906B8" w:rsidRPr="00E46111">
        <w:rPr>
          <w:lang w:val="ru-RU"/>
        </w:rPr>
        <w:t xml:space="preserve">, </w:t>
      </w:r>
      <w:r w:rsidR="009C6B52" w:rsidRPr="00E46111">
        <w:rPr>
          <w:lang w:val="ru-RU"/>
        </w:rPr>
        <w:t xml:space="preserve">которого поддерживает </w:t>
      </w:r>
      <w:r w:rsidR="009C6B52" w:rsidRPr="00E46111">
        <w:rPr>
          <w:b/>
          <w:bCs/>
          <w:lang w:val="ru-RU"/>
        </w:rPr>
        <w:t>делегат от Новой Зеландии</w:t>
      </w:r>
      <w:r w:rsidR="002906B8" w:rsidRPr="00E46111">
        <w:rPr>
          <w:lang w:val="ru-RU"/>
        </w:rPr>
        <w:t xml:space="preserve">, </w:t>
      </w:r>
      <w:r w:rsidR="009C6B52" w:rsidRPr="00E46111">
        <w:rPr>
          <w:lang w:val="ru-RU"/>
        </w:rPr>
        <w:t xml:space="preserve">предлагает развернуть название </w:t>
      </w:r>
      <w:r w:rsidR="0093409A" w:rsidRPr="00E46111">
        <w:rPr>
          <w:lang w:val="ru-RU"/>
        </w:rPr>
        <w:t xml:space="preserve">этой </w:t>
      </w:r>
      <w:r w:rsidR="009C6B52" w:rsidRPr="00E46111">
        <w:rPr>
          <w:lang w:val="ru-RU"/>
        </w:rPr>
        <w:t xml:space="preserve">Резолюции следующим образом "Деятельность </w:t>
      </w:r>
      <w:r w:rsidR="0093409A" w:rsidRPr="00E46111">
        <w:rPr>
          <w:lang w:val="ru-RU"/>
        </w:rPr>
        <w:t xml:space="preserve">в области </w:t>
      </w:r>
      <w:proofErr w:type="spellStart"/>
      <w:r w:rsidR="009C6B52" w:rsidRPr="00E46111">
        <w:rPr>
          <w:lang w:val="ru-RU"/>
        </w:rPr>
        <w:t>over-the-top</w:t>
      </w:r>
      <w:proofErr w:type="spellEnd"/>
      <w:r w:rsidR="009C6B52" w:rsidRPr="00E46111">
        <w:rPr>
          <w:lang w:val="ru-RU"/>
        </w:rPr>
        <w:t xml:space="preserve"> (</w:t>
      </w:r>
      <w:proofErr w:type="spellStart"/>
      <w:r w:rsidR="009C6B52" w:rsidRPr="00E46111">
        <w:rPr>
          <w:lang w:val="ru-RU"/>
        </w:rPr>
        <w:t>OTT</w:t>
      </w:r>
      <w:proofErr w:type="spellEnd"/>
      <w:r w:rsidR="009C6B52" w:rsidRPr="00E46111">
        <w:rPr>
          <w:lang w:val="ru-RU"/>
        </w:rPr>
        <w:t xml:space="preserve">)", с тем чтобы </w:t>
      </w:r>
      <w:r w:rsidR="0093409A" w:rsidRPr="00E46111">
        <w:rPr>
          <w:lang w:val="ru-RU"/>
        </w:rPr>
        <w:t xml:space="preserve">отразить в нем </w:t>
      </w:r>
      <w:r w:rsidR="009C6B52" w:rsidRPr="00E46111">
        <w:rPr>
          <w:lang w:val="ru-RU"/>
        </w:rPr>
        <w:t>более понятн</w:t>
      </w:r>
      <w:r w:rsidR="0093409A" w:rsidRPr="00E46111">
        <w:rPr>
          <w:lang w:val="ru-RU"/>
        </w:rPr>
        <w:t>ым образом</w:t>
      </w:r>
      <w:r w:rsidR="009C6B52" w:rsidRPr="00E46111">
        <w:rPr>
          <w:lang w:val="ru-RU"/>
        </w:rPr>
        <w:t xml:space="preserve"> содержание Резолюции, в соответствии с установившейся практикой</w:t>
      </w:r>
      <w:r w:rsidR="002906B8" w:rsidRPr="00E46111">
        <w:rPr>
          <w:lang w:val="ru-RU"/>
        </w:rPr>
        <w:t>.</w:t>
      </w:r>
      <w:bookmarkEnd w:id="16"/>
    </w:p>
    <w:p w:rsidR="00915CB8" w:rsidRPr="00E46111" w:rsidRDefault="0038098A" w:rsidP="0093409A">
      <w:pPr>
        <w:rPr>
          <w:lang w:val="ru-RU"/>
        </w:rPr>
      </w:pPr>
      <w:r w:rsidRPr="00E46111">
        <w:rPr>
          <w:lang w:val="ru-RU"/>
        </w:rPr>
        <w:t>4.3</w:t>
      </w:r>
      <w:r w:rsidR="00915CB8" w:rsidRPr="00E46111">
        <w:rPr>
          <w:lang w:val="ru-RU"/>
        </w:rPr>
        <w:tab/>
      </w:r>
      <w:bookmarkStart w:id="17" w:name="lt_pId086"/>
      <w:r w:rsidR="009C6B52" w:rsidRPr="00E46111">
        <w:rPr>
          <w:b/>
          <w:bCs/>
          <w:lang w:val="ru-RU"/>
        </w:rPr>
        <w:t>Делегат от Мали</w:t>
      </w:r>
      <w:r w:rsidR="002906B8" w:rsidRPr="00E46111">
        <w:rPr>
          <w:lang w:val="ru-RU"/>
        </w:rPr>
        <w:t xml:space="preserve"> </w:t>
      </w:r>
      <w:r w:rsidR="009C6B52" w:rsidRPr="00E46111">
        <w:rPr>
          <w:lang w:val="ru-RU"/>
        </w:rPr>
        <w:t xml:space="preserve">предлагает </w:t>
      </w:r>
      <w:r w:rsidR="0035619E" w:rsidRPr="00E46111">
        <w:rPr>
          <w:lang w:val="ru-RU"/>
        </w:rPr>
        <w:t>просто расшифровать содержащее</w:t>
      </w:r>
      <w:r w:rsidR="009C6B52" w:rsidRPr="00E46111">
        <w:rPr>
          <w:lang w:val="ru-RU"/>
        </w:rPr>
        <w:t xml:space="preserve">ся в названии </w:t>
      </w:r>
      <w:r w:rsidR="0035619E" w:rsidRPr="00E46111">
        <w:rPr>
          <w:lang w:val="ru-RU"/>
        </w:rPr>
        <w:t xml:space="preserve">сокращение и </w:t>
      </w:r>
      <w:r w:rsidR="0093409A" w:rsidRPr="00E46111">
        <w:rPr>
          <w:lang w:val="ru-RU"/>
        </w:rPr>
        <w:t xml:space="preserve">привести его далее </w:t>
      </w:r>
      <w:r w:rsidR="0035619E" w:rsidRPr="00E46111">
        <w:rPr>
          <w:lang w:val="ru-RU"/>
        </w:rPr>
        <w:t>в скобках, что позволит избежать путаницы с идентичными сокращениями в другом контексте</w:t>
      </w:r>
      <w:r w:rsidR="002906B8" w:rsidRPr="00E46111">
        <w:rPr>
          <w:lang w:val="ru-RU"/>
        </w:rPr>
        <w:t>.</w:t>
      </w:r>
      <w:bookmarkEnd w:id="17"/>
    </w:p>
    <w:p w:rsidR="00915CB8" w:rsidRPr="00E46111" w:rsidRDefault="0038098A" w:rsidP="0093409A">
      <w:pPr>
        <w:rPr>
          <w:lang w:val="ru-RU"/>
        </w:rPr>
      </w:pPr>
      <w:r w:rsidRPr="00E46111">
        <w:rPr>
          <w:lang w:val="ru-RU"/>
        </w:rPr>
        <w:t>4.4</w:t>
      </w:r>
      <w:r w:rsidR="00915CB8" w:rsidRPr="00E46111">
        <w:rPr>
          <w:lang w:val="ru-RU"/>
        </w:rPr>
        <w:tab/>
      </w:r>
      <w:bookmarkStart w:id="18" w:name="lt_pId088"/>
      <w:r w:rsidR="0035619E" w:rsidRPr="00E46111">
        <w:rPr>
          <w:b/>
          <w:bCs/>
          <w:lang w:val="ru-RU"/>
        </w:rPr>
        <w:t>Делегаты от Соединенных Штатов Америки и Российской Федерации, делегат от Румынии</w:t>
      </w:r>
      <w:r w:rsidR="002906B8" w:rsidRPr="00E46111">
        <w:rPr>
          <w:lang w:val="ru-RU"/>
        </w:rPr>
        <w:t xml:space="preserve">, </w:t>
      </w:r>
      <w:r w:rsidR="0093409A" w:rsidRPr="00E46111">
        <w:rPr>
          <w:lang w:val="ru-RU"/>
        </w:rPr>
        <w:t xml:space="preserve">выступающий от имени СЕПТ, </w:t>
      </w:r>
      <w:r w:rsidR="0035619E" w:rsidRPr="00E46111">
        <w:rPr>
          <w:lang w:val="ru-RU"/>
        </w:rPr>
        <w:t xml:space="preserve">и </w:t>
      </w:r>
      <w:r w:rsidR="0035619E" w:rsidRPr="00E46111">
        <w:rPr>
          <w:b/>
          <w:bCs/>
          <w:lang w:val="ru-RU"/>
        </w:rPr>
        <w:t>делегат от Иордании</w:t>
      </w:r>
      <w:r w:rsidR="002906B8" w:rsidRPr="00E46111">
        <w:rPr>
          <w:lang w:val="ru-RU"/>
        </w:rPr>
        <w:t xml:space="preserve"> </w:t>
      </w:r>
      <w:r w:rsidR="0035619E" w:rsidRPr="00E46111">
        <w:rPr>
          <w:lang w:val="ru-RU"/>
        </w:rPr>
        <w:t xml:space="preserve">говорят, что название проекта </w:t>
      </w:r>
      <w:r w:rsidR="0093409A" w:rsidRPr="00E46111">
        <w:rPr>
          <w:lang w:val="ru-RU"/>
        </w:rPr>
        <w:t>Р</w:t>
      </w:r>
      <w:r w:rsidR="0035619E" w:rsidRPr="00E46111">
        <w:rPr>
          <w:lang w:val="ru-RU"/>
        </w:rPr>
        <w:t>езолюции было сформулировано по итогам продолжительных переговоров и на основе множества разных предложений. В связи с этим не следует</w:t>
      </w:r>
      <w:bookmarkStart w:id="19" w:name="lt_pId089"/>
      <w:bookmarkEnd w:id="18"/>
      <w:r w:rsidR="0093409A" w:rsidRPr="00E46111">
        <w:rPr>
          <w:lang w:val="ru-RU"/>
        </w:rPr>
        <w:t xml:space="preserve"> вносить в него изменения</w:t>
      </w:r>
      <w:r w:rsidR="002906B8" w:rsidRPr="00E46111">
        <w:rPr>
          <w:lang w:val="ru-RU"/>
        </w:rPr>
        <w:t>.</w:t>
      </w:r>
      <w:bookmarkEnd w:id="19"/>
    </w:p>
    <w:p w:rsidR="002906B8" w:rsidRPr="00E46111" w:rsidRDefault="002906B8" w:rsidP="0035619E">
      <w:pPr>
        <w:rPr>
          <w:lang w:val="ru-RU"/>
        </w:rPr>
      </w:pPr>
      <w:r w:rsidRPr="00E46111">
        <w:rPr>
          <w:lang w:val="ru-RU"/>
        </w:rPr>
        <w:t>4.5</w:t>
      </w:r>
      <w:r w:rsidRPr="00E46111">
        <w:rPr>
          <w:lang w:val="ru-RU"/>
        </w:rPr>
        <w:tab/>
      </w:r>
      <w:bookmarkStart w:id="20" w:name="lt_pId091"/>
      <w:r w:rsidR="0035619E" w:rsidRPr="00E46111">
        <w:rPr>
          <w:b/>
          <w:bCs/>
          <w:lang w:val="ru-RU"/>
        </w:rPr>
        <w:t>Делегат от Исламской Республики Иран</w:t>
      </w:r>
      <w:r w:rsidRPr="00E46111">
        <w:rPr>
          <w:lang w:val="ru-RU"/>
        </w:rPr>
        <w:t xml:space="preserve"> </w:t>
      </w:r>
      <w:r w:rsidR="0035619E" w:rsidRPr="00E46111">
        <w:rPr>
          <w:lang w:val="ru-RU"/>
        </w:rPr>
        <w:t>снимает предложенную им поправку</w:t>
      </w:r>
      <w:r w:rsidRPr="00E46111">
        <w:rPr>
          <w:lang w:val="ru-RU"/>
        </w:rPr>
        <w:t>.</w:t>
      </w:r>
      <w:bookmarkEnd w:id="20"/>
    </w:p>
    <w:p w:rsidR="002906B8" w:rsidRPr="00E46111" w:rsidRDefault="002906B8" w:rsidP="007670DA">
      <w:pPr>
        <w:rPr>
          <w:lang w:val="ru-RU"/>
        </w:rPr>
      </w:pPr>
      <w:r w:rsidRPr="00E46111">
        <w:rPr>
          <w:lang w:val="ru-RU"/>
        </w:rPr>
        <w:t>4.6</w:t>
      </w:r>
      <w:r w:rsidRPr="00E46111">
        <w:rPr>
          <w:lang w:val="ru-RU"/>
        </w:rPr>
        <w:tab/>
      </w:r>
      <w:bookmarkStart w:id="21" w:name="lt_pId093"/>
      <w:r w:rsidRPr="00E46111">
        <w:rPr>
          <w:lang w:val="ru-RU"/>
        </w:rPr>
        <w:t xml:space="preserve">Проект Резолюции </w:t>
      </w:r>
      <w:proofErr w:type="spellStart"/>
      <w:r w:rsidRPr="00E46111">
        <w:rPr>
          <w:lang w:val="ru-RU"/>
        </w:rPr>
        <w:t>WGPL</w:t>
      </w:r>
      <w:proofErr w:type="spellEnd"/>
      <w:r w:rsidRPr="00E46111">
        <w:rPr>
          <w:lang w:val="ru-RU"/>
        </w:rPr>
        <w:t xml:space="preserve">/3 (Дубай, 2018 г.) </w:t>
      </w:r>
      <w:r w:rsidR="007670DA" w:rsidRPr="00E46111">
        <w:rPr>
          <w:b/>
          <w:bCs/>
          <w:lang w:val="ru-RU"/>
        </w:rPr>
        <w:t>принимается</w:t>
      </w:r>
      <w:r w:rsidRPr="00E46111">
        <w:rPr>
          <w:lang w:val="ru-RU"/>
        </w:rPr>
        <w:t>.</w:t>
      </w:r>
      <w:bookmarkEnd w:id="21"/>
    </w:p>
    <w:p w:rsidR="002906B8" w:rsidRPr="00E46111" w:rsidRDefault="002906B8" w:rsidP="002906B8">
      <w:pPr>
        <w:rPr>
          <w:b/>
          <w:bCs/>
          <w:lang w:val="ru-RU"/>
        </w:rPr>
      </w:pPr>
      <w:r w:rsidRPr="00E46111">
        <w:rPr>
          <w:b/>
          <w:bCs/>
          <w:lang w:val="ru-RU"/>
        </w:rPr>
        <w:t xml:space="preserve">Проект Рекомендации </w:t>
      </w:r>
      <w:proofErr w:type="spellStart"/>
      <w:r w:rsidRPr="00E46111">
        <w:rPr>
          <w:rFonts w:asciiTheme="minorHAnsi" w:hAnsiTheme="minorHAnsi"/>
          <w:b/>
          <w:bCs/>
          <w:szCs w:val="24"/>
          <w:lang w:val="ru-RU"/>
        </w:rPr>
        <w:t>WGPL</w:t>
      </w:r>
      <w:proofErr w:type="spellEnd"/>
      <w:r w:rsidRPr="00E46111">
        <w:rPr>
          <w:rFonts w:asciiTheme="minorHAnsi" w:hAnsiTheme="minorHAnsi"/>
          <w:b/>
          <w:bCs/>
          <w:szCs w:val="24"/>
          <w:lang w:val="ru-RU"/>
        </w:rPr>
        <w:t>/1</w:t>
      </w:r>
      <w:r w:rsidRPr="00E46111">
        <w:rPr>
          <w:b/>
          <w:bCs/>
          <w:lang w:val="ru-RU"/>
        </w:rPr>
        <w:t xml:space="preserve"> (Дубай, 2018 г.) − Роль МСЭ в поддержке использования информационно-коммуникационных технологий в целях борьбы с торговлей людьми</w:t>
      </w:r>
    </w:p>
    <w:p w:rsidR="009207C1" w:rsidRPr="00E46111" w:rsidRDefault="009207C1" w:rsidP="009207C1">
      <w:pPr>
        <w:rPr>
          <w:lang w:val="ru-RU"/>
        </w:rPr>
      </w:pPr>
      <w:r w:rsidRPr="00E46111">
        <w:rPr>
          <w:lang w:val="ru-RU"/>
        </w:rPr>
        <w:t>4.7</w:t>
      </w:r>
      <w:r w:rsidRPr="00E46111">
        <w:rPr>
          <w:lang w:val="ru-RU"/>
        </w:rPr>
        <w:tab/>
      </w:r>
      <w:r w:rsidRPr="00E46111">
        <w:rPr>
          <w:rFonts w:asciiTheme="minorHAnsi" w:hAnsiTheme="minorHAnsi"/>
          <w:b/>
          <w:bCs/>
          <w:szCs w:val="22"/>
          <w:lang w:val="ru-RU"/>
        </w:rPr>
        <w:t>Принимается</w:t>
      </w:r>
      <w:r w:rsidRPr="00E46111">
        <w:rPr>
          <w:lang w:val="ru-RU"/>
        </w:rPr>
        <w:t>.</w:t>
      </w:r>
    </w:p>
    <w:p w:rsidR="00FE3FB5" w:rsidRPr="00E46111" w:rsidRDefault="00FE3FB5" w:rsidP="00FE3FB5">
      <w:pPr>
        <w:rPr>
          <w:lang w:val="ru-RU"/>
        </w:rPr>
      </w:pPr>
      <w:r w:rsidRPr="00E46111">
        <w:rPr>
          <w:lang w:val="ru-RU"/>
        </w:rPr>
        <w:t>4.8</w:t>
      </w:r>
      <w:r w:rsidRPr="00E46111">
        <w:rPr>
          <w:lang w:val="ru-RU"/>
        </w:rPr>
        <w:tab/>
      </w:r>
      <w:r w:rsidRPr="00E46111">
        <w:rPr>
          <w:rFonts w:asciiTheme="minorHAnsi" w:hAnsiTheme="minorHAnsi"/>
          <w:szCs w:val="22"/>
          <w:lang w:val="ru-RU"/>
        </w:rPr>
        <w:t>Двенадцатая серия текстов, представленных Редакционным комитетом для первого чтения (</w:t>
      </w:r>
      <w:proofErr w:type="spellStart"/>
      <w:r w:rsidRPr="00E46111">
        <w:rPr>
          <w:rFonts w:asciiTheme="minorHAnsi" w:hAnsiTheme="minorHAnsi"/>
          <w:szCs w:val="22"/>
          <w:lang w:val="ru-RU"/>
        </w:rPr>
        <w:t>В12</w:t>
      </w:r>
      <w:proofErr w:type="spellEnd"/>
      <w:r w:rsidRPr="00E46111">
        <w:rPr>
          <w:rFonts w:asciiTheme="minorHAnsi" w:hAnsiTheme="minorHAnsi"/>
          <w:szCs w:val="22"/>
          <w:lang w:val="ru-RU"/>
        </w:rPr>
        <w:t xml:space="preserve">) (Документ 138), </w:t>
      </w:r>
      <w:r w:rsidRPr="00E46111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Pr="00E46111">
        <w:rPr>
          <w:rFonts w:asciiTheme="minorHAnsi" w:hAnsiTheme="minorHAnsi"/>
          <w:lang w:val="ru-RU"/>
        </w:rPr>
        <w:t>.</w:t>
      </w:r>
    </w:p>
    <w:p w:rsidR="00E4422C" w:rsidRPr="00E46111" w:rsidRDefault="00E4422C" w:rsidP="00E2074A">
      <w:pPr>
        <w:pStyle w:val="Heading1"/>
        <w:rPr>
          <w:lang w:val="ru-RU"/>
        </w:rPr>
      </w:pPr>
      <w:r w:rsidRPr="00E46111">
        <w:rPr>
          <w:lang w:val="ru-RU"/>
        </w:rPr>
        <w:t>5</w:t>
      </w:r>
      <w:r w:rsidRPr="00E46111">
        <w:rPr>
          <w:lang w:val="ru-RU"/>
        </w:rPr>
        <w:tab/>
      </w:r>
      <w:r w:rsidR="00E2074A" w:rsidRPr="00E46111">
        <w:rPr>
          <w:lang w:val="ru-RU"/>
        </w:rPr>
        <w:t>Вторая серия текстов, представленных Редакционным комитетом для второго чтения (</w:t>
      </w:r>
      <w:proofErr w:type="spellStart"/>
      <w:r w:rsidR="00E2074A" w:rsidRPr="00E46111">
        <w:rPr>
          <w:lang w:val="ru-RU"/>
        </w:rPr>
        <w:t>R2</w:t>
      </w:r>
      <w:proofErr w:type="spellEnd"/>
      <w:r w:rsidR="00E2074A" w:rsidRPr="00E46111">
        <w:rPr>
          <w:lang w:val="ru-RU"/>
        </w:rPr>
        <w:t xml:space="preserve">) (Документ </w:t>
      </w:r>
      <w:hyperlink r:id="rId20" w:history="1">
        <w:r w:rsidR="00E2074A" w:rsidRPr="00E46111">
          <w:rPr>
            <w:rStyle w:val="Hyperlink"/>
            <w:lang w:val="ru-RU"/>
          </w:rPr>
          <w:t>151</w:t>
        </w:r>
      </w:hyperlink>
      <w:r w:rsidR="00E2074A" w:rsidRPr="00E46111">
        <w:rPr>
          <w:lang w:val="ru-RU"/>
        </w:rPr>
        <w:t>)</w:t>
      </w:r>
    </w:p>
    <w:p w:rsidR="00B1049B" w:rsidRPr="00E46111" w:rsidRDefault="00EB2937" w:rsidP="00EB2937">
      <w:pPr>
        <w:rPr>
          <w:lang w:val="ru-RU"/>
        </w:rPr>
      </w:pPr>
      <w:r w:rsidRPr="00E46111">
        <w:rPr>
          <w:b/>
          <w:bCs/>
          <w:lang w:val="ru-RU"/>
        </w:rPr>
        <w:t>Проект Резолюции 175 (</w:t>
      </w:r>
      <w:proofErr w:type="spellStart"/>
      <w:r w:rsidRPr="00E46111">
        <w:rPr>
          <w:b/>
          <w:bCs/>
          <w:lang w:val="ru-RU"/>
        </w:rPr>
        <w:t>Пересм</w:t>
      </w:r>
      <w:proofErr w:type="spellEnd"/>
      <w:r w:rsidRPr="00E46111">
        <w:rPr>
          <w:b/>
          <w:bCs/>
          <w:lang w:val="ru-RU"/>
        </w:rPr>
        <w:t xml:space="preserve">. Дубай, 2018 г.) − </w:t>
      </w:r>
      <w:bookmarkStart w:id="22" w:name="_Toc407102977"/>
      <w:r w:rsidRPr="00E46111">
        <w:rPr>
          <w:b/>
          <w:bCs/>
          <w:lang w:val="ru-RU"/>
        </w:rPr>
        <w:t>Доступ к электросвязи/информационно-коммуникационным технологиям для лиц с ограниченными возможностями и лиц с особыми потребностями</w:t>
      </w:r>
      <w:bookmarkEnd w:id="22"/>
    </w:p>
    <w:p w:rsidR="00E4422C" w:rsidRPr="00E46111" w:rsidRDefault="00E4422C" w:rsidP="00E2074A">
      <w:pPr>
        <w:rPr>
          <w:lang w:val="ru-RU"/>
        </w:rPr>
      </w:pPr>
      <w:r w:rsidRPr="00E46111">
        <w:rPr>
          <w:lang w:val="ru-RU"/>
        </w:rPr>
        <w:t>5.1</w:t>
      </w:r>
      <w:r w:rsidRPr="00E46111">
        <w:rPr>
          <w:lang w:val="ru-RU"/>
        </w:rPr>
        <w:tab/>
      </w:r>
      <w:r w:rsidR="00E2074A" w:rsidRPr="00E46111">
        <w:rPr>
          <w:rFonts w:asciiTheme="minorHAnsi" w:hAnsiTheme="minorHAnsi"/>
          <w:b/>
          <w:bCs/>
          <w:szCs w:val="22"/>
          <w:lang w:val="ru-RU"/>
        </w:rPr>
        <w:t>Принимается</w:t>
      </w:r>
      <w:r w:rsidR="00E2074A" w:rsidRPr="00E46111">
        <w:rPr>
          <w:lang w:val="ru-RU"/>
        </w:rPr>
        <w:t>.</w:t>
      </w:r>
    </w:p>
    <w:p w:rsidR="00E4422C" w:rsidRPr="00E46111" w:rsidRDefault="00E4422C" w:rsidP="00B1049B">
      <w:pPr>
        <w:rPr>
          <w:lang w:val="ru-RU"/>
        </w:rPr>
      </w:pPr>
      <w:r w:rsidRPr="00E46111">
        <w:rPr>
          <w:lang w:val="ru-RU"/>
        </w:rPr>
        <w:t>5.2</w:t>
      </w:r>
      <w:r w:rsidRPr="00E46111">
        <w:rPr>
          <w:lang w:val="ru-RU"/>
        </w:rPr>
        <w:tab/>
      </w:r>
      <w:r w:rsidR="00B1049B" w:rsidRPr="00E46111">
        <w:rPr>
          <w:lang w:val="ru-RU"/>
        </w:rPr>
        <w:t>Вторая серия текстов, представленных Редакционным комитетом для второго чтения (</w:t>
      </w:r>
      <w:proofErr w:type="spellStart"/>
      <w:r w:rsidR="00B1049B" w:rsidRPr="00E46111">
        <w:rPr>
          <w:lang w:val="ru-RU"/>
        </w:rPr>
        <w:t>R2</w:t>
      </w:r>
      <w:proofErr w:type="spellEnd"/>
      <w:r w:rsidR="00B1049B" w:rsidRPr="00E46111">
        <w:rPr>
          <w:lang w:val="ru-RU"/>
        </w:rPr>
        <w:t>) (Документ 151),</w:t>
      </w:r>
      <w:r w:rsidR="00B1049B" w:rsidRPr="00E46111">
        <w:rPr>
          <w:rFonts w:asciiTheme="minorHAnsi" w:hAnsiTheme="minorHAnsi"/>
          <w:szCs w:val="22"/>
          <w:lang w:val="ru-RU"/>
        </w:rPr>
        <w:t xml:space="preserve"> </w:t>
      </w:r>
      <w:r w:rsidR="00B1049B" w:rsidRPr="00E46111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="00B1049B" w:rsidRPr="00E46111">
        <w:rPr>
          <w:rFonts w:asciiTheme="minorHAnsi" w:hAnsiTheme="minorHAnsi"/>
          <w:lang w:val="ru-RU"/>
        </w:rPr>
        <w:t>.</w:t>
      </w:r>
    </w:p>
    <w:p w:rsidR="00E4422C" w:rsidRPr="00E46111" w:rsidRDefault="00495042" w:rsidP="00404A89">
      <w:pPr>
        <w:pStyle w:val="Heading1"/>
        <w:rPr>
          <w:lang w:val="ru-RU"/>
        </w:rPr>
      </w:pPr>
      <w:r w:rsidRPr="00E46111">
        <w:rPr>
          <w:lang w:val="ru-RU"/>
        </w:rPr>
        <w:lastRenderedPageBreak/>
        <w:t>6</w:t>
      </w:r>
      <w:r w:rsidR="00E4422C" w:rsidRPr="00E46111">
        <w:rPr>
          <w:lang w:val="ru-RU"/>
        </w:rPr>
        <w:tab/>
      </w:r>
      <w:r w:rsidR="00404A89" w:rsidRPr="00E46111">
        <w:rPr>
          <w:lang w:val="ru-RU"/>
        </w:rPr>
        <w:t>Третья серия текстов, представленных Редакционным комитетом для второго чтения (</w:t>
      </w:r>
      <w:proofErr w:type="spellStart"/>
      <w:r w:rsidR="00404A89" w:rsidRPr="00E46111">
        <w:rPr>
          <w:lang w:val="ru-RU"/>
        </w:rPr>
        <w:t>R3</w:t>
      </w:r>
      <w:proofErr w:type="spellEnd"/>
      <w:r w:rsidR="00404A89" w:rsidRPr="00E46111">
        <w:rPr>
          <w:lang w:val="ru-RU"/>
        </w:rPr>
        <w:t xml:space="preserve">) (Документ </w:t>
      </w:r>
      <w:hyperlink r:id="rId21" w:history="1">
        <w:r w:rsidR="00404A89" w:rsidRPr="00E46111">
          <w:rPr>
            <w:rStyle w:val="Hyperlink"/>
            <w:lang w:val="ru-RU"/>
          </w:rPr>
          <w:t>152</w:t>
        </w:r>
      </w:hyperlink>
      <w:r w:rsidR="00404A89" w:rsidRPr="00E46111">
        <w:rPr>
          <w:lang w:val="ru-RU"/>
        </w:rPr>
        <w:t>)</w:t>
      </w:r>
    </w:p>
    <w:p w:rsidR="00E4422C" w:rsidRPr="00E46111" w:rsidRDefault="00E4422C" w:rsidP="00404A89">
      <w:pPr>
        <w:rPr>
          <w:rFonts w:ascii="Times New Roman" w:hAnsi="Times New Roman"/>
          <w:sz w:val="24"/>
          <w:szCs w:val="24"/>
          <w:lang w:val="ru-RU" w:eastAsia="zh-CN"/>
        </w:rPr>
      </w:pPr>
      <w:r w:rsidRPr="00E46111">
        <w:rPr>
          <w:b/>
          <w:bCs/>
          <w:lang w:val="ru-RU"/>
        </w:rPr>
        <w:t xml:space="preserve">Проект Резолюции </w:t>
      </w:r>
      <w:r w:rsidR="00404A89" w:rsidRPr="00E46111">
        <w:rPr>
          <w:b/>
          <w:bCs/>
          <w:lang w:val="ru-RU"/>
        </w:rPr>
        <w:t>123</w:t>
      </w:r>
      <w:r w:rsidRPr="00E46111">
        <w:rPr>
          <w:b/>
          <w:bCs/>
          <w:lang w:val="ru-RU"/>
        </w:rPr>
        <w:t xml:space="preserve"> (</w:t>
      </w:r>
      <w:proofErr w:type="spellStart"/>
      <w:r w:rsidRPr="00E46111">
        <w:rPr>
          <w:b/>
          <w:bCs/>
          <w:lang w:val="ru-RU"/>
        </w:rPr>
        <w:t>Пересм</w:t>
      </w:r>
      <w:proofErr w:type="spellEnd"/>
      <w:r w:rsidRPr="00E46111">
        <w:rPr>
          <w:b/>
          <w:bCs/>
          <w:lang w:val="ru-RU"/>
        </w:rPr>
        <w:t xml:space="preserve">. Дубай, 2018 г.) – </w:t>
      </w:r>
      <w:bookmarkStart w:id="23" w:name="_Toc407102927"/>
      <w:r w:rsidR="00404A89" w:rsidRPr="00E46111">
        <w:rPr>
          <w:b/>
          <w:bCs/>
          <w:lang w:val="ru-RU"/>
        </w:rPr>
        <w:t>Преодоление разрыва в стандартизации между развивающимися и развитыми странами</w:t>
      </w:r>
      <w:bookmarkEnd w:id="23"/>
      <w:r w:rsidR="00404A89" w:rsidRPr="00E46111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</w:p>
    <w:p w:rsidR="00915CB8" w:rsidRPr="00E46111" w:rsidRDefault="00495042" w:rsidP="00CB3162">
      <w:pPr>
        <w:rPr>
          <w:b/>
          <w:lang w:val="ru-RU"/>
        </w:rPr>
      </w:pPr>
      <w:r w:rsidRPr="00E46111">
        <w:rPr>
          <w:lang w:val="ru-RU"/>
        </w:rPr>
        <w:t>6.1</w:t>
      </w:r>
      <w:r w:rsidRPr="00E46111">
        <w:rPr>
          <w:b/>
          <w:lang w:val="ru-RU"/>
        </w:rPr>
        <w:tab/>
      </w:r>
      <w:r w:rsidR="00CB3162" w:rsidRPr="00E46111">
        <w:rPr>
          <w:b/>
          <w:bCs/>
          <w:lang w:val="ru-RU"/>
        </w:rPr>
        <w:t>Принимается</w:t>
      </w:r>
      <w:r w:rsidRPr="00E46111">
        <w:rPr>
          <w:bCs/>
          <w:lang w:val="ru-RU"/>
        </w:rPr>
        <w:t>.</w:t>
      </w:r>
    </w:p>
    <w:p w:rsidR="00495042" w:rsidRPr="00E46111" w:rsidRDefault="00495042" w:rsidP="00405788">
      <w:pPr>
        <w:rPr>
          <w:lang w:val="ru-RU"/>
        </w:rPr>
      </w:pPr>
      <w:r w:rsidRPr="00E46111">
        <w:rPr>
          <w:lang w:val="ru-RU"/>
        </w:rPr>
        <w:t>6.2</w:t>
      </w:r>
      <w:r w:rsidRPr="00E46111">
        <w:rPr>
          <w:lang w:val="ru-RU"/>
        </w:rPr>
        <w:tab/>
      </w:r>
      <w:r w:rsidR="00405788" w:rsidRPr="00E46111">
        <w:rPr>
          <w:lang w:val="ru-RU"/>
        </w:rPr>
        <w:t>Третья серия текстов, представленных Редакционным комитетом для второго чтения (</w:t>
      </w:r>
      <w:proofErr w:type="spellStart"/>
      <w:r w:rsidR="00405788" w:rsidRPr="00E46111">
        <w:rPr>
          <w:lang w:val="ru-RU"/>
        </w:rPr>
        <w:t>R3</w:t>
      </w:r>
      <w:proofErr w:type="spellEnd"/>
      <w:r w:rsidR="00405788" w:rsidRPr="00E46111">
        <w:rPr>
          <w:lang w:val="ru-RU"/>
        </w:rPr>
        <w:t>) (Документ 152),</w:t>
      </w:r>
      <w:r w:rsidR="00405788" w:rsidRPr="00E46111">
        <w:rPr>
          <w:rFonts w:asciiTheme="minorHAnsi" w:hAnsiTheme="minorHAnsi"/>
          <w:szCs w:val="22"/>
          <w:lang w:val="ru-RU"/>
        </w:rPr>
        <w:t xml:space="preserve"> </w:t>
      </w:r>
      <w:r w:rsidR="00405788" w:rsidRPr="00E46111">
        <w:rPr>
          <w:rFonts w:asciiTheme="minorHAnsi" w:hAnsiTheme="minorHAnsi"/>
          <w:b/>
          <w:bCs/>
          <w:szCs w:val="22"/>
          <w:lang w:val="ru-RU"/>
        </w:rPr>
        <w:t>утверждается</w:t>
      </w:r>
      <w:r w:rsidR="00405788" w:rsidRPr="00E46111">
        <w:rPr>
          <w:rFonts w:asciiTheme="minorHAnsi" w:hAnsiTheme="minorHAnsi"/>
          <w:lang w:val="ru-RU"/>
        </w:rPr>
        <w:t>.</w:t>
      </w:r>
    </w:p>
    <w:p w:rsidR="00124215" w:rsidRPr="00E46111" w:rsidRDefault="00124215" w:rsidP="00DD1F10">
      <w:pPr>
        <w:pStyle w:val="Heading1"/>
        <w:rPr>
          <w:lang w:val="ru-RU"/>
        </w:rPr>
      </w:pPr>
      <w:r w:rsidRPr="00E46111">
        <w:rPr>
          <w:lang w:val="ru-RU"/>
        </w:rPr>
        <w:t>7</w:t>
      </w:r>
      <w:r w:rsidRPr="00E46111">
        <w:rPr>
          <w:lang w:val="ru-RU"/>
        </w:rPr>
        <w:tab/>
      </w:r>
      <w:r w:rsidR="00DD1F10" w:rsidRPr="00E46111">
        <w:rPr>
          <w:lang w:val="ru-RU"/>
        </w:rPr>
        <w:t xml:space="preserve">Одиннадцатая серия текстов, представленных Редакционным комитетом – второе чтение (Документ </w:t>
      </w:r>
      <w:hyperlink r:id="rId22" w:history="1">
        <w:r w:rsidR="00DD1F10" w:rsidRPr="00E46111">
          <w:rPr>
            <w:rStyle w:val="Hyperlink"/>
            <w:lang w:val="ru-RU"/>
          </w:rPr>
          <w:t>137</w:t>
        </w:r>
      </w:hyperlink>
      <w:r w:rsidR="00DD1F10" w:rsidRPr="00E46111">
        <w:rPr>
          <w:lang w:val="ru-RU"/>
        </w:rPr>
        <w:t>)</w:t>
      </w:r>
    </w:p>
    <w:p w:rsidR="00124215" w:rsidRPr="00E46111" w:rsidRDefault="00124215" w:rsidP="00DD1F10">
      <w:pPr>
        <w:rPr>
          <w:lang w:val="ru-RU"/>
        </w:rPr>
      </w:pPr>
      <w:r w:rsidRPr="00E46111">
        <w:rPr>
          <w:lang w:val="ru-RU"/>
        </w:rPr>
        <w:t>7.1</w:t>
      </w:r>
      <w:r w:rsidRPr="00E46111">
        <w:rPr>
          <w:lang w:val="ru-RU"/>
        </w:rPr>
        <w:tab/>
      </w:r>
      <w:r w:rsidR="00DD1F10" w:rsidRPr="00E46111">
        <w:rPr>
          <w:lang w:val="ru-RU"/>
        </w:rPr>
        <w:t xml:space="preserve">Одиннадцатая серия текстов, представленных Редакционным комитетом (Документ 137) </w:t>
      </w:r>
      <w:r w:rsidR="00DD1F10" w:rsidRPr="00E46111">
        <w:rPr>
          <w:rFonts w:asciiTheme="minorHAnsi" w:hAnsiTheme="minorHAnsi"/>
          <w:b/>
          <w:bCs/>
          <w:szCs w:val="22"/>
          <w:lang w:val="ru-RU"/>
        </w:rPr>
        <w:t xml:space="preserve">утверждается </w:t>
      </w:r>
      <w:r w:rsidR="00DD1F10" w:rsidRPr="00E46111">
        <w:rPr>
          <w:lang w:val="ru-RU"/>
        </w:rPr>
        <w:t>во втором чтении</w:t>
      </w:r>
      <w:r w:rsidR="00DD1F10" w:rsidRPr="00E46111">
        <w:rPr>
          <w:rFonts w:asciiTheme="minorHAnsi" w:hAnsiTheme="minorHAnsi"/>
          <w:lang w:val="ru-RU"/>
        </w:rPr>
        <w:t>.</w:t>
      </w:r>
    </w:p>
    <w:p w:rsidR="00124215" w:rsidRPr="00E46111" w:rsidRDefault="00124215" w:rsidP="00EC4368">
      <w:pPr>
        <w:pStyle w:val="Heading1"/>
        <w:rPr>
          <w:lang w:val="ru-RU"/>
        </w:rPr>
      </w:pPr>
      <w:r w:rsidRPr="00E46111">
        <w:rPr>
          <w:lang w:val="ru-RU"/>
        </w:rPr>
        <w:t>8</w:t>
      </w:r>
      <w:r w:rsidRPr="00E46111">
        <w:rPr>
          <w:lang w:val="ru-RU"/>
        </w:rPr>
        <w:tab/>
      </w:r>
      <w:r w:rsidR="00EC4368" w:rsidRPr="00E46111">
        <w:rPr>
          <w:lang w:val="ru-RU"/>
        </w:rPr>
        <w:t xml:space="preserve">Двенадцатая серия текстов, представленных Редакционным комитетом – второе чтение (Документ </w:t>
      </w:r>
      <w:hyperlink r:id="rId23" w:history="1">
        <w:r w:rsidR="00EC4368" w:rsidRPr="00E46111">
          <w:rPr>
            <w:rStyle w:val="Hyperlink"/>
            <w:lang w:val="ru-RU"/>
          </w:rPr>
          <w:t>138</w:t>
        </w:r>
      </w:hyperlink>
      <w:r w:rsidR="00EC4368" w:rsidRPr="00E46111">
        <w:rPr>
          <w:lang w:val="ru-RU"/>
        </w:rPr>
        <w:t>)</w:t>
      </w:r>
    </w:p>
    <w:p w:rsidR="00124215" w:rsidRPr="00E46111" w:rsidRDefault="00124215" w:rsidP="00EC4368">
      <w:pPr>
        <w:rPr>
          <w:lang w:val="ru-RU"/>
        </w:rPr>
      </w:pPr>
      <w:r w:rsidRPr="00E46111">
        <w:rPr>
          <w:lang w:val="ru-RU"/>
        </w:rPr>
        <w:t>8.1</w:t>
      </w:r>
      <w:r w:rsidRPr="00E46111">
        <w:rPr>
          <w:lang w:val="ru-RU"/>
        </w:rPr>
        <w:tab/>
      </w:r>
      <w:r w:rsidR="00EC4368" w:rsidRPr="00E46111">
        <w:rPr>
          <w:lang w:val="ru-RU"/>
        </w:rPr>
        <w:t xml:space="preserve">Двенадцатая серия текстов, представленных Редакционным комитетом (Документ 138) </w:t>
      </w:r>
      <w:r w:rsidR="00EC4368" w:rsidRPr="00E46111">
        <w:rPr>
          <w:rFonts w:asciiTheme="minorHAnsi" w:hAnsiTheme="minorHAnsi"/>
          <w:b/>
          <w:bCs/>
          <w:szCs w:val="22"/>
          <w:lang w:val="ru-RU"/>
        </w:rPr>
        <w:t xml:space="preserve">утверждается </w:t>
      </w:r>
      <w:r w:rsidR="00EC4368" w:rsidRPr="00E46111">
        <w:rPr>
          <w:lang w:val="ru-RU"/>
        </w:rPr>
        <w:t>во втором чтении</w:t>
      </w:r>
      <w:r w:rsidR="00EC4368" w:rsidRPr="00E46111">
        <w:rPr>
          <w:rFonts w:asciiTheme="minorHAnsi" w:hAnsiTheme="minorHAnsi"/>
          <w:lang w:val="ru-RU"/>
        </w:rPr>
        <w:t>.</w:t>
      </w:r>
    </w:p>
    <w:p w:rsidR="00B75767" w:rsidRPr="00E46111" w:rsidRDefault="00B75767" w:rsidP="00EC4368">
      <w:pPr>
        <w:rPr>
          <w:b/>
          <w:bCs/>
          <w:lang w:val="ru-RU"/>
        </w:rPr>
      </w:pPr>
      <w:r w:rsidRPr="00E46111">
        <w:rPr>
          <w:b/>
          <w:bCs/>
          <w:lang w:val="ru-RU"/>
        </w:rPr>
        <w:t xml:space="preserve">Заседание закрывается в </w:t>
      </w:r>
      <w:r w:rsidR="00EC4368" w:rsidRPr="00E46111">
        <w:rPr>
          <w:b/>
          <w:bCs/>
          <w:lang w:val="ru-RU"/>
        </w:rPr>
        <w:t>21</w:t>
      </w:r>
      <w:r w:rsidRPr="00E46111">
        <w:rPr>
          <w:b/>
          <w:bCs/>
          <w:lang w:val="ru-RU"/>
        </w:rPr>
        <w:t xml:space="preserve"> час. </w:t>
      </w:r>
      <w:r w:rsidR="00EC4368" w:rsidRPr="00E46111">
        <w:rPr>
          <w:b/>
          <w:bCs/>
          <w:lang w:val="ru-RU"/>
        </w:rPr>
        <w:t>4</w:t>
      </w:r>
      <w:r w:rsidRPr="00E46111">
        <w:rPr>
          <w:b/>
          <w:bCs/>
          <w:lang w:val="ru-RU"/>
        </w:rPr>
        <w:t>5 мин</w:t>
      </w:r>
      <w:r w:rsidRPr="00E46111">
        <w:rPr>
          <w:lang w:val="ru-RU"/>
        </w:rPr>
        <w:t>.</w:t>
      </w:r>
    </w:p>
    <w:p w:rsidR="00B75767" w:rsidRPr="00E46111" w:rsidRDefault="00B75767" w:rsidP="00E4611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804"/>
        </w:tabs>
        <w:spacing w:before="1080"/>
        <w:rPr>
          <w:rFonts w:asciiTheme="minorHAnsi" w:hAnsiTheme="minorHAnsi"/>
          <w:szCs w:val="22"/>
          <w:lang w:val="ru-RU"/>
        </w:rPr>
      </w:pPr>
      <w:r w:rsidRPr="00E46111">
        <w:rPr>
          <w:lang w:val="ru-RU"/>
        </w:rPr>
        <w:t xml:space="preserve">Генеральный </w:t>
      </w:r>
      <w:proofErr w:type="gramStart"/>
      <w:r w:rsidRPr="00E46111">
        <w:rPr>
          <w:lang w:val="ru-RU"/>
        </w:rPr>
        <w:t>секретарь:</w:t>
      </w:r>
      <w:r w:rsidRPr="00E46111">
        <w:rPr>
          <w:lang w:val="ru-RU"/>
        </w:rPr>
        <w:tab/>
      </w:r>
      <w:proofErr w:type="gramEnd"/>
      <w:r w:rsidRPr="00E46111">
        <w:rPr>
          <w:lang w:val="ru-RU"/>
        </w:rPr>
        <w:t>Председатель:</w:t>
      </w:r>
      <w:r w:rsidRPr="00E46111">
        <w:rPr>
          <w:lang w:val="ru-RU"/>
        </w:rPr>
        <w:br/>
      </w:r>
      <w:r w:rsidRPr="00E46111">
        <w:rPr>
          <w:szCs w:val="24"/>
          <w:lang w:val="ru-RU"/>
        </w:rPr>
        <w:t xml:space="preserve">Х. </w:t>
      </w:r>
      <w:proofErr w:type="spellStart"/>
      <w:r w:rsidRPr="00E46111">
        <w:rPr>
          <w:szCs w:val="24"/>
          <w:lang w:val="ru-RU"/>
        </w:rPr>
        <w:t>ЧЖАО</w:t>
      </w:r>
      <w:proofErr w:type="spellEnd"/>
      <w:r w:rsidRPr="00E46111">
        <w:rPr>
          <w:lang w:val="ru-RU"/>
        </w:rPr>
        <w:tab/>
        <w:t xml:space="preserve">М. </w:t>
      </w:r>
      <w:r w:rsidRPr="00E46111">
        <w:rPr>
          <w:rFonts w:asciiTheme="minorHAnsi" w:hAnsiTheme="minorHAnsi"/>
          <w:szCs w:val="22"/>
          <w:lang w:val="ru-RU"/>
        </w:rPr>
        <w:t>АЛЬ-</w:t>
      </w:r>
      <w:proofErr w:type="spellStart"/>
      <w:r w:rsidRPr="00E46111">
        <w:rPr>
          <w:rFonts w:asciiTheme="minorHAnsi" w:hAnsiTheme="minorHAnsi"/>
          <w:szCs w:val="22"/>
          <w:lang w:val="ru-RU"/>
        </w:rPr>
        <w:t>МЕСМАР</w:t>
      </w:r>
      <w:proofErr w:type="spellEnd"/>
    </w:p>
    <w:sectPr w:rsidR="00B75767" w:rsidRPr="00E46111" w:rsidSect="0002174D">
      <w:headerReference w:type="default" r:id="rId24"/>
      <w:footerReference w:type="default" r:id="rId25"/>
      <w:footerReference w:type="first" r:id="rId26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CB" w:rsidRDefault="006C39CB" w:rsidP="0079159C">
      <w:r>
        <w:separator/>
      </w:r>
    </w:p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4B3A6C"/>
    <w:p w:rsidR="006C39CB" w:rsidRDefault="006C39CB" w:rsidP="004B3A6C"/>
  </w:endnote>
  <w:endnote w:type="continuationSeparator" w:id="0">
    <w:p w:rsidR="006C39CB" w:rsidRDefault="006C39CB" w:rsidP="0079159C">
      <w:r>
        <w:continuationSeparator/>
      </w:r>
    </w:p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4B3A6C"/>
    <w:p w:rsidR="006C39CB" w:rsidRDefault="006C39C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CB" w:rsidRPr="001636BD" w:rsidRDefault="006C39CB" w:rsidP="00E80474">
    <w:pPr>
      <w:pStyle w:val="Footer"/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AE49DA">
      <w:rPr>
        <w:lang w:val="en-US"/>
      </w:rPr>
      <w:t>M</w:t>
    </w:r>
    <w:r w:rsidR="00AE49DA" w:rsidRPr="00AE49DA">
      <w:t>:\RUSSIAN\BOGDANOVA\SG</w:t>
    </w:r>
    <w:r w:rsidR="00AE49DA">
      <w:rPr>
        <w:lang w:val="en-US"/>
      </w:rPr>
      <w:t>\CONF-SG\PP18\172R.docx</w:t>
    </w:r>
    <w:r>
      <w:fldChar w:fldCharType="end"/>
    </w:r>
    <w:r>
      <w:t xml:space="preserve"> (</w:t>
    </w:r>
    <w:r w:rsidR="00E80474" w:rsidRPr="00E80474">
      <w:t>447946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6111">
      <w:t>13.12.18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49DA">
      <w:t>13.12.18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CB" w:rsidRDefault="006C39CB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C39CB" w:rsidRPr="001636BD" w:rsidRDefault="006C39CB" w:rsidP="00E80474">
    <w:pPr>
      <w:pStyle w:val="Footer"/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AE49DA">
      <w:rPr>
        <w:lang w:val="en-US"/>
      </w:rPr>
      <w:t>M</w:t>
    </w:r>
    <w:r w:rsidR="00AE49DA" w:rsidRPr="00AE49DA">
      <w:t>:\RUSSIAN\BOGDANOVA\SG</w:t>
    </w:r>
    <w:r w:rsidR="00AE49DA">
      <w:rPr>
        <w:lang w:val="en-US"/>
      </w:rPr>
      <w:t>\CONF-SG\PP18\172R.docx</w:t>
    </w:r>
    <w:r>
      <w:fldChar w:fldCharType="end"/>
    </w:r>
    <w:r>
      <w:t xml:space="preserve"> (</w:t>
    </w:r>
    <w:r w:rsidR="00E80474" w:rsidRPr="00E80474">
      <w:t>447946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46111">
      <w:t>13.12.18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E49DA">
      <w:t>13.12.18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CB" w:rsidRDefault="006C39CB" w:rsidP="0079159C">
      <w:r>
        <w:t>____________________</w:t>
      </w:r>
    </w:p>
  </w:footnote>
  <w:footnote w:type="continuationSeparator" w:id="0">
    <w:p w:rsidR="006C39CB" w:rsidRDefault="006C39CB" w:rsidP="0079159C">
      <w:r>
        <w:continuationSeparator/>
      </w:r>
    </w:p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79159C"/>
    <w:p w:rsidR="006C39CB" w:rsidRDefault="006C39CB" w:rsidP="004B3A6C"/>
    <w:p w:rsidR="006C39CB" w:rsidRDefault="006C39CB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CB" w:rsidRPr="00434A7C" w:rsidRDefault="006C39CB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46111">
      <w:rPr>
        <w:noProof/>
      </w:rPr>
      <w:t>4</w:t>
    </w:r>
    <w:r>
      <w:fldChar w:fldCharType="end"/>
    </w:r>
  </w:p>
  <w:p w:rsidR="006C39CB" w:rsidRPr="00F96AB4" w:rsidRDefault="006C39CB" w:rsidP="00BA029C">
    <w:pPr>
      <w:pStyle w:val="Header"/>
    </w:pPr>
    <w:r>
      <w:t>PP18/</w:t>
    </w:r>
    <w:r>
      <w:rPr>
        <w:lang w:val="ru-RU"/>
      </w:rPr>
      <w:t>1</w:t>
    </w:r>
    <w:r w:rsidR="00BA029C">
      <w:rPr>
        <w:lang w:val="ru-RU"/>
      </w:rPr>
      <w:t>72</w:t>
    </w:r>
    <w:r>
      <w:t>-R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E5"/>
    <w:rsid w:val="00006912"/>
    <w:rsid w:val="00014808"/>
    <w:rsid w:val="00015107"/>
    <w:rsid w:val="00016EB5"/>
    <w:rsid w:val="0002174D"/>
    <w:rsid w:val="000270F5"/>
    <w:rsid w:val="00027300"/>
    <w:rsid w:val="0003029E"/>
    <w:rsid w:val="00030424"/>
    <w:rsid w:val="00054D55"/>
    <w:rsid w:val="000626B1"/>
    <w:rsid w:val="00063CA3"/>
    <w:rsid w:val="00065F00"/>
    <w:rsid w:val="00066DE8"/>
    <w:rsid w:val="000701E4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7EA"/>
    <w:rsid w:val="000C68CB"/>
    <w:rsid w:val="000E3AAE"/>
    <w:rsid w:val="000E4C7A"/>
    <w:rsid w:val="000E63E8"/>
    <w:rsid w:val="00100DF6"/>
    <w:rsid w:val="00120697"/>
    <w:rsid w:val="0012401A"/>
    <w:rsid w:val="00124215"/>
    <w:rsid w:val="00130C1F"/>
    <w:rsid w:val="00137F78"/>
    <w:rsid w:val="00142ED7"/>
    <w:rsid w:val="0014768F"/>
    <w:rsid w:val="001636BD"/>
    <w:rsid w:val="00170AC3"/>
    <w:rsid w:val="00171990"/>
    <w:rsid w:val="00171E2E"/>
    <w:rsid w:val="0017541A"/>
    <w:rsid w:val="001821B9"/>
    <w:rsid w:val="001A0EEB"/>
    <w:rsid w:val="001B2BFF"/>
    <w:rsid w:val="001B5341"/>
    <w:rsid w:val="001B5FBF"/>
    <w:rsid w:val="001E3CC0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06B8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3DC3"/>
    <w:rsid w:val="003429D1"/>
    <w:rsid w:val="0034700C"/>
    <w:rsid w:val="0035619E"/>
    <w:rsid w:val="00375BBA"/>
    <w:rsid w:val="0038098A"/>
    <w:rsid w:val="00395CE4"/>
    <w:rsid w:val="003D60FD"/>
    <w:rsid w:val="003E66B5"/>
    <w:rsid w:val="003E7EAA"/>
    <w:rsid w:val="004014B0"/>
    <w:rsid w:val="00404A89"/>
    <w:rsid w:val="00405788"/>
    <w:rsid w:val="00426AC1"/>
    <w:rsid w:val="00455F82"/>
    <w:rsid w:val="004659A2"/>
    <w:rsid w:val="004676C0"/>
    <w:rsid w:val="00471ABB"/>
    <w:rsid w:val="00495042"/>
    <w:rsid w:val="004A6CDD"/>
    <w:rsid w:val="004B03E9"/>
    <w:rsid w:val="004B3A6C"/>
    <w:rsid w:val="004B70DA"/>
    <w:rsid w:val="004C029D"/>
    <w:rsid w:val="004C79E4"/>
    <w:rsid w:val="00501D5E"/>
    <w:rsid w:val="0052010F"/>
    <w:rsid w:val="005356FD"/>
    <w:rsid w:val="00541762"/>
    <w:rsid w:val="005544F2"/>
    <w:rsid w:val="00554E24"/>
    <w:rsid w:val="00563711"/>
    <w:rsid w:val="005653D6"/>
    <w:rsid w:val="00567130"/>
    <w:rsid w:val="00580F4A"/>
    <w:rsid w:val="00584918"/>
    <w:rsid w:val="005C3DE4"/>
    <w:rsid w:val="005C67E8"/>
    <w:rsid w:val="005D0C15"/>
    <w:rsid w:val="005F526C"/>
    <w:rsid w:val="00600272"/>
    <w:rsid w:val="00604371"/>
    <w:rsid w:val="006104EA"/>
    <w:rsid w:val="0061434A"/>
    <w:rsid w:val="00617BE4"/>
    <w:rsid w:val="00627A76"/>
    <w:rsid w:val="006418E6"/>
    <w:rsid w:val="00662C12"/>
    <w:rsid w:val="0067722F"/>
    <w:rsid w:val="00684FB5"/>
    <w:rsid w:val="006A077A"/>
    <w:rsid w:val="006B7F84"/>
    <w:rsid w:val="006C1A71"/>
    <w:rsid w:val="006C39CB"/>
    <w:rsid w:val="006E57C8"/>
    <w:rsid w:val="00706CC2"/>
    <w:rsid w:val="00710760"/>
    <w:rsid w:val="00712844"/>
    <w:rsid w:val="00727CDB"/>
    <w:rsid w:val="0073319E"/>
    <w:rsid w:val="00733439"/>
    <w:rsid w:val="007340B5"/>
    <w:rsid w:val="007467B6"/>
    <w:rsid w:val="00750829"/>
    <w:rsid w:val="00760830"/>
    <w:rsid w:val="007670DA"/>
    <w:rsid w:val="0079159C"/>
    <w:rsid w:val="007919C2"/>
    <w:rsid w:val="007B05E5"/>
    <w:rsid w:val="007C50AF"/>
    <w:rsid w:val="007E143B"/>
    <w:rsid w:val="007E4D0F"/>
    <w:rsid w:val="008034F1"/>
    <w:rsid w:val="008102A6"/>
    <w:rsid w:val="00826A7C"/>
    <w:rsid w:val="00842BD1"/>
    <w:rsid w:val="00850AEF"/>
    <w:rsid w:val="00870059"/>
    <w:rsid w:val="0088277A"/>
    <w:rsid w:val="008A2FB3"/>
    <w:rsid w:val="008D2EB4"/>
    <w:rsid w:val="008D3134"/>
    <w:rsid w:val="008D3BE2"/>
    <w:rsid w:val="009003A2"/>
    <w:rsid w:val="009125CE"/>
    <w:rsid w:val="00915CB8"/>
    <w:rsid w:val="009207C1"/>
    <w:rsid w:val="0093377B"/>
    <w:rsid w:val="0093409A"/>
    <w:rsid w:val="00934241"/>
    <w:rsid w:val="00950E0F"/>
    <w:rsid w:val="009558F2"/>
    <w:rsid w:val="00955C78"/>
    <w:rsid w:val="00962CCF"/>
    <w:rsid w:val="0097690C"/>
    <w:rsid w:val="00996435"/>
    <w:rsid w:val="009A47A2"/>
    <w:rsid w:val="009A6D9A"/>
    <w:rsid w:val="009C6B52"/>
    <w:rsid w:val="009E4F4B"/>
    <w:rsid w:val="009F0BA9"/>
    <w:rsid w:val="00A3200E"/>
    <w:rsid w:val="00A54F56"/>
    <w:rsid w:val="00A71017"/>
    <w:rsid w:val="00A75EAA"/>
    <w:rsid w:val="00AC20C0"/>
    <w:rsid w:val="00AD58C2"/>
    <w:rsid w:val="00AD6841"/>
    <w:rsid w:val="00AE49DA"/>
    <w:rsid w:val="00B04498"/>
    <w:rsid w:val="00B1049B"/>
    <w:rsid w:val="00B14377"/>
    <w:rsid w:val="00B1733E"/>
    <w:rsid w:val="00B45785"/>
    <w:rsid w:val="00B54075"/>
    <w:rsid w:val="00B62568"/>
    <w:rsid w:val="00B75767"/>
    <w:rsid w:val="00BA029C"/>
    <w:rsid w:val="00BA154E"/>
    <w:rsid w:val="00BD2196"/>
    <w:rsid w:val="00BD5BC7"/>
    <w:rsid w:val="00BF252A"/>
    <w:rsid w:val="00BF720B"/>
    <w:rsid w:val="00C04511"/>
    <w:rsid w:val="00C1004D"/>
    <w:rsid w:val="00C16846"/>
    <w:rsid w:val="00C40979"/>
    <w:rsid w:val="00C426E8"/>
    <w:rsid w:val="00C46ECA"/>
    <w:rsid w:val="00C62242"/>
    <w:rsid w:val="00C6326D"/>
    <w:rsid w:val="00CA38C9"/>
    <w:rsid w:val="00CB3162"/>
    <w:rsid w:val="00CC6362"/>
    <w:rsid w:val="00CD163A"/>
    <w:rsid w:val="00CE40BB"/>
    <w:rsid w:val="00D37275"/>
    <w:rsid w:val="00D37469"/>
    <w:rsid w:val="00D50E12"/>
    <w:rsid w:val="00D5502C"/>
    <w:rsid w:val="00D55DD9"/>
    <w:rsid w:val="00D57F41"/>
    <w:rsid w:val="00D65BD0"/>
    <w:rsid w:val="00D73995"/>
    <w:rsid w:val="00D955EF"/>
    <w:rsid w:val="00DC7337"/>
    <w:rsid w:val="00DD1F10"/>
    <w:rsid w:val="00DD26B1"/>
    <w:rsid w:val="00DD6770"/>
    <w:rsid w:val="00DE24EF"/>
    <w:rsid w:val="00DF23FC"/>
    <w:rsid w:val="00DF39CD"/>
    <w:rsid w:val="00DF449B"/>
    <w:rsid w:val="00DF4F81"/>
    <w:rsid w:val="00E17F8D"/>
    <w:rsid w:val="00E2074A"/>
    <w:rsid w:val="00E227E4"/>
    <w:rsid w:val="00E2538B"/>
    <w:rsid w:val="00E33188"/>
    <w:rsid w:val="00E4422C"/>
    <w:rsid w:val="00E46111"/>
    <w:rsid w:val="00E54E66"/>
    <w:rsid w:val="00E56E57"/>
    <w:rsid w:val="00E80474"/>
    <w:rsid w:val="00E86DC6"/>
    <w:rsid w:val="00E91D24"/>
    <w:rsid w:val="00E97984"/>
    <w:rsid w:val="00EB2937"/>
    <w:rsid w:val="00EC064C"/>
    <w:rsid w:val="00EC4368"/>
    <w:rsid w:val="00ED279F"/>
    <w:rsid w:val="00ED4CB2"/>
    <w:rsid w:val="00EE1914"/>
    <w:rsid w:val="00EE1B5E"/>
    <w:rsid w:val="00EF2642"/>
    <w:rsid w:val="00EF3681"/>
    <w:rsid w:val="00F06FDE"/>
    <w:rsid w:val="00F076D9"/>
    <w:rsid w:val="00F16844"/>
    <w:rsid w:val="00F20BC2"/>
    <w:rsid w:val="00F27805"/>
    <w:rsid w:val="00F27ECF"/>
    <w:rsid w:val="00F342E4"/>
    <w:rsid w:val="00F44625"/>
    <w:rsid w:val="00F44B70"/>
    <w:rsid w:val="00F649D6"/>
    <w:rsid w:val="00F654DD"/>
    <w:rsid w:val="00F74E12"/>
    <w:rsid w:val="00F96AB4"/>
    <w:rsid w:val="00F97481"/>
    <w:rsid w:val="00FA551C"/>
    <w:rsid w:val="00FB7AD9"/>
    <w:rsid w:val="00FD7B1D"/>
    <w:rsid w:val="00FE3FB5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F9E6174-2C5F-4A35-8C8E-A593DC52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NormalaftertitleChar">
    <w:name w:val="Normal after title Char"/>
    <w:basedOn w:val="DefaultParagraphFont"/>
    <w:link w:val="Normalaftertitle"/>
    <w:rsid w:val="007B05E5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955C78"/>
    <w:rPr>
      <w:rFonts w:ascii="Calibri" w:hAnsi="Calibri"/>
      <w:b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404A89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148/en" TargetMode="External"/><Relationship Id="rId13" Type="http://schemas.openxmlformats.org/officeDocument/2006/relationships/hyperlink" Target="https://www.itu.int/md/S18-PP-C-0152/en" TargetMode="External"/><Relationship Id="rId18" Type="http://schemas.openxmlformats.org/officeDocument/2006/relationships/hyperlink" Target="https://www.itu.int/md/S18-PP-C-0137/en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8-PP-C-0152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151/en" TargetMode="External"/><Relationship Id="rId17" Type="http://schemas.openxmlformats.org/officeDocument/2006/relationships/hyperlink" Target="https://www.itu.int/md/S18-PP-C-0148/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148/en" TargetMode="External"/><Relationship Id="rId20" Type="http://schemas.openxmlformats.org/officeDocument/2006/relationships/hyperlink" Target="https://www.itu.int/md/S18-PP-C-0151/e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138/e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138/en" TargetMode="External"/><Relationship Id="rId23" Type="http://schemas.openxmlformats.org/officeDocument/2006/relationships/hyperlink" Target="https://www.itu.int/md/S18-PP-C-0138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8-PP-C-0137/en" TargetMode="External"/><Relationship Id="rId19" Type="http://schemas.openxmlformats.org/officeDocument/2006/relationships/hyperlink" Target="https://www.itu.int/md/S18-PP-C-0138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148/en" TargetMode="External"/><Relationship Id="rId14" Type="http://schemas.openxmlformats.org/officeDocument/2006/relationships/hyperlink" Target="https://www.itu.int/md/S18-PP-C-0137/en" TargetMode="External"/><Relationship Id="rId22" Type="http://schemas.openxmlformats.org/officeDocument/2006/relationships/hyperlink" Target="https://www.itu.int/md/S18-PP-C-0137/en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molenk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C17F-A1D5-42DA-AACC-F4C6B91A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4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Ermolenko, Alla</dc:creator>
  <cp:keywords/>
  <dc:description/>
  <cp:lastModifiedBy>Antipina, Nadezda</cp:lastModifiedBy>
  <cp:revision>3</cp:revision>
  <cp:lastPrinted>2018-12-13T09:18:00Z</cp:lastPrinted>
  <dcterms:created xsi:type="dcterms:W3CDTF">2018-12-13T09:20:00Z</dcterms:created>
  <dcterms:modified xsi:type="dcterms:W3CDTF">2018-12-14T14:59:00Z</dcterms:modified>
  <cp:category>Conference document</cp:category>
</cp:coreProperties>
</file>