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0873C7" w:rsidP="001E4611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5C1AE3">
              <w:rPr>
                <w:rFonts w:cstheme="minorHAnsi"/>
                <w:b/>
                <w:szCs w:val="24"/>
              </w:rPr>
              <w:t>1</w:t>
            </w:r>
            <w:r w:rsidR="00A91554">
              <w:rPr>
                <w:rFonts w:cstheme="minorHAnsi"/>
                <w:b/>
                <w:szCs w:val="24"/>
              </w:rPr>
              <w:t>7</w:t>
            </w:r>
            <w:r w:rsidR="001E4611">
              <w:rPr>
                <w:rFonts w:cstheme="minorHAnsi"/>
                <w:b/>
                <w:szCs w:val="24"/>
              </w:rPr>
              <w:t>2</w:t>
            </w:r>
            <w:r w:rsidR="00E2642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0873C7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27 November </w:t>
            </w:r>
            <w:r w:rsidR="00E26429">
              <w:rPr>
                <w:rFonts w:cstheme="minorHAnsi"/>
                <w:b/>
                <w:szCs w:val="24"/>
              </w:rPr>
              <w:t>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r w:rsidRPr="00DB0816">
              <w:rPr>
                <w:lang w:val="en-CA"/>
              </w:rPr>
              <w:t>OF THE</w:t>
            </w:r>
          </w:p>
          <w:p w:rsidR="001A16ED" w:rsidRDefault="00197F84" w:rsidP="001E4611">
            <w:pPr>
              <w:pStyle w:val="Title2"/>
              <w:spacing w:after="240"/>
            </w:pPr>
            <w:r>
              <w:rPr>
                <w:lang w:val="en-CA"/>
              </w:rPr>
              <w:t>f</w:t>
            </w:r>
            <w:r w:rsidR="001E4611">
              <w:rPr>
                <w:lang w:val="en-CA"/>
              </w:rPr>
              <w:t>if</w:t>
            </w:r>
            <w:r>
              <w:rPr>
                <w:lang w:val="en-CA"/>
              </w:rPr>
              <w:t>t</w:t>
            </w:r>
            <w:r w:rsidR="00A91554">
              <w:rPr>
                <w:lang w:val="en-CA"/>
              </w:rPr>
              <w:t>EEN</w:t>
            </w:r>
            <w:r w:rsidR="00936422">
              <w:rPr>
                <w:lang w:val="en-CA"/>
              </w:rPr>
              <w:t>TH</w:t>
            </w:r>
            <w:r w:rsidR="009609D9" w:rsidRPr="00DB0816">
              <w:rPr>
                <w:lang w:val="en-CA"/>
              </w:rPr>
              <w:t xml:space="preserve"> PLENARY MEETING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197F84" w:rsidP="00197F8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Wednes</w:t>
            </w:r>
            <w:r w:rsidR="00A91554">
              <w:rPr>
                <w:lang w:val="en-CA"/>
              </w:rPr>
              <w:t>d</w:t>
            </w:r>
            <w:r w:rsidR="00936422">
              <w:rPr>
                <w:lang w:val="en-CA"/>
              </w:rPr>
              <w:t>ay</w:t>
            </w:r>
            <w:r w:rsidR="009609D9" w:rsidRPr="00DB0816">
              <w:rPr>
                <w:lang w:val="en-CA"/>
              </w:rPr>
              <w:t xml:space="preserve">, </w:t>
            </w:r>
            <w:r w:rsidR="00936422">
              <w:rPr>
                <w:lang w:val="en-CA"/>
              </w:rPr>
              <w:t>1</w:t>
            </w:r>
            <w:r>
              <w:rPr>
                <w:lang w:val="en-CA"/>
              </w:rPr>
              <w:t>4</w:t>
            </w:r>
            <w:r w:rsidR="009609D9" w:rsidRPr="00DB0816">
              <w:rPr>
                <w:lang w:val="en-CA"/>
              </w:rPr>
              <w:t xml:space="preserve"> </w:t>
            </w:r>
            <w:r w:rsidR="00936422">
              <w:rPr>
                <w:lang w:val="en-CA"/>
              </w:rPr>
              <w:t>Novem</w:t>
            </w:r>
            <w:r w:rsidR="009609D9" w:rsidRPr="00DB0816">
              <w:rPr>
                <w:lang w:val="en-CA"/>
              </w:rPr>
              <w:t xml:space="preserve">ber, at </w:t>
            </w:r>
            <w:r w:rsidR="001E4611">
              <w:rPr>
                <w:lang w:val="en-CA"/>
              </w:rPr>
              <w:t>211</w:t>
            </w:r>
            <w:r>
              <w:rPr>
                <w:lang w:val="en-CA"/>
              </w:rPr>
              <w:t>0</w:t>
            </w:r>
            <w:r w:rsidR="009609D9" w:rsidRPr="00DB0816">
              <w:rPr>
                <w:lang w:val="en-CA"/>
              </w:rPr>
              <w:t xml:space="preserve"> hours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r w:rsidRPr="00DB0816">
              <w:rPr>
                <w:bCs/>
                <w:lang w:val="en-CA"/>
              </w:rPr>
              <w:t>Mr M</w:t>
            </w:r>
            <w:r>
              <w:rPr>
                <w:bCs/>
                <w:lang w:val="en-CA"/>
              </w:rPr>
              <w:t>ajed</w:t>
            </w:r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AB2D04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1E4611" w:rsidRPr="00CF16FA" w:rsidRDefault="001E4611" w:rsidP="007D4E4E">
            <w:pPr>
              <w:pStyle w:val="toc0"/>
              <w:rPr>
                <w:lang w:val="en-CA"/>
              </w:rPr>
            </w:pPr>
            <w:r w:rsidRPr="00CF16FA">
              <w:rPr>
                <w:lang w:val="en-CA"/>
              </w:rPr>
              <w:t>Subjects discussed</w:t>
            </w:r>
          </w:p>
        </w:tc>
        <w:tc>
          <w:tcPr>
            <w:tcW w:w="2333" w:type="dxa"/>
          </w:tcPr>
          <w:p w:rsidR="001E4611" w:rsidRPr="00CF16FA" w:rsidRDefault="001E4611" w:rsidP="007D4E4E">
            <w:pPr>
              <w:pStyle w:val="toc0"/>
              <w:jc w:val="center"/>
              <w:rPr>
                <w:lang w:val="en-CA"/>
              </w:rPr>
            </w:pPr>
            <w:r w:rsidRPr="00CF16FA">
              <w:rPr>
                <w:lang w:val="en-CA"/>
              </w:rPr>
              <w:t>Documents</w:t>
            </w:r>
          </w:p>
        </w:tc>
      </w:tr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ind w:left="567" w:hanging="567"/>
              <w:rPr>
                <w:lang w:val="en-CA"/>
              </w:rPr>
            </w:pPr>
            <w:r w:rsidRPr="00CF16FA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1E4611" w:rsidRPr="00CF16FA" w:rsidRDefault="001E4611" w:rsidP="007D4E4E">
            <w:pPr>
              <w:rPr>
                <w:lang w:val="en-CA"/>
              </w:rPr>
            </w:pPr>
            <w:r w:rsidRPr="00CF16FA">
              <w:rPr>
                <w:lang w:val="en-CA"/>
              </w:rPr>
              <w:t>Fifteenth series of texts submitted by the Editorial Committee for first reading (B15)</w:t>
            </w:r>
          </w:p>
        </w:tc>
        <w:tc>
          <w:tcPr>
            <w:tcW w:w="2333" w:type="dxa"/>
          </w:tcPr>
          <w:p w:rsidR="001E4611" w:rsidRPr="00CF16FA" w:rsidRDefault="002C2372" w:rsidP="007D4E4E">
            <w:pPr>
              <w:jc w:val="center"/>
              <w:rPr>
                <w:lang w:val="en-CA"/>
              </w:rPr>
            </w:pPr>
            <w:hyperlink r:id="rId9" w:history="1">
              <w:r w:rsidR="001E4611" w:rsidRPr="002C2372">
                <w:rPr>
                  <w:rStyle w:val="Hyperlink"/>
                  <w:lang w:val="en-CA"/>
                </w:rPr>
                <w:t>148</w:t>
              </w:r>
            </w:hyperlink>
          </w:p>
        </w:tc>
      </w:tr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ind w:left="567" w:hanging="567"/>
              <w:rPr>
                <w:lang w:val="en-CA"/>
              </w:rPr>
            </w:pPr>
            <w:r w:rsidRPr="00CF16FA">
              <w:rPr>
                <w:lang w:val="en-CA"/>
              </w:rPr>
              <w:t>2</w:t>
            </w:r>
          </w:p>
        </w:tc>
        <w:tc>
          <w:tcPr>
            <w:tcW w:w="7164" w:type="dxa"/>
          </w:tcPr>
          <w:p w:rsidR="001E4611" w:rsidRPr="00CF16FA" w:rsidRDefault="001E4611" w:rsidP="007D4E4E">
            <w:pPr>
              <w:rPr>
                <w:lang w:val="en-CA"/>
              </w:rPr>
            </w:pPr>
            <w:r w:rsidRPr="00CF16FA">
              <w:rPr>
                <w:lang w:val="en-CA"/>
              </w:rPr>
              <w:t>Fifteenth series of texts submitted by the Editorial Committee – second reading</w:t>
            </w:r>
          </w:p>
        </w:tc>
        <w:tc>
          <w:tcPr>
            <w:tcW w:w="2333" w:type="dxa"/>
          </w:tcPr>
          <w:p w:rsidR="001E4611" w:rsidRPr="00CF16FA" w:rsidRDefault="002C2372" w:rsidP="007D4E4E">
            <w:pPr>
              <w:jc w:val="center"/>
              <w:rPr>
                <w:lang w:val="en-CA"/>
              </w:rPr>
            </w:pPr>
            <w:hyperlink r:id="rId10" w:history="1">
              <w:r w:rsidRPr="002C2372">
                <w:rPr>
                  <w:rStyle w:val="Hyperlink"/>
                  <w:lang w:val="en-CA"/>
                </w:rPr>
                <w:t>148</w:t>
              </w:r>
            </w:hyperlink>
          </w:p>
        </w:tc>
      </w:tr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ind w:left="567" w:hanging="567"/>
              <w:rPr>
                <w:lang w:val="en-CA"/>
              </w:rPr>
            </w:pPr>
            <w:r w:rsidRPr="00CF16FA">
              <w:rPr>
                <w:lang w:val="en-CA"/>
              </w:rPr>
              <w:t>3</w:t>
            </w:r>
          </w:p>
        </w:tc>
        <w:tc>
          <w:tcPr>
            <w:tcW w:w="7164" w:type="dxa"/>
          </w:tcPr>
          <w:p w:rsidR="001E4611" w:rsidRPr="00CF16FA" w:rsidRDefault="001E4611" w:rsidP="007D4E4E">
            <w:pPr>
              <w:rPr>
                <w:lang w:val="en-CA"/>
              </w:rPr>
            </w:pPr>
            <w:r w:rsidRPr="00CF16FA">
              <w:rPr>
                <w:lang w:val="en-CA"/>
              </w:rPr>
              <w:t>Eleventh series of texts submitted by the Editorial Committee for first reading (B11)</w:t>
            </w:r>
          </w:p>
        </w:tc>
        <w:tc>
          <w:tcPr>
            <w:tcW w:w="2333" w:type="dxa"/>
          </w:tcPr>
          <w:p w:rsidR="001E4611" w:rsidRPr="00CF16FA" w:rsidRDefault="002C2372" w:rsidP="007D4E4E">
            <w:pPr>
              <w:jc w:val="center"/>
              <w:rPr>
                <w:lang w:val="en-CA"/>
              </w:rPr>
            </w:pPr>
            <w:hyperlink r:id="rId11" w:history="1">
              <w:r w:rsidR="001E4611" w:rsidRPr="002C2372">
                <w:rPr>
                  <w:rStyle w:val="Hyperlink"/>
                  <w:lang w:val="en-CA"/>
                </w:rPr>
                <w:t>137</w:t>
              </w:r>
            </w:hyperlink>
          </w:p>
        </w:tc>
      </w:tr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ind w:left="567" w:hanging="567"/>
              <w:rPr>
                <w:lang w:val="en-CA"/>
              </w:rPr>
            </w:pPr>
            <w:r w:rsidRPr="00CF16FA">
              <w:rPr>
                <w:lang w:val="en-CA"/>
              </w:rPr>
              <w:t>4</w:t>
            </w:r>
          </w:p>
        </w:tc>
        <w:tc>
          <w:tcPr>
            <w:tcW w:w="7164" w:type="dxa"/>
          </w:tcPr>
          <w:p w:rsidR="001E4611" w:rsidRPr="00CF16FA" w:rsidRDefault="001E4611" w:rsidP="007D4E4E">
            <w:pPr>
              <w:rPr>
                <w:lang w:val="en-CA"/>
              </w:rPr>
            </w:pPr>
            <w:r w:rsidRPr="00CF16FA">
              <w:rPr>
                <w:lang w:val="en-CA"/>
              </w:rPr>
              <w:t>Twelfth series of texts submitted by the Editorial Committee for first reading (B12)</w:t>
            </w:r>
          </w:p>
        </w:tc>
        <w:tc>
          <w:tcPr>
            <w:tcW w:w="2333" w:type="dxa"/>
          </w:tcPr>
          <w:p w:rsidR="001E4611" w:rsidRPr="00CF16FA" w:rsidRDefault="002C2372" w:rsidP="007D4E4E">
            <w:pPr>
              <w:jc w:val="center"/>
              <w:rPr>
                <w:lang w:val="en-CA"/>
              </w:rPr>
            </w:pPr>
            <w:hyperlink r:id="rId12" w:history="1">
              <w:r w:rsidR="001E4611" w:rsidRPr="002C2372">
                <w:rPr>
                  <w:rStyle w:val="Hyperlink"/>
                  <w:lang w:val="en-CA"/>
                </w:rPr>
                <w:t>138</w:t>
              </w:r>
            </w:hyperlink>
          </w:p>
        </w:tc>
      </w:tr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ind w:left="567" w:hanging="567"/>
              <w:rPr>
                <w:lang w:val="en-CA"/>
              </w:rPr>
            </w:pPr>
            <w:r w:rsidRPr="00CF16FA">
              <w:rPr>
                <w:lang w:val="en-CA"/>
              </w:rPr>
              <w:t>5</w:t>
            </w:r>
          </w:p>
        </w:tc>
        <w:tc>
          <w:tcPr>
            <w:tcW w:w="7164" w:type="dxa"/>
          </w:tcPr>
          <w:p w:rsidR="001E4611" w:rsidRPr="00CF16FA" w:rsidRDefault="001E4611" w:rsidP="007D4E4E">
            <w:pPr>
              <w:rPr>
                <w:lang w:val="en-CA"/>
              </w:rPr>
            </w:pPr>
            <w:r w:rsidRPr="00CF16FA">
              <w:rPr>
                <w:lang w:val="en-CA"/>
              </w:rPr>
              <w:t>Second series of texts submitted by the Editorial Committee for second reading (R2)</w:t>
            </w:r>
          </w:p>
        </w:tc>
        <w:tc>
          <w:tcPr>
            <w:tcW w:w="2333" w:type="dxa"/>
          </w:tcPr>
          <w:p w:rsidR="001E4611" w:rsidRPr="00CF16FA" w:rsidRDefault="002C2372" w:rsidP="007D4E4E">
            <w:pPr>
              <w:jc w:val="center"/>
              <w:rPr>
                <w:lang w:val="en-CA"/>
              </w:rPr>
            </w:pPr>
            <w:hyperlink r:id="rId13" w:history="1">
              <w:r w:rsidR="001E4611" w:rsidRPr="002C2372">
                <w:rPr>
                  <w:rStyle w:val="Hyperlink"/>
                  <w:lang w:val="en-CA"/>
                </w:rPr>
                <w:t>151</w:t>
              </w:r>
            </w:hyperlink>
          </w:p>
        </w:tc>
      </w:tr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ind w:left="567" w:hanging="567"/>
              <w:rPr>
                <w:lang w:val="en-CA"/>
              </w:rPr>
            </w:pPr>
            <w:r w:rsidRPr="00CF16FA">
              <w:rPr>
                <w:lang w:val="en-CA"/>
              </w:rPr>
              <w:t>6</w:t>
            </w:r>
          </w:p>
        </w:tc>
        <w:tc>
          <w:tcPr>
            <w:tcW w:w="7164" w:type="dxa"/>
          </w:tcPr>
          <w:p w:rsidR="001E4611" w:rsidRPr="00CF16FA" w:rsidRDefault="001E4611" w:rsidP="007D4E4E">
            <w:pPr>
              <w:tabs>
                <w:tab w:val="left" w:pos="4660"/>
              </w:tabs>
              <w:rPr>
                <w:lang w:val="en-CA"/>
              </w:rPr>
            </w:pPr>
            <w:r w:rsidRPr="00CF16FA">
              <w:rPr>
                <w:lang w:val="en-CA"/>
              </w:rPr>
              <w:t>Third series of texts submitted by the Editorial Committee for second reading (R3)</w:t>
            </w:r>
          </w:p>
        </w:tc>
        <w:tc>
          <w:tcPr>
            <w:tcW w:w="2333" w:type="dxa"/>
          </w:tcPr>
          <w:p w:rsidR="001E4611" w:rsidRPr="00CF16FA" w:rsidRDefault="002C2372" w:rsidP="007D4E4E">
            <w:pPr>
              <w:jc w:val="center"/>
              <w:rPr>
                <w:lang w:val="en-CA"/>
              </w:rPr>
            </w:pPr>
            <w:hyperlink r:id="rId14" w:history="1">
              <w:r w:rsidR="001E4611" w:rsidRPr="002C2372">
                <w:rPr>
                  <w:rStyle w:val="Hyperlink"/>
                  <w:lang w:val="en-CA"/>
                </w:rPr>
                <w:t>152</w:t>
              </w:r>
            </w:hyperlink>
          </w:p>
        </w:tc>
      </w:tr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ind w:left="567" w:hanging="567"/>
              <w:rPr>
                <w:lang w:val="en-CA"/>
              </w:rPr>
            </w:pPr>
            <w:r w:rsidRPr="00CF16FA">
              <w:rPr>
                <w:lang w:val="en-CA"/>
              </w:rPr>
              <w:t>7</w:t>
            </w:r>
          </w:p>
        </w:tc>
        <w:tc>
          <w:tcPr>
            <w:tcW w:w="7164" w:type="dxa"/>
          </w:tcPr>
          <w:p w:rsidR="001E4611" w:rsidRPr="00CF16FA" w:rsidRDefault="001E4611" w:rsidP="007D4E4E">
            <w:pPr>
              <w:tabs>
                <w:tab w:val="left" w:pos="4660"/>
              </w:tabs>
              <w:rPr>
                <w:lang w:val="en-CA"/>
              </w:rPr>
            </w:pPr>
            <w:r w:rsidRPr="00CF16FA">
              <w:rPr>
                <w:lang w:val="en-CA"/>
              </w:rPr>
              <w:t>Eleventh series of texts submitted by the Editorial Committee – second reading</w:t>
            </w:r>
          </w:p>
        </w:tc>
        <w:tc>
          <w:tcPr>
            <w:tcW w:w="2333" w:type="dxa"/>
          </w:tcPr>
          <w:p w:rsidR="001E4611" w:rsidRPr="00CF16FA" w:rsidRDefault="002C2372" w:rsidP="007D4E4E">
            <w:pPr>
              <w:jc w:val="center"/>
              <w:rPr>
                <w:lang w:val="en-CA"/>
              </w:rPr>
            </w:pPr>
            <w:hyperlink r:id="rId15" w:history="1">
              <w:r w:rsidRPr="002C2372">
                <w:rPr>
                  <w:rStyle w:val="Hyperlink"/>
                  <w:lang w:val="en-CA"/>
                </w:rPr>
                <w:t>137</w:t>
              </w:r>
            </w:hyperlink>
          </w:p>
        </w:tc>
      </w:tr>
      <w:tr w:rsidR="001E4611" w:rsidRPr="00CF16FA" w:rsidTr="007D4E4E">
        <w:tc>
          <w:tcPr>
            <w:tcW w:w="534" w:type="dxa"/>
          </w:tcPr>
          <w:p w:rsidR="001E4611" w:rsidRPr="00CF16FA" w:rsidRDefault="001E4611" w:rsidP="007D4E4E">
            <w:pPr>
              <w:ind w:left="567" w:hanging="567"/>
              <w:rPr>
                <w:lang w:val="en-CA"/>
              </w:rPr>
            </w:pPr>
            <w:r w:rsidRPr="00CF16FA">
              <w:rPr>
                <w:lang w:val="en-CA"/>
              </w:rPr>
              <w:t>8</w:t>
            </w:r>
          </w:p>
        </w:tc>
        <w:tc>
          <w:tcPr>
            <w:tcW w:w="7164" w:type="dxa"/>
          </w:tcPr>
          <w:p w:rsidR="001E4611" w:rsidRPr="00CF16FA" w:rsidRDefault="001E4611" w:rsidP="007D4E4E">
            <w:pPr>
              <w:tabs>
                <w:tab w:val="left" w:pos="4660"/>
              </w:tabs>
              <w:rPr>
                <w:lang w:val="en-CA"/>
              </w:rPr>
            </w:pPr>
            <w:r w:rsidRPr="00CF16FA">
              <w:rPr>
                <w:lang w:val="en-CA"/>
              </w:rPr>
              <w:t>Twelfth series of texts submitted by the Editorial Committee – second reading</w:t>
            </w:r>
          </w:p>
        </w:tc>
        <w:tc>
          <w:tcPr>
            <w:tcW w:w="2333" w:type="dxa"/>
          </w:tcPr>
          <w:p w:rsidR="001E4611" w:rsidRPr="00CF16FA" w:rsidRDefault="002C2372" w:rsidP="007D4E4E">
            <w:pPr>
              <w:jc w:val="center"/>
              <w:rPr>
                <w:lang w:val="en-CA"/>
              </w:rPr>
            </w:pPr>
            <w:hyperlink r:id="rId16" w:history="1">
              <w:r w:rsidRPr="002C2372">
                <w:rPr>
                  <w:rStyle w:val="Hyperlink"/>
                  <w:lang w:val="en-CA"/>
                </w:rPr>
                <w:t>138</w:t>
              </w:r>
            </w:hyperlink>
          </w:p>
        </w:tc>
      </w:tr>
    </w:tbl>
    <w:p w:rsidR="001E4611" w:rsidRDefault="001E4611" w:rsidP="00AB2D04"/>
    <w:p w:rsidR="00A91554" w:rsidRPr="003A5D8B" w:rsidRDefault="00A91554" w:rsidP="00A9155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CA"/>
        </w:rPr>
      </w:pPr>
      <w:r w:rsidRPr="003A5D8B">
        <w:rPr>
          <w:lang w:val="en-CA"/>
        </w:rPr>
        <w:br w:type="page"/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20" w:hanging="720"/>
        <w:textAlignment w:val="auto"/>
        <w:rPr>
          <w:rFonts w:asciiTheme="minorHAnsi" w:hAnsiTheme="minorHAnsi"/>
          <w:b/>
          <w:sz w:val="26"/>
          <w:szCs w:val="26"/>
          <w:lang w:val="en-CA"/>
        </w:rPr>
      </w:pPr>
      <w:r>
        <w:rPr>
          <w:rFonts w:asciiTheme="minorHAnsi" w:hAnsiTheme="minorHAnsi"/>
          <w:b/>
          <w:sz w:val="26"/>
          <w:szCs w:val="26"/>
          <w:lang w:val="en-CA"/>
        </w:rPr>
        <w:lastRenderedPageBreak/>
        <w:t>1</w:t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 </w:t>
      </w:r>
      <w:r>
        <w:rPr>
          <w:rFonts w:asciiTheme="minorHAnsi" w:hAnsiTheme="minorHAnsi"/>
          <w:b/>
          <w:sz w:val="26"/>
          <w:szCs w:val="26"/>
          <w:lang w:val="en-CA"/>
        </w:rPr>
        <w:tab/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Fifteenth series of texts submitted by the Editorial Committee for first reading (B15) (Document </w:t>
      </w:r>
      <w:hyperlink r:id="rId17" w:history="1">
        <w:r w:rsidRPr="001771C6">
          <w:rPr>
            <w:rStyle w:val="Hyperlink"/>
            <w:rFonts w:asciiTheme="minorHAnsi" w:hAnsiTheme="minorHAnsi"/>
            <w:b/>
            <w:sz w:val="26"/>
            <w:szCs w:val="26"/>
            <w:lang w:val="en-CA"/>
          </w:rPr>
          <w:t>148</w:t>
        </w:r>
      </w:hyperlink>
      <w:r w:rsidRPr="00CF16FA">
        <w:rPr>
          <w:rFonts w:asciiTheme="minorHAnsi" w:hAnsiTheme="minorHAnsi"/>
          <w:b/>
          <w:sz w:val="26"/>
          <w:szCs w:val="26"/>
          <w:lang w:val="en-CA"/>
        </w:rPr>
        <w:t>)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71 (Rev. Dubai, 2018) - Strategic plan for the Union for 2020-2023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 w:rsidRPr="00471C03">
        <w:rPr>
          <w:rFonts w:asciiTheme="minorHAnsi" w:hAnsiTheme="minorHAnsi"/>
          <w:szCs w:val="24"/>
          <w:lang w:val="en-CA"/>
        </w:rPr>
        <w:t>1.1</w:t>
      </w:r>
      <w:r w:rsidRPr="00471C03"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b/>
          <w:bCs/>
          <w:szCs w:val="24"/>
          <w:lang w:val="en-CA"/>
        </w:rPr>
        <w:t>Adopted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1.2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fifteenth series of texts submitted by the Editorial Committee for first reading (B15) (Document 148) was </w:t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20" w:hanging="720"/>
        <w:textAlignment w:val="auto"/>
        <w:rPr>
          <w:rFonts w:asciiTheme="minorHAnsi" w:hAnsiTheme="minorHAnsi"/>
          <w:b/>
          <w:sz w:val="26"/>
          <w:szCs w:val="26"/>
          <w:lang w:val="en-CA"/>
        </w:rPr>
      </w:pPr>
      <w:r>
        <w:rPr>
          <w:rFonts w:asciiTheme="minorHAnsi" w:hAnsiTheme="minorHAnsi"/>
          <w:b/>
          <w:sz w:val="26"/>
          <w:szCs w:val="26"/>
          <w:lang w:val="en-CA"/>
        </w:rPr>
        <w:t>2</w:t>
      </w:r>
      <w:r>
        <w:rPr>
          <w:rFonts w:asciiTheme="minorHAnsi" w:hAnsiTheme="minorHAnsi"/>
          <w:b/>
          <w:sz w:val="26"/>
          <w:szCs w:val="26"/>
          <w:lang w:val="en-CA"/>
        </w:rPr>
        <w:tab/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Fifteenth series of texts submitted by the Editorial Committee – second reading (Document </w:t>
      </w:r>
      <w:hyperlink r:id="rId18" w:history="1">
        <w:r w:rsidR="001771C6" w:rsidRPr="001771C6">
          <w:rPr>
            <w:rStyle w:val="Hyperlink"/>
            <w:rFonts w:asciiTheme="minorHAnsi" w:hAnsiTheme="minorHAnsi"/>
            <w:b/>
            <w:sz w:val="26"/>
            <w:szCs w:val="26"/>
            <w:lang w:val="en-CA"/>
          </w:rPr>
          <w:t>148</w:t>
        </w:r>
      </w:hyperlink>
      <w:r w:rsidRPr="00CF16FA">
        <w:rPr>
          <w:rFonts w:asciiTheme="minorHAnsi" w:hAnsiTheme="minorHAnsi"/>
          <w:b/>
          <w:sz w:val="26"/>
          <w:szCs w:val="26"/>
          <w:lang w:val="en-CA"/>
        </w:rPr>
        <w:t>)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2.1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fifteenth series of texts submitted by the Editorial Committee (Document 148) was </w:t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 xml:space="preserve"> on second reading.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2.2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</w:t>
      </w:r>
      <w:r w:rsidRPr="00CF16FA">
        <w:rPr>
          <w:rFonts w:asciiTheme="minorHAnsi" w:hAnsiTheme="minorHAnsi"/>
          <w:b/>
          <w:bCs/>
          <w:szCs w:val="24"/>
          <w:lang w:val="en-CA"/>
        </w:rPr>
        <w:t>delegate of the United States</w:t>
      </w:r>
      <w:r w:rsidRPr="00CF16FA">
        <w:rPr>
          <w:rFonts w:asciiTheme="minorHAnsi" w:hAnsiTheme="minorHAnsi"/>
          <w:szCs w:val="24"/>
          <w:lang w:val="en-CA"/>
        </w:rPr>
        <w:t xml:space="preserve">, congratulating the conference on its adoption of the strategic plan for the Union for 2020-2023 and thanking colleagues for their cooperation in finalizing it, said that the plan was one of the most important outcomes of the conference and set the course </w:t>
      </w:r>
      <w:r>
        <w:rPr>
          <w:rFonts w:asciiTheme="minorHAnsi" w:hAnsiTheme="minorHAnsi"/>
          <w:szCs w:val="24"/>
          <w:lang w:val="en-CA"/>
        </w:rPr>
        <w:t>for</w:t>
      </w:r>
      <w:r w:rsidRPr="00CF16FA">
        <w:rPr>
          <w:rFonts w:asciiTheme="minorHAnsi" w:hAnsiTheme="minorHAnsi"/>
          <w:szCs w:val="24"/>
          <w:lang w:val="en-CA"/>
        </w:rPr>
        <w:t xml:space="preserve"> the Union as it sought to improve connectivity and ensure </w:t>
      </w:r>
      <w:r>
        <w:rPr>
          <w:rFonts w:asciiTheme="minorHAnsi" w:hAnsiTheme="minorHAnsi"/>
          <w:szCs w:val="24"/>
          <w:lang w:val="en-CA"/>
        </w:rPr>
        <w:t xml:space="preserve">people were able to </w:t>
      </w:r>
      <w:r w:rsidRPr="00CF16FA">
        <w:rPr>
          <w:rFonts w:asciiTheme="minorHAnsi" w:hAnsiTheme="minorHAnsi"/>
          <w:szCs w:val="24"/>
          <w:lang w:val="en-CA"/>
        </w:rPr>
        <w:t>enjoy the opportunities afforded by telecommunications and ICTs.</w:t>
      </w:r>
      <w:r>
        <w:rPr>
          <w:rFonts w:asciiTheme="minorHAnsi" w:hAnsiTheme="minorHAnsi"/>
          <w:szCs w:val="24"/>
          <w:lang w:val="en-CA"/>
        </w:rPr>
        <w:t xml:space="preserve"> </w:t>
      </w:r>
      <w:r w:rsidRPr="00CF16FA">
        <w:rPr>
          <w:rFonts w:asciiTheme="minorHAnsi" w:hAnsiTheme="minorHAnsi"/>
          <w:szCs w:val="24"/>
          <w:lang w:val="en-CA"/>
        </w:rPr>
        <w:t>She reserved special gratitude for the delegate of Brazil, Mr Mario Rodrigo Canazza, for his successful and far-sighted stewardship of the ad hoc and Council working groups dedicated</w:t>
      </w:r>
      <w:r>
        <w:rPr>
          <w:rFonts w:asciiTheme="minorHAnsi" w:hAnsiTheme="minorHAnsi"/>
          <w:szCs w:val="24"/>
          <w:lang w:val="en-CA"/>
        </w:rPr>
        <w:t xml:space="preserve"> to crafting the strategic plan.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2.3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</w:t>
      </w:r>
      <w:r w:rsidRPr="00CF16FA">
        <w:rPr>
          <w:rFonts w:asciiTheme="minorHAnsi" w:hAnsiTheme="minorHAnsi"/>
          <w:b/>
          <w:bCs/>
          <w:szCs w:val="24"/>
          <w:lang w:val="en-CA"/>
        </w:rPr>
        <w:t>delegate of the Czech Republic</w:t>
      </w:r>
      <w:r w:rsidRPr="00CF16FA">
        <w:rPr>
          <w:rFonts w:asciiTheme="minorHAnsi" w:hAnsiTheme="minorHAnsi"/>
          <w:szCs w:val="24"/>
          <w:lang w:val="en-CA"/>
        </w:rPr>
        <w:t xml:space="preserve"> </w:t>
      </w:r>
      <w:r>
        <w:rPr>
          <w:rFonts w:asciiTheme="minorHAnsi" w:hAnsiTheme="minorHAnsi"/>
          <w:szCs w:val="24"/>
          <w:lang w:val="en-CA"/>
        </w:rPr>
        <w:t>thanked</w:t>
      </w:r>
      <w:r w:rsidRPr="00CF16FA">
        <w:rPr>
          <w:rFonts w:asciiTheme="minorHAnsi" w:hAnsiTheme="minorHAnsi"/>
          <w:szCs w:val="24"/>
          <w:lang w:val="en-CA"/>
        </w:rPr>
        <w:t xml:space="preserve"> Mr Canazza for </w:t>
      </w:r>
      <w:r>
        <w:rPr>
          <w:rFonts w:asciiTheme="minorHAnsi" w:hAnsiTheme="minorHAnsi"/>
          <w:szCs w:val="24"/>
          <w:lang w:val="en-CA"/>
        </w:rPr>
        <w:t xml:space="preserve">his skilful chairmanship of </w:t>
      </w:r>
      <w:r w:rsidRPr="00CF16FA">
        <w:rPr>
          <w:rFonts w:asciiTheme="minorHAnsi" w:hAnsiTheme="minorHAnsi"/>
          <w:szCs w:val="24"/>
          <w:lang w:val="en-CA"/>
        </w:rPr>
        <w:t>the ad hoc and Council working groups</w:t>
      </w:r>
      <w:r>
        <w:rPr>
          <w:rFonts w:asciiTheme="minorHAnsi" w:hAnsiTheme="minorHAnsi"/>
          <w:szCs w:val="24"/>
          <w:lang w:val="en-CA"/>
        </w:rPr>
        <w:t>,</w:t>
      </w:r>
      <w:r w:rsidRPr="00CF16FA">
        <w:rPr>
          <w:rFonts w:asciiTheme="minorHAnsi" w:hAnsiTheme="minorHAnsi"/>
          <w:szCs w:val="24"/>
          <w:lang w:val="en-CA"/>
        </w:rPr>
        <w:t xml:space="preserve"> and to all participants and regional groups involved in reaching a successful solution </w:t>
      </w:r>
      <w:r>
        <w:rPr>
          <w:rFonts w:asciiTheme="minorHAnsi" w:hAnsiTheme="minorHAnsi"/>
          <w:szCs w:val="24"/>
          <w:lang w:val="en-CA"/>
        </w:rPr>
        <w:t>for the strategic plan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20" w:hanging="720"/>
        <w:textAlignment w:val="auto"/>
        <w:rPr>
          <w:rFonts w:asciiTheme="minorHAnsi" w:hAnsiTheme="minorHAnsi"/>
          <w:b/>
          <w:sz w:val="26"/>
          <w:szCs w:val="26"/>
          <w:lang w:val="en-CA"/>
        </w:rPr>
      </w:pPr>
      <w:r>
        <w:rPr>
          <w:rFonts w:asciiTheme="minorHAnsi" w:hAnsiTheme="minorHAnsi"/>
          <w:b/>
          <w:sz w:val="26"/>
          <w:szCs w:val="26"/>
          <w:lang w:val="en-CA"/>
        </w:rPr>
        <w:t>3</w:t>
      </w:r>
      <w:r>
        <w:rPr>
          <w:rFonts w:asciiTheme="minorHAnsi" w:hAnsiTheme="minorHAnsi"/>
          <w:b/>
          <w:sz w:val="26"/>
          <w:szCs w:val="26"/>
          <w:lang w:val="en-CA"/>
        </w:rPr>
        <w:tab/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Eleventh series of texts submitted by the Editorial Committee for first reading (B11) (Document </w:t>
      </w:r>
      <w:hyperlink r:id="rId19" w:history="1">
        <w:r w:rsidRPr="001771C6">
          <w:rPr>
            <w:rStyle w:val="Hyperlink"/>
            <w:rFonts w:asciiTheme="minorHAnsi" w:hAnsiTheme="minorHAnsi"/>
            <w:b/>
            <w:sz w:val="26"/>
            <w:szCs w:val="26"/>
            <w:lang w:val="en-CA"/>
          </w:rPr>
          <w:t>137</w:t>
        </w:r>
      </w:hyperlink>
      <w:r w:rsidRPr="00CF16FA">
        <w:rPr>
          <w:rFonts w:asciiTheme="minorHAnsi" w:hAnsiTheme="minorHAnsi"/>
          <w:b/>
          <w:sz w:val="26"/>
          <w:szCs w:val="26"/>
          <w:lang w:val="en-CA"/>
        </w:rPr>
        <w:t>)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lang w:val="en-CA"/>
        </w:rPr>
        <w:t>3.1</w:t>
      </w:r>
      <w:r>
        <w:rPr>
          <w:lang w:val="en-CA"/>
        </w:rPr>
        <w:tab/>
      </w:r>
      <w:r w:rsidRPr="00CF16FA">
        <w:rPr>
          <w:lang w:val="en-CA"/>
        </w:rPr>
        <w:t xml:space="preserve">The </w:t>
      </w:r>
      <w:r w:rsidRPr="00CF16FA">
        <w:rPr>
          <w:b/>
          <w:lang w:val="en-CA"/>
        </w:rPr>
        <w:t xml:space="preserve">Chairman of the Editorial Committee </w:t>
      </w:r>
      <w:r w:rsidRPr="00CF16FA">
        <w:rPr>
          <w:lang w:val="en-CA"/>
        </w:rPr>
        <w:t xml:space="preserve">drew attention to the fact that draft Resolution 191 (Rev. Dubai, 2018) contained text in square brackets, under </w:t>
      </w:r>
      <w:r w:rsidRPr="00CF16FA">
        <w:rPr>
          <w:i/>
          <w:iCs/>
          <w:lang w:val="en-CA"/>
        </w:rPr>
        <w:t>bearing in mind b</w:t>
      </w:r>
      <w:proofErr w:type="gramStart"/>
      <w:r w:rsidRPr="00CF16FA">
        <w:rPr>
          <w:i/>
          <w:iCs/>
          <w:lang w:val="en-CA"/>
        </w:rPr>
        <w:t>)</w:t>
      </w:r>
      <w:r w:rsidRPr="00CF16FA">
        <w:rPr>
          <w:lang w:val="en-CA"/>
        </w:rPr>
        <w:t>, that</w:t>
      </w:r>
      <w:proofErr w:type="gramEnd"/>
      <w:r w:rsidRPr="00CF16FA">
        <w:rPr>
          <w:lang w:val="en-CA"/>
        </w:rPr>
        <w:t xml:space="preserve"> referred to the strategic plan for the Union for 2020-2023. The plan having </w:t>
      </w:r>
      <w:r>
        <w:rPr>
          <w:lang w:val="en-CA"/>
        </w:rPr>
        <w:t xml:space="preserve">now </w:t>
      </w:r>
      <w:r w:rsidRPr="00CF16FA">
        <w:rPr>
          <w:lang w:val="en-CA"/>
        </w:rPr>
        <w:t>been adopted, those square brackets could be removed and the text adopted as it was.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25 (Rev. Dubai, 2018) - Strengthening the regional presence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131 (Rev. Dubai, 2018) - Measuring information and communication technologies to build an integrating and inclusive information society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157 (Rev. Dubai, 2018) - Strengthening of the project execution and project monitoring functions in ITU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191 (Rev. Dubai, 2018) - Strategy for the coordination of efforts among the three Sectors of the Union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3.2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b/>
          <w:bCs/>
          <w:szCs w:val="24"/>
          <w:lang w:val="en-CA"/>
        </w:rPr>
        <w:t>Adopted.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 w:rsidRPr="00CF16FA">
        <w:rPr>
          <w:rFonts w:asciiTheme="minorHAnsi" w:hAnsiTheme="minorHAnsi"/>
          <w:b/>
          <w:bCs/>
          <w:szCs w:val="24"/>
          <w:lang w:val="en-CA"/>
        </w:rPr>
        <w:t>SUP Decision 13 (Busan, 2014) - Monitoring mechanism on ITU programmes and projects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3.3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lastRenderedPageBreak/>
        <w:t>3.4</w:t>
      </w:r>
      <w:r>
        <w:rPr>
          <w:rFonts w:asciiTheme="minorHAnsi" w:hAnsiTheme="minorHAnsi"/>
          <w:szCs w:val="24"/>
          <w:lang w:val="en-CA"/>
        </w:rPr>
        <w:tab/>
        <w:t>The eleventh</w:t>
      </w:r>
      <w:r w:rsidRPr="00CF16FA">
        <w:rPr>
          <w:rFonts w:asciiTheme="minorHAnsi" w:hAnsiTheme="minorHAnsi"/>
          <w:szCs w:val="24"/>
          <w:lang w:val="en-CA"/>
        </w:rPr>
        <w:t xml:space="preserve"> series of texts submitted by the Editorial Committee for first reading (B11) (Document 137) was </w:t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20" w:hanging="720"/>
        <w:textAlignment w:val="auto"/>
        <w:rPr>
          <w:rFonts w:asciiTheme="minorHAnsi" w:hAnsiTheme="minorHAnsi"/>
          <w:b/>
          <w:sz w:val="26"/>
          <w:szCs w:val="26"/>
          <w:lang w:val="en-CA"/>
        </w:rPr>
      </w:pPr>
      <w:r>
        <w:rPr>
          <w:rFonts w:asciiTheme="minorHAnsi" w:hAnsiTheme="minorHAnsi"/>
          <w:b/>
          <w:sz w:val="26"/>
          <w:szCs w:val="26"/>
          <w:lang w:val="en-CA"/>
        </w:rPr>
        <w:t>4</w:t>
      </w:r>
      <w:r>
        <w:rPr>
          <w:rFonts w:asciiTheme="minorHAnsi" w:hAnsiTheme="minorHAnsi"/>
          <w:b/>
          <w:sz w:val="26"/>
          <w:szCs w:val="26"/>
          <w:lang w:val="en-CA"/>
        </w:rPr>
        <w:tab/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Twelfth series of texts submitted by the Editorial Committee for first reading (B12) (Document </w:t>
      </w:r>
      <w:hyperlink r:id="rId20" w:history="1">
        <w:r w:rsidRPr="001771C6">
          <w:rPr>
            <w:rStyle w:val="Hyperlink"/>
            <w:rFonts w:asciiTheme="minorHAnsi" w:hAnsiTheme="minorHAnsi"/>
            <w:b/>
            <w:sz w:val="26"/>
            <w:szCs w:val="26"/>
            <w:lang w:val="en-CA"/>
          </w:rPr>
          <w:t>138</w:t>
        </w:r>
      </w:hyperlink>
      <w:r w:rsidRPr="00CF16FA">
        <w:rPr>
          <w:rFonts w:asciiTheme="minorHAnsi" w:hAnsiTheme="minorHAnsi"/>
          <w:b/>
          <w:sz w:val="26"/>
          <w:szCs w:val="26"/>
          <w:lang w:val="en-CA"/>
        </w:rPr>
        <w:t>)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70 (Rev. Dubai, 2018) - Mainstreaming a gender perspective in ITU and promotion of gender equality and the empowerment of women through telecommunications/information and communication technologies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137 (Rev. Dubai, 2018) - Deployment of future networks in developing countries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179 (Rev. Dubai, 2018) - ITU's role in child online protection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203 (Rev. Dubai, 2018) - Connectivity to broadband networks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WGPL/2 (Dubai, 2018) - ITU's role in fostering telecommunication/information and communication technology-centric innovation to support the digital economy and society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4.1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b/>
          <w:bCs/>
          <w:szCs w:val="24"/>
          <w:lang w:val="en-CA"/>
        </w:rPr>
        <w:t>Adopted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WGPL/3 (Dubai, 2018) – OTTs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4.2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</w:t>
      </w:r>
      <w:r w:rsidRPr="00CF16FA">
        <w:rPr>
          <w:rFonts w:asciiTheme="minorHAnsi" w:hAnsiTheme="minorHAnsi"/>
          <w:b/>
          <w:bCs/>
          <w:szCs w:val="24"/>
          <w:lang w:val="en-CA"/>
        </w:rPr>
        <w:t>delegate of the Islamic Republic of Iran</w:t>
      </w:r>
      <w:r w:rsidRPr="00CF16FA">
        <w:rPr>
          <w:rFonts w:asciiTheme="minorHAnsi" w:hAnsiTheme="minorHAnsi"/>
          <w:szCs w:val="24"/>
          <w:lang w:val="en-CA"/>
        </w:rPr>
        <w:t xml:space="preserve">, supported by the </w:t>
      </w:r>
      <w:r w:rsidRPr="00CF16FA">
        <w:rPr>
          <w:rFonts w:asciiTheme="minorHAnsi" w:hAnsiTheme="minorHAnsi"/>
          <w:b/>
          <w:bCs/>
          <w:szCs w:val="24"/>
          <w:lang w:val="en-CA"/>
        </w:rPr>
        <w:t>delegate of New Zealand</w:t>
      </w:r>
      <w:r w:rsidRPr="00CF16FA">
        <w:rPr>
          <w:rFonts w:asciiTheme="minorHAnsi" w:hAnsiTheme="minorHAnsi"/>
          <w:szCs w:val="24"/>
          <w:lang w:val="en-CA"/>
        </w:rPr>
        <w:t>, proposed expanding the title of the resolution to “Activities related to over-the-top (OTT)” in order to reflect the content of the resolution more clearly</w:t>
      </w:r>
      <w:r>
        <w:rPr>
          <w:rFonts w:asciiTheme="minorHAnsi" w:hAnsiTheme="minorHAnsi"/>
          <w:szCs w:val="24"/>
          <w:lang w:val="en-CA"/>
        </w:rPr>
        <w:t xml:space="preserve">, in line </w:t>
      </w:r>
      <w:r w:rsidRPr="00CF16FA">
        <w:rPr>
          <w:rFonts w:asciiTheme="minorHAnsi" w:hAnsiTheme="minorHAnsi"/>
          <w:szCs w:val="24"/>
          <w:lang w:val="en-CA"/>
        </w:rPr>
        <w:t>with standard practice.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4.3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</w:t>
      </w:r>
      <w:r w:rsidRPr="00CF16FA">
        <w:rPr>
          <w:rFonts w:asciiTheme="minorHAnsi" w:hAnsiTheme="minorHAnsi"/>
          <w:b/>
          <w:bCs/>
          <w:szCs w:val="24"/>
          <w:lang w:val="en-CA"/>
        </w:rPr>
        <w:t>delegate of Mali</w:t>
      </w:r>
      <w:r w:rsidRPr="00CF16FA">
        <w:rPr>
          <w:rFonts w:asciiTheme="minorHAnsi" w:hAnsiTheme="minorHAnsi"/>
          <w:szCs w:val="24"/>
          <w:lang w:val="en-CA"/>
        </w:rPr>
        <w:t xml:space="preserve"> suggested that simply spelling out the abbreviation in the title, while retaining the abbreviation in brackets, would avoid any confusion with identical abbreviations in other contexts.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4.4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</w:t>
      </w:r>
      <w:r w:rsidRPr="00CF16FA">
        <w:rPr>
          <w:rFonts w:asciiTheme="minorHAnsi" w:hAnsiTheme="minorHAnsi"/>
          <w:b/>
          <w:bCs/>
          <w:szCs w:val="24"/>
          <w:lang w:val="en-CA"/>
        </w:rPr>
        <w:t>delegates of the United States</w:t>
      </w:r>
      <w:r w:rsidRPr="00CF16FA">
        <w:rPr>
          <w:rFonts w:asciiTheme="minorHAnsi" w:hAnsiTheme="minorHAnsi"/>
          <w:szCs w:val="24"/>
          <w:lang w:val="en-CA"/>
        </w:rPr>
        <w:t xml:space="preserve">, </w:t>
      </w:r>
      <w:r>
        <w:rPr>
          <w:rFonts w:asciiTheme="minorHAnsi" w:hAnsiTheme="minorHAnsi"/>
          <w:szCs w:val="24"/>
          <w:lang w:val="en-CA"/>
        </w:rPr>
        <w:t xml:space="preserve">the </w:t>
      </w:r>
      <w:r w:rsidRPr="00CF16FA">
        <w:rPr>
          <w:rFonts w:asciiTheme="minorHAnsi" w:hAnsiTheme="minorHAnsi"/>
          <w:b/>
          <w:bCs/>
          <w:szCs w:val="24"/>
          <w:lang w:val="en-CA"/>
        </w:rPr>
        <w:t>Russian Federation</w:t>
      </w:r>
      <w:r w:rsidRPr="00CF16FA">
        <w:rPr>
          <w:rFonts w:asciiTheme="minorHAnsi" w:hAnsiTheme="minorHAnsi"/>
          <w:szCs w:val="24"/>
          <w:lang w:val="en-CA"/>
        </w:rPr>
        <w:t xml:space="preserve">, </w:t>
      </w:r>
      <w:r w:rsidRPr="00CF16FA">
        <w:rPr>
          <w:rFonts w:asciiTheme="minorHAnsi" w:hAnsiTheme="minorHAnsi"/>
          <w:b/>
          <w:bCs/>
          <w:szCs w:val="24"/>
          <w:lang w:val="en-CA"/>
        </w:rPr>
        <w:t xml:space="preserve">Romania </w:t>
      </w:r>
      <w:r w:rsidRPr="00CF16FA">
        <w:rPr>
          <w:rFonts w:asciiTheme="minorHAnsi" w:hAnsiTheme="minorHAnsi"/>
          <w:szCs w:val="24"/>
          <w:lang w:val="en-CA"/>
        </w:rPr>
        <w:t xml:space="preserve">on behalf of CEPT and </w:t>
      </w:r>
      <w:r w:rsidRPr="00CF16FA">
        <w:rPr>
          <w:rFonts w:asciiTheme="minorHAnsi" w:hAnsiTheme="minorHAnsi"/>
          <w:b/>
          <w:bCs/>
          <w:szCs w:val="24"/>
          <w:lang w:val="en-CA"/>
        </w:rPr>
        <w:t>Jordan</w:t>
      </w:r>
      <w:r w:rsidRPr="00CF16FA">
        <w:rPr>
          <w:rFonts w:asciiTheme="minorHAnsi" w:hAnsiTheme="minorHAnsi"/>
          <w:szCs w:val="24"/>
          <w:lang w:val="en-CA"/>
        </w:rPr>
        <w:t xml:space="preserve"> said that</w:t>
      </w:r>
      <w:r>
        <w:rPr>
          <w:rFonts w:asciiTheme="minorHAnsi" w:hAnsiTheme="minorHAnsi"/>
          <w:szCs w:val="24"/>
          <w:lang w:val="en-CA"/>
        </w:rPr>
        <w:t xml:space="preserve"> the</w:t>
      </w:r>
      <w:r w:rsidRPr="00CF16FA">
        <w:rPr>
          <w:rFonts w:asciiTheme="minorHAnsi" w:hAnsiTheme="minorHAnsi"/>
          <w:szCs w:val="24"/>
          <w:lang w:val="en-CA"/>
        </w:rPr>
        <w:t xml:space="preserve"> title of the draft resolution </w:t>
      </w:r>
      <w:r>
        <w:rPr>
          <w:rFonts w:asciiTheme="minorHAnsi" w:hAnsiTheme="minorHAnsi"/>
          <w:szCs w:val="24"/>
          <w:lang w:val="en-CA"/>
        </w:rPr>
        <w:t>was the outcome of</w:t>
      </w:r>
      <w:r w:rsidRPr="00CF16FA">
        <w:rPr>
          <w:rFonts w:asciiTheme="minorHAnsi" w:hAnsiTheme="minorHAnsi"/>
          <w:szCs w:val="24"/>
          <w:lang w:val="en-CA"/>
        </w:rPr>
        <w:t xml:space="preserve"> protracted negotiations and many different proposals. It should, therefore, remain unchanged.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4.5</w:t>
      </w:r>
      <w:r>
        <w:rPr>
          <w:rFonts w:asciiTheme="minorHAnsi" w:hAnsiTheme="minorHAnsi"/>
          <w:szCs w:val="24"/>
          <w:lang w:val="en-CA"/>
        </w:rPr>
        <w:tab/>
        <w:t>Th</w:t>
      </w:r>
      <w:r w:rsidRPr="00CF16FA">
        <w:rPr>
          <w:rFonts w:asciiTheme="minorHAnsi" w:hAnsiTheme="minorHAnsi"/>
          <w:szCs w:val="24"/>
          <w:lang w:val="en-CA"/>
        </w:rPr>
        <w:t xml:space="preserve">e </w:t>
      </w:r>
      <w:r w:rsidRPr="00CF16FA">
        <w:rPr>
          <w:rFonts w:asciiTheme="minorHAnsi" w:hAnsiTheme="minorHAnsi"/>
          <w:b/>
          <w:bCs/>
          <w:szCs w:val="24"/>
          <w:lang w:val="en-CA"/>
        </w:rPr>
        <w:t>delegate of the Islamic Republic of Iran</w:t>
      </w:r>
      <w:r>
        <w:rPr>
          <w:rFonts w:asciiTheme="minorHAnsi" w:hAnsiTheme="minorHAnsi"/>
          <w:b/>
          <w:bCs/>
          <w:szCs w:val="24"/>
          <w:lang w:val="en-CA"/>
        </w:rPr>
        <w:t xml:space="preserve"> </w:t>
      </w:r>
      <w:r w:rsidRPr="00CF16FA">
        <w:rPr>
          <w:rFonts w:asciiTheme="minorHAnsi" w:hAnsiTheme="minorHAnsi"/>
          <w:szCs w:val="24"/>
          <w:lang w:val="en-CA"/>
        </w:rPr>
        <w:t>withdrew his proposed amendment.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4.6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>Draft Resolution WGPL/</w:t>
      </w:r>
      <w:r>
        <w:rPr>
          <w:rFonts w:asciiTheme="minorHAnsi" w:hAnsiTheme="minorHAnsi"/>
          <w:szCs w:val="24"/>
          <w:lang w:val="en-CA"/>
        </w:rPr>
        <w:t>3</w:t>
      </w:r>
      <w:r w:rsidRPr="00CF16FA">
        <w:rPr>
          <w:rFonts w:asciiTheme="minorHAnsi" w:hAnsiTheme="minorHAnsi"/>
          <w:szCs w:val="24"/>
          <w:lang w:val="en-CA"/>
        </w:rPr>
        <w:t xml:space="preserve"> (Dubai, 2018) was </w:t>
      </w:r>
      <w:r w:rsidRPr="00CF16FA">
        <w:rPr>
          <w:rFonts w:asciiTheme="minorHAnsi" w:hAnsiTheme="minorHAnsi"/>
          <w:b/>
          <w:bCs/>
          <w:szCs w:val="24"/>
          <w:lang w:val="en-CA"/>
        </w:rPr>
        <w:t>adopted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Recommendation WGPL/1 (Dubai, 2018) - The role of ITU in supporting the use of information and communication technologies to combat trafficking in persons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4.7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b/>
          <w:bCs/>
          <w:szCs w:val="24"/>
          <w:lang w:val="en-CA"/>
        </w:rPr>
        <w:t>Adopted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4.8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</w:t>
      </w:r>
      <w:r>
        <w:rPr>
          <w:rFonts w:asciiTheme="minorHAnsi" w:hAnsiTheme="minorHAnsi"/>
          <w:szCs w:val="24"/>
          <w:lang w:val="en-CA"/>
        </w:rPr>
        <w:t>twelfth</w:t>
      </w:r>
      <w:r w:rsidRPr="00CF16FA">
        <w:rPr>
          <w:rFonts w:asciiTheme="minorHAnsi" w:hAnsiTheme="minorHAnsi"/>
          <w:szCs w:val="24"/>
          <w:lang w:val="en-CA"/>
        </w:rPr>
        <w:t xml:space="preserve"> series of texts submitted by the Editorial Committee for first reading (B12) (Document 138) was </w:t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20" w:hanging="720"/>
        <w:textAlignment w:val="auto"/>
        <w:rPr>
          <w:rFonts w:asciiTheme="minorHAnsi" w:hAnsiTheme="minorHAnsi"/>
          <w:b/>
          <w:sz w:val="26"/>
          <w:szCs w:val="26"/>
          <w:lang w:val="en-CA"/>
        </w:rPr>
      </w:pPr>
      <w:r>
        <w:rPr>
          <w:rFonts w:asciiTheme="minorHAnsi" w:hAnsiTheme="minorHAnsi"/>
          <w:b/>
          <w:sz w:val="26"/>
          <w:szCs w:val="26"/>
          <w:lang w:val="en-CA"/>
        </w:rPr>
        <w:t>5</w:t>
      </w:r>
      <w:r>
        <w:rPr>
          <w:rFonts w:asciiTheme="minorHAnsi" w:hAnsiTheme="minorHAnsi"/>
          <w:b/>
          <w:sz w:val="26"/>
          <w:szCs w:val="26"/>
          <w:lang w:val="en-CA"/>
        </w:rPr>
        <w:tab/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Second series of texts submitted by the Editorial Committee for second reading (R2) (Document </w:t>
      </w:r>
      <w:hyperlink r:id="rId21" w:history="1">
        <w:r w:rsidRPr="001771C6">
          <w:rPr>
            <w:rStyle w:val="Hyperlink"/>
            <w:rFonts w:asciiTheme="minorHAnsi" w:hAnsiTheme="minorHAnsi"/>
            <w:b/>
            <w:sz w:val="26"/>
            <w:szCs w:val="26"/>
            <w:lang w:val="en-CA"/>
          </w:rPr>
          <w:t>151</w:t>
        </w:r>
      </w:hyperlink>
      <w:r w:rsidRPr="00CF16FA">
        <w:rPr>
          <w:rFonts w:asciiTheme="minorHAnsi" w:hAnsiTheme="minorHAnsi"/>
          <w:b/>
          <w:sz w:val="26"/>
          <w:szCs w:val="26"/>
          <w:lang w:val="en-CA"/>
        </w:rPr>
        <w:t>)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bCs/>
          <w:szCs w:val="24"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175 (Rev. Dubai, 2018) - Telecommunication/information and communication technology accessibility for persons with disabilities and persons with specific needs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5.1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b/>
          <w:bCs/>
          <w:szCs w:val="24"/>
          <w:lang w:val="en-CA"/>
        </w:rPr>
        <w:t>Adopted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lastRenderedPageBreak/>
        <w:t>5.2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second series of texts submitted by the Editorial Committee for second reading (R2) </w:t>
      </w:r>
      <w:r>
        <w:rPr>
          <w:rFonts w:asciiTheme="minorHAnsi" w:hAnsiTheme="minorHAnsi"/>
          <w:szCs w:val="24"/>
          <w:lang w:val="en-CA"/>
        </w:rPr>
        <w:t xml:space="preserve">(Document 151) </w:t>
      </w:r>
      <w:r w:rsidRPr="00CF16FA">
        <w:rPr>
          <w:rFonts w:asciiTheme="minorHAnsi" w:hAnsiTheme="minorHAnsi"/>
          <w:szCs w:val="24"/>
          <w:lang w:val="en-CA"/>
        </w:rPr>
        <w:t xml:space="preserve">was </w:t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20" w:hanging="720"/>
        <w:textAlignment w:val="auto"/>
        <w:rPr>
          <w:rFonts w:asciiTheme="minorHAnsi" w:hAnsiTheme="minorHAnsi"/>
          <w:b/>
          <w:sz w:val="26"/>
          <w:szCs w:val="26"/>
          <w:lang w:val="en-CA"/>
        </w:rPr>
      </w:pPr>
      <w:r w:rsidRPr="00CF16FA">
        <w:rPr>
          <w:rFonts w:asciiTheme="minorHAnsi" w:hAnsiTheme="minorHAnsi"/>
          <w:b/>
          <w:sz w:val="26"/>
          <w:szCs w:val="26"/>
          <w:lang w:val="en-CA"/>
        </w:rPr>
        <w:t>6</w:t>
      </w:r>
      <w:r>
        <w:rPr>
          <w:rFonts w:asciiTheme="minorHAnsi" w:hAnsiTheme="minorHAnsi"/>
          <w:b/>
          <w:sz w:val="26"/>
          <w:szCs w:val="26"/>
          <w:lang w:val="en-CA"/>
        </w:rPr>
        <w:tab/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Third series of texts submitted by the Editorial Committee for second reading (R3) (Document </w:t>
      </w:r>
      <w:hyperlink r:id="rId22" w:history="1">
        <w:r w:rsidRPr="001771C6">
          <w:rPr>
            <w:rStyle w:val="Hyperlink"/>
            <w:rFonts w:asciiTheme="minorHAnsi" w:hAnsiTheme="minorHAnsi"/>
            <w:b/>
            <w:sz w:val="26"/>
            <w:szCs w:val="26"/>
            <w:lang w:val="en-CA"/>
          </w:rPr>
          <w:t>152</w:t>
        </w:r>
      </w:hyperlink>
      <w:r w:rsidRPr="00CF16FA">
        <w:rPr>
          <w:rFonts w:asciiTheme="minorHAnsi" w:hAnsiTheme="minorHAnsi"/>
          <w:b/>
          <w:sz w:val="26"/>
          <w:szCs w:val="26"/>
          <w:lang w:val="en-CA"/>
        </w:rPr>
        <w:t>)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>
        <w:rPr>
          <w:rFonts w:asciiTheme="minorHAnsi" w:hAnsiTheme="minorHAnsi"/>
          <w:b/>
          <w:bCs/>
          <w:szCs w:val="24"/>
          <w:lang w:val="en-CA"/>
        </w:rPr>
        <w:t xml:space="preserve">Draft </w:t>
      </w:r>
      <w:r w:rsidRPr="00CF16FA">
        <w:rPr>
          <w:rFonts w:asciiTheme="minorHAnsi" w:hAnsiTheme="minorHAnsi"/>
          <w:b/>
          <w:bCs/>
          <w:szCs w:val="24"/>
          <w:lang w:val="en-CA"/>
        </w:rPr>
        <w:t>Resolution 123 (Rev. Dubai, 2018) - Bridging the standardization gap between developing and developed countries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6.1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b/>
          <w:bCs/>
          <w:szCs w:val="24"/>
          <w:lang w:val="en-CA"/>
        </w:rPr>
        <w:t>Adopted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6.2</w:t>
      </w:r>
      <w:r>
        <w:rPr>
          <w:rFonts w:asciiTheme="minorHAnsi" w:hAnsiTheme="minorHAnsi"/>
          <w:szCs w:val="24"/>
          <w:lang w:val="en-CA"/>
        </w:rPr>
        <w:tab/>
        <w:t>The third</w:t>
      </w:r>
      <w:r w:rsidRPr="00CF16FA">
        <w:rPr>
          <w:rFonts w:asciiTheme="minorHAnsi" w:hAnsiTheme="minorHAnsi"/>
          <w:szCs w:val="24"/>
          <w:lang w:val="en-CA"/>
        </w:rPr>
        <w:t xml:space="preserve"> series of texts submitted by the Editorial Committee for second reading (R3) </w:t>
      </w:r>
      <w:r>
        <w:rPr>
          <w:rFonts w:asciiTheme="minorHAnsi" w:hAnsiTheme="minorHAnsi"/>
          <w:szCs w:val="24"/>
          <w:lang w:val="en-CA"/>
        </w:rPr>
        <w:t xml:space="preserve">(Document 152) </w:t>
      </w:r>
      <w:r w:rsidRPr="00CF16FA">
        <w:rPr>
          <w:rFonts w:asciiTheme="minorHAnsi" w:hAnsiTheme="minorHAnsi"/>
          <w:szCs w:val="24"/>
          <w:lang w:val="en-CA"/>
        </w:rPr>
        <w:t xml:space="preserve">was </w:t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>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20" w:hanging="720"/>
        <w:textAlignment w:val="auto"/>
        <w:rPr>
          <w:rFonts w:asciiTheme="minorHAnsi" w:hAnsiTheme="minorHAnsi"/>
          <w:b/>
          <w:sz w:val="26"/>
          <w:szCs w:val="26"/>
          <w:lang w:val="en-CA"/>
        </w:rPr>
      </w:pPr>
      <w:r w:rsidRPr="00CF16FA">
        <w:rPr>
          <w:rFonts w:asciiTheme="minorHAnsi" w:hAnsiTheme="minorHAnsi"/>
          <w:b/>
          <w:sz w:val="26"/>
          <w:szCs w:val="26"/>
          <w:lang w:val="en-CA"/>
        </w:rPr>
        <w:t>7</w:t>
      </w:r>
      <w:r>
        <w:rPr>
          <w:rFonts w:asciiTheme="minorHAnsi" w:hAnsiTheme="minorHAnsi"/>
          <w:b/>
          <w:sz w:val="26"/>
          <w:szCs w:val="26"/>
          <w:lang w:val="en-CA"/>
        </w:rPr>
        <w:tab/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Eleventh series of texts submitted by the Editorial Committee – second reading (Document </w:t>
      </w:r>
      <w:hyperlink r:id="rId23" w:history="1">
        <w:r w:rsidRPr="001771C6">
          <w:rPr>
            <w:rStyle w:val="Hyperlink"/>
            <w:rFonts w:asciiTheme="minorHAnsi" w:hAnsiTheme="minorHAnsi"/>
            <w:b/>
            <w:sz w:val="26"/>
            <w:szCs w:val="26"/>
            <w:lang w:val="en-CA"/>
          </w:rPr>
          <w:t>137</w:t>
        </w:r>
      </w:hyperlink>
      <w:r w:rsidRPr="00CF16FA">
        <w:rPr>
          <w:rFonts w:asciiTheme="minorHAnsi" w:hAnsiTheme="minorHAnsi"/>
          <w:b/>
          <w:sz w:val="26"/>
          <w:szCs w:val="26"/>
          <w:lang w:val="en-CA"/>
        </w:rPr>
        <w:t>)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7.1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eleventh series of texts submitted by the Editorial Committee (Document 137) was </w:t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 xml:space="preserve"> on second reading.</w:t>
      </w:r>
    </w:p>
    <w:p w:rsidR="001E4611" w:rsidRPr="00CF16FA" w:rsidRDefault="001E4611" w:rsidP="001771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20" w:hanging="720"/>
        <w:textAlignment w:val="auto"/>
        <w:rPr>
          <w:rFonts w:asciiTheme="minorHAnsi" w:hAnsiTheme="minorHAnsi"/>
          <w:b/>
          <w:sz w:val="26"/>
          <w:szCs w:val="26"/>
          <w:lang w:val="en-CA"/>
        </w:rPr>
      </w:pPr>
      <w:r w:rsidRPr="00CF16FA">
        <w:rPr>
          <w:rFonts w:asciiTheme="minorHAnsi" w:hAnsiTheme="minorHAnsi"/>
          <w:b/>
          <w:sz w:val="26"/>
          <w:szCs w:val="26"/>
          <w:lang w:val="en-CA"/>
        </w:rPr>
        <w:t>8</w:t>
      </w:r>
      <w:r>
        <w:rPr>
          <w:rFonts w:asciiTheme="minorHAnsi" w:hAnsiTheme="minorHAnsi"/>
          <w:b/>
          <w:sz w:val="26"/>
          <w:szCs w:val="26"/>
          <w:lang w:val="en-CA"/>
        </w:rPr>
        <w:tab/>
      </w:r>
      <w:r w:rsidRPr="00CF16FA">
        <w:rPr>
          <w:rFonts w:asciiTheme="minorHAnsi" w:hAnsiTheme="minorHAnsi"/>
          <w:b/>
          <w:sz w:val="26"/>
          <w:szCs w:val="26"/>
          <w:lang w:val="en-CA"/>
        </w:rPr>
        <w:t xml:space="preserve">Twelfth series of texts submitted by the Editorial Committee – second reading (Document </w:t>
      </w:r>
      <w:hyperlink r:id="rId24" w:history="1">
        <w:r w:rsidRPr="001771C6">
          <w:rPr>
            <w:rStyle w:val="Hyperlink"/>
            <w:rFonts w:asciiTheme="minorHAnsi" w:hAnsiTheme="minorHAnsi"/>
            <w:b/>
            <w:sz w:val="26"/>
            <w:szCs w:val="26"/>
            <w:lang w:val="en-CA"/>
          </w:rPr>
          <w:t>138</w:t>
        </w:r>
      </w:hyperlink>
      <w:bookmarkStart w:id="9" w:name="_GoBack"/>
      <w:bookmarkEnd w:id="9"/>
      <w:r w:rsidRPr="00CF16FA">
        <w:rPr>
          <w:rFonts w:asciiTheme="minorHAnsi" w:hAnsiTheme="minorHAnsi"/>
          <w:b/>
          <w:sz w:val="26"/>
          <w:szCs w:val="26"/>
          <w:lang w:val="en-CA"/>
        </w:rPr>
        <w:t>)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8.1</w:t>
      </w:r>
      <w:r>
        <w:rPr>
          <w:rFonts w:asciiTheme="minorHAnsi" w:hAnsiTheme="minorHAnsi"/>
          <w:szCs w:val="24"/>
          <w:lang w:val="en-CA"/>
        </w:rPr>
        <w:tab/>
      </w:r>
      <w:r w:rsidRPr="00CF16FA">
        <w:rPr>
          <w:rFonts w:asciiTheme="minorHAnsi" w:hAnsiTheme="minorHAnsi"/>
          <w:szCs w:val="24"/>
          <w:lang w:val="en-CA"/>
        </w:rPr>
        <w:t xml:space="preserve">The twelfth series of texts submitted by the Editorial Committee (Document 138) was </w:t>
      </w:r>
      <w:r w:rsidRPr="00CF16FA">
        <w:rPr>
          <w:rFonts w:asciiTheme="minorHAnsi" w:hAnsiTheme="minorHAnsi"/>
          <w:b/>
          <w:bCs/>
          <w:szCs w:val="24"/>
          <w:lang w:val="en-CA"/>
        </w:rPr>
        <w:t>approved</w:t>
      </w:r>
      <w:r w:rsidRPr="00CF16FA">
        <w:rPr>
          <w:rFonts w:asciiTheme="minorHAnsi" w:hAnsiTheme="minorHAnsi"/>
          <w:szCs w:val="24"/>
          <w:lang w:val="en-CA"/>
        </w:rPr>
        <w:t xml:space="preserve"> on second reading.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n-CA"/>
        </w:rPr>
      </w:pPr>
      <w:r w:rsidRPr="00CF16FA">
        <w:rPr>
          <w:b/>
          <w:lang w:val="en-CA"/>
        </w:rPr>
        <w:t>The meeting rose at 2145 hours.</w:t>
      </w:r>
    </w:p>
    <w:p w:rsidR="001E4611" w:rsidRPr="00CF16FA" w:rsidRDefault="001E4611" w:rsidP="001E46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CA"/>
        </w:rPr>
      </w:pPr>
    </w:p>
    <w:p w:rsidR="00936422" w:rsidRPr="006D75A7" w:rsidRDefault="00936422" w:rsidP="00A452FE">
      <w:pPr>
        <w:spacing w:before="160"/>
        <w:rPr>
          <w:b/>
          <w:bCs/>
          <w:lang w:val="en-CA"/>
        </w:rPr>
      </w:pPr>
    </w:p>
    <w:p w:rsidR="00936422" w:rsidRPr="005043C3" w:rsidRDefault="00936422" w:rsidP="00A452F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240"/>
        <w:rPr>
          <w:lang w:val="en-CA"/>
        </w:rPr>
      </w:pPr>
      <w:r w:rsidRPr="005043C3">
        <w:rPr>
          <w:lang w:val="en-CA"/>
        </w:rPr>
        <w:t>The Secretary-General:</w:t>
      </w:r>
      <w:r w:rsidRPr="005043C3">
        <w:rPr>
          <w:lang w:val="en-CA"/>
        </w:rPr>
        <w:tab/>
        <w:t>The Chairman:</w:t>
      </w:r>
    </w:p>
    <w:p w:rsidR="00936422" w:rsidRPr="005043C3" w:rsidRDefault="00936422" w:rsidP="00A452F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0"/>
        <w:rPr>
          <w:lang w:val="en-CA"/>
        </w:rPr>
      </w:pPr>
      <w:r w:rsidRPr="005043C3">
        <w:rPr>
          <w:lang w:val="en-CA"/>
        </w:rPr>
        <w:t>H. ZHAO</w:t>
      </w:r>
      <w:r w:rsidRPr="005043C3">
        <w:rPr>
          <w:lang w:val="en-CA"/>
        </w:rPr>
        <w:tab/>
        <w:t>M. ALMESMAR</w:t>
      </w:r>
    </w:p>
    <w:p w:rsidR="00936422" w:rsidRPr="00175A51" w:rsidRDefault="00936422" w:rsidP="00A452FE">
      <w:pPr>
        <w:spacing w:before="160"/>
        <w:rPr>
          <w:lang w:val="en-CA"/>
        </w:rPr>
      </w:pPr>
    </w:p>
    <w:sectPr w:rsidR="00936422" w:rsidRPr="00175A51" w:rsidSect="00361097">
      <w:headerReference w:type="default" r:id="rId25"/>
      <w:footerReference w:type="default" r:id="rId26"/>
      <w:footerReference w:type="first" r:id="rId2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1771C6">
      <w:rPr>
        <w:noProof/>
      </w:rPr>
      <w:t>4</w:t>
    </w:r>
    <w:r>
      <w:fldChar w:fldCharType="end"/>
    </w:r>
  </w:p>
  <w:p w:rsidR="00CE1B90" w:rsidRDefault="00CE1B90" w:rsidP="002C2372">
    <w:pPr>
      <w:pStyle w:val="Header"/>
    </w:pPr>
    <w:r>
      <w:t>PP1</w:t>
    </w:r>
    <w:r w:rsidR="004F7925">
      <w:t>8</w:t>
    </w:r>
    <w:r w:rsidR="00E26429">
      <w:t>/</w:t>
    </w:r>
    <w:r w:rsidR="000873C7">
      <w:t>1</w:t>
    </w:r>
    <w:r w:rsidR="000E28F9">
      <w:t>7</w:t>
    </w:r>
    <w:r w:rsidR="002C2372">
      <w:t>2</w:t>
    </w:r>
    <w:r w:rsidR="00E26429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E6DFD"/>
    <w:multiLevelType w:val="multilevel"/>
    <w:tmpl w:val="C01C683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04D13C7"/>
    <w:multiLevelType w:val="multilevel"/>
    <w:tmpl w:val="C01C683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873C7"/>
    <w:rsid w:val="00094B4F"/>
    <w:rsid w:val="000A1015"/>
    <w:rsid w:val="000B03F9"/>
    <w:rsid w:val="000B0A77"/>
    <w:rsid w:val="000B0D6C"/>
    <w:rsid w:val="000B5BB9"/>
    <w:rsid w:val="000B7152"/>
    <w:rsid w:val="000C4701"/>
    <w:rsid w:val="000C72DD"/>
    <w:rsid w:val="000E28F9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771C6"/>
    <w:rsid w:val="00195B70"/>
    <w:rsid w:val="00197F84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E4611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C2372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448DA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1AE3"/>
    <w:rsid w:val="005C3315"/>
    <w:rsid w:val="005E1CC3"/>
    <w:rsid w:val="005F05C8"/>
    <w:rsid w:val="00604079"/>
    <w:rsid w:val="00611B4F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85DF7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A6ED5"/>
    <w:rsid w:val="008B5A71"/>
    <w:rsid w:val="008D3BE2"/>
    <w:rsid w:val="008D4D98"/>
    <w:rsid w:val="008E2A7B"/>
    <w:rsid w:val="008E6E9B"/>
    <w:rsid w:val="008F2C56"/>
    <w:rsid w:val="008F3C99"/>
    <w:rsid w:val="00900D5B"/>
    <w:rsid w:val="00916F5D"/>
    <w:rsid w:val="009236FE"/>
    <w:rsid w:val="00936422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171AE"/>
    <w:rsid w:val="00A314A2"/>
    <w:rsid w:val="00A452FE"/>
    <w:rsid w:val="00A516BB"/>
    <w:rsid w:val="00A619C5"/>
    <w:rsid w:val="00A808E1"/>
    <w:rsid w:val="00A8262F"/>
    <w:rsid w:val="00A84B32"/>
    <w:rsid w:val="00A84B3A"/>
    <w:rsid w:val="00A91554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E5376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265E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197F8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PP-C-0151/en" TargetMode="External"/><Relationship Id="rId18" Type="http://schemas.openxmlformats.org/officeDocument/2006/relationships/hyperlink" Target="https://www.itu.int/md/S18-PP-C-0148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18-PP-C-015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C-0138/en" TargetMode="External"/><Relationship Id="rId17" Type="http://schemas.openxmlformats.org/officeDocument/2006/relationships/hyperlink" Target="https://www.itu.int/md/S18-PP-C-0148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PP-C-0138/en" TargetMode="External"/><Relationship Id="rId20" Type="http://schemas.openxmlformats.org/officeDocument/2006/relationships/hyperlink" Target="https://www.itu.int/md/S18-PP-C-0138/en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PP-C-0137/en" TargetMode="External"/><Relationship Id="rId24" Type="http://schemas.openxmlformats.org/officeDocument/2006/relationships/hyperlink" Target="https://www.itu.int/md/S18-PP-C-013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PP-C-0137/en" TargetMode="External"/><Relationship Id="rId23" Type="http://schemas.openxmlformats.org/officeDocument/2006/relationships/hyperlink" Target="https://www.itu.int/md/S18-PP-C-0137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8-PP-C-0148/en" TargetMode="External"/><Relationship Id="rId19" Type="http://schemas.openxmlformats.org/officeDocument/2006/relationships/hyperlink" Target="https://www.itu.int/md/S18-PP-C-01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48/en" TargetMode="External"/><Relationship Id="rId14" Type="http://schemas.openxmlformats.org/officeDocument/2006/relationships/hyperlink" Target="https://www.itu.int/md/S18-PP-C-0152/en" TargetMode="External"/><Relationship Id="rId22" Type="http://schemas.openxmlformats.org/officeDocument/2006/relationships/hyperlink" Target="https://www.itu.int/md/S18-PP-C-0152/e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Plenary meeting</vt:lpstr>
    </vt:vector>
  </TitlesOfParts>
  <Manager/>
  <Company/>
  <LinksUpToDate>false</LinksUpToDate>
  <CharactersWithSpaces>7802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Plenary meeting</dc:title>
  <dc:subject>Plenipotentiary Conference (PP-18)</dc:subject>
  <dc:creator/>
  <cp:keywords>PP-18, Plenipotentiary</cp:keywords>
  <cp:lastModifiedBy/>
  <cp:revision>1</cp:revision>
  <dcterms:created xsi:type="dcterms:W3CDTF">2018-11-30T09:26:00Z</dcterms:created>
  <dcterms:modified xsi:type="dcterms:W3CDTF">2018-11-30T09:37:00Z</dcterms:modified>
  <cp:category>Conference document</cp:category>
</cp:coreProperties>
</file>