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0873C7" w:rsidP="00197F84">
            <w:pPr>
              <w:tabs>
                <w:tab w:val="left" w:pos="851"/>
              </w:tabs>
              <w:spacing w:before="0"/>
              <w:rPr>
                <w:rFonts w:cstheme="minorHAnsi"/>
                <w:b/>
                <w:szCs w:val="24"/>
              </w:rPr>
            </w:pPr>
            <w:r>
              <w:rPr>
                <w:rFonts w:cstheme="minorHAnsi"/>
                <w:b/>
                <w:szCs w:val="24"/>
              </w:rPr>
              <w:t xml:space="preserve">Document </w:t>
            </w:r>
            <w:r w:rsidR="005C1AE3">
              <w:rPr>
                <w:rFonts w:cstheme="minorHAnsi"/>
                <w:b/>
                <w:szCs w:val="24"/>
              </w:rPr>
              <w:t>1</w:t>
            </w:r>
            <w:r w:rsidR="00A91554">
              <w:rPr>
                <w:rFonts w:cstheme="minorHAnsi"/>
                <w:b/>
                <w:szCs w:val="24"/>
              </w:rPr>
              <w:t>7</w:t>
            </w:r>
            <w:r w:rsidR="00197F84">
              <w:rPr>
                <w:rFonts w:cstheme="minorHAnsi"/>
                <w:b/>
                <w:szCs w:val="24"/>
              </w:rPr>
              <w:t>1</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0873C7" w:rsidP="003740BC">
            <w:pPr>
              <w:spacing w:before="0"/>
              <w:rPr>
                <w:rFonts w:cstheme="minorHAnsi"/>
                <w:szCs w:val="24"/>
              </w:rPr>
            </w:pPr>
            <w:r>
              <w:rPr>
                <w:rFonts w:cstheme="minorHAnsi"/>
                <w:b/>
                <w:szCs w:val="24"/>
              </w:rPr>
              <w:t xml:space="preserve">27 November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197F84" w:rsidP="00197F84">
            <w:pPr>
              <w:pStyle w:val="Title2"/>
              <w:spacing w:after="240"/>
            </w:pPr>
            <w:bookmarkStart w:id="9" w:name="_GoBack"/>
            <w:bookmarkEnd w:id="9"/>
            <w:r>
              <w:rPr>
                <w:lang w:val="en-CA"/>
              </w:rPr>
              <w:t>fourt</w:t>
            </w:r>
            <w:r w:rsidR="00A91554">
              <w:rPr>
                <w:lang w:val="en-CA"/>
              </w:rPr>
              <w:t>EEN</w:t>
            </w:r>
            <w:r w:rsidR="00936422">
              <w:rPr>
                <w:lang w:val="en-CA"/>
              </w:rPr>
              <w:t>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197F84" w:rsidP="00197F84">
            <w:pPr>
              <w:jc w:val="center"/>
              <w:rPr>
                <w:lang w:val="en-CA"/>
              </w:rPr>
            </w:pPr>
            <w:r>
              <w:rPr>
                <w:lang w:val="en-CA"/>
              </w:rPr>
              <w:t>Wednes</w:t>
            </w:r>
            <w:r w:rsidR="00A91554">
              <w:rPr>
                <w:lang w:val="en-CA"/>
              </w:rPr>
              <w:t>d</w:t>
            </w:r>
            <w:r w:rsidR="00936422">
              <w:rPr>
                <w:lang w:val="en-CA"/>
              </w:rPr>
              <w:t>ay</w:t>
            </w:r>
            <w:r w:rsidR="009609D9" w:rsidRPr="00DB0816">
              <w:rPr>
                <w:lang w:val="en-CA"/>
              </w:rPr>
              <w:t xml:space="preserve">, </w:t>
            </w:r>
            <w:r w:rsidR="00936422">
              <w:rPr>
                <w:lang w:val="en-CA"/>
              </w:rPr>
              <w:t>1</w:t>
            </w:r>
            <w:r>
              <w:rPr>
                <w:lang w:val="en-CA"/>
              </w:rPr>
              <w:t>4</w:t>
            </w:r>
            <w:r w:rsidR="009609D9" w:rsidRPr="00DB0816">
              <w:rPr>
                <w:lang w:val="en-CA"/>
              </w:rPr>
              <w:t xml:space="preserve"> </w:t>
            </w:r>
            <w:r w:rsidR="00936422">
              <w:rPr>
                <w:lang w:val="en-CA"/>
              </w:rPr>
              <w:t>Novem</w:t>
            </w:r>
            <w:r w:rsidR="009609D9" w:rsidRPr="00DB0816">
              <w:rPr>
                <w:lang w:val="en-CA"/>
              </w:rPr>
              <w:t xml:space="preserve">ber, at </w:t>
            </w:r>
            <w:r>
              <w:rPr>
                <w:lang w:val="en-CA"/>
              </w:rPr>
              <w:t>1200</w:t>
            </w:r>
            <w:r w:rsidR="009609D9" w:rsidRPr="00DB0816">
              <w:rPr>
                <w:lang w:val="en-CA"/>
              </w:rPr>
              <w:t xml:space="preserve">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Mr M</w:t>
            </w:r>
            <w:r>
              <w:rPr>
                <w:bCs/>
                <w:lang w:val="en-CA"/>
              </w:rPr>
              <w:t>ajed</w:t>
            </w:r>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197F84" w:rsidRPr="00A777AC" w:rsidTr="007D4E4E">
        <w:tc>
          <w:tcPr>
            <w:tcW w:w="534" w:type="dxa"/>
          </w:tcPr>
          <w:p w:rsidR="00197F84" w:rsidRPr="00A777AC" w:rsidRDefault="00197F84" w:rsidP="007D4E4E">
            <w:pPr>
              <w:pStyle w:val="toc0"/>
              <w:rPr>
                <w:lang w:val="en-CA"/>
              </w:rPr>
            </w:pPr>
          </w:p>
        </w:tc>
        <w:tc>
          <w:tcPr>
            <w:tcW w:w="7164" w:type="dxa"/>
          </w:tcPr>
          <w:p w:rsidR="00197F84" w:rsidRPr="00A777AC" w:rsidRDefault="00197F84" w:rsidP="007D4E4E">
            <w:pPr>
              <w:pStyle w:val="toc0"/>
              <w:rPr>
                <w:lang w:val="en-CA"/>
              </w:rPr>
            </w:pPr>
            <w:r w:rsidRPr="00A777AC">
              <w:rPr>
                <w:lang w:val="en-CA"/>
              </w:rPr>
              <w:t>Subjects discussed</w:t>
            </w:r>
          </w:p>
        </w:tc>
        <w:tc>
          <w:tcPr>
            <w:tcW w:w="2333" w:type="dxa"/>
          </w:tcPr>
          <w:p w:rsidR="00197F84" w:rsidRPr="00A777AC" w:rsidRDefault="00197F84" w:rsidP="007D4E4E">
            <w:pPr>
              <w:pStyle w:val="toc0"/>
              <w:jc w:val="center"/>
              <w:rPr>
                <w:lang w:val="en-CA"/>
              </w:rPr>
            </w:pPr>
            <w:r w:rsidRPr="00A777AC">
              <w:rPr>
                <w:lang w:val="en-CA"/>
              </w:rPr>
              <w:t>Documents</w:t>
            </w:r>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1</w:t>
            </w:r>
          </w:p>
        </w:tc>
        <w:tc>
          <w:tcPr>
            <w:tcW w:w="7164" w:type="dxa"/>
          </w:tcPr>
          <w:p w:rsidR="00197F84" w:rsidRPr="00A777AC" w:rsidRDefault="00197F84" w:rsidP="007D4E4E">
            <w:pPr>
              <w:rPr>
                <w:lang w:val="en-CA"/>
              </w:rPr>
            </w:pPr>
            <w:r w:rsidRPr="00A777AC">
              <w:rPr>
                <w:lang w:val="en-CA"/>
              </w:rPr>
              <w:t>Eighth series of texts submitted by the Editorial Committee for first reading (B8)</w:t>
            </w:r>
          </w:p>
        </w:tc>
        <w:tc>
          <w:tcPr>
            <w:tcW w:w="2333" w:type="dxa"/>
          </w:tcPr>
          <w:p w:rsidR="00197F84" w:rsidRPr="00A777AC" w:rsidRDefault="000E28F9" w:rsidP="007D4E4E">
            <w:pPr>
              <w:jc w:val="center"/>
              <w:rPr>
                <w:lang w:val="en-CA"/>
              </w:rPr>
            </w:pPr>
            <w:hyperlink r:id="rId9" w:history="1">
              <w:r w:rsidR="00197F84" w:rsidRPr="000E28F9">
                <w:rPr>
                  <w:rStyle w:val="Hyperlink"/>
                  <w:lang w:val="en-CA"/>
                </w:rPr>
                <w:t>133</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2</w:t>
            </w:r>
          </w:p>
        </w:tc>
        <w:tc>
          <w:tcPr>
            <w:tcW w:w="7164" w:type="dxa"/>
          </w:tcPr>
          <w:p w:rsidR="00197F84" w:rsidRPr="00A777AC" w:rsidRDefault="00197F84" w:rsidP="007D4E4E">
            <w:pPr>
              <w:rPr>
                <w:lang w:val="en-CA"/>
              </w:rPr>
            </w:pPr>
            <w:r w:rsidRPr="00A777AC">
              <w:rPr>
                <w:lang w:val="en-CA"/>
              </w:rPr>
              <w:t>Ninth series of texts submitted by the Editorial Committee for first reading (B9)</w:t>
            </w:r>
          </w:p>
        </w:tc>
        <w:tc>
          <w:tcPr>
            <w:tcW w:w="2333" w:type="dxa"/>
          </w:tcPr>
          <w:p w:rsidR="00197F84" w:rsidRPr="00A777AC" w:rsidRDefault="000E28F9" w:rsidP="007D4E4E">
            <w:pPr>
              <w:jc w:val="center"/>
              <w:rPr>
                <w:lang w:val="en-CA"/>
              </w:rPr>
            </w:pPr>
            <w:hyperlink r:id="rId10" w:history="1">
              <w:r w:rsidR="00197F84" w:rsidRPr="000E28F9">
                <w:rPr>
                  <w:rStyle w:val="Hyperlink"/>
                  <w:lang w:val="en-CA"/>
                </w:rPr>
                <w:t>134</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3</w:t>
            </w:r>
          </w:p>
        </w:tc>
        <w:tc>
          <w:tcPr>
            <w:tcW w:w="7164" w:type="dxa"/>
          </w:tcPr>
          <w:p w:rsidR="00197F84" w:rsidRPr="00A777AC" w:rsidRDefault="00197F84" w:rsidP="007D4E4E">
            <w:pPr>
              <w:rPr>
                <w:lang w:val="en-CA"/>
              </w:rPr>
            </w:pPr>
            <w:r w:rsidRPr="00A777AC">
              <w:rPr>
                <w:lang w:val="en-CA"/>
              </w:rPr>
              <w:t>Tenth series of texts submitted by the Editorial Committee for first reading (B10)</w:t>
            </w:r>
          </w:p>
        </w:tc>
        <w:tc>
          <w:tcPr>
            <w:tcW w:w="2333" w:type="dxa"/>
          </w:tcPr>
          <w:p w:rsidR="00197F84" w:rsidRPr="00A777AC" w:rsidRDefault="000E28F9" w:rsidP="007D4E4E">
            <w:pPr>
              <w:jc w:val="center"/>
              <w:rPr>
                <w:lang w:val="en-CA"/>
              </w:rPr>
            </w:pPr>
            <w:hyperlink r:id="rId11" w:history="1">
              <w:r w:rsidR="00197F84" w:rsidRPr="000E28F9">
                <w:rPr>
                  <w:rStyle w:val="Hyperlink"/>
                  <w:lang w:val="en-CA"/>
                </w:rPr>
                <w:t>135</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4</w:t>
            </w:r>
          </w:p>
        </w:tc>
        <w:tc>
          <w:tcPr>
            <w:tcW w:w="7164" w:type="dxa"/>
          </w:tcPr>
          <w:p w:rsidR="00197F84" w:rsidRPr="00A777AC" w:rsidRDefault="00197F84" w:rsidP="007D4E4E">
            <w:pPr>
              <w:rPr>
                <w:lang w:val="en-CA"/>
              </w:rPr>
            </w:pPr>
            <w:r w:rsidRPr="00A777AC">
              <w:rPr>
                <w:lang w:val="en-CA"/>
              </w:rPr>
              <w:t>Eighth series of texts submitted by the Editorial Committee - second reading</w:t>
            </w:r>
          </w:p>
        </w:tc>
        <w:tc>
          <w:tcPr>
            <w:tcW w:w="2333" w:type="dxa"/>
          </w:tcPr>
          <w:p w:rsidR="00197F84" w:rsidRPr="00A777AC" w:rsidRDefault="000E28F9" w:rsidP="007D4E4E">
            <w:pPr>
              <w:jc w:val="center"/>
              <w:rPr>
                <w:lang w:val="en-CA"/>
              </w:rPr>
            </w:pPr>
            <w:hyperlink r:id="rId12" w:history="1">
              <w:r w:rsidRPr="000E28F9">
                <w:rPr>
                  <w:rStyle w:val="Hyperlink"/>
                  <w:lang w:val="en-CA"/>
                </w:rPr>
                <w:t>133</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5</w:t>
            </w:r>
          </w:p>
        </w:tc>
        <w:tc>
          <w:tcPr>
            <w:tcW w:w="7164" w:type="dxa"/>
          </w:tcPr>
          <w:p w:rsidR="00197F84" w:rsidRPr="00A777AC" w:rsidRDefault="00197F84" w:rsidP="007D4E4E">
            <w:pPr>
              <w:rPr>
                <w:lang w:val="en-CA"/>
              </w:rPr>
            </w:pPr>
            <w:r w:rsidRPr="00A777AC">
              <w:rPr>
                <w:lang w:val="en-CA"/>
              </w:rPr>
              <w:t>Ninth series of texts submitted by the Editorial Committee - second reading</w:t>
            </w:r>
          </w:p>
        </w:tc>
        <w:tc>
          <w:tcPr>
            <w:tcW w:w="2333" w:type="dxa"/>
          </w:tcPr>
          <w:p w:rsidR="00197F84" w:rsidRPr="00A777AC" w:rsidRDefault="000E28F9" w:rsidP="007D4E4E">
            <w:pPr>
              <w:jc w:val="center"/>
              <w:rPr>
                <w:lang w:val="en-CA"/>
              </w:rPr>
            </w:pPr>
            <w:hyperlink r:id="rId13" w:history="1">
              <w:r w:rsidRPr="000E28F9">
                <w:rPr>
                  <w:rStyle w:val="Hyperlink"/>
                  <w:lang w:val="en-CA"/>
                </w:rPr>
                <w:t>134</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6</w:t>
            </w:r>
          </w:p>
        </w:tc>
        <w:tc>
          <w:tcPr>
            <w:tcW w:w="7164" w:type="dxa"/>
          </w:tcPr>
          <w:p w:rsidR="00197F84" w:rsidRPr="00A777AC" w:rsidRDefault="00197F84" w:rsidP="007D4E4E">
            <w:pPr>
              <w:tabs>
                <w:tab w:val="left" w:pos="4660"/>
              </w:tabs>
              <w:rPr>
                <w:lang w:val="en-CA"/>
              </w:rPr>
            </w:pPr>
            <w:r w:rsidRPr="00A777AC">
              <w:rPr>
                <w:lang w:val="en-CA"/>
              </w:rPr>
              <w:t>Tenth series of texts submitted by the Editorial Committee - second reading</w:t>
            </w:r>
          </w:p>
        </w:tc>
        <w:tc>
          <w:tcPr>
            <w:tcW w:w="2333" w:type="dxa"/>
          </w:tcPr>
          <w:p w:rsidR="00197F84" w:rsidRPr="00A777AC" w:rsidRDefault="000E28F9" w:rsidP="007D4E4E">
            <w:pPr>
              <w:jc w:val="center"/>
              <w:rPr>
                <w:lang w:val="en-CA"/>
              </w:rPr>
            </w:pPr>
            <w:hyperlink r:id="rId14" w:history="1">
              <w:r w:rsidRPr="000E28F9">
                <w:rPr>
                  <w:rStyle w:val="Hyperlink"/>
                  <w:lang w:val="en-CA"/>
                </w:rPr>
                <w:t>135</w:t>
              </w:r>
            </w:hyperlink>
          </w:p>
        </w:tc>
      </w:tr>
      <w:tr w:rsidR="00197F84" w:rsidRPr="00A777AC" w:rsidTr="007D4E4E">
        <w:tc>
          <w:tcPr>
            <w:tcW w:w="534" w:type="dxa"/>
          </w:tcPr>
          <w:p w:rsidR="00197F84" w:rsidRPr="00A777AC" w:rsidRDefault="00197F84" w:rsidP="007D4E4E">
            <w:pPr>
              <w:ind w:left="567" w:hanging="567"/>
              <w:rPr>
                <w:lang w:val="en-CA"/>
              </w:rPr>
            </w:pPr>
            <w:r w:rsidRPr="00A777AC">
              <w:rPr>
                <w:lang w:val="en-CA"/>
              </w:rPr>
              <w:t>7</w:t>
            </w:r>
          </w:p>
        </w:tc>
        <w:tc>
          <w:tcPr>
            <w:tcW w:w="7164" w:type="dxa"/>
          </w:tcPr>
          <w:p w:rsidR="00197F84" w:rsidRPr="00A777AC" w:rsidRDefault="00197F84" w:rsidP="000E28F9">
            <w:pPr>
              <w:tabs>
                <w:tab w:val="left" w:pos="4660"/>
              </w:tabs>
              <w:rPr>
                <w:lang w:val="en-CA"/>
              </w:rPr>
            </w:pPr>
            <w:r w:rsidRPr="00A777AC">
              <w:rPr>
                <w:lang w:val="en-CA"/>
              </w:rPr>
              <w:t>Approval of minutes</w:t>
            </w:r>
          </w:p>
        </w:tc>
        <w:tc>
          <w:tcPr>
            <w:tcW w:w="2333" w:type="dxa"/>
          </w:tcPr>
          <w:p w:rsidR="00197F84" w:rsidRPr="00A777AC" w:rsidRDefault="000E28F9" w:rsidP="007D4E4E">
            <w:pPr>
              <w:jc w:val="center"/>
              <w:rPr>
                <w:lang w:val="en-CA"/>
              </w:rPr>
            </w:pPr>
            <w:hyperlink r:id="rId15" w:history="1">
              <w:r w:rsidR="00197F84" w:rsidRPr="000E28F9">
                <w:rPr>
                  <w:rStyle w:val="Hyperlink"/>
                  <w:lang w:val="en-CA"/>
                </w:rPr>
                <w:t>131</w:t>
              </w:r>
            </w:hyperlink>
          </w:p>
        </w:tc>
      </w:tr>
    </w:tbl>
    <w:p w:rsidR="00A91554" w:rsidRPr="003A5D8B" w:rsidRDefault="00A91554" w:rsidP="00A91554">
      <w:pPr>
        <w:tabs>
          <w:tab w:val="clear" w:pos="567"/>
          <w:tab w:val="clear" w:pos="1134"/>
          <w:tab w:val="clear" w:pos="1701"/>
          <w:tab w:val="clear" w:pos="2268"/>
          <w:tab w:val="clear" w:pos="2835"/>
          <w:tab w:val="left" w:pos="720"/>
          <w:tab w:val="left" w:pos="1440"/>
        </w:tabs>
        <w:rPr>
          <w:lang w:val="en-CA"/>
        </w:rPr>
      </w:pPr>
    </w:p>
    <w:p w:rsidR="00A91554" w:rsidRPr="003A5D8B" w:rsidRDefault="00A91554" w:rsidP="00A91554">
      <w:pPr>
        <w:tabs>
          <w:tab w:val="clear" w:pos="567"/>
          <w:tab w:val="clear" w:pos="1134"/>
          <w:tab w:val="clear" w:pos="1701"/>
          <w:tab w:val="clear" w:pos="2268"/>
          <w:tab w:val="clear" w:pos="2835"/>
        </w:tabs>
        <w:overflowPunct/>
        <w:autoSpaceDE/>
        <w:autoSpaceDN/>
        <w:adjustRightInd/>
        <w:spacing w:before="0"/>
        <w:textAlignment w:val="auto"/>
        <w:rPr>
          <w:lang w:val="en-CA"/>
        </w:rPr>
      </w:pPr>
      <w:r w:rsidRPr="003A5D8B">
        <w:rPr>
          <w:lang w:val="en-CA"/>
        </w:rPr>
        <w:br w:type="page"/>
      </w:r>
    </w:p>
    <w:p w:rsidR="00197F84" w:rsidRPr="008A6ED5" w:rsidRDefault="00197F84" w:rsidP="000E28F9">
      <w:pPr>
        <w:ind w:left="567" w:hanging="567"/>
        <w:rPr>
          <w:sz w:val="26"/>
          <w:szCs w:val="26"/>
          <w:lang w:val="en-CA"/>
        </w:rPr>
      </w:pPr>
      <w:r w:rsidRPr="008A6ED5">
        <w:rPr>
          <w:b/>
          <w:bCs/>
          <w:sz w:val="26"/>
          <w:szCs w:val="26"/>
          <w:lang w:val="en-CA"/>
        </w:rPr>
        <w:lastRenderedPageBreak/>
        <w:t>1</w:t>
      </w:r>
      <w:r w:rsidRPr="008A6ED5">
        <w:rPr>
          <w:b/>
          <w:bCs/>
          <w:sz w:val="26"/>
          <w:szCs w:val="26"/>
          <w:lang w:val="en-CA"/>
        </w:rPr>
        <w:tab/>
        <w:t xml:space="preserve">Eighth series of texts submitted by the Editorial Committee for first reading (B8) (Document </w:t>
      </w:r>
      <w:hyperlink r:id="rId16" w:history="1">
        <w:r w:rsidRPr="008A6ED5">
          <w:rPr>
            <w:rStyle w:val="Hyperlink"/>
            <w:b/>
            <w:bCs/>
            <w:sz w:val="26"/>
            <w:szCs w:val="26"/>
            <w:lang w:val="en-CA"/>
          </w:rPr>
          <w:t>133</w:t>
        </w:r>
      </w:hyperlink>
      <w:r w:rsidRPr="008A6ED5">
        <w:rPr>
          <w:b/>
          <w:bCs/>
          <w:sz w:val="26"/>
          <w:szCs w:val="26"/>
          <w:lang w:val="en-CA"/>
        </w:rPr>
        <w:t>)</w:t>
      </w:r>
    </w:p>
    <w:p w:rsidR="008A6ED5" w:rsidRDefault="00197F84" w:rsidP="008A6ED5">
      <w:pPr>
        <w:spacing w:before="240"/>
        <w:rPr>
          <w:b/>
          <w:lang w:val="en-CA"/>
        </w:rPr>
      </w:pPr>
      <w:r w:rsidRPr="00A777AC">
        <w:rPr>
          <w:b/>
          <w:lang w:val="en-CA"/>
        </w:rPr>
        <w:t>Draft Resolution 136 (Rev. Dubai, 2018) - The use of telecommunications/information and communication technologies for humanitarian assistance and for monitoring and management in emergency and disaster situations, including health-related emergencies, for early warning, prevention, mitigation and relief</w:t>
      </w:r>
    </w:p>
    <w:p w:rsidR="00197F84" w:rsidRPr="008A6ED5" w:rsidRDefault="008A6ED5" w:rsidP="008A6ED5">
      <w:pPr>
        <w:rPr>
          <w:b/>
          <w:szCs w:val="24"/>
          <w:lang w:val="en-CA"/>
        </w:rPr>
      </w:pPr>
      <w:r w:rsidRPr="008A6ED5">
        <w:rPr>
          <w:bCs/>
          <w:szCs w:val="24"/>
          <w:lang w:val="en-CA"/>
        </w:rPr>
        <w:t>1.2</w:t>
      </w:r>
      <w:r w:rsidRPr="008A6ED5">
        <w:rPr>
          <w:b/>
          <w:szCs w:val="24"/>
          <w:lang w:val="en-CA"/>
        </w:rPr>
        <w:tab/>
      </w:r>
      <w:r w:rsidR="00197F84" w:rsidRPr="008A6ED5">
        <w:rPr>
          <w:szCs w:val="24"/>
          <w:lang w:val="en-CA"/>
        </w:rPr>
        <w:t xml:space="preserve">The </w:t>
      </w:r>
      <w:r w:rsidR="00197F84" w:rsidRPr="008A6ED5">
        <w:rPr>
          <w:b/>
          <w:szCs w:val="24"/>
          <w:lang w:val="en-CA"/>
        </w:rPr>
        <w:t>delegate of Togo</w:t>
      </w:r>
      <w:r w:rsidR="00197F84" w:rsidRPr="008A6ED5">
        <w:rPr>
          <w:szCs w:val="24"/>
          <w:lang w:val="en-CA"/>
        </w:rPr>
        <w:t xml:space="preserve"> proposed a minor editorial amendment to the French version of the draft resolution. </w:t>
      </w:r>
    </w:p>
    <w:p w:rsidR="00197F84" w:rsidRPr="008A6ED5" w:rsidRDefault="008A6ED5" w:rsidP="008A6ED5">
      <w:pPr>
        <w:rPr>
          <w:szCs w:val="24"/>
          <w:lang w:val="en-CA"/>
        </w:rPr>
      </w:pPr>
      <w:r w:rsidRPr="008A6ED5">
        <w:rPr>
          <w:szCs w:val="24"/>
          <w:lang w:val="en-CA"/>
        </w:rPr>
        <w:t>1.3</w:t>
      </w:r>
      <w:r w:rsidRPr="008A6ED5">
        <w:rPr>
          <w:szCs w:val="24"/>
          <w:lang w:val="en-CA"/>
        </w:rPr>
        <w:tab/>
      </w:r>
      <w:r w:rsidR="00197F84" w:rsidRPr="008A6ED5">
        <w:rPr>
          <w:szCs w:val="24"/>
          <w:lang w:val="en-CA"/>
        </w:rPr>
        <w:t xml:space="preserve">The </w:t>
      </w:r>
      <w:r w:rsidR="00197F84" w:rsidRPr="008A6ED5">
        <w:rPr>
          <w:b/>
          <w:szCs w:val="24"/>
          <w:lang w:val="en-CA"/>
        </w:rPr>
        <w:t>Chairman</w:t>
      </w:r>
      <w:r w:rsidR="00197F84" w:rsidRPr="008A6ED5">
        <w:rPr>
          <w:szCs w:val="24"/>
          <w:lang w:val="en-CA"/>
        </w:rPr>
        <w:t xml:space="preserve"> suggested that any editorial amendments be submitted in writing to the Editorial Committee.</w:t>
      </w:r>
    </w:p>
    <w:p w:rsidR="00197F84" w:rsidRPr="008A6ED5" w:rsidRDefault="008A6ED5" w:rsidP="008A6ED5">
      <w:pPr>
        <w:rPr>
          <w:szCs w:val="24"/>
          <w:lang w:val="en-CA"/>
        </w:rPr>
      </w:pPr>
      <w:r w:rsidRPr="008A6ED5">
        <w:rPr>
          <w:bCs/>
          <w:szCs w:val="24"/>
          <w:lang w:val="en-CA"/>
        </w:rPr>
        <w:t>1.4</w:t>
      </w:r>
      <w:r w:rsidRPr="008A6ED5">
        <w:rPr>
          <w:bCs/>
          <w:szCs w:val="24"/>
          <w:lang w:val="en-CA"/>
        </w:rPr>
        <w:tab/>
      </w:r>
      <w:r w:rsidR="00197F84" w:rsidRPr="008A6ED5">
        <w:rPr>
          <w:bCs/>
          <w:szCs w:val="24"/>
          <w:lang w:val="en-CA"/>
        </w:rPr>
        <w:t xml:space="preserve">It was so </w:t>
      </w:r>
      <w:r w:rsidR="00197F84" w:rsidRPr="008A6ED5">
        <w:rPr>
          <w:b/>
          <w:szCs w:val="24"/>
          <w:lang w:val="en-CA"/>
        </w:rPr>
        <w:t>agreed</w:t>
      </w:r>
      <w:r w:rsidR="00197F84" w:rsidRPr="008A6ED5">
        <w:rPr>
          <w:szCs w:val="24"/>
          <w:lang w:val="en-CA"/>
        </w:rPr>
        <w:t>.</w:t>
      </w:r>
    </w:p>
    <w:p w:rsidR="00197F84" w:rsidRPr="008A6ED5" w:rsidRDefault="008A6ED5" w:rsidP="008A6ED5">
      <w:pPr>
        <w:rPr>
          <w:szCs w:val="24"/>
          <w:lang w:val="en-CA"/>
        </w:rPr>
      </w:pPr>
      <w:r w:rsidRPr="008A6ED5">
        <w:rPr>
          <w:szCs w:val="24"/>
          <w:lang w:val="en-CA"/>
        </w:rPr>
        <w:t>1.5</w:t>
      </w:r>
      <w:r w:rsidR="00197F84" w:rsidRPr="008A6ED5">
        <w:rPr>
          <w:szCs w:val="24"/>
          <w:lang w:val="en-CA"/>
        </w:rPr>
        <w:tab/>
        <w:t xml:space="preserve">Draft Resolution 136 (Rev. Dubai, 2018) was </w:t>
      </w:r>
      <w:r w:rsidR="00197F84" w:rsidRPr="008A6ED5">
        <w:rPr>
          <w:b/>
          <w:szCs w:val="24"/>
          <w:lang w:val="en-CA"/>
        </w:rPr>
        <w:t>adopted.</w:t>
      </w:r>
    </w:p>
    <w:p w:rsidR="00197F84" w:rsidRPr="00A777AC" w:rsidRDefault="00197F84" w:rsidP="008A6ED5">
      <w:pPr>
        <w:spacing w:before="240"/>
        <w:rPr>
          <w:b/>
          <w:lang w:val="en-CA"/>
        </w:rPr>
      </w:pPr>
      <w:r w:rsidRPr="00A777AC">
        <w:rPr>
          <w:b/>
          <w:lang w:val="en-CA"/>
        </w:rPr>
        <w:t>S</w:t>
      </w:r>
      <w:r>
        <w:rPr>
          <w:b/>
          <w:lang w:val="en-CA"/>
        </w:rPr>
        <w:t>UP</w:t>
      </w:r>
      <w:r w:rsidRPr="00A777AC">
        <w:rPr>
          <w:b/>
          <w:lang w:val="en-CA"/>
        </w:rPr>
        <w:t xml:space="preserve"> Resolution 36 (Rev. Guadalajara, 2010) - Telecommunications/information and communication technology in the service of humanitarian assistance</w:t>
      </w:r>
    </w:p>
    <w:p w:rsidR="00197F84" w:rsidRPr="00A777AC" w:rsidRDefault="00197F84" w:rsidP="008A6ED5">
      <w:pPr>
        <w:rPr>
          <w:b/>
          <w:lang w:val="en-CA"/>
        </w:rPr>
      </w:pPr>
      <w:r w:rsidRPr="00A777AC">
        <w:rPr>
          <w:b/>
          <w:lang w:val="en-CA"/>
        </w:rPr>
        <w:t>S</w:t>
      </w:r>
      <w:r>
        <w:rPr>
          <w:b/>
          <w:lang w:val="en-CA"/>
        </w:rPr>
        <w:t>UP</w:t>
      </w:r>
      <w:r w:rsidRPr="00A777AC">
        <w:rPr>
          <w:b/>
          <w:lang w:val="en-CA"/>
        </w:rPr>
        <w:t xml:space="preserve"> Resolution 202 (Busan, 2014) - Using information and communication technologies to break the chain of health-related emergencies such as Ebola virus transmission</w:t>
      </w:r>
    </w:p>
    <w:p w:rsidR="00197F84" w:rsidRPr="008A6ED5" w:rsidRDefault="008A6ED5" w:rsidP="008A6ED5">
      <w:pPr>
        <w:rPr>
          <w:szCs w:val="24"/>
          <w:lang w:val="en-CA"/>
        </w:rPr>
      </w:pPr>
      <w:r w:rsidRPr="008A6ED5">
        <w:rPr>
          <w:bCs/>
          <w:szCs w:val="24"/>
          <w:lang w:val="en-CA"/>
        </w:rPr>
        <w:t>1.6</w:t>
      </w:r>
      <w:r w:rsidR="00197F84" w:rsidRPr="008A6ED5">
        <w:rPr>
          <w:b/>
          <w:szCs w:val="24"/>
          <w:lang w:val="en-CA"/>
        </w:rPr>
        <w:tab/>
        <w:t>Approved</w:t>
      </w:r>
      <w:r w:rsidR="00197F84" w:rsidRPr="008A6ED5">
        <w:rPr>
          <w:szCs w:val="24"/>
          <w:lang w:val="en-CA"/>
        </w:rPr>
        <w:t>.</w:t>
      </w:r>
    </w:p>
    <w:p w:rsidR="00197F84" w:rsidRPr="008A6ED5" w:rsidRDefault="00197F84" w:rsidP="008A6ED5">
      <w:pPr>
        <w:rPr>
          <w:b/>
          <w:bCs/>
          <w:szCs w:val="24"/>
          <w:lang w:val="en-CA"/>
        </w:rPr>
      </w:pPr>
      <w:r w:rsidRPr="008A6ED5">
        <w:rPr>
          <w:szCs w:val="24"/>
          <w:lang w:val="en-CA"/>
        </w:rPr>
        <w:t>1.</w:t>
      </w:r>
      <w:r w:rsidR="008A6ED5" w:rsidRPr="008A6ED5">
        <w:rPr>
          <w:szCs w:val="24"/>
          <w:lang w:val="en-CA"/>
        </w:rPr>
        <w:t>7</w:t>
      </w:r>
      <w:r w:rsidRPr="008A6ED5">
        <w:rPr>
          <w:szCs w:val="24"/>
          <w:lang w:val="en-CA"/>
        </w:rPr>
        <w:tab/>
        <w:t xml:space="preserve">The eighth series of texts submitted by the Editorial Committee for first reading (B8) (Document 133) was </w:t>
      </w:r>
      <w:r w:rsidRPr="008A6ED5">
        <w:rPr>
          <w:b/>
          <w:bCs/>
          <w:szCs w:val="24"/>
          <w:lang w:val="en-CA"/>
        </w:rPr>
        <w:t>approved</w:t>
      </w:r>
      <w:r w:rsidRPr="008A6ED5">
        <w:rPr>
          <w:szCs w:val="24"/>
          <w:lang w:val="en-CA"/>
        </w:rPr>
        <w:t>.</w:t>
      </w:r>
    </w:p>
    <w:p w:rsidR="00197F84" w:rsidRPr="008A6ED5" w:rsidRDefault="008A6ED5" w:rsidP="008A6ED5">
      <w:pPr>
        <w:pStyle w:val="ListParagraph"/>
        <w:spacing w:before="360"/>
        <w:ind w:hanging="720"/>
        <w:contextualSpacing w:val="0"/>
        <w:rPr>
          <w:rFonts w:ascii="Calibri" w:eastAsia="Times New Roman" w:hAnsi="Calibri" w:cs="Times New Roman"/>
          <w:b/>
          <w:bCs/>
          <w:sz w:val="26"/>
          <w:szCs w:val="26"/>
          <w:lang w:val="en-CA"/>
        </w:rPr>
      </w:pPr>
      <w:r>
        <w:rPr>
          <w:rFonts w:ascii="Calibri" w:eastAsia="Times New Roman" w:hAnsi="Calibri" w:cs="Times New Roman"/>
          <w:b/>
          <w:bCs/>
          <w:sz w:val="26"/>
          <w:szCs w:val="26"/>
          <w:lang w:val="en-CA"/>
        </w:rPr>
        <w:t>2</w:t>
      </w:r>
      <w:r>
        <w:rPr>
          <w:rFonts w:ascii="Calibri" w:eastAsia="Times New Roman" w:hAnsi="Calibri" w:cs="Times New Roman"/>
          <w:b/>
          <w:bCs/>
          <w:sz w:val="26"/>
          <w:szCs w:val="26"/>
          <w:lang w:val="en-CA"/>
        </w:rPr>
        <w:tab/>
      </w:r>
      <w:r w:rsidR="00197F84" w:rsidRPr="008A6ED5">
        <w:rPr>
          <w:rFonts w:ascii="Calibri" w:eastAsia="Times New Roman" w:hAnsi="Calibri" w:cs="Times New Roman"/>
          <w:b/>
          <w:bCs/>
          <w:sz w:val="26"/>
          <w:szCs w:val="26"/>
          <w:lang w:val="en-CA"/>
        </w:rPr>
        <w:t xml:space="preserve">Ninth series of texts submitted by the Editorial Committee for first reading (B9) (Document </w:t>
      </w:r>
      <w:hyperlink r:id="rId17" w:history="1">
        <w:r w:rsidR="00197F84" w:rsidRPr="008A6ED5">
          <w:rPr>
            <w:rStyle w:val="Hyperlink"/>
            <w:rFonts w:eastAsia="Times New Roman" w:cs="Times New Roman"/>
            <w:b/>
            <w:bCs/>
            <w:sz w:val="26"/>
            <w:szCs w:val="26"/>
            <w:lang w:val="en-CA"/>
          </w:rPr>
          <w:t>134</w:t>
        </w:r>
      </w:hyperlink>
      <w:r w:rsidR="00197F84" w:rsidRPr="008A6ED5">
        <w:rPr>
          <w:rFonts w:ascii="Calibri" w:eastAsia="Times New Roman" w:hAnsi="Calibri" w:cs="Times New Roman"/>
          <w:b/>
          <w:bCs/>
          <w:sz w:val="26"/>
          <w:szCs w:val="26"/>
          <w:lang w:val="en-CA"/>
        </w:rPr>
        <w:t>)</w:t>
      </w:r>
    </w:p>
    <w:p w:rsidR="00197F84" w:rsidRPr="008A6ED5" w:rsidRDefault="00197F84" w:rsidP="00197F84">
      <w:pPr>
        <w:rPr>
          <w:szCs w:val="24"/>
          <w:lang w:val="en-CA"/>
        </w:rPr>
      </w:pPr>
      <w:r w:rsidRPr="008A6ED5">
        <w:rPr>
          <w:szCs w:val="24"/>
          <w:lang w:val="en-CA"/>
        </w:rPr>
        <w:t>2.1</w:t>
      </w:r>
      <w:r w:rsidRPr="008A6ED5">
        <w:rPr>
          <w:szCs w:val="24"/>
          <w:lang w:val="en-CA"/>
        </w:rPr>
        <w:tab/>
        <w:t xml:space="preserve">The </w:t>
      </w:r>
      <w:r w:rsidRPr="008A6ED5">
        <w:rPr>
          <w:b/>
          <w:szCs w:val="24"/>
          <w:lang w:val="en-CA"/>
        </w:rPr>
        <w:t xml:space="preserve">Chairman of the Editorial Committee </w:t>
      </w:r>
      <w:r w:rsidRPr="008A6ED5">
        <w:rPr>
          <w:szCs w:val="24"/>
          <w:lang w:val="en-CA"/>
        </w:rPr>
        <w:t>drew attention to the fact that references to the proposed new Council working group on financial and human resources, “CWG-FHR”, in draft Decision 5 (Rev. Dubai, 2018) and draft Resolutions 11 (Rev. Dubai, 2018) and 154 (Rev. Dubai, 2018), had been placed in square brackets pending a decision on the establishment and name of the new working group. She proposed that those texts could be approved on first reading, and their second reading would be postponed until the decision on the working group had been taken.</w:t>
      </w:r>
    </w:p>
    <w:p w:rsidR="008A6ED5" w:rsidRPr="008A6ED5" w:rsidRDefault="00197F84" w:rsidP="00197F84">
      <w:pPr>
        <w:rPr>
          <w:szCs w:val="24"/>
          <w:lang w:val="en-CA"/>
        </w:rPr>
      </w:pPr>
      <w:r w:rsidRPr="008A6ED5">
        <w:rPr>
          <w:szCs w:val="24"/>
          <w:lang w:val="en-CA"/>
        </w:rPr>
        <w:t>2.2</w:t>
      </w:r>
      <w:r w:rsidRPr="008A6ED5">
        <w:rPr>
          <w:szCs w:val="24"/>
          <w:lang w:val="en-CA"/>
        </w:rPr>
        <w:tab/>
        <w:t xml:space="preserve">It was so </w:t>
      </w:r>
      <w:r w:rsidRPr="008A6ED5">
        <w:rPr>
          <w:b/>
          <w:szCs w:val="24"/>
          <w:lang w:val="en-CA"/>
        </w:rPr>
        <w:t>agreed</w:t>
      </w:r>
      <w:r w:rsidRPr="008A6ED5">
        <w:rPr>
          <w:szCs w:val="24"/>
          <w:lang w:val="en-CA"/>
        </w:rPr>
        <w:t>.</w:t>
      </w:r>
    </w:p>
    <w:p w:rsidR="00197F84" w:rsidRPr="00A777AC" w:rsidRDefault="00197F84" w:rsidP="008A6ED5">
      <w:pPr>
        <w:spacing w:before="240"/>
        <w:rPr>
          <w:b/>
          <w:lang w:val="en-CA"/>
        </w:rPr>
      </w:pPr>
      <w:r w:rsidRPr="00A777AC">
        <w:rPr>
          <w:b/>
          <w:lang w:val="en-CA"/>
        </w:rPr>
        <w:t>Draft Decision 5 (Rev. Dubai, 2018) - Revenue and expenses fo</w:t>
      </w:r>
      <w:r w:rsidR="008A6ED5">
        <w:rPr>
          <w:b/>
          <w:lang w:val="en-CA"/>
        </w:rPr>
        <w:t>r the Union for the period 2020</w:t>
      </w:r>
      <w:r w:rsidR="008A6ED5">
        <w:rPr>
          <w:b/>
          <w:lang w:val="en-CA"/>
        </w:rPr>
        <w:noBreakHyphen/>
      </w:r>
      <w:r w:rsidRPr="00A777AC">
        <w:rPr>
          <w:b/>
          <w:lang w:val="en-CA"/>
        </w:rPr>
        <w:t>2023</w:t>
      </w:r>
    </w:p>
    <w:p w:rsidR="00197F84" w:rsidRPr="00A777AC" w:rsidRDefault="00197F84" w:rsidP="00197F84">
      <w:pPr>
        <w:rPr>
          <w:b/>
          <w:lang w:val="en-CA"/>
        </w:rPr>
      </w:pPr>
      <w:r w:rsidRPr="00A777AC">
        <w:rPr>
          <w:b/>
          <w:lang w:val="en-CA"/>
        </w:rPr>
        <w:t>Draft Resolution 11 (Rev. Dubai, 2018) - ITU T</w:t>
      </w:r>
      <w:r>
        <w:rPr>
          <w:b/>
          <w:lang w:val="en-CA"/>
        </w:rPr>
        <w:t xml:space="preserve">elecom </w:t>
      </w:r>
      <w:r w:rsidRPr="00A777AC">
        <w:rPr>
          <w:b/>
          <w:lang w:val="en-CA"/>
        </w:rPr>
        <w:t>events</w:t>
      </w:r>
    </w:p>
    <w:p w:rsidR="00197F84" w:rsidRPr="00A777AC" w:rsidRDefault="00197F84" w:rsidP="00197F84">
      <w:pPr>
        <w:rPr>
          <w:b/>
          <w:lang w:val="en-CA"/>
        </w:rPr>
      </w:pPr>
      <w:r w:rsidRPr="00A777AC">
        <w:rPr>
          <w:b/>
          <w:lang w:val="en-CA"/>
        </w:rPr>
        <w:t xml:space="preserve">Draft Resolution 30 (Rev. Dubai, 2018) - Special measures for the least developed countries, small island developing </w:t>
      </w:r>
      <w:r>
        <w:rPr>
          <w:b/>
          <w:lang w:val="en-CA"/>
        </w:rPr>
        <w:t>s</w:t>
      </w:r>
      <w:r w:rsidRPr="00A777AC">
        <w:rPr>
          <w:b/>
          <w:lang w:val="en-CA"/>
        </w:rPr>
        <w:t>tates, landlocked developing countries and countries with economies in transition</w:t>
      </w:r>
    </w:p>
    <w:p w:rsidR="00197F84" w:rsidRPr="00A777AC" w:rsidRDefault="00197F84" w:rsidP="00197F84">
      <w:pPr>
        <w:rPr>
          <w:b/>
          <w:lang w:val="en-CA"/>
        </w:rPr>
      </w:pPr>
      <w:r w:rsidRPr="00A777AC">
        <w:rPr>
          <w:b/>
          <w:lang w:val="en-CA"/>
        </w:rPr>
        <w:t>Draft Resolution 77 (Rev. Dubai, 2018) -</w:t>
      </w:r>
      <w:r w:rsidRPr="00A777AC">
        <w:rPr>
          <w:lang w:val="en-CA"/>
        </w:rPr>
        <w:t xml:space="preserve"> </w:t>
      </w:r>
      <w:r w:rsidRPr="00A777AC">
        <w:rPr>
          <w:b/>
          <w:lang w:val="en-CA"/>
        </w:rPr>
        <w:t>Scheduling and duration of conferences, forums, assemblies and Council sessions of the Union (2019-2023)</w:t>
      </w:r>
    </w:p>
    <w:p w:rsidR="00197F84" w:rsidRPr="00A777AC" w:rsidRDefault="00197F84" w:rsidP="00197F84">
      <w:pPr>
        <w:rPr>
          <w:b/>
          <w:lang w:val="en-CA"/>
        </w:rPr>
      </w:pPr>
      <w:r w:rsidRPr="00A777AC">
        <w:rPr>
          <w:b/>
          <w:lang w:val="en-CA"/>
        </w:rPr>
        <w:t>Draft Resolution 154 (Rev. Dubai, 2018) - Use of the six official languages of the Union on an equal footing</w:t>
      </w:r>
    </w:p>
    <w:p w:rsidR="00197F84" w:rsidRPr="00A777AC" w:rsidRDefault="00197F84" w:rsidP="00197F84">
      <w:pPr>
        <w:rPr>
          <w:b/>
          <w:lang w:val="en-CA"/>
        </w:rPr>
      </w:pPr>
      <w:r w:rsidRPr="00A777AC">
        <w:rPr>
          <w:b/>
          <w:lang w:val="en-CA"/>
        </w:rPr>
        <w:lastRenderedPageBreak/>
        <w:t>Draft Resolution COM6/2 (Dubai, 2018) - The Union's future headquarters premises</w:t>
      </w:r>
    </w:p>
    <w:p w:rsidR="00197F84" w:rsidRPr="00A777AC" w:rsidRDefault="00197F84" w:rsidP="00197F84">
      <w:pPr>
        <w:rPr>
          <w:b/>
          <w:lang w:val="en-CA"/>
        </w:rPr>
      </w:pPr>
      <w:r w:rsidRPr="00A777AC">
        <w:rPr>
          <w:b/>
          <w:lang w:val="en-CA"/>
        </w:rPr>
        <w:t>Draft Resolution COM6/3 (Dubai, 2018) - Measures to improve, promote and strengthen ITU fellowships</w:t>
      </w:r>
    </w:p>
    <w:p w:rsidR="00197F84" w:rsidRPr="008A6ED5" w:rsidRDefault="00197F84" w:rsidP="00197F84">
      <w:pPr>
        <w:rPr>
          <w:szCs w:val="24"/>
          <w:lang w:val="en-CA"/>
        </w:rPr>
      </w:pPr>
      <w:r w:rsidRPr="008A6ED5">
        <w:rPr>
          <w:szCs w:val="24"/>
          <w:lang w:val="en-CA"/>
        </w:rPr>
        <w:t>2.3</w:t>
      </w:r>
      <w:r w:rsidRPr="008A6ED5">
        <w:rPr>
          <w:szCs w:val="24"/>
          <w:lang w:val="en-CA"/>
        </w:rPr>
        <w:tab/>
      </w:r>
      <w:r w:rsidRPr="008A6ED5">
        <w:rPr>
          <w:b/>
          <w:szCs w:val="24"/>
          <w:lang w:val="en-CA"/>
        </w:rPr>
        <w:t>Adopted.</w:t>
      </w:r>
    </w:p>
    <w:p w:rsidR="00197F84" w:rsidRPr="00A777AC" w:rsidRDefault="00197F84" w:rsidP="008A6ED5">
      <w:pPr>
        <w:spacing w:before="240"/>
        <w:rPr>
          <w:b/>
          <w:lang w:val="en-CA"/>
        </w:rPr>
      </w:pPr>
      <w:r w:rsidRPr="00A777AC">
        <w:rPr>
          <w:b/>
          <w:lang w:val="en-CA"/>
        </w:rPr>
        <w:t>S</w:t>
      </w:r>
      <w:r>
        <w:rPr>
          <w:b/>
          <w:lang w:val="en-CA"/>
        </w:rPr>
        <w:t>UP</w:t>
      </w:r>
      <w:r w:rsidRPr="00A777AC">
        <w:rPr>
          <w:b/>
          <w:lang w:val="en-CA"/>
        </w:rPr>
        <w:t xml:space="preserve"> Resolution 194 (Busan, 2014) - Options for the Union's head</w:t>
      </w:r>
      <w:r w:rsidR="008A6ED5">
        <w:rPr>
          <w:b/>
          <w:lang w:val="en-CA"/>
        </w:rPr>
        <w:t>quarters premises over the long </w:t>
      </w:r>
      <w:r w:rsidRPr="00A777AC">
        <w:rPr>
          <w:b/>
          <w:lang w:val="en-CA"/>
        </w:rPr>
        <w:t>term</w:t>
      </w:r>
    </w:p>
    <w:p w:rsidR="00197F84" w:rsidRPr="008A6ED5" w:rsidRDefault="00197F84" w:rsidP="00197F84">
      <w:pPr>
        <w:rPr>
          <w:b/>
          <w:szCs w:val="24"/>
          <w:lang w:val="en-CA"/>
        </w:rPr>
      </w:pPr>
      <w:r w:rsidRPr="008A6ED5">
        <w:rPr>
          <w:szCs w:val="24"/>
          <w:lang w:val="en-CA"/>
        </w:rPr>
        <w:t>2.4</w:t>
      </w:r>
      <w:r w:rsidRPr="008A6ED5">
        <w:rPr>
          <w:szCs w:val="24"/>
          <w:lang w:val="en-CA"/>
        </w:rPr>
        <w:tab/>
      </w:r>
      <w:r w:rsidRPr="008A6ED5">
        <w:rPr>
          <w:b/>
          <w:szCs w:val="24"/>
          <w:lang w:val="en-CA"/>
        </w:rPr>
        <w:t>Approved.</w:t>
      </w:r>
    </w:p>
    <w:p w:rsidR="00197F84" w:rsidRPr="008A6ED5" w:rsidRDefault="00197F84" w:rsidP="00197F84">
      <w:pPr>
        <w:rPr>
          <w:szCs w:val="24"/>
          <w:lang w:val="en-CA"/>
        </w:rPr>
      </w:pPr>
      <w:r w:rsidRPr="008A6ED5">
        <w:rPr>
          <w:szCs w:val="24"/>
          <w:lang w:val="en-CA"/>
        </w:rPr>
        <w:t>2.5</w:t>
      </w:r>
      <w:r w:rsidRPr="008A6ED5">
        <w:rPr>
          <w:szCs w:val="24"/>
          <w:lang w:val="en-CA"/>
        </w:rPr>
        <w:tab/>
        <w:t xml:space="preserve">The ninth series of texts submitted by the Editorial Committee for first reading (B9) (Document 134) was </w:t>
      </w:r>
      <w:r w:rsidRPr="008A6ED5">
        <w:rPr>
          <w:b/>
          <w:bCs/>
          <w:szCs w:val="24"/>
          <w:lang w:val="en-CA"/>
        </w:rPr>
        <w:t>approved.</w:t>
      </w:r>
    </w:p>
    <w:p w:rsidR="00197F84" w:rsidRPr="000C481D" w:rsidRDefault="00197F84" w:rsidP="00EE5376">
      <w:pPr>
        <w:spacing w:before="360"/>
        <w:ind w:left="567" w:hanging="567"/>
        <w:rPr>
          <w:b/>
          <w:bCs/>
          <w:sz w:val="28"/>
          <w:szCs w:val="28"/>
          <w:lang w:val="en-CA"/>
        </w:rPr>
      </w:pPr>
      <w:r>
        <w:rPr>
          <w:b/>
          <w:bCs/>
          <w:sz w:val="28"/>
          <w:szCs w:val="28"/>
          <w:lang w:val="en-CA"/>
        </w:rPr>
        <w:t>3</w:t>
      </w:r>
      <w:r>
        <w:rPr>
          <w:b/>
          <w:bCs/>
          <w:sz w:val="28"/>
          <w:szCs w:val="28"/>
          <w:lang w:val="en-CA"/>
        </w:rPr>
        <w:tab/>
      </w:r>
      <w:r w:rsidRPr="000C481D">
        <w:rPr>
          <w:b/>
          <w:bCs/>
          <w:sz w:val="28"/>
          <w:szCs w:val="28"/>
          <w:lang w:val="en-CA"/>
        </w:rPr>
        <w:t xml:space="preserve">Tenth series of texts submitted by the Editorial Committee for first reading (B10) (Document </w:t>
      </w:r>
      <w:hyperlink r:id="rId18" w:history="1">
        <w:r w:rsidRPr="00EE5376">
          <w:rPr>
            <w:rStyle w:val="Hyperlink"/>
            <w:b/>
            <w:bCs/>
            <w:sz w:val="28"/>
            <w:szCs w:val="28"/>
            <w:lang w:val="en-CA"/>
          </w:rPr>
          <w:t>135</w:t>
        </w:r>
      </w:hyperlink>
      <w:r w:rsidRPr="000C481D">
        <w:rPr>
          <w:b/>
          <w:bCs/>
          <w:sz w:val="28"/>
          <w:szCs w:val="28"/>
          <w:lang w:val="en-CA"/>
        </w:rPr>
        <w:t>)</w:t>
      </w:r>
    </w:p>
    <w:p w:rsidR="00197F84" w:rsidRPr="00A777AC" w:rsidRDefault="00197F84" w:rsidP="00EE5376">
      <w:pPr>
        <w:spacing w:before="240"/>
        <w:rPr>
          <w:b/>
          <w:lang w:val="en-CA"/>
        </w:rPr>
      </w:pPr>
      <w:r w:rsidRPr="00A777AC">
        <w:rPr>
          <w:b/>
          <w:lang w:val="en-CA"/>
        </w:rPr>
        <w:t>Draft Resolution COM5/3 (Dubai, 2018) - Encouraging the participation of small and medium enterprises in the work of the Union</w:t>
      </w:r>
    </w:p>
    <w:p w:rsidR="00197F84" w:rsidRPr="00EE5376" w:rsidRDefault="00197F84" w:rsidP="00197F84">
      <w:pPr>
        <w:rPr>
          <w:szCs w:val="24"/>
          <w:lang w:val="en-CA"/>
        </w:rPr>
      </w:pPr>
      <w:r w:rsidRPr="00EE5376">
        <w:rPr>
          <w:szCs w:val="24"/>
          <w:lang w:val="en-CA"/>
        </w:rPr>
        <w:t>3.1</w:t>
      </w:r>
      <w:r w:rsidRPr="00EE5376">
        <w:rPr>
          <w:szCs w:val="24"/>
          <w:lang w:val="en-CA"/>
        </w:rPr>
        <w:tab/>
        <w:t xml:space="preserve">The </w:t>
      </w:r>
      <w:r w:rsidRPr="00EE5376">
        <w:rPr>
          <w:b/>
          <w:szCs w:val="24"/>
          <w:lang w:val="en-CA"/>
        </w:rPr>
        <w:t>Chairman of the Editorial Committee</w:t>
      </w:r>
      <w:r w:rsidRPr="00EE5376">
        <w:rPr>
          <w:szCs w:val="24"/>
          <w:lang w:val="en-CA"/>
        </w:rPr>
        <w:t xml:space="preserve"> announced that the draft resolution had also been submitted to Committee 6 for consideration of the financial implications. Committee 6 had approved it. </w:t>
      </w:r>
    </w:p>
    <w:p w:rsidR="00197F84" w:rsidRPr="00EE5376" w:rsidRDefault="00197F84" w:rsidP="00197F84">
      <w:pPr>
        <w:rPr>
          <w:b/>
          <w:szCs w:val="24"/>
          <w:lang w:val="en-CA"/>
        </w:rPr>
      </w:pPr>
      <w:r w:rsidRPr="00EE5376">
        <w:rPr>
          <w:szCs w:val="24"/>
          <w:lang w:val="en-CA"/>
        </w:rPr>
        <w:t>3.2</w:t>
      </w:r>
      <w:r w:rsidRPr="00EE5376">
        <w:rPr>
          <w:b/>
          <w:szCs w:val="24"/>
          <w:lang w:val="en-CA"/>
        </w:rPr>
        <w:tab/>
      </w:r>
      <w:r w:rsidRPr="00EE5376">
        <w:rPr>
          <w:szCs w:val="24"/>
          <w:lang w:val="en-CA"/>
        </w:rPr>
        <w:t>Draft Resolution COM5/3 (Dubai, 2018) was</w:t>
      </w:r>
      <w:r w:rsidRPr="00EE5376">
        <w:rPr>
          <w:b/>
          <w:szCs w:val="24"/>
          <w:lang w:val="en-CA"/>
        </w:rPr>
        <w:t xml:space="preserve"> adopted.</w:t>
      </w:r>
    </w:p>
    <w:p w:rsidR="00197F84" w:rsidRPr="00EE5376" w:rsidRDefault="00197F84" w:rsidP="00197F84">
      <w:pPr>
        <w:rPr>
          <w:b/>
          <w:szCs w:val="24"/>
          <w:lang w:val="en-CA"/>
        </w:rPr>
      </w:pPr>
      <w:r w:rsidRPr="00EE5376">
        <w:rPr>
          <w:szCs w:val="24"/>
          <w:lang w:val="en-CA"/>
        </w:rPr>
        <w:t>3.3</w:t>
      </w:r>
      <w:r w:rsidRPr="00EE5376">
        <w:rPr>
          <w:szCs w:val="24"/>
          <w:lang w:val="en-CA"/>
        </w:rPr>
        <w:tab/>
        <w:t xml:space="preserve">The tenth series of texts submitted by the Editorial Committee for first reading (B10) (Document 135) was </w:t>
      </w:r>
      <w:r w:rsidRPr="00EE5376">
        <w:rPr>
          <w:b/>
          <w:bCs/>
          <w:szCs w:val="24"/>
          <w:lang w:val="en-CA"/>
        </w:rPr>
        <w:t>approved.</w:t>
      </w:r>
    </w:p>
    <w:p w:rsidR="00197F84" w:rsidRPr="00A777AC" w:rsidRDefault="00197F84" w:rsidP="00EE5376">
      <w:pPr>
        <w:spacing w:before="360"/>
        <w:ind w:left="567" w:hanging="567"/>
        <w:rPr>
          <w:b/>
          <w:bCs/>
          <w:sz w:val="28"/>
          <w:szCs w:val="28"/>
          <w:lang w:val="en-CA"/>
        </w:rPr>
      </w:pPr>
      <w:r w:rsidRPr="00A777AC">
        <w:rPr>
          <w:b/>
          <w:bCs/>
          <w:sz w:val="28"/>
          <w:szCs w:val="28"/>
          <w:lang w:val="en-CA"/>
        </w:rPr>
        <w:t>4</w:t>
      </w:r>
      <w:r w:rsidRPr="00A777AC">
        <w:rPr>
          <w:b/>
          <w:bCs/>
          <w:sz w:val="28"/>
          <w:szCs w:val="28"/>
          <w:lang w:val="en-CA"/>
        </w:rPr>
        <w:tab/>
        <w:t xml:space="preserve">Eighth series of texts submitted by the Editorial Committee - second reading (Document </w:t>
      </w:r>
      <w:hyperlink r:id="rId19" w:history="1">
        <w:r w:rsidRPr="00EE5376">
          <w:rPr>
            <w:rStyle w:val="Hyperlink"/>
            <w:b/>
            <w:bCs/>
            <w:sz w:val="28"/>
            <w:szCs w:val="28"/>
            <w:lang w:val="en-CA"/>
          </w:rPr>
          <w:t>133</w:t>
        </w:r>
      </w:hyperlink>
      <w:r w:rsidRPr="00A777AC">
        <w:rPr>
          <w:b/>
          <w:bCs/>
          <w:sz w:val="28"/>
          <w:szCs w:val="28"/>
          <w:lang w:val="en-CA"/>
        </w:rPr>
        <w:t>)</w:t>
      </w:r>
    </w:p>
    <w:p w:rsidR="00197F84" w:rsidRPr="00EE5376" w:rsidRDefault="00197F84" w:rsidP="00197F84">
      <w:pPr>
        <w:spacing w:before="240"/>
        <w:rPr>
          <w:bCs/>
          <w:szCs w:val="24"/>
          <w:lang w:val="en-CA"/>
        </w:rPr>
      </w:pPr>
      <w:r w:rsidRPr="00EE5376">
        <w:rPr>
          <w:bCs/>
          <w:szCs w:val="24"/>
          <w:lang w:val="en-CA"/>
        </w:rPr>
        <w:t>4.1</w:t>
      </w:r>
      <w:r w:rsidRPr="00EE5376">
        <w:rPr>
          <w:bCs/>
          <w:szCs w:val="24"/>
          <w:lang w:val="en-CA"/>
        </w:rPr>
        <w:tab/>
        <w:t xml:space="preserve">The eighth series of texts submitted by the Editorial Committee (Document 133) was </w:t>
      </w:r>
      <w:r w:rsidRPr="00EE5376">
        <w:rPr>
          <w:b/>
          <w:bCs/>
          <w:szCs w:val="24"/>
          <w:lang w:val="en-CA"/>
        </w:rPr>
        <w:t xml:space="preserve">approved </w:t>
      </w:r>
      <w:r w:rsidRPr="00EE5376">
        <w:rPr>
          <w:bCs/>
          <w:szCs w:val="24"/>
          <w:lang w:val="en-CA"/>
        </w:rPr>
        <w:t>on second reading.</w:t>
      </w:r>
    </w:p>
    <w:p w:rsidR="00197F84" w:rsidRPr="00A777AC" w:rsidRDefault="00197F84" w:rsidP="00EE5376">
      <w:pPr>
        <w:spacing w:before="360"/>
        <w:ind w:left="567" w:hanging="567"/>
        <w:rPr>
          <w:b/>
          <w:bCs/>
          <w:sz w:val="28"/>
          <w:szCs w:val="28"/>
          <w:lang w:val="en-CA"/>
        </w:rPr>
      </w:pPr>
      <w:r w:rsidRPr="00A777AC">
        <w:rPr>
          <w:b/>
          <w:bCs/>
          <w:sz w:val="28"/>
          <w:szCs w:val="28"/>
          <w:lang w:val="en-CA"/>
        </w:rPr>
        <w:t>5</w:t>
      </w:r>
      <w:r w:rsidRPr="00A777AC">
        <w:rPr>
          <w:b/>
          <w:bCs/>
          <w:sz w:val="28"/>
          <w:szCs w:val="28"/>
          <w:lang w:val="en-CA"/>
        </w:rPr>
        <w:tab/>
        <w:t xml:space="preserve">Ninth series of texts submitted by the Editorial Committee - second reading (Document </w:t>
      </w:r>
      <w:hyperlink r:id="rId20" w:history="1">
        <w:r w:rsidRPr="00EE5376">
          <w:rPr>
            <w:rStyle w:val="Hyperlink"/>
            <w:b/>
            <w:bCs/>
            <w:sz w:val="28"/>
            <w:szCs w:val="28"/>
            <w:lang w:val="en-CA"/>
          </w:rPr>
          <w:t>134</w:t>
        </w:r>
      </w:hyperlink>
      <w:r w:rsidRPr="00A777AC">
        <w:rPr>
          <w:b/>
          <w:bCs/>
          <w:sz w:val="28"/>
          <w:szCs w:val="28"/>
          <w:lang w:val="en-CA"/>
        </w:rPr>
        <w:t>)</w:t>
      </w:r>
    </w:p>
    <w:p w:rsidR="00197F84" w:rsidRPr="00EE5376" w:rsidRDefault="00197F84" w:rsidP="00197F84">
      <w:pPr>
        <w:spacing w:before="240"/>
        <w:rPr>
          <w:bCs/>
          <w:szCs w:val="24"/>
          <w:lang w:val="en-CA"/>
        </w:rPr>
      </w:pPr>
      <w:r w:rsidRPr="00EE5376">
        <w:rPr>
          <w:bCs/>
          <w:szCs w:val="24"/>
          <w:lang w:val="en-CA"/>
        </w:rPr>
        <w:t>5.1</w:t>
      </w:r>
      <w:r w:rsidRPr="00EE5376">
        <w:rPr>
          <w:bCs/>
          <w:szCs w:val="24"/>
          <w:lang w:val="en-CA"/>
        </w:rPr>
        <w:tab/>
        <w:t xml:space="preserve">With the exception of </w:t>
      </w:r>
      <w:r w:rsidRPr="00EE5376">
        <w:rPr>
          <w:szCs w:val="24"/>
          <w:lang w:val="en-CA"/>
        </w:rPr>
        <w:t>draft Decision 5 (Rev. Dubai, 2018) and draft Resolutions 11 (Rev. Dubai, 2018) and 154 (Rev. Dubai, 2018)</w:t>
      </w:r>
      <w:r w:rsidRPr="00EE5376">
        <w:rPr>
          <w:bCs/>
          <w:szCs w:val="24"/>
          <w:lang w:val="en-CA"/>
        </w:rPr>
        <w:t xml:space="preserve">, the ninth series of texts submitted by the Editorial Committee (Document 134) was </w:t>
      </w:r>
      <w:r w:rsidRPr="00EE5376">
        <w:rPr>
          <w:b/>
          <w:bCs/>
          <w:szCs w:val="24"/>
          <w:lang w:val="en-CA"/>
        </w:rPr>
        <w:t xml:space="preserve">approved </w:t>
      </w:r>
      <w:r w:rsidRPr="00EE5376">
        <w:rPr>
          <w:bCs/>
          <w:szCs w:val="24"/>
          <w:lang w:val="en-CA"/>
        </w:rPr>
        <w:t>on second reading.</w:t>
      </w:r>
    </w:p>
    <w:p w:rsidR="00197F84" w:rsidRPr="00A777AC" w:rsidRDefault="00197F84" w:rsidP="00EE5376">
      <w:pPr>
        <w:pageBreakBefore/>
        <w:spacing w:before="360"/>
        <w:ind w:left="567" w:hanging="567"/>
        <w:rPr>
          <w:b/>
          <w:lang w:val="en-CA"/>
        </w:rPr>
      </w:pPr>
      <w:r w:rsidRPr="00A777AC">
        <w:rPr>
          <w:b/>
          <w:bCs/>
          <w:sz w:val="28"/>
          <w:szCs w:val="28"/>
          <w:lang w:val="en-CA"/>
        </w:rPr>
        <w:lastRenderedPageBreak/>
        <w:t>6</w:t>
      </w:r>
      <w:r w:rsidRPr="00A777AC">
        <w:rPr>
          <w:b/>
          <w:bCs/>
          <w:sz w:val="28"/>
          <w:szCs w:val="28"/>
          <w:lang w:val="en-CA"/>
        </w:rPr>
        <w:tab/>
        <w:t xml:space="preserve">Tenth series of texts submitted by the Editorial Committee - second reading (Document </w:t>
      </w:r>
      <w:hyperlink r:id="rId21" w:history="1">
        <w:r w:rsidRPr="00EE5376">
          <w:rPr>
            <w:rStyle w:val="Hyperlink"/>
            <w:b/>
            <w:bCs/>
            <w:sz w:val="28"/>
            <w:szCs w:val="28"/>
            <w:lang w:val="en-CA"/>
          </w:rPr>
          <w:t>135</w:t>
        </w:r>
      </w:hyperlink>
      <w:r w:rsidRPr="00A777AC">
        <w:rPr>
          <w:b/>
          <w:bCs/>
          <w:sz w:val="28"/>
          <w:szCs w:val="28"/>
          <w:lang w:val="en-CA"/>
        </w:rPr>
        <w:t>)</w:t>
      </w:r>
    </w:p>
    <w:p w:rsidR="00197F84" w:rsidRPr="00EE5376" w:rsidRDefault="00197F84" w:rsidP="00197F84">
      <w:pPr>
        <w:rPr>
          <w:bCs/>
          <w:szCs w:val="24"/>
          <w:lang w:val="en-CA"/>
        </w:rPr>
      </w:pPr>
      <w:r w:rsidRPr="00EE5376">
        <w:rPr>
          <w:szCs w:val="24"/>
          <w:lang w:val="en-CA"/>
        </w:rPr>
        <w:t>6.1</w:t>
      </w:r>
      <w:r w:rsidRPr="00EE5376">
        <w:rPr>
          <w:szCs w:val="24"/>
          <w:lang w:val="en-CA"/>
        </w:rPr>
        <w:tab/>
      </w:r>
      <w:r w:rsidRPr="00EE5376">
        <w:rPr>
          <w:bCs/>
          <w:szCs w:val="24"/>
          <w:lang w:val="en-CA"/>
        </w:rPr>
        <w:t xml:space="preserve">The tenth series of texts submitted by the Editorial Committee (Document 135) was </w:t>
      </w:r>
      <w:r w:rsidRPr="00EE5376">
        <w:rPr>
          <w:b/>
          <w:bCs/>
          <w:szCs w:val="24"/>
          <w:lang w:val="en-CA"/>
        </w:rPr>
        <w:t xml:space="preserve">approved </w:t>
      </w:r>
      <w:r w:rsidRPr="00EE5376">
        <w:rPr>
          <w:bCs/>
          <w:szCs w:val="24"/>
          <w:lang w:val="en-CA"/>
        </w:rPr>
        <w:t>on second reading.</w:t>
      </w:r>
    </w:p>
    <w:p w:rsidR="00197F84" w:rsidRPr="00A777AC" w:rsidRDefault="00197F84" w:rsidP="00EE5376">
      <w:pPr>
        <w:spacing w:before="360"/>
        <w:rPr>
          <w:b/>
          <w:bCs/>
          <w:sz w:val="28"/>
          <w:szCs w:val="28"/>
          <w:lang w:val="en-CA"/>
        </w:rPr>
      </w:pPr>
      <w:r w:rsidRPr="00A777AC">
        <w:rPr>
          <w:b/>
          <w:bCs/>
          <w:sz w:val="28"/>
          <w:szCs w:val="28"/>
          <w:lang w:val="en-CA"/>
        </w:rPr>
        <w:t>7</w:t>
      </w:r>
      <w:r w:rsidRPr="00A777AC">
        <w:rPr>
          <w:b/>
          <w:bCs/>
          <w:sz w:val="28"/>
          <w:szCs w:val="28"/>
          <w:lang w:val="en-CA"/>
        </w:rPr>
        <w:tab/>
        <w:t xml:space="preserve">Approval of minutes (Document </w:t>
      </w:r>
      <w:hyperlink r:id="rId22" w:history="1">
        <w:r w:rsidRPr="00EE5376">
          <w:rPr>
            <w:rStyle w:val="Hyperlink"/>
            <w:b/>
            <w:bCs/>
            <w:sz w:val="28"/>
            <w:szCs w:val="28"/>
            <w:lang w:val="en-CA"/>
          </w:rPr>
          <w:t>131</w:t>
        </w:r>
      </w:hyperlink>
      <w:r w:rsidRPr="00A777AC">
        <w:rPr>
          <w:b/>
          <w:bCs/>
          <w:sz w:val="28"/>
          <w:szCs w:val="28"/>
          <w:lang w:val="en-CA"/>
        </w:rPr>
        <w:t>)</w:t>
      </w:r>
    </w:p>
    <w:p w:rsidR="00197F84" w:rsidRPr="00EE5376" w:rsidRDefault="00197F84" w:rsidP="00197F84">
      <w:pPr>
        <w:rPr>
          <w:szCs w:val="24"/>
          <w:lang w:val="en-CA"/>
        </w:rPr>
      </w:pPr>
      <w:r w:rsidRPr="00EE5376">
        <w:rPr>
          <w:szCs w:val="24"/>
          <w:lang w:val="en-CA"/>
        </w:rPr>
        <w:t>7.1</w:t>
      </w:r>
      <w:r w:rsidRPr="00EE5376">
        <w:rPr>
          <w:szCs w:val="24"/>
          <w:lang w:val="en-CA"/>
        </w:rPr>
        <w:tab/>
        <w:t xml:space="preserve">The minutes of the eleventh plenary meeting (Document 131) were </w:t>
      </w:r>
      <w:r w:rsidRPr="00EE5376">
        <w:rPr>
          <w:b/>
          <w:szCs w:val="24"/>
          <w:lang w:val="en-CA"/>
        </w:rPr>
        <w:t>approved.</w:t>
      </w:r>
    </w:p>
    <w:p w:rsidR="00197F84" w:rsidRPr="00A777AC" w:rsidRDefault="00197F84" w:rsidP="00197F84">
      <w:pPr>
        <w:rPr>
          <w:b/>
          <w:lang w:val="en-CA"/>
        </w:rPr>
      </w:pPr>
      <w:r w:rsidRPr="00A777AC">
        <w:rPr>
          <w:b/>
          <w:lang w:val="en-CA"/>
        </w:rPr>
        <w:t>The meeting rose at 1220 hours</w:t>
      </w:r>
    </w:p>
    <w:p w:rsidR="00936422" w:rsidRPr="006D75A7" w:rsidRDefault="00936422" w:rsidP="00A452FE">
      <w:pPr>
        <w:spacing w:before="160"/>
        <w:rPr>
          <w:b/>
          <w:bCs/>
          <w:lang w:val="en-CA"/>
        </w:rPr>
      </w:pPr>
    </w:p>
    <w:p w:rsidR="00936422" w:rsidRPr="005043C3" w:rsidRDefault="00936422" w:rsidP="00A452FE">
      <w:pPr>
        <w:tabs>
          <w:tab w:val="clear" w:pos="567"/>
          <w:tab w:val="clear" w:pos="1134"/>
          <w:tab w:val="clear" w:pos="1701"/>
          <w:tab w:val="clear" w:pos="2268"/>
          <w:tab w:val="clear" w:pos="2835"/>
          <w:tab w:val="left" w:pos="6804"/>
        </w:tabs>
        <w:spacing w:before="240"/>
        <w:rPr>
          <w:lang w:val="en-CA"/>
        </w:rPr>
      </w:pPr>
      <w:r w:rsidRPr="005043C3">
        <w:rPr>
          <w:lang w:val="en-CA"/>
        </w:rPr>
        <w:t>The Secretary-General:</w:t>
      </w:r>
      <w:r w:rsidRPr="005043C3">
        <w:rPr>
          <w:lang w:val="en-CA"/>
        </w:rPr>
        <w:tab/>
        <w:t>The Chairman:</w:t>
      </w:r>
    </w:p>
    <w:p w:rsidR="00936422" w:rsidRPr="005043C3" w:rsidRDefault="00936422" w:rsidP="00A452FE">
      <w:pPr>
        <w:tabs>
          <w:tab w:val="clear" w:pos="567"/>
          <w:tab w:val="clear" w:pos="1134"/>
          <w:tab w:val="clear" w:pos="1701"/>
          <w:tab w:val="clear" w:pos="2268"/>
          <w:tab w:val="clear" w:pos="2835"/>
          <w:tab w:val="left" w:pos="6804"/>
        </w:tabs>
        <w:spacing w:before="0"/>
        <w:rPr>
          <w:lang w:val="en-CA"/>
        </w:rPr>
      </w:pPr>
      <w:r w:rsidRPr="005043C3">
        <w:rPr>
          <w:lang w:val="en-CA"/>
        </w:rPr>
        <w:t>H. ZHAO</w:t>
      </w:r>
      <w:r w:rsidRPr="005043C3">
        <w:rPr>
          <w:lang w:val="en-CA"/>
        </w:rPr>
        <w:tab/>
        <w:t>M. ALMESMAR</w:t>
      </w:r>
    </w:p>
    <w:p w:rsidR="00936422" w:rsidRPr="00175A51" w:rsidRDefault="00936422" w:rsidP="00A452FE">
      <w:pPr>
        <w:spacing w:before="160"/>
        <w:rPr>
          <w:lang w:val="en-CA"/>
        </w:rPr>
      </w:pPr>
    </w:p>
    <w:sectPr w:rsidR="00936422" w:rsidRPr="00175A51" w:rsidSect="00361097">
      <w:headerReference w:type="default" r:id="rId23"/>
      <w:footerReference w:type="default" r:id="rId24"/>
      <w:footerReference w:type="first" r:id="rId2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611B4F">
      <w:rPr>
        <w:noProof/>
      </w:rPr>
      <w:t>4</w:t>
    </w:r>
    <w:r>
      <w:fldChar w:fldCharType="end"/>
    </w:r>
  </w:p>
  <w:p w:rsidR="00CE1B90" w:rsidRDefault="00CE1B90" w:rsidP="00A452FE">
    <w:pPr>
      <w:pStyle w:val="Header"/>
    </w:pPr>
    <w:r>
      <w:t>PP1</w:t>
    </w:r>
    <w:r w:rsidR="004F7925">
      <w:t>8</w:t>
    </w:r>
    <w:r w:rsidR="00E26429">
      <w:t>/</w:t>
    </w:r>
    <w:r w:rsidR="000873C7">
      <w:t>1</w:t>
    </w:r>
    <w:r w:rsidR="000E28F9">
      <w:t>71</w:t>
    </w:r>
    <w:r w:rsidR="00E2642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E6DFD"/>
    <w:multiLevelType w:val="multilevel"/>
    <w:tmpl w:val="C01C68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04D13C7"/>
    <w:multiLevelType w:val="multilevel"/>
    <w:tmpl w:val="C01C68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873C7"/>
    <w:rsid w:val="00094B4F"/>
    <w:rsid w:val="000A1015"/>
    <w:rsid w:val="000B03F9"/>
    <w:rsid w:val="000B0A77"/>
    <w:rsid w:val="000B0D6C"/>
    <w:rsid w:val="000B5BB9"/>
    <w:rsid w:val="000B7152"/>
    <w:rsid w:val="000C4701"/>
    <w:rsid w:val="000C72DD"/>
    <w:rsid w:val="000E28F9"/>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97F84"/>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448DA"/>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1AE3"/>
    <w:rsid w:val="005C3315"/>
    <w:rsid w:val="005E1CC3"/>
    <w:rsid w:val="005F05C8"/>
    <w:rsid w:val="00604079"/>
    <w:rsid w:val="00611B4F"/>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5DF7"/>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6ED5"/>
    <w:rsid w:val="008B5A71"/>
    <w:rsid w:val="008D3BE2"/>
    <w:rsid w:val="008D4D98"/>
    <w:rsid w:val="008E2A7B"/>
    <w:rsid w:val="008E6E9B"/>
    <w:rsid w:val="008F2C56"/>
    <w:rsid w:val="008F3C99"/>
    <w:rsid w:val="00900D5B"/>
    <w:rsid w:val="00916F5D"/>
    <w:rsid w:val="009236FE"/>
    <w:rsid w:val="00936422"/>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171AE"/>
    <w:rsid w:val="00A314A2"/>
    <w:rsid w:val="00A452FE"/>
    <w:rsid w:val="00A516BB"/>
    <w:rsid w:val="00A619C5"/>
    <w:rsid w:val="00A808E1"/>
    <w:rsid w:val="00A8262F"/>
    <w:rsid w:val="00A84B32"/>
    <w:rsid w:val="00A84B3A"/>
    <w:rsid w:val="00A9155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E5376"/>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65E"/>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197F8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PP-C-0134/en" TargetMode="External"/><Relationship Id="rId18" Type="http://schemas.openxmlformats.org/officeDocument/2006/relationships/hyperlink" Target="https://www.itu.int/md/S18-PP-C-013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8-PP-C-0135/en" TargetMode="External"/><Relationship Id="rId7" Type="http://schemas.openxmlformats.org/officeDocument/2006/relationships/endnotes" Target="endnotes.xml"/><Relationship Id="rId12" Type="http://schemas.openxmlformats.org/officeDocument/2006/relationships/hyperlink" Target="https://www.itu.int/md/S18-PP-C-0133/en" TargetMode="External"/><Relationship Id="rId17" Type="http://schemas.openxmlformats.org/officeDocument/2006/relationships/hyperlink" Target="https://www.itu.int/md/S18-PP-C-0134/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8-PP-C-0133/en" TargetMode="External"/><Relationship Id="rId20" Type="http://schemas.openxmlformats.org/officeDocument/2006/relationships/hyperlink" Target="https://www.itu.int/md/S18-PP-C-0134/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18-PP-C-013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PP-C-0131/en" TargetMode="External"/><Relationship Id="rId23" Type="http://schemas.openxmlformats.org/officeDocument/2006/relationships/header" Target="header1.xml"/><Relationship Id="rId10" Type="http://schemas.openxmlformats.org/officeDocument/2006/relationships/hyperlink" Target="https://www.itu.int/md/S18-PP-C-0134/en" TargetMode="External"/><Relationship Id="rId19" Type="http://schemas.openxmlformats.org/officeDocument/2006/relationships/hyperlink" Target="https://www.itu.int/md/S18-PP-C-0133/en" TargetMode="External"/><Relationship Id="rId4" Type="http://schemas.openxmlformats.org/officeDocument/2006/relationships/settings" Target="settings.xml"/><Relationship Id="rId9" Type="http://schemas.openxmlformats.org/officeDocument/2006/relationships/hyperlink" Target="https://www.itu.int/md/S18-PP-C-0133/en" TargetMode="External"/><Relationship Id="rId14" Type="http://schemas.openxmlformats.org/officeDocument/2006/relationships/hyperlink" Target="https://www.itu.int/md/S18-PP-C-0135/en" TargetMode="External"/><Relationship Id="rId22" Type="http://schemas.openxmlformats.org/officeDocument/2006/relationships/hyperlink" Target="https://www.itu.int/md/S18-PP-C-0131/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Plenary meeting</vt:lpstr>
    </vt:vector>
  </TitlesOfParts>
  <Manager/>
  <Company/>
  <LinksUpToDate>false</LinksUpToDate>
  <CharactersWithSpaces>6084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Plenary meeting</dc:title>
  <dc:subject>Plenipotentiary Conference (PP-18)</dc:subject>
  <dc:creator/>
  <cp:keywords>PP-18, Plenipotentiary</cp:keywords>
  <cp:lastModifiedBy/>
  <cp:revision>1</cp:revision>
  <dcterms:created xsi:type="dcterms:W3CDTF">2018-11-30T09:06:00Z</dcterms:created>
  <dcterms:modified xsi:type="dcterms:W3CDTF">2018-11-30T09:18:00Z</dcterms:modified>
  <cp:category>Conference document</cp:category>
</cp:coreProperties>
</file>