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</w:t>
            </w:r>
            <w:proofErr w:type="gramStart"/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proofErr w:type="gramEnd"/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FC6FBF" w:rsidP="00F405C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D86C13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D86C13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86C13">
              <w:rPr>
                <w:b/>
                <w:bCs/>
                <w:lang w:val="en-GB" w:bidi="ar-SY"/>
              </w:rPr>
              <w:t>170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D86C13" w:rsidP="00D86C13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27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نوفمبر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100B7" w:rsidP="003132DF">
            <w:pPr>
              <w:pStyle w:val="Source"/>
              <w:rPr>
                <w:rtl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D86C13" w:rsidP="00D86C13">
            <w:pPr>
              <w:pStyle w:val="Title1"/>
              <w:rPr>
                <w:rtl/>
                <w:lang w:bidi="ar-EG"/>
              </w:rPr>
            </w:pPr>
            <w:r w:rsidRPr="00D86C13">
              <w:rPr>
                <w:rFonts w:hint="cs"/>
                <w:rtl/>
                <w:lang w:bidi="ar-EG"/>
              </w:rPr>
              <w:t xml:space="preserve">محضر الجلسة العامة </w:t>
            </w:r>
            <w:r>
              <w:rPr>
                <w:rFonts w:hint="cs"/>
                <w:rtl/>
                <w:lang w:bidi="ar-EG"/>
              </w:rPr>
              <w:t>الثالثة</w:t>
            </w:r>
            <w:r w:rsidRPr="00D86C13">
              <w:rPr>
                <w:rFonts w:hint="cs"/>
                <w:rtl/>
                <w:lang w:bidi="ar-EG"/>
              </w:rPr>
              <w:t xml:space="preserve"> عشرة</w:t>
            </w:r>
          </w:p>
        </w:tc>
      </w:tr>
      <w:tr w:rsidR="00D86C13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D86C13" w:rsidRPr="00D93B0C" w:rsidRDefault="00D86C13" w:rsidP="00D86C13">
            <w:pPr>
              <w:pStyle w:val="Normalaftertitle"/>
              <w:keepNext w:val="0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jc w:val="center"/>
              <w:rPr>
                <w:rFonts w:asciiTheme="minorHAnsi" w:eastAsia="SimSun" w:hAnsiTheme="minorHAnsi"/>
                <w:snapToGrid w:val="0"/>
                <w:rtl/>
                <w:lang w:eastAsia="en-US" w:bidi="ar-EG"/>
              </w:rPr>
            </w:pPr>
            <w:r>
              <w:rPr>
                <w:rFonts w:asciiTheme="minorHAnsi" w:eastAsia="SimSun" w:hAnsiTheme="minorHAnsi" w:hint="cs"/>
                <w:snapToGrid w:val="0"/>
                <w:rtl/>
                <w:lang w:eastAsia="en-US" w:bidi="ar-EG"/>
              </w:rPr>
              <w:t>الثلاثاء</w:t>
            </w:r>
            <w:r w:rsidRPr="00D93B0C">
              <w:rPr>
                <w:rFonts w:asciiTheme="minorHAnsi" w:eastAsia="SimSun" w:hAnsiTheme="minorHAnsi" w:hint="cs"/>
                <w:snapToGrid w:val="0"/>
                <w:rtl/>
                <w:lang w:eastAsia="en-US" w:bidi="ar-EG"/>
              </w:rPr>
              <w:t xml:space="preserve">، </w:t>
            </w:r>
            <w:r>
              <w:rPr>
                <w:rFonts w:asciiTheme="minorHAnsi" w:eastAsia="SimSun" w:hAnsiTheme="minorHAnsi"/>
                <w:snapToGrid w:val="0"/>
                <w:lang w:eastAsia="en-US" w:bidi="ar-EG"/>
              </w:rPr>
              <w:t>13</w:t>
            </w:r>
            <w:r w:rsidRPr="00D93B0C">
              <w:rPr>
                <w:rFonts w:asciiTheme="minorHAnsi" w:eastAsia="SimSun" w:hAnsiTheme="minorHAnsi" w:hint="cs"/>
                <w:snapToGrid w:val="0"/>
                <w:rtl/>
                <w:lang w:eastAsia="en-US" w:bidi="ar-EG"/>
              </w:rPr>
              <w:t xml:space="preserve"> نوفمبر </w:t>
            </w:r>
            <w:r w:rsidRPr="00D93B0C">
              <w:rPr>
                <w:rFonts w:asciiTheme="minorHAnsi" w:eastAsia="SimSun" w:hAnsiTheme="minorHAnsi"/>
                <w:snapToGrid w:val="0"/>
                <w:lang w:eastAsia="en-US" w:bidi="ar-EG"/>
              </w:rPr>
              <w:t>2018</w:t>
            </w:r>
            <w:r w:rsidRPr="00D93B0C">
              <w:rPr>
                <w:rFonts w:asciiTheme="minorHAnsi" w:eastAsia="SimSun" w:hAnsiTheme="minorHAnsi" w:hint="cs"/>
                <w:snapToGrid w:val="0"/>
                <w:rtl/>
                <w:lang w:eastAsia="en-US" w:bidi="ar-EG"/>
              </w:rPr>
              <w:t xml:space="preserve">، الساعة </w:t>
            </w:r>
            <w:r>
              <w:rPr>
                <w:rFonts w:asciiTheme="minorHAnsi" w:eastAsia="SimSun" w:hAnsiTheme="minorHAnsi"/>
                <w:snapToGrid w:val="0"/>
                <w:lang w:eastAsia="en-US" w:bidi="ar-EG"/>
              </w:rPr>
              <w:t>09</w:t>
            </w:r>
            <w:r w:rsidRPr="00D93B0C">
              <w:rPr>
                <w:rFonts w:asciiTheme="minorHAnsi" w:eastAsia="SimSun" w:hAnsiTheme="minorHAnsi"/>
                <w:snapToGrid w:val="0"/>
                <w:lang w:eastAsia="en-US" w:bidi="ar-EG"/>
              </w:rPr>
              <w:t>:</w:t>
            </w:r>
            <w:r>
              <w:rPr>
                <w:rFonts w:asciiTheme="minorHAnsi" w:eastAsia="SimSun" w:hAnsiTheme="minorHAnsi"/>
                <w:snapToGrid w:val="0"/>
                <w:lang w:eastAsia="en-US" w:bidi="ar-EG"/>
              </w:rPr>
              <w:t>35</w:t>
            </w:r>
          </w:p>
        </w:tc>
      </w:tr>
      <w:tr w:rsidR="00D86C13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D86C13" w:rsidRPr="00680C4F" w:rsidRDefault="00D86C13" w:rsidP="00D86C1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  <w:bCs/>
                <w:rtl/>
                <w:lang w:val="en-GB" w:eastAsia="en-US" w:bidi="ar-EG"/>
              </w:rPr>
            </w:pPr>
            <w:r w:rsidRPr="00D93B0C">
              <w:rPr>
                <w:rFonts w:eastAsia="SimSun" w:hint="cs"/>
                <w:b/>
                <w:bCs/>
                <w:rtl/>
                <w:lang w:val="en-GB" w:eastAsia="en-US" w:bidi="ar-EG"/>
              </w:rPr>
              <w:t>الرئيس:</w:t>
            </w:r>
            <w:r w:rsidRPr="00D93B0C">
              <w:rPr>
                <w:rFonts w:eastAsia="SimSun" w:hint="cs"/>
                <w:rtl/>
                <w:lang w:val="en-GB" w:eastAsia="en-US" w:bidi="ar-EG"/>
              </w:rPr>
              <w:t xml:space="preserve"> السيد ماجد المسمار (الإمارات العربية المتحدة)</w:t>
            </w:r>
          </w:p>
        </w:tc>
      </w:tr>
    </w:tbl>
    <w:p w:rsidR="00706D7A" w:rsidRDefault="00706D7A" w:rsidP="004F6A10">
      <w:pPr>
        <w:rPr>
          <w:rtl/>
        </w:rPr>
      </w:pPr>
    </w:p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486"/>
        <w:gridCol w:w="6603"/>
        <w:gridCol w:w="2550"/>
      </w:tblGrid>
      <w:tr w:rsidR="00D86C13" w:rsidRPr="00AE4CB6" w:rsidTr="00D86C13">
        <w:tc>
          <w:tcPr>
            <w:tcW w:w="252" w:type="pct"/>
          </w:tcPr>
          <w:p w:rsidR="00D86C13" w:rsidRPr="00AE4CB6" w:rsidRDefault="00D86C13" w:rsidP="00C30F2F">
            <w:pPr>
              <w:pStyle w:val="toc0"/>
              <w:spacing w:before="60" w:after="60" w:line="360" w:lineRule="exact"/>
            </w:pPr>
          </w:p>
        </w:tc>
        <w:tc>
          <w:tcPr>
            <w:tcW w:w="3425" w:type="pct"/>
          </w:tcPr>
          <w:p w:rsidR="00D86C13" w:rsidRPr="00AE4CB6" w:rsidRDefault="00D86C13" w:rsidP="00C30F2F">
            <w:pPr>
              <w:pStyle w:val="toc0"/>
              <w:spacing w:before="60" w:after="60" w:line="360" w:lineRule="exact"/>
            </w:pPr>
            <w:r w:rsidRPr="00AE4CB6">
              <w:rPr>
                <w:rFonts w:hint="cs"/>
                <w:rtl/>
              </w:rPr>
              <w:t>موضوعات المناقشة</w:t>
            </w:r>
          </w:p>
        </w:tc>
        <w:tc>
          <w:tcPr>
            <w:tcW w:w="1323" w:type="pct"/>
          </w:tcPr>
          <w:p w:rsidR="00D86C13" w:rsidRPr="00AE4CB6" w:rsidRDefault="00D86C13" w:rsidP="00C30F2F">
            <w:pPr>
              <w:pStyle w:val="toc0"/>
              <w:spacing w:before="60" w:after="60" w:line="360" w:lineRule="exact"/>
              <w:jc w:val="center"/>
            </w:pPr>
            <w:r w:rsidRPr="00AE4CB6">
              <w:rPr>
                <w:rFonts w:hint="cs"/>
                <w:rtl/>
              </w:rPr>
              <w:t>الوثائق</w:t>
            </w:r>
          </w:p>
        </w:tc>
      </w:tr>
      <w:tr w:rsidR="00D86C13" w:rsidRPr="00AE4CB6" w:rsidTr="00D86C13">
        <w:tc>
          <w:tcPr>
            <w:tcW w:w="252" w:type="pct"/>
          </w:tcPr>
          <w:p w:rsidR="00D86C13" w:rsidRPr="00E15D21" w:rsidRDefault="00D86C13" w:rsidP="00C30F2F">
            <w:pPr>
              <w:spacing w:before="60" w:after="60" w:line="360" w:lineRule="exact"/>
              <w:ind w:left="567" w:hanging="567"/>
              <w:jc w:val="center"/>
              <w:rPr>
                <w:position w:val="4"/>
              </w:rPr>
            </w:pPr>
            <w:r w:rsidRPr="00E15D21">
              <w:rPr>
                <w:position w:val="4"/>
              </w:rPr>
              <w:t>1</w:t>
            </w:r>
          </w:p>
        </w:tc>
        <w:tc>
          <w:tcPr>
            <w:tcW w:w="3425" w:type="pct"/>
          </w:tcPr>
          <w:p w:rsidR="00D86C13" w:rsidRPr="00983726" w:rsidRDefault="00D86C13" w:rsidP="00C30F2F">
            <w:pPr>
              <w:spacing w:before="60" w:after="60" w:line="360" w:lineRule="exact"/>
              <w:ind w:left="567" w:hanging="567"/>
              <w:rPr>
                <w:position w:val="4"/>
                <w:rtl/>
              </w:rPr>
            </w:pPr>
            <w:r>
              <w:rPr>
                <w:rFonts w:hint="cs"/>
                <w:position w:val="4"/>
                <w:rtl/>
              </w:rPr>
              <w:t xml:space="preserve">تقرير اللجنة </w:t>
            </w:r>
            <w:r>
              <w:rPr>
                <w:position w:val="4"/>
                <w:lang w:val="en-GB"/>
              </w:rPr>
              <w:t>3</w:t>
            </w:r>
            <w:r>
              <w:rPr>
                <w:rFonts w:hint="cs"/>
                <w:position w:val="4"/>
                <w:rtl/>
              </w:rPr>
              <w:t xml:space="preserve"> (مراقبة الميزانية)</w:t>
            </w:r>
          </w:p>
        </w:tc>
        <w:tc>
          <w:tcPr>
            <w:tcW w:w="1323" w:type="pct"/>
          </w:tcPr>
          <w:p w:rsidR="00D86C13" w:rsidRPr="00E15D21" w:rsidRDefault="00F034FF" w:rsidP="00C30F2F">
            <w:pPr>
              <w:spacing w:before="60" w:after="60" w:line="360" w:lineRule="exact"/>
              <w:ind w:left="567" w:hanging="567"/>
              <w:jc w:val="center"/>
              <w:rPr>
                <w:position w:val="4"/>
                <w:lang w:bidi="ar-EG"/>
              </w:rPr>
            </w:pPr>
            <w:hyperlink r:id="rId9" w:history="1">
              <w:r w:rsidR="00D86C13" w:rsidRPr="00A452FE">
                <w:rPr>
                  <w:rStyle w:val="Hyperlink"/>
                  <w:lang w:val="en-CA"/>
                </w:rPr>
                <w:t>129</w:t>
              </w:r>
            </w:hyperlink>
          </w:p>
        </w:tc>
      </w:tr>
      <w:tr w:rsidR="00D86C13" w:rsidRPr="00AE4CB6" w:rsidTr="00D86C13">
        <w:tc>
          <w:tcPr>
            <w:tcW w:w="252" w:type="pct"/>
          </w:tcPr>
          <w:p w:rsidR="00D86C13" w:rsidRPr="00E15D21" w:rsidRDefault="00D86C13" w:rsidP="00C30F2F">
            <w:pPr>
              <w:spacing w:before="60" w:after="60" w:line="360" w:lineRule="exact"/>
              <w:ind w:left="567" w:hanging="567"/>
              <w:jc w:val="center"/>
              <w:rPr>
                <w:position w:val="4"/>
              </w:rPr>
            </w:pPr>
            <w:r w:rsidRPr="00E15D21">
              <w:rPr>
                <w:position w:val="4"/>
              </w:rPr>
              <w:t>2</w:t>
            </w:r>
          </w:p>
        </w:tc>
        <w:tc>
          <w:tcPr>
            <w:tcW w:w="3425" w:type="pct"/>
          </w:tcPr>
          <w:p w:rsidR="00D86C13" w:rsidRPr="00D86C13" w:rsidRDefault="00D86C13" w:rsidP="00C30F2F">
            <w:pPr>
              <w:spacing w:before="60" w:after="60" w:line="360" w:lineRule="exact"/>
              <w:ind w:left="567" w:hanging="567"/>
              <w:rPr>
                <w:position w:val="4"/>
                <w:rtl/>
                <w:lang w:val="en-GB" w:bidi="ar-EG"/>
              </w:rPr>
            </w:pPr>
            <w:r>
              <w:rPr>
                <w:rFonts w:hint="cs"/>
                <w:position w:val="4"/>
                <w:rtl/>
              </w:rPr>
              <w:t xml:space="preserve">المجموعة السادسة من النصوص المقدمة من لجنة الصياغة للقراءة الأولى </w:t>
            </w:r>
            <w:r>
              <w:rPr>
                <w:position w:val="4"/>
                <w:lang w:val="en-GB"/>
              </w:rPr>
              <w:t>(B6)</w:t>
            </w:r>
          </w:p>
        </w:tc>
        <w:tc>
          <w:tcPr>
            <w:tcW w:w="1323" w:type="pct"/>
          </w:tcPr>
          <w:p w:rsidR="00D86C13" w:rsidRPr="00E15D21" w:rsidRDefault="00F034FF" w:rsidP="00C30F2F">
            <w:pPr>
              <w:spacing w:before="60" w:after="60" w:line="360" w:lineRule="exact"/>
              <w:ind w:left="567" w:hanging="567"/>
              <w:jc w:val="center"/>
              <w:rPr>
                <w:position w:val="4"/>
                <w:rtl/>
              </w:rPr>
            </w:pPr>
            <w:hyperlink r:id="rId10" w:history="1">
              <w:r w:rsidR="00D86C13" w:rsidRPr="00A452FE">
                <w:rPr>
                  <w:rStyle w:val="Hyperlink"/>
                  <w:lang w:val="en-CA"/>
                </w:rPr>
                <w:t>127</w:t>
              </w:r>
            </w:hyperlink>
          </w:p>
        </w:tc>
      </w:tr>
      <w:tr w:rsidR="00D86C13" w:rsidRPr="00AE4CB6" w:rsidTr="00D86C13">
        <w:tc>
          <w:tcPr>
            <w:tcW w:w="252" w:type="pct"/>
          </w:tcPr>
          <w:p w:rsidR="00D86C13" w:rsidRPr="00E15D21" w:rsidRDefault="00D86C13" w:rsidP="00C30F2F">
            <w:pPr>
              <w:spacing w:before="60" w:after="60" w:line="360" w:lineRule="exact"/>
              <w:ind w:left="567" w:hanging="567"/>
              <w:jc w:val="center"/>
              <w:rPr>
                <w:position w:val="4"/>
              </w:rPr>
            </w:pPr>
            <w:r w:rsidRPr="00E15D21">
              <w:rPr>
                <w:position w:val="4"/>
              </w:rPr>
              <w:t>3</w:t>
            </w:r>
          </w:p>
        </w:tc>
        <w:tc>
          <w:tcPr>
            <w:tcW w:w="3425" w:type="pct"/>
          </w:tcPr>
          <w:p w:rsidR="00D86C13" w:rsidRPr="00D86C13" w:rsidRDefault="00D86C13" w:rsidP="00C30F2F">
            <w:pPr>
              <w:spacing w:before="60" w:after="60" w:line="360" w:lineRule="exact"/>
              <w:ind w:left="567" w:hanging="567"/>
              <w:rPr>
                <w:position w:val="4"/>
                <w:lang w:val="en-GB"/>
              </w:rPr>
            </w:pPr>
            <w:r>
              <w:rPr>
                <w:rFonts w:hint="cs"/>
                <w:position w:val="4"/>
                <w:rtl/>
              </w:rPr>
              <w:t xml:space="preserve">المجموعة السابعة من النصوص المقدمة من لجنة الصياغة للقراءة الأولى </w:t>
            </w:r>
            <w:r>
              <w:rPr>
                <w:position w:val="4"/>
                <w:lang w:val="en-GB"/>
              </w:rPr>
              <w:t>(B7)</w:t>
            </w:r>
          </w:p>
        </w:tc>
        <w:tc>
          <w:tcPr>
            <w:tcW w:w="1323" w:type="pct"/>
          </w:tcPr>
          <w:p w:rsidR="00D86C13" w:rsidRPr="00D86C13" w:rsidRDefault="00F034FF" w:rsidP="00C30F2F">
            <w:pPr>
              <w:spacing w:before="60" w:after="60" w:line="360" w:lineRule="exact"/>
              <w:ind w:left="567" w:hanging="567"/>
              <w:jc w:val="center"/>
              <w:rPr>
                <w:position w:val="4"/>
                <w:rtl/>
                <w:lang w:val="en-GB"/>
              </w:rPr>
            </w:pPr>
            <w:hyperlink r:id="rId11" w:history="1">
              <w:r w:rsidR="00D86C13" w:rsidRPr="00A452FE">
                <w:rPr>
                  <w:rStyle w:val="Hyperlink"/>
                  <w:lang w:val="en-CA"/>
                </w:rPr>
                <w:t>128</w:t>
              </w:r>
            </w:hyperlink>
          </w:p>
        </w:tc>
      </w:tr>
      <w:tr w:rsidR="00D86C13" w:rsidRPr="00AE4CB6" w:rsidTr="00D86C13">
        <w:tc>
          <w:tcPr>
            <w:tcW w:w="252" w:type="pct"/>
          </w:tcPr>
          <w:p w:rsidR="00D86C13" w:rsidRPr="00E15D21" w:rsidRDefault="00D86C13" w:rsidP="00C30F2F">
            <w:pPr>
              <w:spacing w:before="60" w:after="60" w:line="360" w:lineRule="exact"/>
              <w:ind w:left="567" w:hanging="567"/>
              <w:jc w:val="center"/>
              <w:rPr>
                <w:position w:val="4"/>
              </w:rPr>
            </w:pPr>
            <w:r w:rsidRPr="00E15D21">
              <w:rPr>
                <w:position w:val="4"/>
              </w:rPr>
              <w:t>4</w:t>
            </w:r>
          </w:p>
        </w:tc>
        <w:tc>
          <w:tcPr>
            <w:tcW w:w="3425" w:type="pct"/>
          </w:tcPr>
          <w:p w:rsidR="00D86C13" w:rsidRPr="00983726" w:rsidRDefault="00D86C13" w:rsidP="00C30F2F">
            <w:pPr>
              <w:spacing w:before="60" w:after="60" w:line="360" w:lineRule="exact"/>
              <w:ind w:left="567" w:hanging="567"/>
              <w:rPr>
                <w:position w:val="4"/>
                <w:lang w:bidi="ar-EG"/>
              </w:rPr>
            </w:pPr>
            <w:r>
              <w:rPr>
                <w:rFonts w:hint="cs"/>
                <w:position w:val="4"/>
                <w:rtl/>
                <w:lang w:bidi="ar-EG"/>
              </w:rPr>
              <w:t xml:space="preserve">المجموعة السادسة من النصوص المقدمة من لجنة الصياغة </w:t>
            </w:r>
            <w:proofErr w:type="gramStart"/>
            <w:r>
              <w:rPr>
                <w:rFonts w:hint="cs"/>
                <w:position w:val="4"/>
                <w:rtl/>
                <w:lang w:bidi="ar-EG"/>
              </w:rPr>
              <w:t>- القراءة</w:t>
            </w:r>
            <w:proofErr w:type="gramEnd"/>
            <w:r>
              <w:rPr>
                <w:rFonts w:hint="cs"/>
                <w:position w:val="4"/>
                <w:rtl/>
                <w:lang w:bidi="ar-EG"/>
              </w:rPr>
              <w:t xml:space="preserve"> الثانية</w:t>
            </w:r>
          </w:p>
        </w:tc>
        <w:tc>
          <w:tcPr>
            <w:tcW w:w="1323" w:type="pct"/>
          </w:tcPr>
          <w:p w:rsidR="00D86C13" w:rsidRPr="00D86C13" w:rsidRDefault="00F034FF" w:rsidP="00C30F2F">
            <w:pPr>
              <w:spacing w:before="60" w:after="60" w:line="360" w:lineRule="exact"/>
              <w:ind w:left="567" w:hanging="567"/>
              <w:jc w:val="center"/>
              <w:rPr>
                <w:position w:val="4"/>
                <w:lang w:bidi="ar-EG"/>
              </w:rPr>
            </w:pPr>
            <w:hyperlink r:id="rId12" w:history="1">
              <w:r w:rsidR="00D86C13" w:rsidRPr="00A452FE">
                <w:rPr>
                  <w:rStyle w:val="Hyperlink"/>
                  <w:lang w:val="en-CA"/>
                </w:rPr>
                <w:t>127</w:t>
              </w:r>
            </w:hyperlink>
          </w:p>
        </w:tc>
      </w:tr>
      <w:tr w:rsidR="00D86C13" w:rsidRPr="00AE4CB6" w:rsidTr="00D86C13">
        <w:tc>
          <w:tcPr>
            <w:tcW w:w="252" w:type="pct"/>
          </w:tcPr>
          <w:p w:rsidR="00D86C13" w:rsidRPr="00E15D21" w:rsidRDefault="00D86C13" w:rsidP="00C30F2F">
            <w:pPr>
              <w:spacing w:before="60" w:after="60" w:line="360" w:lineRule="exact"/>
              <w:ind w:left="567" w:hanging="567"/>
              <w:jc w:val="center"/>
              <w:rPr>
                <w:position w:val="4"/>
              </w:rPr>
            </w:pPr>
            <w:r w:rsidRPr="00E15D21">
              <w:rPr>
                <w:position w:val="4"/>
              </w:rPr>
              <w:t>5</w:t>
            </w:r>
          </w:p>
        </w:tc>
        <w:tc>
          <w:tcPr>
            <w:tcW w:w="3425" w:type="pct"/>
          </w:tcPr>
          <w:p w:rsidR="00D86C13" w:rsidRPr="00983726" w:rsidRDefault="00D86C13" w:rsidP="00C30F2F">
            <w:pPr>
              <w:spacing w:before="60" w:after="60" w:line="360" w:lineRule="exact"/>
              <w:rPr>
                <w:position w:val="4"/>
                <w:rtl/>
              </w:rPr>
            </w:pPr>
            <w:r>
              <w:rPr>
                <w:rFonts w:hint="cs"/>
                <w:position w:val="4"/>
                <w:rtl/>
              </w:rPr>
              <w:t xml:space="preserve">المجموعة </w:t>
            </w:r>
            <w:r w:rsidR="00CD5BD5">
              <w:rPr>
                <w:rFonts w:hint="cs"/>
                <w:position w:val="4"/>
                <w:rtl/>
              </w:rPr>
              <w:t>السابعة</w:t>
            </w:r>
            <w:r>
              <w:rPr>
                <w:rFonts w:hint="cs"/>
                <w:position w:val="4"/>
                <w:rtl/>
              </w:rPr>
              <w:t xml:space="preserve"> من النصوص المقدمة من لجنة الصياغة </w:t>
            </w:r>
            <w:proofErr w:type="gramStart"/>
            <w:r>
              <w:rPr>
                <w:rFonts w:hint="cs"/>
                <w:position w:val="4"/>
                <w:rtl/>
              </w:rPr>
              <w:t>- القراءة</w:t>
            </w:r>
            <w:proofErr w:type="gramEnd"/>
            <w:r>
              <w:rPr>
                <w:rFonts w:hint="cs"/>
                <w:position w:val="4"/>
                <w:rtl/>
              </w:rPr>
              <w:t xml:space="preserve"> الثانية</w:t>
            </w:r>
          </w:p>
        </w:tc>
        <w:tc>
          <w:tcPr>
            <w:tcW w:w="1323" w:type="pct"/>
          </w:tcPr>
          <w:p w:rsidR="00D86C13" w:rsidRPr="00E15D21" w:rsidRDefault="00F034FF" w:rsidP="00C30F2F">
            <w:pPr>
              <w:tabs>
                <w:tab w:val="clear" w:pos="794"/>
              </w:tabs>
              <w:spacing w:before="60" w:after="60" w:line="360" w:lineRule="exact"/>
              <w:jc w:val="center"/>
              <w:rPr>
                <w:position w:val="4"/>
                <w:lang w:bidi="ar-EG"/>
              </w:rPr>
            </w:pPr>
            <w:hyperlink r:id="rId13" w:history="1">
              <w:r w:rsidR="00D86C13" w:rsidRPr="00A452FE">
                <w:rPr>
                  <w:rStyle w:val="Hyperlink"/>
                  <w:lang w:val="en-CA"/>
                </w:rPr>
                <w:t>128</w:t>
              </w:r>
            </w:hyperlink>
          </w:p>
        </w:tc>
      </w:tr>
      <w:tr w:rsidR="00D86C13" w:rsidRPr="00AE4CB6" w:rsidTr="00D86C13">
        <w:tc>
          <w:tcPr>
            <w:tcW w:w="252" w:type="pct"/>
          </w:tcPr>
          <w:p w:rsidR="00D86C13" w:rsidRPr="00E15D21" w:rsidRDefault="00D86C13" w:rsidP="00C30F2F">
            <w:pPr>
              <w:spacing w:before="60" w:after="60" w:line="360" w:lineRule="exact"/>
              <w:ind w:left="567" w:hanging="567"/>
              <w:jc w:val="center"/>
              <w:rPr>
                <w:position w:val="4"/>
              </w:rPr>
            </w:pPr>
            <w:r w:rsidRPr="00E15D21">
              <w:rPr>
                <w:position w:val="4"/>
              </w:rPr>
              <w:t>6</w:t>
            </w:r>
          </w:p>
        </w:tc>
        <w:tc>
          <w:tcPr>
            <w:tcW w:w="3425" w:type="pct"/>
          </w:tcPr>
          <w:p w:rsidR="00D86C13" w:rsidRPr="00983726" w:rsidRDefault="00D86C13" w:rsidP="00C30F2F">
            <w:pPr>
              <w:spacing w:before="60" w:after="60" w:line="360" w:lineRule="exact"/>
              <w:ind w:left="567" w:hanging="567"/>
              <w:rPr>
                <w:position w:val="4"/>
                <w:rtl/>
                <w:lang w:bidi="ar-EG"/>
              </w:rPr>
            </w:pPr>
            <w:r>
              <w:rPr>
                <w:rFonts w:hint="cs"/>
                <w:position w:val="4"/>
                <w:rtl/>
                <w:lang w:bidi="ar-EG"/>
              </w:rPr>
              <w:t xml:space="preserve">الموافقة على </w:t>
            </w:r>
            <w:r w:rsidR="0067710F">
              <w:rPr>
                <w:rFonts w:hint="cs"/>
                <w:position w:val="4"/>
                <w:rtl/>
                <w:lang w:bidi="ar-EG"/>
              </w:rPr>
              <w:t>المحاضر</w:t>
            </w:r>
          </w:p>
        </w:tc>
        <w:tc>
          <w:tcPr>
            <w:tcW w:w="1323" w:type="pct"/>
            <w:vAlign w:val="center"/>
          </w:tcPr>
          <w:p w:rsidR="00D86C13" w:rsidRPr="00E15D21" w:rsidRDefault="00F034FF" w:rsidP="00C30F2F">
            <w:pPr>
              <w:spacing w:before="60" w:after="60" w:line="360" w:lineRule="exact"/>
              <w:ind w:left="567" w:hanging="567"/>
              <w:jc w:val="center"/>
              <w:rPr>
                <w:position w:val="4"/>
                <w:rtl/>
                <w:lang w:bidi="ar-EG"/>
              </w:rPr>
            </w:pPr>
            <w:hyperlink r:id="rId14" w:history="1">
              <w:r w:rsidR="00D86C13" w:rsidRPr="00A452FE">
                <w:rPr>
                  <w:rStyle w:val="Hyperlink"/>
                  <w:lang w:val="en-CA"/>
                </w:rPr>
                <w:t>102</w:t>
              </w:r>
            </w:hyperlink>
            <w:r w:rsidR="00D86C13" w:rsidRPr="00BA263A">
              <w:rPr>
                <w:rFonts w:hint="cs"/>
                <w:rtl/>
              </w:rPr>
              <w:t>،</w:t>
            </w:r>
            <w:r w:rsidR="00D86C13">
              <w:rPr>
                <w:rFonts w:hint="cs"/>
                <w:position w:val="4"/>
                <w:rtl/>
              </w:rPr>
              <w:t xml:space="preserve"> </w:t>
            </w:r>
            <w:hyperlink r:id="rId15" w:history="1">
              <w:r w:rsidR="00D86C13" w:rsidRPr="00A452FE">
                <w:rPr>
                  <w:rStyle w:val="Hyperlink"/>
                  <w:lang w:val="en-CA"/>
                </w:rPr>
                <w:t>103</w:t>
              </w:r>
            </w:hyperlink>
            <w:r w:rsidR="00D86C13" w:rsidRPr="00BA263A">
              <w:rPr>
                <w:rFonts w:hint="cs"/>
                <w:rtl/>
                <w:lang w:bidi="ar-EG"/>
              </w:rPr>
              <w:t>،</w:t>
            </w:r>
            <w:r w:rsidR="00D86C13">
              <w:rPr>
                <w:rFonts w:hint="cs"/>
                <w:position w:val="4"/>
                <w:rtl/>
                <w:lang w:bidi="ar-EG"/>
              </w:rPr>
              <w:t xml:space="preserve"> </w:t>
            </w:r>
            <w:hyperlink r:id="rId16" w:history="1">
              <w:r w:rsidR="00D86C13" w:rsidRPr="00A452FE">
                <w:rPr>
                  <w:rStyle w:val="Hyperlink"/>
                  <w:lang w:val="en-CA"/>
                </w:rPr>
                <w:t>114</w:t>
              </w:r>
            </w:hyperlink>
          </w:p>
        </w:tc>
      </w:tr>
    </w:tbl>
    <w:p w:rsidR="00D86C13" w:rsidRPr="00D86C13" w:rsidRDefault="00D86C13" w:rsidP="004F6A10">
      <w:pPr>
        <w:rPr>
          <w:rtl/>
        </w:rPr>
      </w:pPr>
    </w:p>
    <w:p w:rsidR="001100B7" w:rsidRDefault="001100B7" w:rsidP="005855A4">
      <w:pPr>
        <w:rPr>
          <w:rFonts w:hint="cs"/>
          <w:rtl/>
          <w:lang w:bidi="ar-EG"/>
        </w:rPr>
      </w:pPr>
      <w:r>
        <w:rPr>
          <w:rtl/>
          <w:lang w:bidi="ar-SY"/>
        </w:rPr>
        <w:br w:type="page"/>
      </w:r>
    </w:p>
    <w:p w:rsidR="001100B7" w:rsidRDefault="00287BD3" w:rsidP="00287BD3">
      <w:pPr>
        <w:pStyle w:val="Heading1"/>
        <w:rPr>
          <w:rtl/>
          <w:lang w:val="en-GB" w:bidi="ar-EG"/>
        </w:rPr>
      </w:pPr>
      <w:r>
        <w:rPr>
          <w:lang w:bidi="ar-SY"/>
        </w:rPr>
        <w:lastRenderedPageBreak/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تقرير اللجنة </w:t>
      </w:r>
      <w:r>
        <w:rPr>
          <w:lang w:val="en-GB" w:bidi="ar-EG"/>
        </w:rPr>
        <w:t>3</w:t>
      </w:r>
      <w:r>
        <w:rPr>
          <w:rFonts w:hint="cs"/>
          <w:rtl/>
          <w:lang w:bidi="ar-EG"/>
        </w:rPr>
        <w:t xml:space="preserve"> (مراقبة الميزانية) (الوثيقة </w:t>
      </w:r>
      <w:hyperlink r:id="rId17" w:history="1">
        <w:r w:rsidRPr="00287BD3">
          <w:rPr>
            <w:rStyle w:val="Hyperlink"/>
            <w:rFonts w:asciiTheme="minorHAnsi" w:hAnsiTheme="minorHAnsi"/>
            <w:szCs w:val="26"/>
            <w:lang w:val="en-CA"/>
          </w:rPr>
          <w:t>129</w:t>
        </w:r>
      </w:hyperlink>
      <w:r>
        <w:rPr>
          <w:rFonts w:hint="cs"/>
          <w:rtl/>
          <w:lang w:val="en-GB" w:bidi="ar-EG"/>
        </w:rPr>
        <w:t>)</w:t>
      </w:r>
    </w:p>
    <w:p w:rsidR="00287BD3" w:rsidRDefault="00287BD3" w:rsidP="00FB7C9C">
      <w:pPr>
        <w:rPr>
          <w:rFonts w:hint="cs"/>
          <w:rtl/>
          <w:lang w:bidi="ar-EG"/>
        </w:rPr>
      </w:pPr>
      <w:proofErr w:type="gramStart"/>
      <w:r w:rsidRPr="005856CC">
        <w:rPr>
          <w:lang w:val="en-GB" w:bidi="ar-EG"/>
        </w:rPr>
        <w:t>1.1</w:t>
      </w:r>
      <w:proofErr w:type="gramEnd"/>
      <w:r w:rsidRPr="005856CC">
        <w:rPr>
          <w:lang w:bidi="ar-EG"/>
        </w:rPr>
        <w:tab/>
      </w:r>
      <w:r w:rsidRPr="005856CC">
        <w:rPr>
          <w:rFonts w:hint="cs"/>
          <w:rtl/>
          <w:lang w:bidi="ar-SY"/>
        </w:rPr>
        <w:t xml:space="preserve">قالت </w:t>
      </w:r>
      <w:r w:rsidRPr="005856CC">
        <w:rPr>
          <w:rFonts w:hint="cs"/>
          <w:b/>
          <w:bCs/>
          <w:rtl/>
          <w:lang w:bidi="ar-SY"/>
        </w:rPr>
        <w:t xml:space="preserve">رئيسة اللجنة </w:t>
      </w:r>
      <w:r w:rsidRPr="005856CC">
        <w:rPr>
          <w:b/>
          <w:bCs/>
          <w:lang w:val="en-GB" w:bidi="ar-EG"/>
        </w:rPr>
        <w:t>3</w:t>
      </w:r>
      <w:r w:rsidRPr="005856CC">
        <w:rPr>
          <w:rFonts w:hint="cs"/>
          <w:b/>
          <w:bCs/>
          <w:rtl/>
          <w:lang w:bidi="ar-EG"/>
        </w:rPr>
        <w:t xml:space="preserve"> (مراقبة الميزانية)</w:t>
      </w:r>
      <w:r w:rsidRPr="005856CC">
        <w:rPr>
          <w:rFonts w:hint="cs"/>
          <w:rtl/>
          <w:lang w:bidi="ar-EG"/>
        </w:rPr>
        <w:t xml:space="preserve"> عند تقديمها لتقرير اللجنة الوارد في الوثيقة </w:t>
      </w:r>
      <w:r w:rsidRPr="005856CC">
        <w:rPr>
          <w:lang w:val="en-GB" w:bidi="ar-EG"/>
        </w:rPr>
        <w:t>129</w:t>
      </w:r>
      <w:r w:rsidRPr="005856CC">
        <w:rPr>
          <w:rFonts w:hint="cs"/>
          <w:rtl/>
          <w:lang w:bidi="ar-SY"/>
        </w:rPr>
        <w:t>، إن هذه الوثيقة ستُرفع فيما</w:t>
      </w:r>
      <w:r w:rsidR="00E021E9" w:rsidRPr="005856CC">
        <w:rPr>
          <w:rFonts w:hint="eastAsia"/>
          <w:rtl/>
          <w:lang w:bidi="ar-SY"/>
        </w:rPr>
        <w:t> </w:t>
      </w:r>
      <w:r w:rsidRPr="005856CC">
        <w:rPr>
          <w:rFonts w:hint="cs"/>
          <w:rtl/>
          <w:lang w:bidi="ar-SY"/>
        </w:rPr>
        <w:t>بعد إلى المجلس في دورته لعام</w:t>
      </w:r>
      <w:r w:rsidRPr="005856CC">
        <w:rPr>
          <w:rFonts w:hint="eastAsia"/>
          <w:rtl/>
          <w:lang w:bidi="ar-SY"/>
        </w:rPr>
        <w:t> </w:t>
      </w:r>
      <w:r w:rsidRPr="005856CC">
        <w:rPr>
          <w:lang w:val="en-GB" w:bidi="ar-EG"/>
        </w:rPr>
        <w:t>2019</w:t>
      </w:r>
      <w:r w:rsidRPr="005856CC">
        <w:rPr>
          <w:rFonts w:hint="cs"/>
          <w:rtl/>
          <w:lang w:bidi="ar-SY"/>
        </w:rPr>
        <w:t>.</w:t>
      </w:r>
      <w:r>
        <w:rPr>
          <w:rFonts w:hint="cs"/>
          <w:rtl/>
          <w:lang w:bidi="ar-SY"/>
        </w:rPr>
        <w:t xml:space="preserve"> </w:t>
      </w:r>
      <w:r w:rsidR="005856CC">
        <w:rPr>
          <w:rFonts w:hint="cs"/>
          <w:rtl/>
          <w:lang w:bidi="ar-SY"/>
        </w:rPr>
        <w:t>و</w:t>
      </w:r>
      <w:r w:rsidR="00DE4E35">
        <w:rPr>
          <w:rFonts w:hint="cs"/>
          <w:rtl/>
          <w:lang w:bidi="ar-SY"/>
        </w:rPr>
        <w:t>أشارت</w:t>
      </w:r>
      <w:r w:rsidR="00DE4E35" w:rsidRPr="00DE4E35">
        <w:rPr>
          <w:rFonts w:hint="cs"/>
          <w:rtl/>
          <w:lang w:bidi="ar-SY"/>
        </w:rPr>
        <w:t>،</w:t>
      </w:r>
      <w:r w:rsidR="00DE4E35" w:rsidRPr="00DE4E35">
        <w:rPr>
          <w:rtl/>
          <w:lang w:bidi="ar-SY"/>
        </w:rPr>
        <w:t xml:space="preserve"> </w:t>
      </w:r>
      <w:r w:rsidR="00DE4E35" w:rsidRPr="00DE4E35">
        <w:rPr>
          <w:rFonts w:hint="cs"/>
          <w:i/>
          <w:iCs/>
          <w:rtl/>
          <w:lang w:bidi="ar-SY"/>
        </w:rPr>
        <w:t>في</w:t>
      </w:r>
      <w:r w:rsidR="00DE4E35" w:rsidRPr="00DE4E35">
        <w:rPr>
          <w:i/>
          <w:iCs/>
          <w:rtl/>
          <w:lang w:bidi="ar-SY"/>
        </w:rPr>
        <w:t xml:space="preserve"> </w:t>
      </w:r>
      <w:r w:rsidR="00DE4E35" w:rsidRPr="00DE4E35">
        <w:rPr>
          <w:rFonts w:hint="cs"/>
          <w:i/>
          <w:iCs/>
          <w:rtl/>
          <w:lang w:bidi="ar-SY"/>
        </w:rPr>
        <w:t>جملة</w:t>
      </w:r>
      <w:r w:rsidR="00DE4E35" w:rsidRPr="00DE4E35">
        <w:rPr>
          <w:i/>
          <w:iCs/>
          <w:rtl/>
          <w:lang w:bidi="ar-SY"/>
        </w:rPr>
        <w:t xml:space="preserve"> </w:t>
      </w:r>
      <w:r w:rsidR="00DE4E35" w:rsidRPr="00DE4E35">
        <w:rPr>
          <w:rFonts w:hint="cs"/>
          <w:i/>
          <w:iCs/>
          <w:rtl/>
          <w:lang w:bidi="ar-SY"/>
        </w:rPr>
        <w:t>أمور</w:t>
      </w:r>
      <w:r w:rsidR="00DE4E35" w:rsidRPr="00DE4E35">
        <w:rPr>
          <w:rFonts w:hint="cs"/>
          <w:rtl/>
          <w:lang w:bidi="ar-SY"/>
        </w:rPr>
        <w:t>،</w:t>
      </w:r>
      <w:r w:rsidR="00DE4E35" w:rsidRPr="00DE4E35">
        <w:rPr>
          <w:rtl/>
          <w:lang w:bidi="ar-SY"/>
        </w:rPr>
        <w:t xml:space="preserve"> </w:t>
      </w:r>
      <w:r w:rsidR="00DE4E35" w:rsidRPr="00DE4E35">
        <w:rPr>
          <w:rFonts w:hint="cs"/>
          <w:rtl/>
          <w:lang w:bidi="ar-SY"/>
        </w:rPr>
        <w:t>إلى</w:t>
      </w:r>
      <w:r w:rsidR="00DE4E35" w:rsidRPr="00DE4E35">
        <w:rPr>
          <w:rtl/>
          <w:lang w:bidi="ar-SY"/>
        </w:rPr>
        <w:t xml:space="preserve"> </w:t>
      </w:r>
      <w:r w:rsidR="00DE4E35">
        <w:rPr>
          <w:rFonts w:hint="cs"/>
          <w:rtl/>
          <w:lang w:bidi="ar-SY"/>
        </w:rPr>
        <w:t xml:space="preserve">أن لجنة مراقبة الميزانية </w:t>
      </w:r>
      <w:r w:rsidR="00DE4E35" w:rsidRPr="00DE4E35">
        <w:rPr>
          <w:rFonts w:hint="cs"/>
          <w:rtl/>
          <w:lang w:bidi="ar-SY"/>
        </w:rPr>
        <w:t>بعد</w:t>
      </w:r>
      <w:r w:rsidR="00DE4E35" w:rsidRPr="00DE4E35">
        <w:rPr>
          <w:rtl/>
          <w:lang w:bidi="ar-SY"/>
        </w:rPr>
        <w:t xml:space="preserve"> </w:t>
      </w:r>
      <w:r w:rsidR="00DE4E35" w:rsidRPr="00DE4E35">
        <w:rPr>
          <w:rFonts w:hint="cs"/>
          <w:rtl/>
          <w:lang w:bidi="ar-SY"/>
        </w:rPr>
        <w:t>اضطلاع</w:t>
      </w:r>
      <w:r w:rsidR="00DE4E35">
        <w:rPr>
          <w:rFonts w:hint="cs"/>
          <w:rtl/>
          <w:lang w:bidi="ar-SY"/>
        </w:rPr>
        <w:t>ها</w:t>
      </w:r>
      <w:r w:rsidR="00DE4E35" w:rsidRPr="00DE4E35">
        <w:rPr>
          <w:rtl/>
          <w:lang w:bidi="ar-SY"/>
        </w:rPr>
        <w:t xml:space="preserve"> </w:t>
      </w:r>
      <w:r w:rsidR="00DE4E35" w:rsidRPr="00DE4E35">
        <w:rPr>
          <w:rFonts w:hint="cs"/>
          <w:rtl/>
          <w:lang w:bidi="ar-SY"/>
        </w:rPr>
        <w:t>بالمهام</w:t>
      </w:r>
      <w:r w:rsidR="00DE4E35" w:rsidRPr="00DE4E35">
        <w:rPr>
          <w:rtl/>
          <w:lang w:bidi="ar-SY"/>
        </w:rPr>
        <w:t xml:space="preserve"> </w:t>
      </w:r>
      <w:r w:rsidR="00DE4E35" w:rsidRPr="00DE4E35">
        <w:rPr>
          <w:rFonts w:hint="cs"/>
          <w:rtl/>
          <w:lang w:bidi="ar-SY"/>
        </w:rPr>
        <w:t>المختلفة</w:t>
      </w:r>
      <w:r w:rsidR="00DE4E35" w:rsidRPr="00DE4E35">
        <w:rPr>
          <w:rtl/>
          <w:lang w:bidi="ar-SY"/>
        </w:rPr>
        <w:t xml:space="preserve"> </w:t>
      </w:r>
      <w:r w:rsidR="00DE4E35">
        <w:rPr>
          <w:rFonts w:hint="cs"/>
          <w:rtl/>
          <w:lang w:bidi="ar-SY"/>
        </w:rPr>
        <w:t>في</w:t>
      </w:r>
      <w:r w:rsidR="00152FD2">
        <w:rPr>
          <w:rFonts w:hint="eastAsia"/>
          <w:rtl/>
          <w:lang w:bidi="ar-SY"/>
        </w:rPr>
        <w:t> </w:t>
      </w:r>
      <w:r w:rsidR="00DE4E35">
        <w:rPr>
          <w:rFonts w:hint="cs"/>
          <w:rtl/>
          <w:lang w:bidi="ar-SY"/>
        </w:rPr>
        <w:t>إطار اختصاصاتها</w:t>
      </w:r>
      <w:r w:rsidR="00DE4E35" w:rsidRPr="00DE4E35">
        <w:rPr>
          <w:rFonts w:hint="cs"/>
          <w:rtl/>
          <w:lang w:bidi="ar-SY"/>
        </w:rPr>
        <w:t>،</w:t>
      </w:r>
      <w:r w:rsidR="00DE4E35" w:rsidRPr="00DE4E35">
        <w:rPr>
          <w:rtl/>
          <w:lang w:bidi="ar-SY"/>
        </w:rPr>
        <w:t xml:space="preserve"> </w:t>
      </w:r>
      <w:r w:rsidR="00DE4E35" w:rsidRPr="00DE4E35">
        <w:rPr>
          <w:rFonts w:hint="cs"/>
          <w:rtl/>
          <w:lang w:bidi="ar-SY"/>
        </w:rPr>
        <w:t>توقعت</w:t>
      </w:r>
      <w:r w:rsidR="00DE4E35" w:rsidRPr="00DE4E35">
        <w:rPr>
          <w:rtl/>
          <w:lang w:bidi="ar-SY"/>
        </w:rPr>
        <w:t xml:space="preserve"> </w:t>
      </w:r>
      <w:r w:rsidR="00DE4E35" w:rsidRPr="00DE4E35">
        <w:rPr>
          <w:rFonts w:hint="cs"/>
          <w:rtl/>
          <w:lang w:bidi="ar-SY"/>
        </w:rPr>
        <w:t>في</w:t>
      </w:r>
      <w:r w:rsidR="00DE4E35" w:rsidRPr="00DE4E35">
        <w:rPr>
          <w:rtl/>
          <w:lang w:bidi="ar-SY"/>
        </w:rPr>
        <w:t xml:space="preserve"> </w:t>
      </w:r>
      <w:r w:rsidR="00DE4E35">
        <w:rPr>
          <w:lang w:bidi="ar-SY"/>
        </w:rPr>
        <w:t>6</w:t>
      </w:r>
      <w:r w:rsidR="00DE4E35" w:rsidRPr="00DE4E35">
        <w:rPr>
          <w:rtl/>
          <w:lang w:bidi="ar-SY"/>
        </w:rPr>
        <w:t xml:space="preserve"> </w:t>
      </w:r>
      <w:r w:rsidR="00DE4E35" w:rsidRPr="00DE4E35">
        <w:rPr>
          <w:rFonts w:hint="cs"/>
          <w:rtl/>
          <w:lang w:bidi="ar-SY"/>
        </w:rPr>
        <w:t>نوفمبر</w:t>
      </w:r>
      <w:r w:rsidR="00DE4E35" w:rsidRPr="00DE4E35">
        <w:rPr>
          <w:rtl/>
          <w:lang w:bidi="ar-SY"/>
        </w:rPr>
        <w:t xml:space="preserve"> </w:t>
      </w:r>
      <w:r w:rsidR="00DE4E35">
        <w:rPr>
          <w:lang w:bidi="ar-SY"/>
        </w:rPr>
        <w:t>2018</w:t>
      </w:r>
      <w:r w:rsidR="00DE4E35">
        <w:rPr>
          <w:rFonts w:hint="cs"/>
          <w:rtl/>
          <w:lang w:bidi="ar-SY"/>
        </w:rPr>
        <w:t xml:space="preserve"> أن </w:t>
      </w:r>
      <w:r w:rsidR="00414B55">
        <w:rPr>
          <w:rFonts w:hint="cs"/>
          <w:rtl/>
          <w:lang w:bidi="ar-SY"/>
        </w:rPr>
        <w:t>يبلغ</w:t>
      </w:r>
      <w:r w:rsidR="00DE4E35">
        <w:rPr>
          <w:rFonts w:hint="cs"/>
          <w:rtl/>
          <w:lang w:bidi="ar-SY"/>
        </w:rPr>
        <w:t xml:space="preserve"> معدل تنفيذ ال</w:t>
      </w:r>
      <w:r w:rsidR="00DE4E35" w:rsidRPr="00DE4E35">
        <w:rPr>
          <w:rFonts w:hint="cs"/>
          <w:rtl/>
          <w:lang w:bidi="ar-SY"/>
        </w:rPr>
        <w:t>ميزانية</w:t>
      </w:r>
      <w:r w:rsidR="00DE4E35">
        <w:rPr>
          <w:rFonts w:hint="cs"/>
          <w:rtl/>
          <w:lang w:bidi="ar-SY"/>
        </w:rPr>
        <w:t xml:space="preserve"> </w:t>
      </w:r>
      <w:r w:rsidR="00DE4E35">
        <w:rPr>
          <w:lang w:bidi="ar-SY"/>
        </w:rPr>
        <w:t>90,3</w:t>
      </w:r>
      <w:r w:rsidR="00DE4E35">
        <w:rPr>
          <w:rFonts w:hint="cs"/>
          <w:rtl/>
          <w:lang w:bidi="ar-EG"/>
        </w:rPr>
        <w:t xml:space="preserve"> في المائة، وبما أن الميزانية الإجمالية للمؤتمر </w:t>
      </w:r>
      <w:r w:rsidR="00414B55">
        <w:rPr>
          <w:rFonts w:hint="cs"/>
          <w:rtl/>
          <w:lang w:bidi="ar-EG"/>
        </w:rPr>
        <w:t>بلغت</w:t>
      </w:r>
      <w:r w:rsidR="00DE4E35">
        <w:rPr>
          <w:rFonts w:hint="cs"/>
          <w:rtl/>
          <w:lang w:bidi="ar-EG"/>
        </w:rPr>
        <w:t xml:space="preserve"> </w:t>
      </w:r>
      <w:r w:rsidR="00DE4E35">
        <w:rPr>
          <w:lang w:bidi="ar-EG"/>
        </w:rPr>
        <w:t>2</w:t>
      </w:r>
      <w:r w:rsidR="00734D00">
        <w:rPr>
          <w:lang w:bidi="ar-EG"/>
        </w:rPr>
        <w:t> </w:t>
      </w:r>
      <w:r w:rsidR="00DE4E35">
        <w:rPr>
          <w:lang w:bidi="ar-EG"/>
        </w:rPr>
        <w:t>953</w:t>
      </w:r>
      <w:r w:rsidR="00734D00">
        <w:rPr>
          <w:lang w:bidi="ar-EG"/>
        </w:rPr>
        <w:t> </w:t>
      </w:r>
      <w:r w:rsidR="00DE4E35">
        <w:rPr>
          <w:lang w:bidi="ar-EG"/>
        </w:rPr>
        <w:t>000</w:t>
      </w:r>
      <w:r w:rsidR="00DE4E35">
        <w:rPr>
          <w:rFonts w:hint="cs"/>
          <w:rtl/>
          <w:lang w:bidi="ar-EG"/>
        </w:rPr>
        <w:t xml:space="preserve"> فرنك سويسري، فإن </w:t>
      </w:r>
      <w:r w:rsidR="00CD06E6">
        <w:rPr>
          <w:rFonts w:hint="cs"/>
          <w:rtl/>
          <w:lang w:bidi="ar-EG"/>
        </w:rPr>
        <w:t>الوفورات</w:t>
      </w:r>
      <w:bookmarkStart w:id="1" w:name="_GoBack"/>
      <w:bookmarkEnd w:id="1"/>
      <w:r w:rsidR="00CD06E6">
        <w:rPr>
          <w:rFonts w:hint="cs"/>
          <w:rtl/>
          <w:lang w:bidi="ar-EG"/>
        </w:rPr>
        <w:t xml:space="preserve"> التي تحققت من الميزانية الإجمالية بلغت </w:t>
      </w:r>
      <w:r w:rsidR="00CD06E6">
        <w:rPr>
          <w:lang w:bidi="ar-EG"/>
        </w:rPr>
        <w:t>286</w:t>
      </w:r>
      <w:r w:rsidR="00734D00">
        <w:rPr>
          <w:lang w:bidi="ar-EG"/>
        </w:rPr>
        <w:t> </w:t>
      </w:r>
      <w:r w:rsidR="00CD06E6">
        <w:rPr>
          <w:lang w:bidi="ar-EG"/>
        </w:rPr>
        <w:t>000</w:t>
      </w:r>
      <w:r w:rsidR="00CD06E6">
        <w:rPr>
          <w:rFonts w:hint="cs"/>
          <w:rtl/>
          <w:lang w:bidi="ar-EG"/>
        </w:rPr>
        <w:t xml:space="preserve"> فرنك سويسري، ويشمل ذلك توفير </w:t>
      </w:r>
      <w:r w:rsidR="00CD06E6">
        <w:rPr>
          <w:lang w:bidi="ar-EG"/>
        </w:rPr>
        <w:t>190</w:t>
      </w:r>
      <w:r w:rsidR="00734D00">
        <w:rPr>
          <w:lang w:bidi="ar-EG"/>
        </w:rPr>
        <w:t> </w:t>
      </w:r>
      <w:r w:rsidR="00CD06E6">
        <w:rPr>
          <w:lang w:bidi="ar-EG"/>
        </w:rPr>
        <w:t>000</w:t>
      </w:r>
      <w:r w:rsidR="00CD06E6">
        <w:rPr>
          <w:rFonts w:hint="cs"/>
          <w:rtl/>
          <w:lang w:bidi="ar-EG"/>
        </w:rPr>
        <w:t xml:space="preserve"> فرنك سويسري في النفقات و</w:t>
      </w:r>
      <w:r w:rsidR="00CD06E6">
        <w:rPr>
          <w:lang w:bidi="ar-EG"/>
        </w:rPr>
        <w:t>96</w:t>
      </w:r>
      <w:r w:rsidR="00734D00">
        <w:rPr>
          <w:lang w:bidi="ar-EG"/>
        </w:rPr>
        <w:t> </w:t>
      </w:r>
      <w:r w:rsidR="00CD06E6">
        <w:rPr>
          <w:lang w:bidi="ar-EG"/>
        </w:rPr>
        <w:t>000</w:t>
      </w:r>
      <w:r w:rsidR="00CD06E6">
        <w:rPr>
          <w:rFonts w:hint="cs"/>
          <w:rtl/>
          <w:lang w:bidi="ar-EG"/>
        </w:rPr>
        <w:t xml:space="preserve"> فرنك سويسري في الوثائق. وأعربت اللجنة عن امتنانها لحكومة الإمارات العربية المتحدة </w:t>
      </w:r>
      <w:r w:rsidR="00FB7C9C">
        <w:rPr>
          <w:rFonts w:hint="cs"/>
          <w:rtl/>
          <w:lang w:bidi="ar-EG"/>
        </w:rPr>
        <w:t>لكرم الضيافة</w:t>
      </w:r>
      <w:r w:rsidR="00CD06E6">
        <w:rPr>
          <w:rFonts w:hint="cs"/>
          <w:rtl/>
          <w:lang w:bidi="ar-EG"/>
        </w:rPr>
        <w:t xml:space="preserve"> والجودة العالية لخدماتها وبنيتها التحتية التي كفلت سير أعمال المؤتمر ب</w:t>
      </w:r>
      <w:r w:rsidR="00734D00">
        <w:rPr>
          <w:rFonts w:hint="cs"/>
          <w:rtl/>
          <w:lang w:bidi="ar-EG"/>
        </w:rPr>
        <w:t>كفاءة وفعالية.</w:t>
      </w:r>
    </w:p>
    <w:p w:rsidR="00287BD3" w:rsidRPr="00414B55" w:rsidRDefault="00287BD3" w:rsidP="00414B55">
      <w:pPr>
        <w:rPr>
          <w:lang w:bidi="ar-EG"/>
        </w:rPr>
      </w:pPr>
      <w:proofErr w:type="gramStart"/>
      <w:r>
        <w:rPr>
          <w:lang w:val="en-GB" w:bidi="ar-EG"/>
        </w:rPr>
        <w:t>2.1</w:t>
      </w:r>
      <w:proofErr w:type="gramEnd"/>
      <w:r>
        <w:rPr>
          <w:lang w:bidi="ar-EG"/>
        </w:rPr>
        <w:tab/>
      </w:r>
      <w:r w:rsidRPr="00287BD3">
        <w:rPr>
          <w:rFonts w:hint="cs"/>
          <w:b/>
          <w:bCs/>
          <w:rtl/>
          <w:lang w:bidi="ar-EG"/>
        </w:rPr>
        <w:t>تمت</w:t>
      </w:r>
      <w:r w:rsidRPr="00287BD3">
        <w:rPr>
          <w:rFonts w:hint="cs"/>
          <w:rtl/>
          <w:lang w:bidi="ar-EG"/>
        </w:rPr>
        <w:t xml:space="preserve"> </w:t>
      </w:r>
      <w:r w:rsidRPr="00287BD3">
        <w:rPr>
          <w:rFonts w:hint="cs"/>
          <w:b/>
          <w:bCs/>
          <w:rtl/>
          <w:lang w:bidi="ar-EG"/>
        </w:rPr>
        <w:t>الموافقة</w:t>
      </w:r>
      <w:r w:rsidRPr="00287BD3">
        <w:rPr>
          <w:rFonts w:hint="cs"/>
          <w:rtl/>
          <w:lang w:bidi="ar-EG"/>
        </w:rPr>
        <w:t xml:space="preserve"> على تقرير اللجنة </w:t>
      </w:r>
      <w:r w:rsidRPr="00287BD3">
        <w:rPr>
          <w:lang w:bidi="ar-EG"/>
        </w:rPr>
        <w:t>3</w:t>
      </w:r>
      <w:r w:rsidRPr="00287BD3">
        <w:rPr>
          <w:rFonts w:hint="cs"/>
          <w:rtl/>
          <w:lang w:bidi="ar-EG"/>
        </w:rPr>
        <w:t xml:space="preserve"> (مراقبة الميزانية) (الوثيقة </w:t>
      </w:r>
      <w:r>
        <w:rPr>
          <w:lang w:bidi="ar-EG"/>
        </w:rPr>
        <w:t>129</w:t>
      </w:r>
      <w:r w:rsidRPr="00287BD3">
        <w:rPr>
          <w:rFonts w:hint="cs"/>
          <w:rtl/>
          <w:lang w:bidi="ar-EG"/>
        </w:rPr>
        <w:t>).</w:t>
      </w:r>
    </w:p>
    <w:p w:rsidR="00287BD3" w:rsidRDefault="00287BD3" w:rsidP="00287BD3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972758">
        <w:rPr>
          <w:rFonts w:hint="cs"/>
          <w:rtl/>
          <w:lang w:bidi="ar-EG"/>
        </w:rPr>
        <w:t xml:space="preserve">المجموعة السادسة المقدمة من لجنة الصياغة للقراءة الأولى </w:t>
      </w:r>
      <w:r w:rsidR="00972758">
        <w:rPr>
          <w:lang w:val="en-GB" w:bidi="ar-EG"/>
        </w:rPr>
        <w:t>(B6)</w:t>
      </w:r>
      <w:r w:rsidR="00414B55">
        <w:rPr>
          <w:rFonts w:hint="cs"/>
          <w:rtl/>
          <w:lang w:val="en-GB" w:bidi="ar-EG"/>
        </w:rPr>
        <w:t xml:space="preserve"> (الوثيقة </w:t>
      </w:r>
      <w:hyperlink r:id="rId18" w:history="1">
        <w:r w:rsidR="00414B55" w:rsidRPr="00414B55">
          <w:rPr>
            <w:rStyle w:val="Hyperlink"/>
            <w:rFonts w:asciiTheme="minorHAnsi" w:hAnsiTheme="minorHAnsi"/>
            <w:szCs w:val="26"/>
            <w:lang w:val="en-CA"/>
          </w:rPr>
          <w:t>127</w:t>
        </w:r>
      </w:hyperlink>
      <w:r w:rsidR="00414B55">
        <w:rPr>
          <w:rFonts w:hint="cs"/>
          <w:rtl/>
          <w:lang w:val="en-GB" w:bidi="ar-EG"/>
        </w:rPr>
        <w:t>)</w:t>
      </w:r>
    </w:p>
    <w:p w:rsidR="00972758" w:rsidRDefault="00972758" w:rsidP="00FB7C9C">
      <w:pPr>
        <w:rPr>
          <w:lang w:bidi="ar-EG"/>
        </w:rPr>
      </w:pPr>
      <w:proofErr w:type="gramStart"/>
      <w:r w:rsidRPr="00414B55">
        <w:rPr>
          <w:lang w:val="en-GB" w:bidi="ar-EG"/>
        </w:rPr>
        <w:t>1.2</w:t>
      </w:r>
      <w:proofErr w:type="gramEnd"/>
      <w:r w:rsidRPr="00414B55">
        <w:rPr>
          <w:lang w:bidi="ar-EG"/>
        </w:rPr>
        <w:tab/>
      </w:r>
      <w:r w:rsidR="00553256" w:rsidRPr="00414B55">
        <w:rPr>
          <w:rFonts w:hint="cs"/>
          <w:rtl/>
          <w:lang w:bidi="ar-EG"/>
        </w:rPr>
        <w:t xml:space="preserve">استرعت </w:t>
      </w:r>
      <w:r w:rsidR="00553256" w:rsidRPr="00414B55">
        <w:rPr>
          <w:rFonts w:hint="cs"/>
          <w:b/>
          <w:bCs/>
          <w:rtl/>
          <w:lang w:bidi="ar-EG"/>
        </w:rPr>
        <w:t>رئيسة لجنة الصياغة</w:t>
      </w:r>
      <w:r w:rsidR="00553256" w:rsidRPr="00414B55">
        <w:rPr>
          <w:rFonts w:hint="cs"/>
          <w:rtl/>
          <w:lang w:bidi="ar-EG"/>
        </w:rPr>
        <w:t xml:space="preserve"> الانتباه إلى </w:t>
      </w:r>
      <w:r w:rsidR="00E021E9" w:rsidRPr="00414B55">
        <w:rPr>
          <w:rFonts w:hint="cs"/>
          <w:rtl/>
          <w:lang w:bidi="ar-EG"/>
        </w:rPr>
        <w:t xml:space="preserve">أن مشروع القرار </w:t>
      </w:r>
      <w:r w:rsidR="00E021E9" w:rsidRPr="00414B55">
        <w:rPr>
          <w:lang w:bidi="ar-EG"/>
        </w:rPr>
        <w:t>175</w:t>
      </w:r>
      <w:r w:rsidR="00E021E9" w:rsidRPr="00414B55">
        <w:rPr>
          <w:rFonts w:hint="cs"/>
          <w:rtl/>
          <w:lang w:bidi="ar-EG"/>
        </w:rPr>
        <w:t xml:space="preserve"> (المراجَع في دبي، </w:t>
      </w:r>
      <w:r w:rsidR="00E021E9" w:rsidRPr="00414B55">
        <w:rPr>
          <w:lang w:val="en-GB" w:bidi="ar-EG"/>
        </w:rPr>
        <w:t>2018</w:t>
      </w:r>
      <w:r w:rsidR="00E021E9" w:rsidRPr="00414B55">
        <w:rPr>
          <w:rFonts w:hint="cs"/>
          <w:rtl/>
          <w:lang w:bidi="ar-EG"/>
        </w:rPr>
        <w:t xml:space="preserve">) يتضمن نصاً في أقواس معقوفة في الفقرة ج من </w:t>
      </w:r>
      <w:r w:rsidR="00E021E9" w:rsidRPr="00414B55">
        <w:rPr>
          <w:rFonts w:hint="cs"/>
          <w:i/>
          <w:iCs/>
          <w:rtl/>
          <w:lang w:bidi="ar-EG"/>
        </w:rPr>
        <w:t>"وإذ يقر"</w:t>
      </w:r>
      <w:r w:rsidR="00E021E9" w:rsidRPr="00414B55">
        <w:rPr>
          <w:rFonts w:hint="cs"/>
          <w:rtl/>
          <w:lang w:bidi="ar-EG"/>
        </w:rPr>
        <w:t xml:space="preserve"> يشير إلى الخطة الاستراتيجية للاتحاد للفترة </w:t>
      </w:r>
      <w:r w:rsidR="00E021E9" w:rsidRPr="00414B55">
        <w:rPr>
          <w:lang w:bidi="ar-EG"/>
        </w:rPr>
        <w:t>2023-2020</w:t>
      </w:r>
      <w:r w:rsidR="00414B55">
        <w:rPr>
          <w:rFonts w:hint="cs"/>
          <w:rtl/>
          <w:lang w:bidi="ar-EG"/>
        </w:rPr>
        <w:t xml:space="preserve"> التي لا يزال اعتمادها معلقاً. </w:t>
      </w:r>
      <w:r w:rsidR="002A6AA9">
        <w:rPr>
          <w:rFonts w:hint="cs"/>
          <w:rtl/>
          <w:lang w:bidi="ar-EG"/>
        </w:rPr>
        <w:t xml:space="preserve">واقترحت مع ذلك إمكانية الموافقة على النص </w:t>
      </w:r>
      <w:r w:rsidR="00FB7C9C">
        <w:rPr>
          <w:rFonts w:hint="cs"/>
          <w:rtl/>
          <w:lang w:bidi="ar-EG"/>
        </w:rPr>
        <w:t>من</w:t>
      </w:r>
      <w:r w:rsidR="002A6AA9">
        <w:rPr>
          <w:rFonts w:hint="cs"/>
          <w:rtl/>
          <w:lang w:bidi="ar-EG"/>
        </w:rPr>
        <w:t xml:space="preserve"> القراءة الأولى </w:t>
      </w:r>
      <w:r w:rsidR="00CD08FE">
        <w:rPr>
          <w:rFonts w:hint="cs"/>
          <w:rtl/>
          <w:lang w:bidi="ar-EG"/>
        </w:rPr>
        <w:t>و</w:t>
      </w:r>
      <w:r w:rsidR="002A6AA9">
        <w:rPr>
          <w:rFonts w:hint="cs"/>
          <w:rtl/>
          <w:lang w:bidi="ar-EG"/>
        </w:rPr>
        <w:t xml:space="preserve">أن تكلف الجلسة العامة لجنة الصياغة بإدخال أي تعديلات ضرورية </w:t>
      </w:r>
      <w:r w:rsidR="0067507E">
        <w:rPr>
          <w:rFonts w:hint="cs"/>
          <w:rtl/>
          <w:lang w:bidi="ar-EG"/>
        </w:rPr>
        <w:t>عند</w:t>
      </w:r>
      <w:r w:rsidR="002A6AA9">
        <w:rPr>
          <w:rFonts w:hint="cs"/>
          <w:rtl/>
          <w:lang w:bidi="ar-EG"/>
        </w:rPr>
        <w:t xml:space="preserve"> اعتماد الخطة الاستراتيجية الجديدة. ويقدَّم النص بعد ذلك إلى الجلسة العامة </w:t>
      </w:r>
      <w:r w:rsidR="00CD08FE" w:rsidRPr="00FB7C9C">
        <w:rPr>
          <w:rFonts w:hint="cs"/>
          <w:rtl/>
          <w:lang w:bidi="ar-EG"/>
        </w:rPr>
        <w:t>من أجل</w:t>
      </w:r>
      <w:r w:rsidR="00CD08FE">
        <w:rPr>
          <w:rFonts w:hint="cs"/>
          <w:rtl/>
          <w:lang w:bidi="ar-EG"/>
        </w:rPr>
        <w:t xml:space="preserve"> ا</w:t>
      </w:r>
      <w:r w:rsidR="002A6AA9">
        <w:rPr>
          <w:rFonts w:hint="cs"/>
          <w:rtl/>
          <w:lang w:bidi="ar-EG"/>
        </w:rPr>
        <w:t>لقراءة الثاني</w:t>
      </w:r>
      <w:r w:rsidR="007164F3">
        <w:rPr>
          <w:rFonts w:hint="cs"/>
          <w:rtl/>
          <w:lang w:bidi="ar-EG"/>
        </w:rPr>
        <w:t>ة.</w:t>
      </w:r>
    </w:p>
    <w:p w:rsidR="00972758" w:rsidRDefault="00972758" w:rsidP="00972758">
      <w:pPr>
        <w:rPr>
          <w:rtl/>
          <w:lang w:bidi="ar-EG"/>
        </w:rPr>
      </w:pPr>
      <w:proofErr w:type="gramStart"/>
      <w:r>
        <w:rPr>
          <w:lang w:bidi="ar-EG"/>
        </w:rPr>
        <w:t>2.2</w:t>
      </w:r>
      <w:proofErr w:type="gramEnd"/>
      <w:r>
        <w:rPr>
          <w:rtl/>
          <w:lang w:bidi="ar-EG"/>
        </w:rPr>
        <w:tab/>
      </w:r>
      <w:r w:rsidRPr="00972758">
        <w:rPr>
          <w:rFonts w:hint="cs"/>
          <w:b/>
          <w:bCs/>
          <w:rtl/>
          <w:lang w:bidi="ar-EG"/>
        </w:rPr>
        <w:t>اتُفق</w:t>
      </w:r>
      <w:r w:rsidRPr="00972758">
        <w:rPr>
          <w:rFonts w:hint="cs"/>
          <w:rtl/>
          <w:lang w:bidi="ar-EG"/>
        </w:rPr>
        <w:t xml:space="preserve"> على ذلك.</w:t>
      </w:r>
    </w:p>
    <w:p w:rsidR="00972758" w:rsidRPr="00C04D47" w:rsidRDefault="00972758" w:rsidP="00B90FB8">
      <w:pPr>
        <w:rPr>
          <w:b/>
          <w:bCs/>
          <w:rtl/>
          <w:lang w:bidi="ar-EG"/>
        </w:rPr>
      </w:pPr>
      <w:r w:rsidRPr="00C04D47">
        <w:rPr>
          <w:rFonts w:hint="cs"/>
          <w:b/>
          <w:bCs/>
          <w:rtl/>
          <w:lang w:bidi="ar-EG"/>
        </w:rPr>
        <w:t xml:space="preserve">مشروع القرار </w:t>
      </w:r>
      <w:r w:rsidRPr="00C04D47">
        <w:rPr>
          <w:b/>
          <w:bCs/>
          <w:lang w:val="en-GB" w:bidi="ar-EG"/>
        </w:rPr>
        <w:t>175</w:t>
      </w:r>
      <w:r w:rsidRPr="00C04D47">
        <w:rPr>
          <w:rFonts w:hint="cs"/>
          <w:b/>
          <w:bCs/>
          <w:rtl/>
          <w:lang w:bidi="ar-EG"/>
        </w:rPr>
        <w:t xml:space="preserve"> (المراجَع في دبي، </w:t>
      </w:r>
      <w:r w:rsidRPr="00C04D47">
        <w:rPr>
          <w:b/>
          <w:bCs/>
          <w:lang w:val="en-GB" w:bidi="ar-EG"/>
        </w:rPr>
        <w:t>2018</w:t>
      </w:r>
      <w:r w:rsidRPr="00C04D47">
        <w:rPr>
          <w:rFonts w:hint="cs"/>
          <w:b/>
          <w:bCs/>
          <w:rtl/>
          <w:lang w:bidi="ar-EG"/>
        </w:rPr>
        <w:t xml:space="preserve">) </w:t>
      </w:r>
      <w:proofErr w:type="gramStart"/>
      <w:r w:rsidRPr="00C04D47">
        <w:rPr>
          <w:rFonts w:hint="cs"/>
          <w:b/>
          <w:bCs/>
          <w:rtl/>
          <w:lang w:bidi="ar-EG"/>
        </w:rPr>
        <w:t xml:space="preserve">- </w:t>
      </w:r>
      <w:bookmarkStart w:id="2" w:name="_Toc408328105"/>
      <w:bookmarkStart w:id="3" w:name="_Toc414526819"/>
      <w:bookmarkStart w:id="4" w:name="_Toc415560239"/>
      <w:r w:rsidRPr="00C04D47">
        <w:rPr>
          <w:rFonts w:hint="cs"/>
          <w:b/>
          <w:bCs/>
          <w:rtl/>
          <w:lang w:bidi="ar-EG"/>
        </w:rPr>
        <w:t>نفاذ</w:t>
      </w:r>
      <w:proofErr w:type="gramEnd"/>
      <w:r w:rsidRPr="00C04D47">
        <w:rPr>
          <w:rFonts w:hint="cs"/>
          <w:b/>
          <w:bCs/>
          <w:rtl/>
          <w:lang w:bidi="ar-EG"/>
        </w:rPr>
        <w:t xml:space="preserve"> الأشخاص ذوي الإعاقة والأشخاص</w:t>
      </w:r>
      <w:r w:rsidRPr="00C04D47">
        <w:rPr>
          <w:b/>
          <w:bCs/>
          <w:rtl/>
          <w:lang w:bidi="ar-EG"/>
        </w:rPr>
        <w:t xml:space="preserve"> </w:t>
      </w:r>
      <w:r w:rsidRPr="00C04D47">
        <w:rPr>
          <w:rFonts w:hint="cs"/>
          <w:b/>
          <w:bCs/>
          <w:rtl/>
          <w:lang w:bidi="ar-EG"/>
        </w:rPr>
        <w:t>ذوي</w:t>
      </w:r>
      <w:r w:rsidRPr="00C04D47">
        <w:rPr>
          <w:b/>
          <w:bCs/>
          <w:rtl/>
          <w:lang w:bidi="ar-EG"/>
        </w:rPr>
        <w:t xml:space="preserve"> </w:t>
      </w:r>
      <w:r w:rsidRPr="00C04D47">
        <w:rPr>
          <w:rFonts w:hint="cs"/>
          <w:b/>
          <w:bCs/>
          <w:rtl/>
          <w:lang w:bidi="ar-EG"/>
        </w:rPr>
        <w:t>الاحتياجات</w:t>
      </w:r>
      <w:r w:rsidRPr="00C04D47">
        <w:rPr>
          <w:b/>
          <w:bCs/>
          <w:rtl/>
          <w:lang w:bidi="ar-EG"/>
        </w:rPr>
        <w:t xml:space="preserve"> </w:t>
      </w:r>
      <w:r w:rsidRPr="00C04D47">
        <w:rPr>
          <w:rFonts w:hint="cs"/>
          <w:b/>
          <w:bCs/>
          <w:rtl/>
          <w:lang w:bidi="ar-EG"/>
        </w:rPr>
        <w:t>المحددة إلى</w:t>
      </w:r>
      <w:r w:rsidRPr="00C04D47">
        <w:rPr>
          <w:rFonts w:hint="eastAsia"/>
          <w:b/>
          <w:bCs/>
          <w:rtl/>
          <w:lang w:bidi="ar-EG"/>
        </w:rPr>
        <w:t> </w:t>
      </w:r>
      <w:r w:rsidRPr="00C04D47">
        <w:rPr>
          <w:rFonts w:hint="cs"/>
          <w:b/>
          <w:bCs/>
          <w:rtl/>
          <w:lang w:bidi="ar-EG"/>
        </w:rPr>
        <w:t>الاتصالات/تكنولوجيا المعلومات والاتصالات</w:t>
      </w:r>
      <w:bookmarkEnd w:id="2"/>
      <w:bookmarkEnd w:id="3"/>
      <w:bookmarkEnd w:id="4"/>
    </w:p>
    <w:p w:rsidR="00972758" w:rsidRPr="00C04D47" w:rsidRDefault="00B90FB8" w:rsidP="002E1CD9">
      <w:pPr>
        <w:rPr>
          <w:b/>
          <w:bCs/>
          <w:rtl/>
          <w:lang w:bidi="ar-EG"/>
        </w:rPr>
      </w:pPr>
      <w:r w:rsidRPr="00C04D47">
        <w:rPr>
          <w:rFonts w:hint="cs"/>
          <w:b/>
          <w:bCs/>
          <w:rtl/>
          <w:lang w:bidi="ar-EG"/>
        </w:rPr>
        <w:t xml:space="preserve">مشروع القرار </w:t>
      </w:r>
      <w:r w:rsidRPr="00C04D47">
        <w:rPr>
          <w:b/>
          <w:bCs/>
          <w:lang w:val="en-GB" w:bidi="ar-EG"/>
        </w:rPr>
        <w:t>186</w:t>
      </w:r>
      <w:r w:rsidRPr="00C04D47">
        <w:rPr>
          <w:rFonts w:hint="cs"/>
          <w:b/>
          <w:bCs/>
          <w:rtl/>
          <w:lang w:bidi="ar-EG"/>
        </w:rPr>
        <w:t xml:space="preserve"> (المراجَع في دبي، </w:t>
      </w:r>
      <w:r w:rsidRPr="00C04D47">
        <w:rPr>
          <w:b/>
          <w:bCs/>
          <w:lang w:val="en-GB" w:bidi="ar-EG"/>
        </w:rPr>
        <w:t>2018</w:t>
      </w:r>
      <w:r w:rsidRPr="00C04D47">
        <w:rPr>
          <w:rFonts w:hint="cs"/>
          <w:b/>
          <w:bCs/>
          <w:rtl/>
          <w:lang w:bidi="ar-EG"/>
        </w:rPr>
        <w:t xml:space="preserve">) </w:t>
      </w:r>
      <w:proofErr w:type="gramStart"/>
      <w:r w:rsidRPr="00C04D47">
        <w:rPr>
          <w:rFonts w:hint="cs"/>
          <w:b/>
          <w:bCs/>
          <w:rtl/>
          <w:lang w:bidi="ar-EG"/>
        </w:rPr>
        <w:t xml:space="preserve">- </w:t>
      </w:r>
      <w:bookmarkStart w:id="5" w:name="_Toc408328121"/>
      <w:bookmarkStart w:id="6" w:name="_Toc414526841"/>
      <w:bookmarkStart w:id="7" w:name="_Toc415560261"/>
      <w:r w:rsidRPr="00C04D47">
        <w:rPr>
          <w:rFonts w:hint="cs"/>
          <w:b/>
          <w:bCs/>
          <w:rtl/>
          <w:lang w:bidi="ar-EG"/>
        </w:rPr>
        <w:t>تعزيز</w:t>
      </w:r>
      <w:proofErr w:type="gramEnd"/>
      <w:r w:rsidRPr="00C04D47">
        <w:rPr>
          <w:rFonts w:hint="cs"/>
          <w:b/>
          <w:bCs/>
          <w:rtl/>
          <w:lang w:bidi="ar-EG"/>
        </w:rPr>
        <w:t xml:space="preserve"> دور الاتحاد الدولي للاتصالات فيما يتعلق</w:t>
      </w:r>
      <w:r w:rsidRPr="00C04D47">
        <w:rPr>
          <w:b/>
          <w:bCs/>
          <w:rtl/>
          <w:lang w:bidi="ar-EG"/>
        </w:rPr>
        <w:t xml:space="preserve"> </w:t>
      </w:r>
      <w:r w:rsidRPr="00C04D47">
        <w:rPr>
          <w:rFonts w:hint="cs"/>
          <w:b/>
          <w:bCs/>
          <w:rtl/>
          <w:lang w:bidi="ar-EG"/>
        </w:rPr>
        <w:t>ب</w:t>
      </w:r>
      <w:r w:rsidRPr="00C04D47">
        <w:rPr>
          <w:b/>
          <w:bCs/>
          <w:rtl/>
          <w:lang w:bidi="ar-EG"/>
        </w:rPr>
        <w:t>تدابير كفالة الشفافية</w:t>
      </w:r>
      <w:r w:rsidR="002E1CD9">
        <w:rPr>
          <w:rFonts w:hint="cs"/>
          <w:b/>
          <w:bCs/>
          <w:rtl/>
          <w:lang w:bidi="ar-EG"/>
        </w:rPr>
        <w:t xml:space="preserve"> </w:t>
      </w:r>
      <w:r w:rsidRPr="00C04D47">
        <w:rPr>
          <w:b/>
          <w:bCs/>
          <w:rtl/>
          <w:lang w:bidi="ar-EG"/>
        </w:rPr>
        <w:t>وبناء الثقة في أنشطة الفضاء الخارجي</w:t>
      </w:r>
      <w:bookmarkEnd w:id="5"/>
      <w:bookmarkEnd w:id="6"/>
      <w:bookmarkEnd w:id="7"/>
    </w:p>
    <w:p w:rsidR="00B90FB8" w:rsidRPr="00C04D47" w:rsidRDefault="00B90FB8" w:rsidP="00B90FB8">
      <w:pPr>
        <w:rPr>
          <w:b/>
          <w:bCs/>
          <w:rtl/>
          <w:lang w:bidi="ar-EG"/>
        </w:rPr>
      </w:pPr>
      <w:r w:rsidRPr="00C04D47">
        <w:rPr>
          <w:rFonts w:hint="cs"/>
          <w:b/>
          <w:bCs/>
          <w:rtl/>
          <w:lang w:bidi="ar-EG"/>
        </w:rPr>
        <w:t xml:space="preserve">مشروع القرار </w:t>
      </w:r>
      <w:r w:rsidRPr="00C04D47">
        <w:rPr>
          <w:b/>
          <w:bCs/>
          <w:lang w:val="en-GB" w:bidi="ar-EG"/>
        </w:rPr>
        <w:t>COM5/4</w:t>
      </w:r>
      <w:r w:rsidRPr="00C04D47">
        <w:rPr>
          <w:rFonts w:hint="cs"/>
          <w:b/>
          <w:bCs/>
          <w:rtl/>
          <w:lang w:bidi="ar-EG"/>
        </w:rPr>
        <w:t xml:space="preserve"> (دبي، </w:t>
      </w:r>
      <w:r w:rsidRPr="00C04D47">
        <w:rPr>
          <w:b/>
          <w:bCs/>
          <w:lang w:val="en-GB" w:bidi="ar-EG"/>
        </w:rPr>
        <w:t>2018</w:t>
      </w:r>
      <w:r w:rsidRPr="00C04D47">
        <w:rPr>
          <w:rFonts w:hint="cs"/>
          <w:b/>
          <w:bCs/>
          <w:rtl/>
          <w:lang w:bidi="ar-EG"/>
        </w:rPr>
        <w:t xml:space="preserve">) </w:t>
      </w:r>
      <w:proofErr w:type="gramStart"/>
      <w:r w:rsidRPr="00C04D47">
        <w:rPr>
          <w:rFonts w:hint="cs"/>
          <w:b/>
          <w:bCs/>
          <w:rtl/>
          <w:lang w:bidi="ar-EG"/>
        </w:rPr>
        <w:t>- دور</w:t>
      </w:r>
      <w:proofErr w:type="gramEnd"/>
      <w:r w:rsidRPr="00C04D47">
        <w:rPr>
          <w:rFonts w:hint="cs"/>
          <w:b/>
          <w:bCs/>
          <w:rtl/>
          <w:lang w:bidi="ar-EG"/>
        </w:rPr>
        <w:t xml:space="preserve"> الاتحاد الدولي للاتصالات كسلطة إشرافية </w:t>
      </w:r>
      <w:r w:rsidRPr="00C04D47">
        <w:rPr>
          <w:rFonts w:hint="cs"/>
          <w:b/>
          <w:bCs/>
          <w:rtl/>
          <w:lang w:bidi="ar-SY"/>
        </w:rPr>
        <w:t>لنظام التسجيل</w:t>
      </w:r>
      <w:r w:rsidRPr="00C04D47">
        <w:rPr>
          <w:rFonts w:hint="cs"/>
          <w:b/>
          <w:bCs/>
          <w:rtl/>
          <w:lang w:bidi="ar-EG"/>
        </w:rPr>
        <w:t xml:space="preserve"> الدولي لأصول الفضاء بموجب البروتوكول المتعلق بالفضاء</w:t>
      </w:r>
    </w:p>
    <w:p w:rsidR="00B90FB8" w:rsidRDefault="00B90FB8" w:rsidP="00B90FB8">
      <w:pPr>
        <w:rPr>
          <w:rtl/>
          <w:lang w:bidi="ar-EG"/>
        </w:rPr>
      </w:pPr>
      <w:proofErr w:type="gramStart"/>
      <w:r>
        <w:rPr>
          <w:lang w:bidi="ar-EG"/>
        </w:rPr>
        <w:t>3.2</w:t>
      </w:r>
      <w:proofErr w:type="gramEnd"/>
      <w:r>
        <w:rPr>
          <w:rtl/>
          <w:lang w:bidi="ar-EG"/>
        </w:rPr>
        <w:tab/>
      </w:r>
      <w:r w:rsidRPr="00B90FB8">
        <w:rPr>
          <w:rFonts w:hint="cs"/>
          <w:b/>
          <w:bCs/>
          <w:rtl/>
          <w:lang w:bidi="ar-EG"/>
        </w:rPr>
        <w:t>تم</w:t>
      </w:r>
      <w:r w:rsidRPr="00B90FB8">
        <w:rPr>
          <w:rFonts w:hint="cs"/>
          <w:rtl/>
          <w:lang w:bidi="ar-EG"/>
        </w:rPr>
        <w:t xml:space="preserve"> </w:t>
      </w:r>
      <w:r w:rsidRPr="00B90FB8">
        <w:rPr>
          <w:rFonts w:hint="cs"/>
          <w:b/>
          <w:bCs/>
          <w:rtl/>
          <w:lang w:bidi="ar-EG"/>
        </w:rPr>
        <w:t>اعتمادها</w:t>
      </w:r>
      <w:r w:rsidRPr="00B90FB8">
        <w:rPr>
          <w:rFonts w:hint="cs"/>
          <w:rtl/>
          <w:lang w:bidi="ar-EG"/>
        </w:rPr>
        <w:t>.</w:t>
      </w:r>
    </w:p>
    <w:p w:rsidR="00B90FB8" w:rsidRDefault="00B90FB8" w:rsidP="00F87332">
      <w:pPr>
        <w:rPr>
          <w:rtl/>
          <w:lang w:bidi="ar-EG"/>
        </w:rPr>
      </w:pPr>
      <w:proofErr w:type="gramStart"/>
      <w:r>
        <w:rPr>
          <w:lang w:bidi="ar-EG"/>
        </w:rPr>
        <w:t>4.2</w:t>
      </w:r>
      <w:proofErr w:type="gramEnd"/>
      <w:r>
        <w:rPr>
          <w:rtl/>
          <w:lang w:bidi="ar-EG"/>
        </w:rPr>
        <w:tab/>
      </w:r>
      <w:r w:rsidRPr="00B90FB8">
        <w:rPr>
          <w:rFonts w:hint="cs"/>
          <w:b/>
          <w:bCs/>
          <w:rtl/>
          <w:lang w:bidi="ar-EG"/>
        </w:rPr>
        <w:t>تمت</w:t>
      </w:r>
      <w:r w:rsidRPr="00B90FB8">
        <w:rPr>
          <w:rFonts w:hint="cs"/>
          <w:rtl/>
          <w:lang w:bidi="ar-EG"/>
        </w:rPr>
        <w:t xml:space="preserve"> </w:t>
      </w:r>
      <w:r w:rsidRPr="00B90FB8">
        <w:rPr>
          <w:rFonts w:hint="cs"/>
          <w:b/>
          <w:bCs/>
          <w:rtl/>
          <w:lang w:bidi="ar-EG"/>
        </w:rPr>
        <w:t>الموافقة</w:t>
      </w:r>
      <w:r w:rsidRPr="00B90FB8">
        <w:rPr>
          <w:rFonts w:hint="cs"/>
          <w:rtl/>
          <w:lang w:bidi="ar-EG"/>
        </w:rPr>
        <w:t xml:space="preserve"> على المجموعة </w:t>
      </w:r>
      <w:r>
        <w:rPr>
          <w:rFonts w:hint="cs"/>
          <w:rtl/>
          <w:lang w:bidi="ar-EG"/>
        </w:rPr>
        <w:t>السادسة</w:t>
      </w:r>
      <w:r w:rsidRPr="00B90FB8">
        <w:rPr>
          <w:rFonts w:hint="cs"/>
          <w:rtl/>
          <w:lang w:bidi="ar-EG"/>
        </w:rPr>
        <w:t xml:space="preserve"> من النصوص المقدمة من لجنة الصياغة </w:t>
      </w:r>
      <w:r>
        <w:rPr>
          <w:rFonts w:hint="cs"/>
          <w:rtl/>
          <w:lang w:bidi="ar-EG"/>
        </w:rPr>
        <w:t>للقراءة</w:t>
      </w:r>
      <w:r w:rsidRPr="00B90FB8">
        <w:rPr>
          <w:rFonts w:hint="cs"/>
          <w:rtl/>
          <w:lang w:bidi="ar-EG"/>
        </w:rPr>
        <w:t xml:space="preserve"> الأولى</w:t>
      </w:r>
      <w:r>
        <w:rPr>
          <w:rFonts w:hint="cs"/>
          <w:rtl/>
          <w:lang w:bidi="ar-EG"/>
        </w:rPr>
        <w:t xml:space="preserve"> </w:t>
      </w:r>
      <w:r>
        <w:rPr>
          <w:lang w:val="en-GB" w:bidi="ar-EG"/>
        </w:rPr>
        <w:t>(B6)</w:t>
      </w:r>
      <w:r w:rsidR="00F87332">
        <w:rPr>
          <w:rFonts w:hint="cs"/>
          <w:rtl/>
          <w:lang w:bidi="ar-EG"/>
        </w:rPr>
        <w:t xml:space="preserve"> </w:t>
      </w:r>
      <w:r w:rsidR="00F87332" w:rsidRPr="00B90FB8">
        <w:rPr>
          <w:rFonts w:hint="cs"/>
          <w:rtl/>
          <w:lang w:bidi="ar-EG"/>
        </w:rPr>
        <w:t xml:space="preserve">(الوثيقة </w:t>
      </w:r>
      <w:r w:rsidR="00F87332">
        <w:rPr>
          <w:lang w:bidi="ar-EG"/>
        </w:rPr>
        <w:t>127</w:t>
      </w:r>
      <w:r w:rsidR="00F87332" w:rsidRPr="00B90FB8">
        <w:rPr>
          <w:rFonts w:hint="cs"/>
          <w:rtl/>
          <w:lang w:bidi="ar-EG"/>
        </w:rPr>
        <w:t>)</w:t>
      </w:r>
      <w:r w:rsidRPr="00B90FB8">
        <w:rPr>
          <w:rFonts w:hint="cs"/>
          <w:rtl/>
          <w:lang w:bidi="ar-EG"/>
        </w:rPr>
        <w:t>.</w:t>
      </w:r>
    </w:p>
    <w:p w:rsidR="00AA7869" w:rsidRDefault="00AA7869" w:rsidP="00AA7869">
      <w:pPr>
        <w:pStyle w:val="Heading1"/>
        <w:rPr>
          <w:rtl/>
          <w:lang w:val="en-GB"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120924">
        <w:rPr>
          <w:rFonts w:hint="cs"/>
          <w:rtl/>
          <w:lang w:bidi="ar-EG"/>
        </w:rPr>
        <w:t xml:space="preserve">المجموعة السابعة من النصوص المقدمة من لجنة الصياغة للقراءة الأولى </w:t>
      </w:r>
      <w:r w:rsidR="00120924">
        <w:rPr>
          <w:lang w:val="en-GB" w:bidi="ar-EG"/>
        </w:rPr>
        <w:t>(B7)</w:t>
      </w:r>
      <w:r w:rsidR="00120924">
        <w:rPr>
          <w:rFonts w:hint="cs"/>
          <w:rtl/>
          <w:lang w:val="en-GB" w:bidi="ar-EG"/>
        </w:rPr>
        <w:t xml:space="preserve"> (الوثيقة </w:t>
      </w:r>
      <w:hyperlink r:id="rId19" w:history="1">
        <w:r w:rsidR="00120924" w:rsidRPr="00120924">
          <w:rPr>
            <w:rStyle w:val="Hyperlink"/>
            <w:rFonts w:asciiTheme="minorHAnsi" w:hAnsiTheme="minorHAnsi"/>
            <w:szCs w:val="26"/>
            <w:lang w:val="en-CA"/>
          </w:rPr>
          <w:t>128</w:t>
        </w:r>
      </w:hyperlink>
      <w:r w:rsidR="00120924">
        <w:rPr>
          <w:rFonts w:hint="cs"/>
          <w:rtl/>
          <w:lang w:val="en-GB" w:bidi="ar-EG"/>
        </w:rPr>
        <w:t>)</w:t>
      </w:r>
    </w:p>
    <w:p w:rsidR="00120924" w:rsidRPr="00DC6617" w:rsidRDefault="00120924" w:rsidP="00120924">
      <w:pPr>
        <w:rPr>
          <w:b/>
          <w:bCs/>
          <w:rtl/>
          <w:lang w:bidi="ar-EG"/>
        </w:rPr>
      </w:pPr>
      <w:r w:rsidRPr="00DC6617">
        <w:rPr>
          <w:rFonts w:hint="cs"/>
          <w:b/>
          <w:bCs/>
          <w:rtl/>
          <w:lang w:val="en-GB" w:bidi="ar-EG"/>
        </w:rPr>
        <w:t xml:space="preserve">مشروع القرار </w:t>
      </w:r>
      <w:r w:rsidRPr="00DC6617">
        <w:rPr>
          <w:b/>
          <w:bCs/>
          <w:lang w:bidi="ar-EG"/>
        </w:rPr>
        <w:t>140</w:t>
      </w:r>
      <w:r w:rsidRPr="00DC6617">
        <w:rPr>
          <w:rFonts w:hint="cs"/>
          <w:b/>
          <w:bCs/>
          <w:rtl/>
          <w:lang w:bidi="ar-EG"/>
        </w:rPr>
        <w:t xml:space="preserve"> (المراجَع في دبي، </w:t>
      </w:r>
      <w:r w:rsidRPr="00DC6617">
        <w:rPr>
          <w:b/>
          <w:bCs/>
          <w:lang w:val="en-GB" w:bidi="ar-EG"/>
        </w:rPr>
        <w:t>2018</w:t>
      </w:r>
      <w:r w:rsidRPr="00DC6617">
        <w:rPr>
          <w:rFonts w:hint="cs"/>
          <w:b/>
          <w:bCs/>
          <w:rtl/>
          <w:lang w:bidi="ar-EG"/>
        </w:rPr>
        <w:t xml:space="preserve">) </w:t>
      </w:r>
      <w:proofErr w:type="gramStart"/>
      <w:r w:rsidRPr="00DC6617">
        <w:rPr>
          <w:rFonts w:hint="cs"/>
          <w:b/>
          <w:bCs/>
          <w:rtl/>
          <w:lang w:bidi="ar-EG"/>
        </w:rPr>
        <w:t xml:space="preserve">- </w:t>
      </w:r>
      <w:r w:rsidRPr="00DC6617">
        <w:rPr>
          <w:b/>
          <w:bCs/>
          <w:rtl/>
          <w:lang w:bidi="ar-EG"/>
        </w:rPr>
        <w:t>دور</w:t>
      </w:r>
      <w:proofErr w:type="gramEnd"/>
      <w:r w:rsidRPr="00DC6617">
        <w:rPr>
          <w:b/>
          <w:bCs/>
          <w:rtl/>
          <w:lang w:bidi="ar-EG"/>
        </w:rPr>
        <w:t xml:space="preserve"> </w:t>
      </w:r>
      <w:r w:rsidRPr="00DC6617">
        <w:rPr>
          <w:rFonts w:hint="cs"/>
          <w:b/>
          <w:bCs/>
          <w:rtl/>
          <w:lang w:bidi="ar-EG"/>
        </w:rPr>
        <w:t>الاتحاد</w:t>
      </w:r>
      <w:r w:rsidRPr="00DC6617">
        <w:rPr>
          <w:b/>
          <w:bCs/>
          <w:rtl/>
          <w:lang w:bidi="ar-EG"/>
        </w:rPr>
        <w:t xml:space="preserve"> في تنفيذ </w:t>
      </w:r>
      <w:r w:rsidRPr="00DC6617">
        <w:rPr>
          <w:rFonts w:hint="cs"/>
          <w:b/>
          <w:bCs/>
          <w:rtl/>
          <w:lang w:bidi="ar-EG"/>
        </w:rPr>
        <w:t>نتائج</w:t>
      </w:r>
      <w:r w:rsidRPr="00DC6617">
        <w:rPr>
          <w:b/>
          <w:bCs/>
          <w:rtl/>
          <w:lang w:bidi="ar-EG"/>
        </w:rPr>
        <w:t xml:space="preserve"> القمة العالمية لمجتمع المعلومات</w:t>
      </w:r>
      <w:r w:rsidRPr="00DC6617">
        <w:rPr>
          <w:rFonts w:hint="cs"/>
          <w:b/>
          <w:bCs/>
          <w:rtl/>
          <w:lang w:bidi="ar-EG"/>
        </w:rPr>
        <w:t xml:space="preserve"> وخطة التنمية المستدامة لعام</w:t>
      </w:r>
      <w:r w:rsidRPr="00DC6617">
        <w:rPr>
          <w:rFonts w:hint="eastAsia"/>
          <w:b/>
          <w:bCs/>
          <w:rtl/>
          <w:lang w:bidi="ar-EG"/>
        </w:rPr>
        <w:t> </w:t>
      </w:r>
      <w:r w:rsidRPr="00DC6617">
        <w:rPr>
          <w:b/>
          <w:bCs/>
          <w:lang w:val="en-GB" w:bidi="ar-EG"/>
        </w:rPr>
        <w:t>2030</w:t>
      </w:r>
      <w:r w:rsidRPr="00DC6617">
        <w:rPr>
          <w:rFonts w:hint="cs"/>
          <w:b/>
          <w:bCs/>
          <w:rtl/>
          <w:lang w:bidi="ar-EG"/>
        </w:rPr>
        <w:t xml:space="preserve"> وفي</w:t>
      </w:r>
      <w:r w:rsidRPr="00DC6617">
        <w:rPr>
          <w:b/>
          <w:bCs/>
          <w:rtl/>
          <w:lang w:bidi="ar-EG"/>
        </w:rPr>
        <w:t xml:space="preserve"> </w:t>
      </w:r>
      <w:r w:rsidRPr="00DC6617">
        <w:rPr>
          <w:rFonts w:hint="cs"/>
          <w:b/>
          <w:bCs/>
          <w:rtl/>
          <w:lang w:bidi="ar-EG"/>
        </w:rPr>
        <w:t>عمليات المتابعة والاستعراض ذات الصلة</w:t>
      </w:r>
    </w:p>
    <w:p w:rsidR="00D9299C" w:rsidRDefault="00D9299C" w:rsidP="00120924">
      <w:pPr>
        <w:rPr>
          <w:rtl/>
          <w:lang w:bidi="ar-EG"/>
        </w:rPr>
      </w:pPr>
      <w:proofErr w:type="gramStart"/>
      <w:r>
        <w:rPr>
          <w:lang w:bidi="ar-EG"/>
        </w:rPr>
        <w:t>1.3</w:t>
      </w:r>
      <w:proofErr w:type="gramEnd"/>
      <w:r>
        <w:rPr>
          <w:rtl/>
          <w:lang w:bidi="ar-EG"/>
        </w:rPr>
        <w:tab/>
      </w:r>
      <w:r w:rsidRPr="00B90FB8">
        <w:rPr>
          <w:rFonts w:hint="cs"/>
          <w:b/>
          <w:bCs/>
          <w:rtl/>
          <w:lang w:bidi="ar-EG"/>
        </w:rPr>
        <w:t>تم</w:t>
      </w:r>
      <w:r w:rsidRPr="00B90FB8">
        <w:rPr>
          <w:rFonts w:hint="cs"/>
          <w:rtl/>
          <w:lang w:bidi="ar-EG"/>
        </w:rPr>
        <w:t xml:space="preserve"> </w:t>
      </w:r>
      <w:r w:rsidRPr="00B90FB8">
        <w:rPr>
          <w:rFonts w:hint="cs"/>
          <w:b/>
          <w:bCs/>
          <w:rtl/>
          <w:lang w:bidi="ar-EG"/>
        </w:rPr>
        <w:t>اعتمادها</w:t>
      </w:r>
      <w:r w:rsidRPr="00B90FB8">
        <w:rPr>
          <w:rFonts w:hint="cs"/>
          <w:rtl/>
          <w:lang w:bidi="ar-EG"/>
        </w:rPr>
        <w:t>.</w:t>
      </w:r>
    </w:p>
    <w:p w:rsidR="0050790A" w:rsidRPr="00107E8F" w:rsidRDefault="0050790A" w:rsidP="0050790A">
      <w:pPr>
        <w:rPr>
          <w:b/>
          <w:bCs/>
          <w:rtl/>
          <w:lang w:bidi="ar-EG"/>
        </w:rPr>
      </w:pPr>
      <w:r w:rsidRPr="00107E8F">
        <w:rPr>
          <w:rFonts w:hint="cs"/>
          <w:b/>
          <w:bCs/>
          <w:rtl/>
          <w:lang w:bidi="ar-EG"/>
        </w:rPr>
        <w:t xml:space="preserve">مشروع القرار </w:t>
      </w:r>
      <w:r w:rsidRPr="00107E8F">
        <w:rPr>
          <w:b/>
          <w:bCs/>
          <w:lang w:val="en-GB" w:bidi="ar-EG"/>
        </w:rPr>
        <w:t>WGPL/1</w:t>
      </w:r>
      <w:r w:rsidRPr="00107E8F">
        <w:rPr>
          <w:rFonts w:hint="cs"/>
          <w:b/>
          <w:bCs/>
          <w:rtl/>
          <w:lang w:bidi="ar-EG"/>
        </w:rPr>
        <w:t xml:space="preserve"> (دبي، </w:t>
      </w:r>
      <w:r w:rsidRPr="00107E8F">
        <w:rPr>
          <w:b/>
          <w:bCs/>
          <w:lang w:bidi="ar-EG"/>
        </w:rPr>
        <w:t>2018</w:t>
      </w:r>
      <w:r w:rsidRPr="00107E8F">
        <w:rPr>
          <w:rFonts w:hint="cs"/>
          <w:b/>
          <w:bCs/>
          <w:rtl/>
          <w:lang w:bidi="ar-EG"/>
        </w:rPr>
        <w:t xml:space="preserve">) </w:t>
      </w:r>
      <w:proofErr w:type="gramStart"/>
      <w:r w:rsidRPr="00107E8F">
        <w:rPr>
          <w:rFonts w:hint="cs"/>
          <w:b/>
          <w:bCs/>
          <w:rtl/>
          <w:lang w:bidi="ar-EG"/>
        </w:rPr>
        <w:t>- استخدام</w:t>
      </w:r>
      <w:proofErr w:type="gramEnd"/>
      <w:r w:rsidRPr="00107E8F">
        <w:rPr>
          <w:rFonts w:hint="cs"/>
          <w:b/>
          <w:bCs/>
          <w:rtl/>
          <w:lang w:bidi="ar-EG"/>
        </w:rPr>
        <w:t xml:space="preserve"> تكنولوجيات المعلومات والاتصالات لسدّ فجوة الشمول المالي</w:t>
      </w:r>
    </w:p>
    <w:p w:rsidR="008E6640" w:rsidRPr="006615DD" w:rsidRDefault="008E6640" w:rsidP="00594638">
      <w:pPr>
        <w:rPr>
          <w:rtl/>
          <w:lang w:bidi="ar-EG"/>
        </w:rPr>
      </w:pPr>
      <w:r>
        <w:rPr>
          <w:lang w:bidi="ar-EG"/>
        </w:rPr>
        <w:t>2.3</w:t>
      </w:r>
      <w:r>
        <w:rPr>
          <w:lang w:val="en-GB" w:bidi="ar-EG"/>
        </w:rPr>
        <w:tab/>
      </w:r>
      <w:r>
        <w:rPr>
          <w:rFonts w:hint="cs"/>
          <w:rtl/>
          <w:lang w:val="en-GB" w:bidi="ar-EG"/>
        </w:rPr>
        <w:t xml:space="preserve">طلب </w:t>
      </w:r>
      <w:r w:rsidRPr="00E750E2">
        <w:rPr>
          <w:rFonts w:hint="cs"/>
          <w:b/>
          <w:bCs/>
          <w:rtl/>
          <w:lang w:val="en-GB" w:bidi="ar-EG"/>
        </w:rPr>
        <w:t>مندوب الاتحاد الروسي</w:t>
      </w:r>
      <w:r>
        <w:rPr>
          <w:rFonts w:hint="cs"/>
          <w:rtl/>
          <w:lang w:val="en-GB" w:bidi="ar-EG"/>
        </w:rPr>
        <w:t xml:space="preserve"> </w:t>
      </w:r>
      <w:r w:rsidR="00CD08FE">
        <w:rPr>
          <w:rFonts w:hint="cs"/>
          <w:rtl/>
          <w:lang w:val="en-GB" w:bidi="ar-EG"/>
        </w:rPr>
        <w:t xml:space="preserve">إدخال تعديل على </w:t>
      </w:r>
      <w:r w:rsidR="006615DD">
        <w:rPr>
          <w:rFonts w:hint="cs"/>
          <w:rtl/>
          <w:lang w:val="en-GB" w:bidi="ar-EG"/>
        </w:rPr>
        <w:t xml:space="preserve">النسخة </w:t>
      </w:r>
      <w:r w:rsidR="00E750E2">
        <w:rPr>
          <w:rFonts w:hint="cs"/>
          <w:rtl/>
          <w:lang w:val="en-GB" w:bidi="ar-EG"/>
        </w:rPr>
        <w:t>الروسية فقط فيما يتعلق بمصطلح "الأفرقة الأخرى" الوارد</w:t>
      </w:r>
      <w:r w:rsidR="00594638">
        <w:rPr>
          <w:rFonts w:hint="cs"/>
          <w:rtl/>
          <w:lang w:val="en-GB" w:bidi="ar-EG"/>
        </w:rPr>
        <w:t xml:space="preserve"> في</w:t>
      </w:r>
      <w:r w:rsidR="00594638">
        <w:rPr>
          <w:rFonts w:hint="eastAsia"/>
          <w:rtl/>
          <w:lang w:val="en-GB" w:bidi="ar-EG"/>
        </w:rPr>
        <w:t> </w:t>
      </w:r>
      <w:r w:rsidR="006615DD">
        <w:rPr>
          <w:rFonts w:hint="cs"/>
          <w:rtl/>
          <w:lang w:val="en-GB" w:bidi="ar-EG"/>
        </w:rPr>
        <w:t xml:space="preserve">الفقرة </w:t>
      </w:r>
      <w:r w:rsidR="006615DD">
        <w:rPr>
          <w:lang w:bidi="ar-EG"/>
        </w:rPr>
        <w:t>4</w:t>
      </w:r>
      <w:r w:rsidR="006615DD">
        <w:rPr>
          <w:rFonts w:hint="cs"/>
          <w:rtl/>
          <w:lang w:bidi="ar-EG"/>
        </w:rPr>
        <w:t xml:space="preserve"> من </w:t>
      </w:r>
      <w:r w:rsidR="006615DD" w:rsidRPr="006615DD">
        <w:rPr>
          <w:rFonts w:hint="cs"/>
          <w:i/>
          <w:iCs/>
          <w:rtl/>
          <w:lang w:bidi="ar-EG"/>
        </w:rPr>
        <w:t>"</w:t>
      </w:r>
      <w:r w:rsidR="006615DD" w:rsidRPr="006615DD">
        <w:rPr>
          <w:rFonts w:hint="cs"/>
          <w:i/>
          <w:iCs/>
          <w:rtl/>
        </w:rPr>
        <w:t>يكلف لجان دراسات قطاع تقييس الاتصالات ذات الصلة</w:t>
      </w:r>
      <w:r w:rsidR="006615DD" w:rsidRPr="006615DD">
        <w:rPr>
          <w:rFonts w:hint="cs"/>
          <w:i/>
          <w:iCs/>
          <w:rtl/>
          <w:lang w:bidi="ar-EG"/>
        </w:rPr>
        <w:t>"</w:t>
      </w:r>
      <w:r w:rsidR="006615DD" w:rsidRPr="006615DD">
        <w:rPr>
          <w:rFonts w:hint="cs"/>
          <w:rtl/>
          <w:lang w:bidi="ar-EG"/>
        </w:rPr>
        <w:t xml:space="preserve">، لضمان </w:t>
      </w:r>
      <w:r w:rsidR="006615DD">
        <w:rPr>
          <w:rFonts w:hint="cs"/>
          <w:rtl/>
          <w:lang w:bidi="ar-EG"/>
        </w:rPr>
        <w:t>أن يشمل النص لجان الدراسات الأخرى كما هو الحال ف</w:t>
      </w:r>
      <w:r w:rsidR="00594638">
        <w:rPr>
          <w:rFonts w:hint="cs"/>
          <w:rtl/>
          <w:lang w:bidi="ar-EG"/>
        </w:rPr>
        <w:t>ي النسخ الصادرة باللغات الأخرى.</w:t>
      </w:r>
    </w:p>
    <w:p w:rsidR="008E6640" w:rsidRDefault="008E6640" w:rsidP="0050790A">
      <w:pPr>
        <w:rPr>
          <w:rtl/>
          <w:lang w:bidi="ar-EG"/>
        </w:rPr>
      </w:pPr>
      <w:proofErr w:type="gramStart"/>
      <w:r>
        <w:rPr>
          <w:lang w:bidi="ar-EG"/>
        </w:rPr>
        <w:t>3.3</w:t>
      </w:r>
      <w:proofErr w:type="gramEnd"/>
      <w:r>
        <w:rPr>
          <w:rtl/>
          <w:lang w:bidi="ar-EG"/>
        </w:rPr>
        <w:tab/>
      </w:r>
      <w:r w:rsidRPr="00972758">
        <w:rPr>
          <w:rFonts w:hint="cs"/>
          <w:b/>
          <w:bCs/>
          <w:rtl/>
          <w:lang w:bidi="ar-EG"/>
        </w:rPr>
        <w:t>اتُفق</w:t>
      </w:r>
      <w:r w:rsidRPr="00972758">
        <w:rPr>
          <w:rFonts w:hint="cs"/>
          <w:rtl/>
          <w:lang w:bidi="ar-EG"/>
        </w:rPr>
        <w:t xml:space="preserve"> على ذلك.</w:t>
      </w:r>
    </w:p>
    <w:p w:rsidR="008E6640" w:rsidRPr="006615DD" w:rsidRDefault="007C66B6" w:rsidP="0050790A">
      <w:pPr>
        <w:rPr>
          <w:rtl/>
          <w:lang w:bidi="ar-EG"/>
        </w:rPr>
      </w:pPr>
      <w:proofErr w:type="gramStart"/>
      <w:r w:rsidRPr="006615DD">
        <w:rPr>
          <w:lang w:bidi="ar-EG"/>
        </w:rPr>
        <w:lastRenderedPageBreak/>
        <w:t>4.3</w:t>
      </w:r>
      <w:proofErr w:type="gramEnd"/>
      <w:r w:rsidRPr="006615DD">
        <w:rPr>
          <w:rtl/>
          <w:lang w:bidi="ar-EG"/>
        </w:rPr>
        <w:tab/>
      </w:r>
      <w:r w:rsidRPr="006615DD">
        <w:rPr>
          <w:rFonts w:hint="cs"/>
          <w:b/>
          <w:bCs/>
          <w:rtl/>
          <w:lang w:bidi="ar-EG"/>
        </w:rPr>
        <w:t>تم اعتماد</w:t>
      </w:r>
      <w:r w:rsidRPr="006615DD">
        <w:rPr>
          <w:rFonts w:hint="cs"/>
          <w:rtl/>
          <w:lang w:bidi="ar-EG"/>
        </w:rPr>
        <w:t xml:space="preserve"> مشروع القرار </w:t>
      </w:r>
      <w:r w:rsidRPr="006615DD">
        <w:rPr>
          <w:lang w:bidi="ar-EG"/>
        </w:rPr>
        <w:t>WGPL/1</w:t>
      </w:r>
      <w:r w:rsidRPr="006615DD">
        <w:rPr>
          <w:rFonts w:hint="cs"/>
          <w:rtl/>
          <w:lang w:bidi="ar-EG"/>
        </w:rPr>
        <w:t xml:space="preserve"> (دبي، </w:t>
      </w:r>
      <w:r w:rsidRPr="006615DD">
        <w:rPr>
          <w:lang w:bidi="ar-EG"/>
        </w:rPr>
        <w:t>2018</w:t>
      </w:r>
      <w:r w:rsidRPr="006615DD">
        <w:rPr>
          <w:rFonts w:hint="cs"/>
          <w:rtl/>
          <w:lang w:bidi="ar-EG"/>
        </w:rPr>
        <w:t>)</w:t>
      </w:r>
      <w:r w:rsidR="00704E06" w:rsidRPr="006615DD">
        <w:rPr>
          <w:rFonts w:hint="cs"/>
          <w:rtl/>
          <w:lang w:bidi="ar-EG"/>
        </w:rPr>
        <w:t xml:space="preserve"> بصيغته المعدّلة في اللغة الروسية.</w:t>
      </w:r>
    </w:p>
    <w:p w:rsidR="00704E06" w:rsidRPr="009A5E40" w:rsidRDefault="00704E06" w:rsidP="00204439">
      <w:pPr>
        <w:rPr>
          <w:spacing w:val="-2"/>
          <w:rtl/>
          <w:lang w:bidi="ar-EG"/>
        </w:rPr>
      </w:pPr>
      <w:proofErr w:type="gramStart"/>
      <w:r w:rsidRPr="006615DD">
        <w:rPr>
          <w:spacing w:val="-2"/>
          <w:lang w:bidi="ar-EG"/>
        </w:rPr>
        <w:t>5.3</w:t>
      </w:r>
      <w:proofErr w:type="gramEnd"/>
      <w:r w:rsidRPr="006615DD">
        <w:rPr>
          <w:spacing w:val="-2"/>
          <w:rtl/>
          <w:lang w:bidi="ar-EG"/>
        </w:rPr>
        <w:tab/>
      </w:r>
      <w:r w:rsidR="00204439" w:rsidRPr="006615DD">
        <w:rPr>
          <w:rFonts w:hint="cs"/>
          <w:b/>
          <w:bCs/>
          <w:spacing w:val="-2"/>
          <w:rtl/>
          <w:lang w:bidi="ar-EG"/>
        </w:rPr>
        <w:t>تمت</w:t>
      </w:r>
      <w:r w:rsidR="00204439" w:rsidRPr="006615DD">
        <w:rPr>
          <w:rFonts w:hint="cs"/>
          <w:spacing w:val="-2"/>
          <w:rtl/>
          <w:lang w:bidi="ar-EG"/>
        </w:rPr>
        <w:t xml:space="preserve"> </w:t>
      </w:r>
      <w:r w:rsidR="00204439" w:rsidRPr="006615DD">
        <w:rPr>
          <w:rFonts w:hint="cs"/>
          <w:b/>
          <w:bCs/>
          <w:spacing w:val="-2"/>
          <w:rtl/>
          <w:lang w:bidi="ar-EG"/>
        </w:rPr>
        <w:t>الموافقة</w:t>
      </w:r>
      <w:r w:rsidR="00204439" w:rsidRPr="006615DD">
        <w:rPr>
          <w:rFonts w:hint="cs"/>
          <w:spacing w:val="-2"/>
          <w:rtl/>
          <w:lang w:bidi="ar-EG"/>
        </w:rPr>
        <w:t xml:space="preserve"> على المجموعة السابعة من النصوص المقدمة من لجنة الصياغة للقراءة الأولى (الوثيقة </w:t>
      </w:r>
      <w:r w:rsidR="00204439" w:rsidRPr="006615DD">
        <w:rPr>
          <w:spacing w:val="-2"/>
          <w:lang w:bidi="ar-EG"/>
        </w:rPr>
        <w:t>128</w:t>
      </w:r>
      <w:r w:rsidR="00204439" w:rsidRPr="006615DD">
        <w:rPr>
          <w:rFonts w:hint="cs"/>
          <w:spacing w:val="-2"/>
          <w:rtl/>
          <w:lang w:bidi="ar-EG"/>
        </w:rPr>
        <w:t>)</w:t>
      </w:r>
      <w:r w:rsidR="009A5E40" w:rsidRPr="006615DD">
        <w:rPr>
          <w:rFonts w:hint="cs"/>
          <w:spacing w:val="-2"/>
          <w:rtl/>
          <w:lang w:bidi="ar-EG"/>
        </w:rPr>
        <w:t xml:space="preserve"> بصيغتها المعدّلة</w:t>
      </w:r>
      <w:r w:rsidR="00204439" w:rsidRPr="006615DD">
        <w:rPr>
          <w:rFonts w:hint="cs"/>
          <w:spacing w:val="-2"/>
          <w:rtl/>
          <w:lang w:bidi="ar-EG"/>
        </w:rPr>
        <w:t>.</w:t>
      </w:r>
    </w:p>
    <w:p w:rsidR="009A5E40" w:rsidRDefault="00646625" w:rsidP="00646625">
      <w:pPr>
        <w:pStyle w:val="Heading1"/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المجموعة السادسة من النصوص المقدمة من لجنة الصياغة - القراءة الثانية (الوثيقة </w:t>
      </w:r>
      <w:hyperlink r:id="rId20" w:history="1">
        <w:r w:rsidRPr="00646625">
          <w:rPr>
            <w:rStyle w:val="Hyperlink"/>
            <w:rFonts w:asciiTheme="minorHAnsi" w:hAnsiTheme="minorHAnsi"/>
            <w:szCs w:val="26"/>
            <w:lang w:val="en-CA"/>
          </w:rPr>
          <w:t>127</w:t>
        </w:r>
      </w:hyperlink>
      <w:r>
        <w:rPr>
          <w:rFonts w:hint="cs"/>
          <w:rtl/>
          <w:lang w:bidi="ar-EG"/>
        </w:rPr>
        <w:t>)</w:t>
      </w:r>
    </w:p>
    <w:p w:rsidR="00646625" w:rsidRDefault="00476DD2" w:rsidP="00053277">
      <w:pPr>
        <w:rPr>
          <w:spacing w:val="-2"/>
          <w:rtl/>
          <w:lang w:bidi="ar-EG"/>
        </w:rPr>
      </w:pPr>
      <w:proofErr w:type="gramStart"/>
      <w:r w:rsidRPr="00D768AD">
        <w:rPr>
          <w:lang w:val="en-GB" w:bidi="ar-EG"/>
        </w:rPr>
        <w:t>1.4</w:t>
      </w:r>
      <w:proofErr w:type="gramEnd"/>
      <w:r w:rsidRPr="00D768AD">
        <w:rPr>
          <w:rtl/>
          <w:lang w:bidi="ar-EG"/>
        </w:rPr>
        <w:tab/>
      </w:r>
      <w:r w:rsidR="00D768AD" w:rsidRPr="00D768AD">
        <w:rPr>
          <w:rFonts w:hint="cs"/>
          <w:b/>
          <w:bCs/>
          <w:spacing w:val="-2"/>
          <w:rtl/>
          <w:lang w:bidi="ar-EG"/>
        </w:rPr>
        <w:t>تمت</w:t>
      </w:r>
      <w:r w:rsidR="00D768AD" w:rsidRPr="00D768AD">
        <w:rPr>
          <w:rFonts w:hint="cs"/>
          <w:spacing w:val="-2"/>
          <w:rtl/>
          <w:lang w:bidi="ar-EG"/>
        </w:rPr>
        <w:t xml:space="preserve"> </w:t>
      </w:r>
      <w:r w:rsidR="00D768AD" w:rsidRPr="00D768AD">
        <w:rPr>
          <w:rFonts w:hint="cs"/>
          <w:b/>
          <w:bCs/>
          <w:spacing w:val="-2"/>
          <w:rtl/>
          <w:lang w:bidi="ar-EG"/>
        </w:rPr>
        <w:t>الموافقة</w:t>
      </w:r>
      <w:r w:rsidR="00D768AD" w:rsidRPr="00D768AD">
        <w:rPr>
          <w:rFonts w:hint="cs"/>
          <w:spacing w:val="-2"/>
          <w:rtl/>
          <w:lang w:bidi="ar-EG"/>
        </w:rPr>
        <w:t xml:space="preserve"> على المجموعة </w:t>
      </w:r>
      <w:r w:rsidR="00D768AD">
        <w:rPr>
          <w:rFonts w:hint="cs"/>
          <w:spacing w:val="-2"/>
          <w:rtl/>
          <w:lang w:bidi="ar-EG"/>
        </w:rPr>
        <w:t xml:space="preserve">السادسة من النصوص المقدمة من لجنة الصياغة (الوثيقة </w:t>
      </w:r>
      <w:r w:rsidR="00D768AD">
        <w:rPr>
          <w:spacing w:val="-2"/>
          <w:lang w:bidi="ar-EG"/>
        </w:rPr>
        <w:t>127</w:t>
      </w:r>
      <w:r w:rsidR="00D768AD">
        <w:rPr>
          <w:rFonts w:hint="cs"/>
          <w:spacing w:val="-2"/>
          <w:rtl/>
          <w:lang w:bidi="ar-EG"/>
        </w:rPr>
        <w:t xml:space="preserve">) </w:t>
      </w:r>
      <w:r w:rsidR="00053277" w:rsidRPr="00053277">
        <w:rPr>
          <w:rFonts w:hint="cs"/>
          <w:spacing w:val="-2"/>
          <w:rtl/>
          <w:lang w:bidi="ar-EG"/>
        </w:rPr>
        <w:t>في</w:t>
      </w:r>
      <w:r w:rsidR="006615DD" w:rsidRPr="00053277">
        <w:rPr>
          <w:rFonts w:hint="cs"/>
          <w:spacing w:val="-2"/>
          <w:rtl/>
          <w:lang w:bidi="ar-EG"/>
        </w:rPr>
        <w:t xml:space="preserve"> القراءة الثانية</w:t>
      </w:r>
      <w:r w:rsidR="006615DD">
        <w:rPr>
          <w:rFonts w:hint="cs"/>
          <w:spacing w:val="-2"/>
          <w:rtl/>
          <w:lang w:bidi="ar-EG"/>
        </w:rPr>
        <w:t xml:space="preserve"> </w:t>
      </w:r>
      <w:r w:rsidR="00D768AD">
        <w:rPr>
          <w:rFonts w:hint="cs"/>
          <w:spacing w:val="-2"/>
          <w:rtl/>
          <w:lang w:bidi="ar-EG"/>
        </w:rPr>
        <w:t xml:space="preserve">باستثناء مشروع القرار </w:t>
      </w:r>
      <w:r w:rsidR="00D768AD">
        <w:rPr>
          <w:spacing w:val="-2"/>
          <w:lang w:bidi="ar-EG"/>
        </w:rPr>
        <w:t>175</w:t>
      </w:r>
      <w:r w:rsidR="00D768AD">
        <w:rPr>
          <w:rFonts w:hint="cs"/>
          <w:spacing w:val="-2"/>
          <w:rtl/>
          <w:lang w:bidi="ar-EG"/>
        </w:rPr>
        <w:t xml:space="preserve"> (المراجَع في دبي، </w:t>
      </w:r>
      <w:r w:rsidR="00D768AD">
        <w:rPr>
          <w:spacing w:val="-2"/>
          <w:lang w:bidi="ar-EG"/>
        </w:rPr>
        <w:t>2018</w:t>
      </w:r>
      <w:r w:rsidR="00D768AD">
        <w:rPr>
          <w:rFonts w:hint="cs"/>
          <w:spacing w:val="-2"/>
          <w:rtl/>
          <w:lang w:bidi="ar-EG"/>
        </w:rPr>
        <w:t>).</w:t>
      </w:r>
    </w:p>
    <w:p w:rsidR="00D768AD" w:rsidRDefault="00D768AD" w:rsidP="00F14431">
      <w:pPr>
        <w:pStyle w:val="Heading1"/>
        <w:rPr>
          <w:rtl/>
          <w:lang w:bidi="ar-EG"/>
        </w:rPr>
      </w:pPr>
      <w:r w:rsidRPr="0067710F">
        <w:rPr>
          <w:lang w:bidi="ar-EG"/>
        </w:rPr>
        <w:t>5</w:t>
      </w:r>
      <w:r w:rsidRPr="0067710F">
        <w:rPr>
          <w:rtl/>
          <w:lang w:bidi="ar-EG"/>
        </w:rPr>
        <w:tab/>
      </w:r>
      <w:r w:rsidR="00F14431">
        <w:rPr>
          <w:rFonts w:hint="cs"/>
          <w:rtl/>
          <w:lang w:bidi="ar-EG"/>
        </w:rPr>
        <w:t>المجموعة السابعة من النصوص المقدمة من لجنة الصياغة - القراءة الثانية</w:t>
      </w:r>
      <w:r w:rsidRPr="0067710F">
        <w:rPr>
          <w:rFonts w:hint="cs"/>
          <w:rtl/>
          <w:lang w:bidi="ar-EG"/>
        </w:rPr>
        <w:t xml:space="preserve"> (</w:t>
      </w:r>
      <w:r w:rsidR="00F14431">
        <w:rPr>
          <w:rFonts w:hint="cs"/>
          <w:rtl/>
          <w:lang w:bidi="ar-EG"/>
        </w:rPr>
        <w:t>الوثيقة</w:t>
      </w:r>
      <w:r w:rsidRPr="0067710F">
        <w:rPr>
          <w:rFonts w:hint="cs"/>
          <w:rtl/>
          <w:lang w:bidi="ar-EG"/>
        </w:rPr>
        <w:t xml:space="preserve"> </w:t>
      </w:r>
      <w:hyperlink r:id="rId21" w:history="1">
        <w:r w:rsidR="00F14431" w:rsidRPr="00F14431">
          <w:rPr>
            <w:rStyle w:val="Hyperlink"/>
            <w:rFonts w:asciiTheme="minorHAnsi" w:hAnsiTheme="minorHAnsi"/>
            <w:szCs w:val="26"/>
            <w:lang w:val="en-CA"/>
          </w:rPr>
          <w:t>128</w:t>
        </w:r>
      </w:hyperlink>
      <w:r w:rsidR="0067710F" w:rsidRPr="0067710F">
        <w:rPr>
          <w:rFonts w:hint="cs"/>
          <w:rtl/>
          <w:lang w:bidi="ar-EG"/>
        </w:rPr>
        <w:t>)</w:t>
      </w:r>
    </w:p>
    <w:p w:rsidR="0067710F" w:rsidRPr="00F14431" w:rsidRDefault="00F14431" w:rsidP="00F14431">
      <w:pPr>
        <w:rPr>
          <w:spacing w:val="-4"/>
          <w:rtl/>
          <w:lang w:bidi="ar-EG"/>
        </w:rPr>
      </w:pPr>
      <w:proofErr w:type="gramStart"/>
      <w:r w:rsidRPr="006615DD">
        <w:rPr>
          <w:spacing w:val="-4"/>
          <w:lang w:bidi="ar-EG"/>
        </w:rPr>
        <w:t>1.5</w:t>
      </w:r>
      <w:proofErr w:type="gramEnd"/>
      <w:r w:rsidRPr="006615DD">
        <w:rPr>
          <w:spacing w:val="-4"/>
          <w:rtl/>
          <w:lang w:bidi="ar-EG"/>
        </w:rPr>
        <w:tab/>
      </w:r>
      <w:r w:rsidRPr="006615DD">
        <w:rPr>
          <w:rFonts w:hint="cs"/>
          <w:b/>
          <w:bCs/>
          <w:spacing w:val="-4"/>
          <w:rtl/>
          <w:lang w:bidi="ar-EG"/>
        </w:rPr>
        <w:t>تمت</w:t>
      </w:r>
      <w:r w:rsidRPr="006615DD">
        <w:rPr>
          <w:rFonts w:hint="cs"/>
          <w:spacing w:val="-4"/>
          <w:rtl/>
          <w:lang w:bidi="ar-EG"/>
        </w:rPr>
        <w:t xml:space="preserve"> </w:t>
      </w:r>
      <w:r w:rsidRPr="006615DD">
        <w:rPr>
          <w:rFonts w:hint="cs"/>
          <w:b/>
          <w:bCs/>
          <w:spacing w:val="-4"/>
          <w:rtl/>
          <w:lang w:bidi="ar-EG"/>
        </w:rPr>
        <w:t>الموافقة</w:t>
      </w:r>
      <w:r w:rsidRPr="006615DD">
        <w:rPr>
          <w:rFonts w:hint="cs"/>
          <w:spacing w:val="-4"/>
          <w:rtl/>
          <w:lang w:bidi="ar-EG"/>
        </w:rPr>
        <w:t xml:space="preserve"> على المجموعة السابعة من النصوص المقدمة من لجنة الصياغة (الوثيقة </w:t>
      </w:r>
      <w:r w:rsidRPr="006615DD">
        <w:rPr>
          <w:spacing w:val="-4"/>
          <w:lang w:bidi="ar-EG"/>
        </w:rPr>
        <w:t>128</w:t>
      </w:r>
      <w:r w:rsidRPr="006615DD">
        <w:rPr>
          <w:rFonts w:hint="cs"/>
          <w:spacing w:val="-4"/>
          <w:rtl/>
          <w:lang w:bidi="ar-EG"/>
        </w:rPr>
        <w:t>) بصيغتها المعدّلة في القراءة الأولى.</w:t>
      </w:r>
    </w:p>
    <w:p w:rsidR="00F14431" w:rsidRDefault="00F14431" w:rsidP="00F14431">
      <w:pPr>
        <w:pStyle w:val="Heading1"/>
        <w:rPr>
          <w:rtl/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 w:rsidRPr="0067710F">
        <w:rPr>
          <w:rFonts w:hint="cs"/>
          <w:rtl/>
          <w:lang w:bidi="ar-EG"/>
        </w:rPr>
        <w:t xml:space="preserve">الموافقة على المحاضر (الوثائق </w:t>
      </w:r>
      <w:hyperlink r:id="rId22" w:history="1">
        <w:r w:rsidRPr="0067710F">
          <w:rPr>
            <w:rStyle w:val="Hyperlink"/>
            <w:rFonts w:asciiTheme="minorHAnsi" w:hAnsiTheme="minorHAnsi"/>
            <w:szCs w:val="26"/>
            <w:lang w:val="en-CA"/>
          </w:rPr>
          <w:t>102</w:t>
        </w:r>
      </w:hyperlink>
      <w:r w:rsidRPr="0067710F">
        <w:rPr>
          <w:rFonts w:hint="cs"/>
          <w:rtl/>
          <w:lang w:bidi="ar-EG"/>
        </w:rPr>
        <w:t xml:space="preserve"> و</w:t>
      </w:r>
      <w:hyperlink r:id="rId23" w:history="1">
        <w:r w:rsidRPr="0067710F">
          <w:rPr>
            <w:rStyle w:val="Hyperlink"/>
            <w:rFonts w:asciiTheme="minorHAnsi" w:hAnsiTheme="minorHAnsi"/>
            <w:szCs w:val="26"/>
            <w:lang w:val="en-CA"/>
          </w:rPr>
          <w:t>103</w:t>
        </w:r>
      </w:hyperlink>
      <w:r w:rsidRPr="0067710F">
        <w:rPr>
          <w:rFonts w:hint="cs"/>
          <w:rtl/>
          <w:lang w:bidi="ar-EG"/>
        </w:rPr>
        <w:t xml:space="preserve"> و</w:t>
      </w:r>
      <w:hyperlink r:id="rId24" w:history="1">
        <w:r w:rsidRPr="0067710F">
          <w:rPr>
            <w:rStyle w:val="Hyperlink"/>
            <w:rFonts w:asciiTheme="minorHAnsi" w:hAnsiTheme="minorHAnsi"/>
            <w:szCs w:val="26"/>
            <w:lang w:val="en-CA"/>
          </w:rPr>
          <w:t>114</w:t>
        </w:r>
      </w:hyperlink>
      <w:r w:rsidRPr="0067710F">
        <w:rPr>
          <w:rFonts w:hint="cs"/>
          <w:rtl/>
          <w:lang w:bidi="ar-EG"/>
        </w:rPr>
        <w:t>)</w:t>
      </w:r>
    </w:p>
    <w:p w:rsidR="00AB6E71" w:rsidRDefault="00AB6E71" w:rsidP="00AB6E71">
      <w:pPr>
        <w:rPr>
          <w:rtl/>
          <w:lang w:bidi="ar-EG"/>
        </w:rPr>
      </w:pPr>
      <w:proofErr w:type="gramStart"/>
      <w:r>
        <w:rPr>
          <w:lang w:bidi="ar-EG"/>
        </w:rPr>
        <w:t>1.6</w:t>
      </w:r>
      <w:proofErr w:type="gramEnd"/>
      <w:r>
        <w:rPr>
          <w:rtl/>
          <w:lang w:bidi="ar-EG"/>
        </w:rPr>
        <w:tab/>
      </w:r>
      <w:r w:rsidRPr="00F14431">
        <w:rPr>
          <w:rFonts w:hint="cs"/>
          <w:b/>
          <w:bCs/>
          <w:spacing w:val="-4"/>
          <w:rtl/>
          <w:lang w:bidi="ar-EG"/>
        </w:rPr>
        <w:t>تمت</w:t>
      </w:r>
      <w:r w:rsidRPr="00F14431">
        <w:rPr>
          <w:rFonts w:hint="cs"/>
          <w:spacing w:val="-4"/>
          <w:rtl/>
          <w:lang w:bidi="ar-EG"/>
        </w:rPr>
        <w:t xml:space="preserve"> </w:t>
      </w:r>
      <w:r w:rsidRPr="00F14431">
        <w:rPr>
          <w:rFonts w:hint="cs"/>
          <w:b/>
          <w:bCs/>
          <w:spacing w:val="-4"/>
          <w:rtl/>
          <w:lang w:bidi="ar-EG"/>
        </w:rPr>
        <w:t>الموافقة</w:t>
      </w:r>
      <w:r w:rsidRPr="00F14431">
        <w:rPr>
          <w:rFonts w:hint="cs"/>
          <w:spacing w:val="-4"/>
          <w:rtl/>
          <w:lang w:bidi="ar-EG"/>
        </w:rPr>
        <w:t xml:space="preserve"> على</w:t>
      </w:r>
      <w:r>
        <w:rPr>
          <w:rFonts w:hint="cs"/>
          <w:rtl/>
          <w:lang w:bidi="ar-EG"/>
        </w:rPr>
        <w:t xml:space="preserve"> محاضر الجلسة</w:t>
      </w:r>
      <w:r w:rsidR="0067507E">
        <w:rPr>
          <w:rFonts w:hint="cs"/>
          <w:rtl/>
          <w:lang w:bidi="ar-EG"/>
        </w:rPr>
        <w:t xml:space="preserve"> العامة</w:t>
      </w:r>
      <w:r>
        <w:rPr>
          <w:rFonts w:hint="cs"/>
          <w:rtl/>
          <w:lang w:bidi="ar-EG"/>
        </w:rPr>
        <w:t xml:space="preserve"> الثامنة (الوثيقة </w:t>
      </w:r>
      <w:r>
        <w:rPr>
          <w:lang w:val="en-GB" w:bidi="ar-EG"/>
        </w:rPr>
        <w:t>102</w:t>
      </w:r>
      <w:r>
        <w:rPr>
          <w:rFonts w:hint="cs"/>
          <w:rtl/>
          <w:lang w:bidi="ar-EG"/>
        </w:rPr>
        <w:t>) والجلسة</w:t>
      </w:r>
      <w:r w:rsidR="0067507E">
        <w:rPr>
          <w:rFonts w:hint="cs"/>
          <w:rtl/>
          <w:lang w:bidi="ar-EG"/>
        </w:rPr>
        <w:t xml:space="preserve"> العامة</w:t>
      </w:r>
      <w:r>
        <w:rPr>
          <w:rFonts w:hint="cs"/>
          <w:rtl/>
          <w:lang w:bidi="ar-EG"/>
        </w:rPr>
        <w:t xml:space="preserve"> التاسعة (الوثيقة </w:t>
      </w:r>
      <w:r>
        <w:rPr>
          <w:lang w:bidi="ar-EG"/>
        </w:rPr>
        <w:t>103</w:t>
      </w:r>
      <w:r>
        <w:rPr>
          <w:rFonts w:hint="cs"/>
          <w:rtl/>
          <w:lang w:bidi="ar-EG"/>
        </w:rPr>
        <w:t>) والجلسة</w:t>
      </w:r>
      <w:r w:rsidR="0067507E">
        <w:rPr>
          <w:rFonts w:hint="cs"/>
          <w:rtl/>
          <w:lang w:bidi="ar-EG"/>
        </w:rPr>
        <w:t xml:space="preserve"> العامة</w:t>
      </w:r>
      <w:r>
        <w:rPr>
          <w:rFonts w:hint="cs"/>
          <w:rtl/>
          <w:lang w:bidi="ar-EG"/>
        </w:rPr>
        <w:t xml:space="preserve"> العاشرة (الوثيقة </w:t>
      </w:r>
      <w:r>
        <w:rPr>
          <w:lang w:val="en-GB" w:bidi="ar-EG"/>
        </w:rPr>
        <w:t>114</w:t>
      </w:r>
      <w:r>
        <w:rPr>
          <w:rFonts w:hint="cs"/>
          <w:rtl/>
          <w:lang w:bidi="ar-EG"/>
        </w:rPr>
        <w:t>).</w:t>
      </w:r>
    </w:p>
    <w:p w:rsidR="00AB6E71" w:rsidRPr="00AB6E71" w:rsidRDefault="00AB6E71" w:rsidP="00AB6E71">
      <w:pPr>
        <w:rPr>
          <w:b/>
          <w:bCs/>
          <w:rtl/>
          <w:lang w:bidi="ar-EG"/>
        </w:rPr>
      </w:pPr>
      <w:r w:rsidRPr="00AB6E71">
        <w:rPr>
          <w:rFonts w:hint="cs"/>
          <w:b/>
          <w:bCs/>
          <w:rtl/>
          <w:lang w:bidi="ar-EG"/>
        </w:rPr>
        <w:t xml:space="preserve">رُفعت الجلسة في الساعة </w:t>
      </w:r>
      <w:r w:rsidRPr="00AB6E71">
        <w:rPr>
          <w:b/>
          <w:bCs/>
          <w:lang w:bidi="ar-EG"/>
        </w:rPr>
        <w:t>1000</w:t>
      </w:r>
      <w:r w:rsidRPr="00AB6E71">
        <w:rPr>
          <w:rFonts w:hint="cs"/>
          <w:b/>
          <w:bCs/>
          <w:rtl/>
          <w:lang w:bidi="ar-EG"/>
        </w:rPr>
        <w:t>.</w:t>
      </w:r>
    </w:p>
    <w:p w:rsidR="001100B7" w:rsidRPr="00706D7A" w:rsidRDefault="00BE56C6" w:rsidP="0080761E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left" w:pos="7654"/>
        </w:tabs>
        <w:spacing w:before="1080"/>
        <w:rPr>
          <w:rtl/>
        </w:rPr>
      </w:pPr>
      <w:r w:rsidRPr="00255106">
        <w:rPr>
          <w:rFonts w:hint="cs"/>
          <w:rtl/>
          <w:lang w:bidi="ar-SY"/>
        </w:rPr>
        <w:t xml:space="preserve">الأمين </w:t>
      </w:r>
      <w:proofErr w:type="gramStart"/>
      <w:r w:rsidRPr="00255106">
        <w:rPr>
          <w:rFonts w:hint="cs"/>
          <w:rtl/>
          <w:lang w:bidi="ar-SY"/>
        </w:rPr>
        <w:t>العام</w:t>
      </w:r>
      <w:r>
        <w:rPr>
          <w:rFonts w:hint="cs"/>
          <w:rtl/>
          <w:lang w:bidi="ar-SY"/>
        </w:rPr>
        <w:t>:</w:t>
      </w:r>
      <w:r w:rsidRPr="00255106">
        <w:rPr>
          <w:rFonts w:hint="cs"/>
          <w:rtl/>
          <w:lang w:bidi="ar-SY"/>
        </w:rPr>
        <w:tab/>
      </w:r>
      <w:proofErr w:type="gramEnd"/>
      <w:r w:rsidRPr="00255106">
        <w:rPr>
          <w:rFonts w:hint="cs"/>
          <w:rtl/>
          <w:lang w:bidi="ar-SY"/>
        </w:rPr>
        <w:t>الرئيس</w:t>
      </w:r>
      <w:r>
        <w:rPr>
          <w:rFonts w:hint="cs"/>
          <w:rtl/>
          <w:lang w:bidi="ar-SY"/>
        </w:rPr>
        <w:t>:</w:t>
      </w:r>
      <w:r>
        <w:rPr>
          <w:rtl/>
          <w:lang w:bidi="ar-SY"/>
        </w:rPr>
        <w:br/>
      </w:r>
      <w:r w:rsidR="00672ACD">
        <w:rPr>
          <w:rFonts w:hint="cs"/>
          <w:rtl/>
        </w:rPr>
        <w:t>هولين</w:t>
      </w:r>
      <w:r w:rsidRPr="00AA5402">
        <w:rPr>
          <w:rtl/>
        </w:rPr>
        <w:t xml:space="preserve"> جاو</w:t>
      </w:r>
      <w:r w:rsidRPr="00255106">
        <w:rPr>
          <w:rFonts w:hint="cs"/>
          <w:rtl/>
          <w:lang w:bidi="ar-SY"/>
        </w:rPr>
        <w:tab/>
      </w:r>
      <w:r w:rsidR="00672ACD">
        <w:rPr>
          <w:rFonts w:hint="cs"/>
          <w:rtl/>
          <w:lang w:bidi="ar-SY"/>
        </w:rPr>
        <w:t>ماجد</w:t>
      </w:r>
      <w:r>
        <w:rPr>
          <w:rFonts w:hint="cs"/>
          <w:rtl/>
          <w:lang w:bidi="ar-SY"/>
        </w:rPr>
        <w:t xml:space="preserve"> المسمار</w:t>
      </w:r>
    </w:p>
    <w:sectPr w:rsidR="001100B7" w:rsidRPr="00706D7A" w:rsidSect="001100B7">
      <w:headerReference w:type="default" r:id="rId25"/>
      <w:footerReference w:type="default" r:id="rId26"/>
      <w:footerReference w:type="first" r:id="rId2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D9B" w:rsidRDefault="00BB1D9B" w:rsidP="001100B7">
      <w:pPr>
        <w:spacing w:before="0" w:line="240" w:lineRule="auto"/>
      </w:pPr>
      <w:r>
        <w:separator/>
      </w:r>
    </w:p>
  </w:endnote>
  <w:endnote w:type="continuationSeparator" w:id="0">
    <w:p w:rsidR="00BB1D9B" w:rsidRDefault="00BB1D9B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287BD3" w:rsidRDefault="001100B7" w:rsidP="00287BD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287BD3">
      <w:rPr>
        <w:rFonts w:ascii="Calibri" w:hAnsi="Calibri" w:cs="Calibri"/>
        <w:sz w:val="16"/>
        <w:szCs w:val="16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2923BA">
      <w:rPr>
        <w:rFonts w:ascii="Calibri" w:hAnsi="Calibri" w:cs="Calibri"/>
        <w:noProof/>
        <w:sz w:val="16"/>
        <w:szCs w:val="16"/>
      </w:rPr>
      <w:t>P:\ARA\SG\CONF-SG\PP18\100\170A.docx</w:t>
    </w:r>
    <w:r w:rsidRPr="001100B7">
      <w:rPr>
        <w:rFonts w:ascii="Calibri" w:hAnsi="Calibri" w:cs="Calibri"/>
        <w:sz w:val="16"/>
        <w:szCs w:val="16"/>
      </w:rPr>
      <w:fldChar w:fldCharType="end"/>
    </w:r>
    <w:r w:rsidR="004813D9" w:rsidRPr="00287BD3">
      <w:rPr>
        <w:rFonts w:ascii="Calibri" w:hAnsi="Calibri" w:cs="Calibri"/>
        <w:sz w:val="16"/>
        <w:szCs w:val="16"/>
      </w:rPr>
      <w:t>   </w:t>
    </w:r>
    <w:r w:rsidRPr="00287BD3">
      <w:rPr>
        <w:rFonts w:ascii="Calibri" w:hAnsi="Calibri" w:cs="Calibri"/>
        <w:sz w:val="16"/>
        <w:szCs w:val="16"/>
      </w:rPr>
      <w:t>(</w:t>
    </w:r>
    <w:r w:rsidR="00287BD3" w:rsidRPr="00287BD3">
      <w:rPr>
        <w:rFonts w:ascii="Calibri" w:hAnsi="Calibri" w:cs="Calibri"/>
        <w:sz w:val="16"/>
        <w:szCs w:val="16"/>
      </w:rPr>
      <w:t>447944</w:t>
    </w:r>
    <w:r w:rsidRPr="00287BD3">
      <w:rPr>
        <w:rFonts w:ascii="Calibri" w:hAnsi="Calibri" w:cs="Calibri"/>
        <w:sz w:val="16"/>
        <w:szCs w:val="16"/>
      </w:rPr>
      <w:t>)</w:t>
    </w:r>
    <w:r w:rsidRPr="00287BD3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2923BA">
      <w:rPr>
        <w:rFonts w:ascii="Calibri" w:hAnsi="Calibri" w:cs="Calibri"/>
        <w:noProof/>
        <w:sz w:val="16"/>
        <w:szCs w:val="16"/>
      </w:rPr>
      <w:t>18.12.18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287BD3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2923BA">
      <w:rPr>
        <w:rFonts w:ascii="Calibri" w:hAnsi="Calibri" w:cs="Calibri"/>
        <w:noProof/>
        <w:sz w:val="16"/>
        <w:szCs w:val="16"/>
      </w:rPr>
      <w:t>18.12.18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Style w:val="Hyperlink"/>
        <w:rFonts w:ascii="Calibri" w:hAnsi="Calibri" w:cs="Calibri"/>
        <w:sz w:val="22"/>
        <w:szCs w:val="22"/>
        <w:lang w:val="fr-CH"/>
      </w:rPr>
      <w:t>www.itu.int/plenipotentiary/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D9B" w:rsidRDefault="00BB1D9B" w:rsidP="001100B7">
      <w:pPr>
        <w:spacing w:before="0" w:line="240" w:lineRule="auto"/>
      </w:pPr>
      <w:r>
        <w:separator/>
      </w:r>
    </w:p>
  </w:footnote>
  <w:footnote w:type="continuationSeparator" w:id="0">
    <w:p w:rsidR="00BB1D9B" w:rsidRDefault="00BB1D9B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287BD3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F034FF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287BD3">
      <w:rPr>
        <w:rFonts w:cs="Calibri"/>
        <w:sz w:val="20"/>
        <w:szCs w:val="20"/>
        <w:lang w:val="en-GB"/>
      </w:rPr>
      <w:t>170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9B"/>
    <w:rsid w:val="00002571"/>
    <w:rsid w:val="00053277"/>
    <w:rsid w:val="00090574"/>
    <w:rsid w:val="000A0A0E"/>
    <w:rsid w:val="00107E8F"/>
    <w:rsid w:val="001100B7"/>
    <w:rsid w:val="00120924"/>
    <w:rsid w:val="00152FD2"/>
    <w:rsid w:val="00204439"/>
    <w:rsid w:val="00222CA1"/>
    <w:rsid w:val="0023283D"/>
    <w:rsid w:val="00287BD3"/>
    <w:rsid w:val="002923BA"/>
    <w:rsid w:val="002978F4"/>
    <w:rsid w:val="002A6AA9"/>
    <w:rsid w:val="002B028D"/>
    <w:rsid w:val="002E1CD9"/>
    <w:rsid w:val="002E6541"/>
    <w:rsid w:val="003132DF"/>
    <w:rsid w:val="00357185"/>
    <w:rsid w:val="00366D7D"/>
    <w:rsid w:val="003761AC"/>
    <w:rsid w:val="00377EAE"/>
    <w:rsid w:val="003971A0"/>
    <w:rsid w:val="003F678F"/>
    <w:rsid w:val="00401C69"/>
    <w:rsid w:val="00414B55"/>
    <w:rsid w:val="0042686F"/>
    <w:rsid w:val="00443869"/>
    <w:rsid w:val="00472EDC"/>
    <w:rsid w:val="00476DD2"/>
    <w:rsid w:val="004813D9"/>
    <w:rsid w:val="004F6A10"/>
    <w:rsid w:val="00501E0E"/>
    <w:rsid w:val="0050790A"/>
    <w:rsid w:val="00553256"/>
    <w:rsid w:val="0055516A"/>
    <w:rsid w:val="00561A38"/>
    <w:rsid w:val="00574E9C"/>
    <w:rsid w:val="005855A4"/>
    <w:rsid w:val="005856CC"/>
    <w:rsid w:val="00594638"/>
    <w:rsid w:val="00646625"/>
    <w:rsid w:val="006615DD"/>
    <w:rsid w:val="00672A62"/>
    <w:rsid w:val="00672ACD"/>
    <w:rsid w:val="0067507E"/>
    <w:rsid w:val="0067710F"/>
    <w:rsid w:val="006F63F7"/>
    <w:rsid w:val="00704E06"/>
    <w:rsid w:val="00706D7A"/>
    <w:rsid w:val="007164F3"/>
    <w:rsid w:val="007304F9"/>
    <w:rsid w:val="00734D00"/>
    <w:rsid w:val="007C66B6"/>
    <w:rsid w:val="007F3B28"/>
    <w:rsid w:val="0080260C"/>
    <w:rsid w:val="00803F08"/>
    <w:rsid w:val="0080761E"/>
    <w:rsid w:val="00807EB3"/>
    <w:rsid w:val="008235CD"/>
    <w:rsid w:val="008513CB"/>
    <w:rsid w:val="00856788"/>
    <w:rsid w:val="008E6640"/>
    <w:rsid w:val="00922E43"/>
    <w:rsid w:val="00924EA7"/>
    <w:rsid w:val="00972758"/>
    <w:rsid w:val="00982B28"/>
    <w:rsid w:val="009945AD"/>
    <w:rsid w:val="009A5E40"/>
    <w:rsid w:val="00A97F94"/>
    <w:rsid w:val="00AA7869"/>
    <w:rsid w:val="00AB6E71"/>
    <w:rsid w:val="00B71B69"/>
    <w:rsid w:val="00B86CA4"/>
    <w:rsid w:val="00B90FB8"/>
    <w:rsid w:val="00BA263A"/>
    <w:rsid w:val="00BB1D9B"/>
    <w:rsid w:val="00BC4430"/>
    <w:rsid w:val="00BE56C6"/>
    <w:rsid w:val="00BE5A22"/>
    <w:rsid w:val="00C04D47"/>
    <w:rsid w:val="00C30F2F"/>
    <w:rsid w:val="00C674FE"/>
    <w:rsid w:val="00C75633"/>
    <w:rsid w:val="00CD06E6"/>
    <w:rsid w:val="00CD08FE"/>
    <w:rsid w:val="00CD5BD5"/>
    <w:rsid w:val="00CE2EE1"/>
    <w:rsid w:val="00CF3FFD"/>
    <w:rsid w:val="00D51834"/>
    <w:rsid w:val="00D768AD"/>
    <w:rsid w:val="00D77D0F"/>
    <w:rsid w:val="00D80EEB"/>
    <w:rsid w:val="00D86C13"/>
    <w:rsid w:val="00D9299C"/>
    <w:rsid w:val="00DA1CF0"/>
    <w:rsid w:val="00DA5A5E"/>
    <w:rsid w:val="00DC24B4"/>
    <w:rsid w:val="00DC6617"/>
    <w:rsid w:val="00DE4E35"/>
    <w:rsid w:val="00DF16DC"/>
    <w:rsid w:val="00DF5679"/>
    <w:rsid w:val="00E021E9"/>
    <w:rsid w:val="00E45211"/>
    <w:rsid w:val="00E532DC"/>
    <w:rsid w:val="00E750E2"/>
    <w:rsid w:val="00E8025D"/>
    <w:rsid w:val="00F034FF"/>
    <w:rsid w:val="00F105FD"/>
    <w:rsid w:val="00F14431"/>
    <w:rsid w:val="00F405C8"/>
    <w:rsid w:val="00F75340"/>
    <w:rsid w:val="00F84366"/>
    <w:rsid w:val="00F85089"/>
    <w:rsid w:val="00F87332"/>
    <w:rsid w:val="00FB7C9C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A88B0548-C2F3-438D-BF00-AB680B3D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character" w:customStyle="1" w:styleId="NormalaftertitleChar">
    <w:name w:val="Normal after title Char"/>
    <w:basedOn w:val="DefaultParagraphFont"/>
    <w:link w:val="Normalaftertitle"/>
    <w:rsid w:val="00D86C13"/>
    <w:rPr>
      <w:rFonts w:ascii="Calibri" w:hAnsi="Calibri" w:cs="Traditional Arabic"/>
      <w:szCs w:val="30"/>
      <w:lang w:bidi="ar-SY"/>
    </w:rPr>
  </w:style>
  <w:style w:type="paragraph" w:customStyle="1" w:styleId="toc0">
    <w:name w:val="toc 0"/>
    <w:basedOn w:val="Normal"/>
    <w:next w:val="TOC1"/>
    <w:rsid w:val="00D86C1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781"/>
      </w:tabs>
      <w:overflowPunct w:val="0"/>
      <w:autoSpaceDE w:val="0"/>
      <w:autoSpaceDN w:val="0"/>
      <w:adjustRightInd w:val="0"/>
      <w:textAlignment w:val="baseline"/>
    </w:pPr>
    <w:rPr>
      <w:rFonts w:ascii="Times New Roman Bold" w:eastAsia="SimSun" w:hAnsi="Times New Roman Bold"/>
      <w:b/>
      <w:bCs/>
      <w:lang w:val="en-GB" w:eastAsia="en-US" w:bidi="ar-EG"/>
    </w:rPr>
  </w:style>
  <w:style w:type="character" w:customStyle="1" w:styleId="href">
    <w:name w:val="href"/>
    <w:basedOn w:val="DefaultParagraphFont"/>
    <w:qFormat/>
    <w:rsid w:val="00D8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18-PP-C-0128/en" TargetMode="External"/><Relationship Id="rId18" Type="http://schemas.openxmlformats.org/officeDocument/2006/relationships/hyperlink" Target="https://www.itu.int/md/S18-PP-C-0127/e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S18-PP-C-0128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PP-C-0127/en" TargetMode="External"/><Relationship Id="rId17" Type="http://schemas.openxmlformats.org/officeDocument/2006/relationships/hyperlink" Target="https://www.itu.int/md/S18-PP-C-0129/e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PP-C-0114/en" TargetMode="External"/><Relationship Id="rId20" Type="http://schemas.openxmlformats.org/officeDocument/2006/relationships/hyperlink" Target="https://www.itu.int/md/S18-PP-C-0127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PP-C-0128/en" TargetMode="External"/><Relationship Id="rId24" Type="http://schemas.openxmlformats.org/officeDocument/2006/relationships/hyperlink" Target="https://www.itu.int/md/S18-PP-C-011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PP-C-0103/en" TargetMode="External"/><Relationship Id="rId23" Type="http://schemas.openxmlformats.org/officeDocument/2006/relationships/hyperlink" Target="https://www.itu.int/md/S18-PP-C-0103/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18-PP-C-0127/en" TargetMode="External"/><Relationship Id="rId19" Type="http://schemas.openxmlformats.org/officeDocument/2006/relationships/hyperlink" Target="https://www.itu.int/md/S18-PP-C-012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PP-C-0129/en" TargetMode="External"/><Relationship Id="rId14" Type="http://schemas.openxmlformats.org/officeDocument/2006/relationships/hyperlink" Target="https://www.itu.int/md/S18-PP-C-0102/en" TargetMode="External"/><Relationship Id="rId22" Type="http://schemas.openxmlformats.org/officeDocument/2006/relationships/hyperlink" Target="https://www.itu.int/md/S18-PP-C-0102/en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C09A8-6DA8-4252-9222-08B55D08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Awad, Samy</dc:creator>
  <cp:keywords/>
  <dc:description/>
  <cp:lastModifiedBy>Awad, Samy</cp:lastModifiedBy>
  <cp:revision>23</cp:revision>
  <cp:lastPrinted>2018-12-18T14:34:00Z</cp:lastPrinted>
  <dcterms:created xsi:type="dcterms:W3CDTF">2018-12-18T14:10:00Z</dcterms:created>
  <dcterms:modified xsi:type="dcterms:W3CDTF">2018-12-18T15:46:00Z</dcterms:modified>
</cp:coreProperties>
</file>