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7626F" w:rsidTr="006A046E">
        <w:trPr>
          <w:cantSplit/>
        </w:trPr>
        <w:tc>
          <w:tcPr>
            <w:tcW w:w="6911" w:type="dxa"/>
          </w:tcPr>
          <w:p w:rsidR="00BD1614" w:rsidRPr="00B7626F" w:rsidRDefault="00BD1614" w:rsidP="00DD5B6B">
            <w:pPr>
              <w:rPr>
                <w:b/>
                <w:bCs/>
                <w:position w:val="6"/>
                <w:szCs w:val="24"/>
                <w:lang w:val="fr-CH"/>
              </w:rPr>
            </w:pPr>
            <w:bookmarkStart w:id="0" w:name="dbreak"/>
            <w:bookmarkStart w:id="1" w:name="dpp"/>
            <w:bookmarkEnd w:id="0"/>
            <w:bookmarkEnd w:id="1"/>
            <w:r w:rsidRPr="00B7626F">
              <w:rPr>
                <w:rFonts w:cs="Times"/>
                <w:b/>
                <w:sz w:val="30"/>
                <w:szCs w:val="30"/>
                <w:lang w:val="fr-CH"/>
              </w:rPr>
              <w:t>Conférence de plénipotentiaires</w:t>
            </w:r>
            <w:r w:rsidRPr="00B7626F">
              <w:rPr>
                <w:b/>
                <w:smallCaps/>
                <w:sz w:val="30"/>
                <w:szCs w:val="30"/>
                <w:lang w:val="fr-CH"/>
              </w:rPr>
              <w:t xml:space="preserve"> (PP-1</w:t>
            </w:r>
            <w:r w:rsidR="001E2226" w:rsidRPr="00B7626F">
              <w:rPr>
                <w:b/>
                <w:smallCaps/>
                <w:sz w:val="30"/>
                <w:szCs w:val="30"/>
                <w:lang w:val="fr-CH"/>
              </w:rPr>
              <w:t>8</w:t>
            </w:r>
            <w:r w:rsidRPr="00B7626F">
              <w:rPr>
                <w:b/>
                <w:smallCaps/>
                <w:sz w:val="30"/>
                <w:szCs w:val="30"/>
                <w:lang w:val="fr-CH"/>
              </w:rPr>
              <w:t>)</w:t>
            </w:r>
            <w:r w:rsidRPr="00B7626F">
              <w:rPr>
                <w:b/>
                <w:smallCaps/>
                <w:sz w:val="36"/>
                <w:lang w:val="fr-CH"/>
              </w:rPr>
              <w:br/>
            </w:r>
            <w:r w:rsidR="001E2226" w:rsidRPr="00B7626F">
              <w:rPr>
                <w:rFonts w:cs="Times New Roman Bold"/>
                <w:b/>
                <w:bCs/>
                <w:szCs w:val="24"/>
                <w:lang w:val="fr-CH"/>
              </w:rPr>
              <w:t>Dubaï</w:t>
            </w:r>
            <w:r w:rsidRPr="00B7626F">
              <w:rPr>
                <w:rFonts w:cs="Times New Roman Bold"/>
                <w:b/>
                <w:bCs/>
                <w:szCs w:val="24"/>
                <w:lang w:val="fr-CH"/>
              </w:rPr>
              <w:t>, 2</w:t>
            </w:r>
            <w:r w:rsidR="001E2226" w:rsidRPr="00B7626F">
              <w:rPr>
                <w:rFonts w:cs="Times New Roman Bold"/>
                <w:b/>
                <w:bCs/>
                <w:szCs w:val="24"/>
                <w:lang w:val="fr-CH"/>
              </w:rPr>
              <w:t>9</w:t>
            </w:r>
            <w:r w:rsidRPr="00B7626F">
              <w:rPr>
                <w:rFonts w:cs="Times New Roman Bold"/>
                <w:b/>
                <w:bCs/>
                <w:szCs w:val="24"/>
                <w:lang w:val="fr-CH"/>
              </w:rPr>
              <w:t xml:space="preserve"> octobre </w:t>
            </w:r>
            <w:r w:rsidR="001E2226" w:rsidRPr="00B7626F">
              <w:rPr>
                <w:rFonts w:cs="Times New Roman Bold"/>
                <w:b/>
                <w:bCs/>
                <w:szCs w:val="24"/>
                <w:lang w:val="fr-CH"/>
              </w:rPr>
              <w:t>–</w:t>
            </w:r>
            <w:r w:rsidRPr="00B7626F">
              <w:rPr>
                <w:rFonts w:cs="Times New Roman Bold"/>
                <w:b/>
                <w:bCs/>
                <w:szCs w:val="24"/>
                <w:lang w:val="fr-CH"/>
              </w:rPr>
              <w:t xml:space="preserve"> </w:t>
            </w:r>
            <w:r w:rsidR="001E2226" w:rsidRPr="00B7626F">
              <w:rPr>
                <w:rFonts w:cs="Times New Roman Bold"/>
                <w:b/>
                <w:bCs/>
                <w:szCs w:val="24"/>
                <w:lang w:val="fr-CH"/>
              </w:rPr>
              <w:t>16</w:t>
            </w:r>
            <w:r w:rsidRPr="00B7626F">
              <w:rPr>
                <w:rFonts w:cs="Times New Roman Bold"/>
                <w:b/>
                <w:bCs/>
                <w:szCs w:val="24"/>
                <w:lang w:val="fr-CH"/>
              </w:rPr>
              <w:t xml:space="preserve"> novembre 201</w:t>
            </w:r>
            <w:r w:rsidR="001E2226" w:rsidRPr="00B7626F">
              <w:rPr>
                <w:rFonts w:cs="Times New Roman Bold"/>
                <w:b/>
                <w:bCs/>
                <w:szCs w:val="24"/>
                <w:lang w:val="fr-CH"/>
              </w:rPr>
              <w:t>8</w:t>
            </w:r>
          </w:p>
        </w:tc>
        <w:tc>
          <w:tcPr>
            <w:tcW w:w="3120" w:type="dxa"/>
          </w:tcPr>
          <w:p w:rsidR="00BD1614" w:rsidRPr="00B7626F" w:rsidRDefault="00BD1614" w:rsidP="00DD5B6B">
            <w:pPr>
              <w:spacing w:before="0"/>
              <w:rPr>
                <w:rFonts w:cstheme="minorHAnsi"/>
                <w:lang w:val="fr-CH"/>
              </w:rPr>
            </w:pPr>
            <w:bookmarkStart w:id="2" w:name="ditulogo"/>
            <w:bookmarkEnd w:id="2"/>
            <w:r w:rsidRPr="00B7626F">
              <w:rPr>
                <w:rFonts w:cstheme="minorHAnsi"/>
                <w:b/>
                <w:bCs/>
                <w:noProof/>
                <w:lang w:val="fr-CH"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7626F" w:rsidTr="006A046E">
        <w:trPr>
          <w:cantSplit/>
        </w:trPr>
        <w:tc>
          <w:tcPr>
            <w:tcW w:w="6911" w:type="dxa"/>
            <w:tcBorders>
              <w:bottom w:val="single" w:sz="12" w:space="0" w:color="auto"/>
            </w:tcBorders>
          </w:tcPr>
          <w:p w:rsidR="00BD1614" w:rsidRPr="00B7626F" w:rsidRDefault="00BD1614" w:rsidP="00DD5B6B">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B7626F" w:rsidRDefault="00BD1614" w:rsidP="00DD5B6B">
            <w:pPr>
              <w:spacing w:before="0" w:after="48"/>
              <w:rPr>
                <w:rFonts w:cstheme="minorHAnsi"/>
                <w:b/>
                <w:smallCaps/>
                <w:szCs w:val="24"/>
                <w:lang w:val="fr-CH"/>
              </w:rPr>
            </w:pPr>
          </w:p>
        </w:tc>
      </w:tr>
      <w:tr w:rsidR="00BD1614" w:rsidRPr="00B7626F" w:rsidTr="006A046E">
        <w:trPr>
          <w:cantSplit/>
        </w:trPr>
        <w:tc>
          <w:tcPr>
            <w:tcW w:w="6911" w:type="dxa"/>
            <w:tcBorders>
              <w:top w:val="single" w:sz="12" w:space="0" w:color="auto"/>
            </w:tcBorders>
          </w:tcPr>
          <w:p w:rsidR="00BD1614" w:rsidRPr="00B7626F" w:rsidRDefault="00BD1614" w:rsidP="00DD5B6B">
            <w:pPr>
              <w:spacing w:before="0"/>
              <w:rPr>
                <w:rFonts w:cstheme="minorHAnsi"/>
                <w:b/>
                <w:smallCaps/>
                <w:szCs w:val="24"/>
                <w:lang w:val="fr-CH"/>
              </w:rPr>
            </w:pPr>
          </w:p>
        </w:tc>
        <w:tc>
          <w:tcPr>
            <w:tcW w:w="3120" w:type="dxa"/>
            <w:tcBorders>
              <w:top w:val="single" w:sz="12" w:space="0" w:color="auto"/>
            </w:tcBorders>
          </w:tcPr>
          <w:p w:rsidR="00BD1614" w:rsidRPr="00B7626F" w:rsidRDefault="00BD1614" w:rsidP="00DD5B6B">
            <w:pPr>
              <w:spacing w:before="0"/>
              <w:rPr>
                <w:rFonts w:cstheme="minorHAnsi"/>
                <w:szCs w:val="24"/>
                <w:lang w:val="fr-CH"/>
              </w:rPr>
            </w:pPr>
          </w:p>
        </w:tc>
      </w:tr>
      <w:tr w:rsidR="00BD1614" w:rsidRPr="00B7626F" w:rsidTr="006A046E">
        <w:trPr>
          <w:cantSplit/>
        </w:trPr>
        <w:tc>
          <w:tcPr>
            <w:tcW w:w="6911" w:type="dxa"/>
          </w:tcPr>
          <w:p w:rsidR="00BD1614" w:rsidRPr="00B7626F" w:rsidRDefault="00417658" w:rsidP="00DD5B6B">
            <w:pPr>
              <w:pStyle w:val="Committee"/>
              <w:framePr w:hSpace="0" w:wrap="auto" w:hAnchor="text" w:yAlign="inline"/>
              <w:spacing w:after="0" w:line="240" w:lineRule="auto"/>
              <w:rPr>
                <w:lang w:val="fr-CH"/>
              </w:rPr>
            </w:pPr>
            <w:r w:rsidRPr="00B7626F">
              <w:rPr>
                <w:lang w:val="fr-CH"/>
              </w:rPr>
              <w:t>SÉANCE PLÉNIÈRE</w:t>
            </w:r>
          </w:p>
        </w:tc>
        <w:tc>
          <w:tcPr>
            <w:tcW w:w="3120" w:type="dxa"/>
          </w:tcPr>
          <w:p w:rsidR="00BD1614" w:rsidRPr="00B7626F" w:rsidRDefault="00417658" w:rsidP="00DD5B6B">
            <w:pPr>
              <w:spacing w:before="0"/>
              <w:rPr>
                <w:rFonts w:cstheme="minorHAnsi"/>
                <w:szCs w:val="24"/>
                <w:lang w:val="fr-CH"/>
              </w:rPr>
            </w:pPr>
            <w:r w:rsidRPr="00B7626F">
              <w:rPr>
                <w:rFonts w:cstheme="minorHAnsi"/>
                <w:b/>
                <w:szCs w:val="24"/>
                <w:lang w:val="fr-CH"/>
              </w:rPr>
              <w:t xml:space="preserve">Document </w:t>
            </w:r>
            <w:r w:rsidR="00615114" w:rsidRPr="00B7626F">
              <w:rPr>
                <w:rFonts w:cstheme="minorHAnsi"/>
                <w:b/>
                <w:szCs w:val="24"/>
                <w:lang w:val="fr-CH"/>
              </w:rPr>
              <w:t>1</w:t>
            </w:r>
            <w:r w:rsidR="00BB0FC9" w:rsidRPr="00B7626F">
              <w:rPr>
                <w:rFonts w:cstheme="minorHAnsi"/>
                <w:b/>
                <w:szCs w:val="24"/>
                <w:lang w:val="fr-CH"/>
              </w:rPr>
              <w:t>69</w:t>
            </w:r>
            <w:r w:rsidRPr="00B7626F">
              <w:rPr>
                <w:rFonts w:cstheme="minorHAnsi"/>
                <w:b/>
                <w:szCs w:val="24"/>
                <w:lang w:val="fr-CH"/>
              </w:rPr>
              <w:t>-F</w:t>
            </w:r>
          </w:p>
        </w:tc>
      </w:tr>
      <w:tr w:rsidR="00BD1614" w:rsidRPr="00B7626F" w:rsidTr="006A046E">
        <w:trPr>
          <w:cantSplit/>
        </w:trPr>
        <w:tc>
          <w:tcPr>
            <w:tcW w:w="6911" w:type="dxa"/>
          </w:tcPr>
          <w:p w:rsidR="00BD1614" w:rsidRPr="00B7626F" w:rsidRDefault="00BD1614" w:rsidP="00DD5B6B">
            <w:pPr>
              <w:spacing w:before="0"/>
              <w:rPr>
                <w:rFonts w:cstheme="minorHAnsi"/>
                <w:b/>
                <w:szCs w:val="24"/>
                <w:lang w:val="fr-CH"/>
              </w:rPr>
            </w:pPr>
          </w:p>
        </w:tc>
        <w:tc>
          <w:tcPr>
            <w:tcW w:w="3120" w:type="dxa"/>
          </w:tcPr>
          <w:p w:rsidR="00BD1614" w:rsidRPr="00B7626F" w:rsidRDefault="00615114" w:rsidP="00DD5B6B">
            <w:pPr>
              <w:spacing w:before="0"/>
              <w:rPr>
                <w:rFonts w:cstheme="minorHAnsi"/>
                <w:b/>
                <w:szCs w:val="24"/>
                <w:lang w:val="fr-CH"/>
              </w:rPr>
            </w:pPr>
            <w:r w:rsidRPr="00B7626F">
              <w:rPr>
                <w:rFonts w:cstheme="minorHAnsi"/>
                <w:b/>
                <w:szCs w:val="24"/>
                <w:lang w:val="fr-CH"/>
              </w:rPr>
              <w:t>27</w:t>
            </w:r>
            <w:r w:rsidR="00417658" w:rsidRPr="00B7626F">
              <w:rPr>
                <w:rFonts w:cstheme="minorHAnsi"/>
                <w:b/>
                <w:szCs w:val="24"/>
                <w:lang w:val="fr-CH"/>
              </w:rPr>
              <w:t xml:space="preserve"> novembre 201</w:t>
            </w:r>
            <w:r w:rsidR="00084EA9" w:rsidRPr="00B7626F">
              <w:rPr>
                <w:rFonts w:cstheme="minorHAnsi"/>
                <w:b/>
                <w:szCs w:val="24"/>
                <w:lang w:val="fr-CH"/>
              </w:rPr>
              <w:t>8</w:t>
            </w:r>
          </w:p>
        </w:tc>
      </w:tr>
      <w:tr w:rsidR="00BD1614" w:rsidRPr="00B7626F" w:rsidTr="006A046E">
        <w:trPr>
          <w:cantSplit/>
        </w:trPr>
        <w:tc>
          <w:tcPr>
            <w:tcW w:w="6911" w:type="dxa"/>
          </w:tcPr>
          <w:p w:rsidR="00BD1614" w:rsidRPr="00B7626F" w:rsidRDefault="00BD1614" w:rsidP="00DD5B6B">
            <w:pPr>
              <w:spacing w:before="0"/>
              <w:rPr>
                <w:rFonts w:cstheme="minorHAnsi"/>
                <w:b/>
                <w:smallCaps/>
                <w:szCs w:val="24"/>
                <w:lang w:val="fr-CH"/>
              </w:rPr>
            </w:pPr>
          </w:p>
        </w:tc>
        <w:tc>
          <w:tcPr>
            <w:tcW w:w="3120" w:type="dxa"/>
          </w:tcPr>
          <w:p w:rsidR="00BD1614" w:rsidRPr="00B7626F" w:rsidRDefault="00417658" w:rsidP="00DD5B6B">
            <w:pPr>
              <w:spacing w:before="0"/>
              <w:rPr>
                <w:rFonts w:cstheme="minorHAnsi"/>
                <w:b/>
                <w:szCs w:val="24"/>
                <w:lang w:val="fr-CH"/>
              </w:rPr>
            </w:pPr>
            <w:r w:rsidRPr="00B7626F">
              <w:rPr>
                <w:rFonts w:cstheme="minorHAnsi"/>
                <w:b/>
                <w:szCs w:val="24"/>
                <w:lang w:val="fr-CH"/>
              </w:rPr>
              <w:t>Original: anglais</w:t>
            </w:r>
          </w:p>
        </w:tc>
      </w:tr>
      <w:tr w:rsidR="00BD1614" w:rsidRPr="00B7626F" w:rsidTr="006A046E">
        <w:trPr>
          <w:cantSplit/>
        </w:trPr>
        <w:tc>
          <w:tcPr>
            <w:tcW w:w="10031" w:type="dxa"/>
            <w:gridSpan w:val="2"/>
          </w:tcPr>
          <w:p w:rsidR="00BD1614" w:rsidRPr="00B7626F" w:rsidRDefault="00BD1614" w:rsidP="00DD5B6B">
            <w:pPr>
              <w:spacing w:before="0"/>
              <w:rPr>
                <w:rFonts w:cstheme="minorHAnsi"/>
                <w:b/>
                <w:szCs w:val="24"/>
                <w:lang w:val="fr-CH"/>
              </w:rPr>
            </w:pPr>
          </w:p>
        </w:tc>
      </w:tr>
      <w:tr w:rsidR="008B6A61" w:rsidRPr="00B7626F" w:rsidTr="006A046E">
        <w:trPr>
          <w:cantSplit/>
        </w:trPr>
        <w:tc>
          <w:tcPr>
            <w:tcW w:w="10031" w:type="dxa"/>
            <w:gridSpan w:val="2"/>
          </w:tcPr>
          <w:p w:rsidR="008B6A61" w:rsidRPr="00B7626F" w:rsidRDefault="008B6A61" w:rsidP="00DD5B6B">
            <w:pPr>
              <w:pStyle w:val="Title1"/>
              <w:spacing w:before="720"/>
              <w:rPr>
                <w:lang w:val="fr-CH"/>
              </w:rPr>
            </w:pPr>
            <w:bookmarkStart w:id="4" w:name="dsource" w:colFirst="0" w:colLast="0"/>
            <w:bookmarkEnd w:id="3"/>
            <w:r w:rsidRPr="00B7626F">
              <w:rPr>
                <w:lang w:val="fr-CH"/>
              </w:rPr>
              <w:t>procès-verbal</w:t>
            </w:r>
          </w:p>
          <w:p w:rsidR="008B6A61" w:rsidRPr="00B7626F" w:rsidRDefault="008B6A61" w:rsidP="00DD5B6B">
            <w:pPr>
              <w:pStyle w:val="Title1"/>
              <w:rPr>
                <w:lang w:val="fr-CH"/>
              </w:rPr>
            </w:pPr>
            <w:r w:rsidRPr="00B7626F">
              <w:rPr>
                <w:lang w:val="fr-CH"/>
              </w:rPr>
              <w:t>DE LA</w:t>
            </w:r>
          </w:p>
          <w:p w:rsidR="008B6A61" w:rsidRPr="00B7626F" w:rsidRDefault="00DD5B6B" w:rsidP="00DD5B6B">
            <w:pPr>
              <w:pStyle w:val="Title1"/>
              <w:rPr>
                <w:lang w:val="fr-CH"/>
              </w:rPr>
            </w:pPr>
            <w:r w:rsidRPr="00B7626F">
              <w:rPr>
                <w:lang w:val="fr-CH"/>
              </w:rPr>
              <w:t xml:space="preserve">douzième </w:t>
            </w:r>
            <w:r w:rsidR="00615114" w:rsidRPr="00B7626F">
              <w:rPr>
                <w:lang w:val="fr-CH"/>
              </w:rPr>
              <w:t>SéANCE PLéNIèRE</w:t>
            </w:r>
          </w:p>
        </w:tc>
      </w:tr>
      <w:tr w:rsidR="008B6A61" w:rsidRPr="00B7626F" w:rsidTr="006A046E">
        <w:trPr>
          <w:cantSplit/>
        </w:trPr>
        <w:tc>
          <w:tcPr>
            <w:tcW w:w="10031" w:type="dxa"/>
            <w:gridSpan w:val="2"/>
          </w:tcPr>
          <w:p w:rsidR="008B6A61" w:rsidRPr="00B7626F" w:rsidRDefault="00DD5B6B" w:rsidP="00DD5B6B">
            <w:pPr>
              <w:jc w:val="center"/>
              <w:rPr>
                <w:lang w:val="fr-CH"/>
              </w:rPr>
            </w:pPr>
            <w:bookmarkStart w:id="5" w:name="dtitle3" w:colFirst="0" w:colLast="0"/>
            <w:bookmarkEnd w:id="4"/>
            <w:r w:rsidRPr="00B7626F">
              <w:rPr>
                <w:szCs w:val="24"/>
                <w:lang w:val="fr-CH"/>
              </w:rPr>
              <w:t>Lundi 12</w:t>
            </w:r>
            <w:r w:rsidR="00615114" w:rsidRPr="00B7626F">
              <w:rPr>
                <w:szCs w:val="24"/>
                <w:lang w:val="fr-CH"/>
              </w:rPr>
              <w:t xml:space="preserve"> novembre 2018, à </w:t>
            </w:r>
            <w:r w:rsidRPr="00B7626F">
              <w:rPr>
                <w:szCs w:val="24"/>
                <w:lang w:val="fr-CH"/>
              </w:rPr>
              <w:t>14 h 35</w:t>
            </w:r>
          </w:p>
        </w:tc>
      </w:tr>
      <w:tr w:rsidR="00615114" w:rsidRPr="00B7626F" w:rsidTr="006A046E">
        <w:trPr>
          <w:cantSplit/>
        </w:trPr>
        <w:tc>
          <w:tcPr>
            <w:tcW w:w="10031" w:type="dxa"/>
            <w:gridSpan w:val="2"/>
          </w:tcPr>
          <w:p w:rsidR="00615114" w:rsidRPr="00B7626F" w:rsidRDefault="00615114" w:rsidP="00DD5B6B">
            <w:pPr>
              <w:jc w:val="center"/>
              <w:rPr>
                <w:b/>
                <w:bCs/>
                <w:lang w:val="fr-CH"/>
              </w:rPr>
            </w:pPr>
            <w:r w:rsidRPr="00B7626F">
              <w:rPr>
                <w:b/>
                <w:bCs/>
                <w:szCs w:val="24"/>
                <w:lang w:val="fr-CH"/>
              </w:rPr>
              <w:t>Président:</w:t>
            </w:r>
            <w:r w:rsidRPr="00B7626F">
              <w:rPr>
                <w:szCs w:val="24"/>
                <w:lang w:val="fr-CH"/>
              </w:rPr>
              <w:t xml:space="preserve"> M.</w:t>
            </w:r>
            <w:r w:rsidRPr="00B7626F">
              <w:rPr>
                <w:bCs/>
                <w:szCs w:val="24"/>
                <w:lang w:val="fr-CH"/>
              </w:rPr>
              <w:t xml:space="preserve"> Majed ALMESMAR (Emirats arabes unis)</w:t>
            </w:r>
          </w:p>
        </w:tc>
      </w:tr>
      <w:bookmarkEnd w:id="5"/>
    </w:tbl>
    <w:p w:rsidR="008B6A61" w:rsidRPr="00B7626F" w:rsidRDefault="008B6A61" w:rsidP="00DD5B6B">
      <w:pPr>
        <w:rPr>
          <w:lang w:val="fr-CH"/>
        </w:rPr>
      </w:pPr>
    </w:p>
    <w:tbl>
      <w:tblPr>
        <w:tblW w:w="10031" w:type="dxa"/>
        <w:tblLook w:val="0000" w:firstRow="0" w:lastRow="0" w:firstColumn="0" w:lastColumn="0" w:noHBand="0" w:noVBand="0"/>
      </w:tblPr>
      <w:tblGrid>
        <w:gridCol w:w="534"/>
        <w:gridCol w:w="7164"/>
        <w:gridCol w:w="2333"/>
      </w:tblGrid>
      <w:tr w:rsidR="008B6A61" w:rsidRPr="00B7626F" w:rsidTr="00B23C9D">
        <w:tc>
          <w:tcPr>
            <w:tcW w:w="534" w:type="dxa"/>
          </w:tcPr>
          <w:p w:rsidR="008B6A61" w:rsidRPr="00B7626F" w:rsidRDefault="008B6A61" w:rsidP="00DD5B6B">
            <w:pPr>
              <w:pStyle w:val="toc0"/>
              <w:rPr>
                <w:lang w:val="fr-CH"/>
              </w:rPr>
            </w:pPr>
          </w:p>
        </w:tc>
        <w:tc>
          <w:tcPr>
            <w:tcW w:w="7164" w:type="dxa"/>
          </w:tcPr>
          <w:p w:rsidR="008B6A61" w:rsidRPr="00B7626F" w:rsidRDefault="008B6A61" w:rsidP="00DD5B6B">
            <w:pPr>
              <w:pStyle w:val="toc0"/>
              <w:rPr>
                <w:lang w:val="fr-CH"/>
              </w:rPr>
            </w:pPr>
            <w:r w:rsidRPr="00B7626F">
              <w:rPr>
                <w:lang w:val="fr-CH"/>
              </w:rPr>
              <w:t>Sujets traités</w:t>
            </w:r>
          </w:p>
        </w:tc>
        <w:tc>
          <w:tcPr>
            <w:tcW w:w="2333" w:type="dxa"/>
          </w:tcPr>
          <w:p w:rsidR="008B6A61" w:rsidRPr="00B7626F" w:rsidRDefault="008B6A61" w:rsidP="00DD5B6B">
            <w:pPr>
              <w:pStyle w:val="toc0"/>
              <w:jc w:val="center"/>
              <w:rPr>
                <w:lang w:val="fr-CH"/>
              </w:rPr>
            </w:pPr>
            <w:r w:rsidRPr="00B7626F">
              <w:rPr>
                <w:lang w:val="fr-CH"/>
              </w:rPr>
              <w:t>Documents</w:t>
            </w:r>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1</w:t>
            </w:r>
          </w:p>
        </w:tc>
        <w:tc>
          <w:tcPr>
            <w:tcW w:w="7164" w:type="dxa"/>
          </w:tcPr>
          <w:p w:rsidR="00DD5B6B" w:rsidRPr="00B7626F" w:rsidRDefault="00DD5B6B" w:rsidP="00027DCC">
            <w:pPr>
              <w:snapToGrid w:val="0"/>
              <w:spacing w:before="60" w:after="60"/>
              <w:rPr>
                <w:rFonts w:asciiTheme="minorHAnsi" w:hAnsiTheme="minorHAnsi"/>
                <w:lang w:val="fr-CH"/>
              </w:rPr>
            </w:pPr>
            <w:r w:rsidRPr="00B7626F">
              <w:rPr>
                <w:rFonts w:asciiTheme="minorHAnsi" w:hAnsiTheme="minorHAnsi"/>
                <w:szCs w:val="24"/>
                <w:lang w:val="fr-CH"/>
              </w:rPr>
              <w:t>Troisième série de textes soumis par la Commission de rédaction en première lecture (B3)</w:t>
            </w:r>
          </w:p>
        </w:tc>
        <w:tc>
          <w:tcPr>
            <w:tcW w:w="2333" w:type="dxa"/>
          </w:tcPr>
          <w:p w:rsidR="00DD5B6B" w:rsidRPr="00B7626F" w:rsidRDefault="00BD1FD7" w:rsidP="00DD5B6B">
            <w:pPr>
              <w:snapToGrid w:val="0"/>
              <w:spacing w:before="60" w:after="60"/>
              <w:jc w:val="center"/>
              <w:rPr>
                <w:lang w:val="fr-CH"/>
              </w:rPr>
            </w:pPr>
            <w:hyperlink r:id="rId9" w:history="1">
              <w:r w:rsidR="00DD5B6B" w:rsidRPr="00B7626F">
                <w:rPr>
                  <w:rStyle w:val="Hyperlink"/>
                  <w:lang w:val="fr-CH"/>
                </w:rPr>
                <w:t>113</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2</w:t>
            </w:r>
          </w:p>
        </w:tc>
        <w:tc>
          <w:tcPr>
            <w:tcW w:w="7164" w:type="dxa"/>
          </w:tcPr>
          <w:p w:rsidR="00DD5B6B" w:rsidRPr="00B7626F" w:rsidRDefault="00DD5B6B" w:rsidP="00027DCC">
            <w:pPr>
              <w:rPr>
                <w:lang w:val="fr-CH"/>
              </w:rPr>
            </w:pPr>
            <w:r w:rsidRPr="00B7626F">
              <w:rPr>
                <w:rFonts w:asciiTheme="minorHAnsi" w:hAnsiTheme="minorHAnsi"/>
                <w:szCs w:val="24"/>
                <w:lang w:val="fr-CH"/>
              </w:rPr>
              <w:t>Quatrième série de textes soumis par la Commission de rédaction en première lecture (B4)</w:t>
            </w:r>
          </w:p>
        </w:tc>
        <w:tc>
          <w:tcPr>
            <w:tcW w:w="2333" w:type="dxa"/>
          </w:tcPr>
          <w:p w:rsidR="00DD5B6B" w:rsidRPr="00B7626F" w:rsidRDefault="00BD1FD7" w:rsidP="00DD5B6B">
            <w:pPr>
              <w:snapToGrid w:val="0"/>
              <w:spacing w:before="60" w:after="60"/>
              <w:jc w:val="center"/>
              <w:rPr>
                <w:lang w:val="fr-CH"/>
              </w:rPr>
            </w:pPr>
            <w:hyperlink r:id="rId10" w:history="1">
              <w:r w:rsidR="00DD5B6B" w:rsidRPr="00B7626F">
                <w:rPr>
                  <w:rStyle w:val="Hyperlink"/>
                  <w:lang w:val="fr-CH"/>
                </w:rPr>
                <w:t>117</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3</w:t>
            </w:r>
          </w:p>
        </w:tc>
        <w:tc>
          <w:tcPr>
            <w:tcW w:w="7164" w:type="dxa"/>
          </w:tcPr>
          <w:p w:rsidR="00DD5B6B" w:rsidRPr="00B7626F" w:rsidRDefault="00DD5B6B" w:rsidP="00027DCC">
            <w:pPr>
              <w:rPr>
                <w:lang w:val="fr-CH"/>
              </w:rPr>
            </w:pPr>
            <w:r w:rsidRPr="00B7626F">
              <w:rPr>
                <w:rFonts w:asciiTheme="minorHAnsi" w:hAnsiTheme="minorHAnsi"/>
                <w:szCs w:val="24"/>
                <w:lang w:val="fr-CH"/>
              </w:rPr>
              <w:t>Cinquième série de textes soumis par la Commission de rédaction en première lecture (B5)</w:t>
            </w:r>
          </w:p>
        </w:tc>
        <w:tc>
          <w:tcPr>
            <w:tcW w:w="2333" w:type="dxa"/>
          </w:tcPr>
          <w:p w:rsidR="00DD5B6B" w:rsidRPr="00B7626F" w:rsidRDefault="00BD1FD7" w:rsidP="00DD5B6B">
            <w:pPr>
              <w:snapToGrid w:val="0"/>
              <w:spacing w:before="60" w:after="60"/>
              <w:jc w:val="center"/>
              <w:rPr>
                <w:lang w:val="fr-CH"/>
              </w:rPr>
            </w:pPr>
            <w:hyperlink r:id="rId11" w:history="1">
              <w:r w:rsidR="00DD5B6B" w:rsidRPr="00B7626F">
                <w:rPr>
                  <w:rStyle w:val="Hyperlink"/>
                  <w:lang w:val="fr-CH"/>
                </w:rPr>
                <w:t>121</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4</w:t>
            </w:r>
          </w:p>
        </w:tc>
        <w:tc>
          <w:tcPr>
            <w:tcW w:w="7164" w:type="dxa"/>
          </w:tcPr>
          <w:p w:rsidR="00DD5B6B" w:rsidRPr="00B7626F" w:rsidRDefault="00DD5B6B" w:rsidP="00027DCC">
            <w:pPr>
              <w:rPr>
                <w:lang w:val="fr-CH"/>
              </w:rPr>
            </w:pPr>
            <w:r w:rsidRPr="00B7626F">
              <w:rPr>
                <w:lang w:val="fr-CH"/>
              </w:rPr>
              <w:t xml:space="preserve">Première </w:t>
            </w:r>
            <w:r w:rsidRPr="00B7626F">
              <w:rPr>
                <w:rFonts w:asciiTheme="minorHAnsi" w:hAnsiTheme="minorHAnsi"/>
                <w:szCs w:val="24"/>
                <w:lang w:val="fr-CH"/>
              </w:rPr>
              <w:t>série de textes soumis par la Commission de rédaction en deuxième lecture (R1)</w:t>
            </w:r>
          </w:p>
        </w:tc>
        <w:tc>
          <w:tcPr>
            <w:tcW w:w="2333" w:type="dxa"/>
          </w:tcPr>
          <w:p w:rsidR="00DD5B6B" w:rsidRPr="00B7626F" w:rsidRDefault="00BD1FD7" w:rsidP="00DD5B6B">
            <w:pPr>
              <w:snapToGrid w:val="0"/>
              <w:spacing w:before="60" w:after="60"/>
              <w:jc w:val="center"/>
              <w:rPr>
                <w:lang w:val="fr-CH"/>
              </w:rPr>
            </w:pPr>
            <w:hyperlink r:id="rId12" w:history="1">
              <w:r w:rsidR="00DD5B6B" w:rsidRPr="00B7626F">
                <w:rPr>
                  <w:rStyle w:val="Hyperlink"/>
                  <w:lang w:val="fr-CH"/>
                </w:rPr>
                <w:t>116</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5</w:t>
            </w:r>
          </w:p>
        </w:tc>
        <w:tc>
          <w:tcPr>
            <w:tcW w:w="7164" w:type="dxa"/>
          </w:tcPr>
          <w:p w:rsidR="00DD5B6B" w:rsidRPr="00E421E2" w:rsidRDefault="00DD5B6B" w:rsidP="00027DCC">
            <w:pPr>
              <w:snapToGrid w:val="0"/>
              <w:spacing w:before="60" w:after="60"/>
              <w:rPr>
                <w:b/>
                <w:sz w:val="22"/>
                <w:szCs w:val="24"/>
                <w:lang w:val="fr-CH"/>
              </w:rPr>
            </w:pPr>
            <w:r w:rsidRPr="00E421E2">
              <w:rPr>
                <w:rFonts w:asciiTheme="minorHAnsi" w:hAnsiTheme="minorHAnsi"/>
                <w:szCs w:val="24"/>
                <w:lang w:val="fr-CH"/>
              </w:rPr>
              <w:t xml:space="preserve">Troisième série de textes soumis par la Commission de rédaction </w:t>
            </w:r>
            <w:r w:rsidR="00027DCC" w:rsidRPr="00E421E2">
              <w:rPr>
                <w:rFonts w:asciiTheme="minorHAnsi" w:hAnsiTheme="minorHAnsi"/>
                <w:szCs w:val="24"/>
                <w:lang w:val="fr-CH"/>
              </w:rPr>
              <w:t>–</w:t>
            </w:r>
            <w:r w:rsidRPr="00E421E2">
              <w:rPr>
                <w:rFonts w:asciiTheme="minorHAnsi" w:hAnsiTheme="minorHAnsi"/>
                <w:szCs w:val="24"/>
                <w:lang w:val="fr-CH"/>
              </w:rPr>
              <w:t xml:space="preserve"> seconde lecture </w:t>
            </w:r>
          </w:p>
        </w:tc>
        <w:tc>
          <w:tcPr>
            <w:tcW w:w="2333" w:type="dxa"/>
          </w:tcPr>
          <w:p w:rsidR="00DD5B6B" w:rsidRPr="00B7626F" w:rsidRDefault="00BD1FD7" w:rsidP="00DD5B6B">
            <w:pPr>
              <w:snapToGrid w:val="0"/>
              <w:spacing w:before="60" w:after="60"/>
              <w:jc w:val="center"/>
              <w:rPr>
                <w:lang w:val="fr-CH"/>
              </w:rPr>
            </w:pPr>
            <w:hyperlink r:id="rId13" w:history="1">
              <w:r w:rsidR="00DD5B6B" w:rsidRPr="00B7626F">
                <w:rPr>
                  <w:rStyle w:val="Hyperlink"/>
                  <w:lang w:val="fr-CH"/>
                </w:rPr>
                <w:t>113</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6</w:t>
            </w:r>
          </w:p>
        </w:tc>
        <w:tc>
          <w:tcPr>
            <w:tcW w:w="7164" w:type="dxa"/>
          </w:tcPr>
          <w:p w:rsidR="00DD5B6B" w:rsidRPr="00E421E2" w:rsidRDefault="00DD5B6B" w:rsidP="00DD5B6B">
            <w:pPr>
              <w:snapToGrid w:val="0"/>
              <w:spacing w:before="60" w:after="60"/>
              <w:rPr>
                <w:rFonts w:asciiTheme="minorHAnsi" w:hAnsiTheme="minorHAnsi"/>
                <w:szCs w:val="24"/>
                <w:lang w:val="fr-CH"/>
              </w:rPr>
            </w:pPr>
            <w:r w:rsidRPr="00E421E2">
              <w:rPr>
                <w:rFonts w:asciiTheme="minorHAnsi" w:hAnsiTheme="minorHAnsi"/>
                <w:szCs w:val="24"/>
                <w:lang w:val="fr-CH"/>
              </w:rPr>
              <w:t xml:space="preserve">Quatrième série de textes soumis par la </w:t>
            </w:r>
            <w:r w:rsidR="00027DCC" w:rsidRPr="00E421E2">
              <w:rPr>
                <w:rFonts w:asciiTheme="minorHAnsi" w:hAnsiTheme="minorHAnsi"/>
                <w:szCs w:val="24"/>
                <w:lang w:val="fr-CH"/>
              </w:rPr>
              <w:t>Commission de rédaction –</w:t>
            </w:r>
            <w:r w:rsidRPr="00E421E2">
              <w:rPr>
                <w:rFonts w:asciiTheme="minorHAnsi" w:hAnsiTheme="minorHAnsi"/>
                <w:szCs w:val="24"/>
                <w:lang w:val="fr-CH"/>
              </w:rPr>
              <w:t xml:space="preserve"> seconde lecture</w:t>
            </w:r>
          </w:p>
        </w:tc>
        <w:tc>
          <w:tcPr>
            <w:tcW w:w="2333" w:type="dxa"/>
          </w:tcPr>
          <w:p w:rsidR="00DD5B6B" w:rsidRPr="00B7626F" w:rsidRDefault="00BD1FD7" w:rsidP="00DD5B6B">
            <w:pPr>
              <w:snapToGrid w:val="0"/>
              <w:spacing w:before="60" w:after="60"/>
              <w:jc w:val="center"/>
              <w:rPr>
                <w:rStyle w:val="Hyperlink"/>
                <w:lang w:val="fr-CH"/>
              </w:rPr>
            </w:pPr>
            <w:hyperlink r:id="rId14" w:history="1">
              <w:r w:rsidR="00DD5B6B" w:rsidRPr="00B7626F">
                <w:rPr>
                  <w:rStyle w:val="Hyperlink"/>
                  <w:lang w:val="fr-CH"/>
                </w:rPr>
                <w:t>117</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7</w:t>
            </w:r>
          </w:p>
        </w:tc>
        <w:tc>
          <w:tcPr>
            <w:tcW w:w="7164" w:type="dxa"/>
          </w:tcPr>
          <w:p w:rsidR="00DD5B6B" w:rsidRPr="00B7626F" w:rsidRDefault="00DD5B6B" w:rsidP="00027DCC">
            <w:pPr>
              <w:snapToGrid w:val="0"/>
              <w:spacing w:before="60" w:after="60"/>
              <w:rPr>
                <w:rFonts w:asciiTheme="minorHAnsi" w:hAnsiTheme="minorHAnsi"/>
                <w:szCs w:val="24"/>
                <w:lang w:val="fr-CH"/>
              </w:rPr>
            </w:pPr>
            <w:r w:rsidRPr="00B7626F">
              <w:rPr>
                <w:rFonts w:asciiTheme="minorHAnsi" w:hAnsiTheme="minorHAnsi"/>
                <w:szCs w:val="24"/>
                <w:lang w:val="fr-CH"/>
              </w:rPr>
              <w:t xml:space="preserve">Cinquième série de textes soumis par la Commission de rédaction </w:t>
            </w:r>
            <w:r w:rsidR="00027DCC" w:rsidRPr="00B7626F">
              <w:rPr>
                <w:rFonts w:asciiTheme="minorHAnsi" w:hAnsiTheme="minorHAnsi"/>
                <w:szCs w:val="24"/>
                <w:lang w:val="fr-CH"/>
              </w:rPr>
              <w:t>–</w:t>
            </w:r>
            <w:r w:rsidRPr="00B7626F">
              <w:rPr>
                <w:rFonts w:asciiTheme="minorHAnsi" w:hAnsiTheme="minorHAnsi"/>
                <w:szCs w:val="24"/>
                <w:lang w:val="fr-CH"/>
              </w:rPr>
              <w:t xml:space="preserve"> seconde lecture</w:t>
            </w:r>
          </w:p>
        </w:tc>
        <w:tc>
          <w:tcPr>
            <w:tcW w:w="2333" w:type="dxa"/>
          </w:tcPr>
          <w:p w:rsidR="00DD5B6B" w:rsidRPr="00B7626F" w:rsidRDefault="00BD1FD7" w:rsidP="00DD5B6B">
            <w:pPr>
              <w:snapToGrid w:val="0"/>
              <w:spacing w:before="60" w:after="60"/>
              <w:jc w:val="center"/>
              <w:rPr>
                <w:rStyle w:val="Hyperlink"/>
                <w:lang w:val="fr-CH"/>
              </w:rPr>
            </w:pPr>
            <w:hyperlink r:id="rId15" w:history="1">
              <w:r w:rsidR="00DD5B6B" w:rsidRPr="00B7626F">
                <w:rPr>
                  <w:rStyle w:val="Hyperlink"/>
                  <w:lang w:val="fr-CH"/>
                </w:rPr>
                <w:t>121</w:t>
              </w:r>
            </w:hyperlink>
          </w:p>
        </w:tc>
      </w:tr>
      <w:tr w:rsidR="00DD5B6B" w:rsidRPr="00B7626F" w:rsidTr="00B23C9D">
        <w:tc>
          <w:tcPr>
            <w:tcW w:w="534" w:type="dxa"/>
          </w:tcPr>
          <w:p w:rsidR="00DD5B6B" w:rsidRPr="00B7626F" w:rsidRDefault="00DD5B6B" w:rsidP="00DD5B6B">
            <w:pPr>
              <w:snapToGrid w:val="0"/>
              <w:spacing w:before="60" w:after="60"/>
              <w:ind w:left="567" w:hanging="567"/>
              <w:rPr>
                <w:rFonts w:asciiTheme="minorHAnsi" w:hAnsiTheme="minorHAnsi"/>
                <w:lang w:val="fr-CH"/>
              </w:rPr>
            </w:pPr>
            <w:r w:rsidRPr="00B7626F">
              <w:rPr>
                <w:rFonts w:asciiTheme="minorHAnsi" w:hAnsiTheme="minorHAnsi"/>
                <w:lang w:val="fr-CH"/>
              </w:rPr>
              <w:t>8</w:t>
            </w:r>
          </w:p>
        </w:tc>
        <w:tc>
          <w:tcPr>
            <w:tcW w:w="7164" w:type="dxa"/>
          </w:tcPr>
          <w:p w:rsidR="00DD5B6B" w:rsidRPr="00B7626F" w:rsidRDefault="00DD5B6B" w:rsidP="00DD5B6B">
            <w:pPr>
              <w:snapToGrid w:val="0"/>
              <w:spacing w:before="60" w:after="60"/>
              <w:rPr>
                <w:rFonts w:asciiTheme="minorHAnsi" w:hAnsiTheme="minorHAnsi"/>
                <w:szCs w:val="24"/>
                <w:lang w:val="fr-CH"/>
              </w:rPr>
            </w:pPr>
            <w:r w:rsidRPr="00B7626F">
              <w:rPr>
                <w:rFonts w:asciiTheme="minorHAnsi" w:hAnsiTheme="minorHAnsi"/>
                <w:szCs w:val="24"/>
                <w:lang w:val="fr-CH"/>
              </w:rPr>
              <w:t>Approbation des procès-verbaux</w:t>
            </w:r>
          </w:p>
        </w:tc>
        <w:tc>
          <w:tcPr>
            <w:tcW w:w="2333" w:type="dxa"/>
          </w:tcPr>
          <w:p w:rsidR="00DD5B6B" w:rsidRPr="00B7626F" w:rsidRDefault="00BD1FD7" w:rsidP="00DD5B6B">
            <w:pPr>
              <w:snapToGrid w:val="0"/>
              <w:spacing w:before="60" w:after="60"/>
              <w:jc w:val="center"/>
              <w:rPr>
                <w:rStyle w:val="Hyperlink"/>
                <w:lang w:val="fr-CH"/>
              </w:rPr>
            </w:pPr>
            <w:hyperlink r:id="rId16" w:history="1">
              <w:r w:rsidR="00DD5B6B" w:rsidRPr="00B7626F">
                <w:rPr>
                  <w:rStyle w:val="Hyperlink"/>
                  <w:lang w:val="fr-CH"/>
                </w:rPr>
                <w:t>93</w:t>
              </w:r>
            </w:hyperlink>
            <w:r w:rsidR="00DD5B6B" w:rsidRPr="00B7626F">
              <w:rPr>
                <w:lang w:val="fr-CH"/>
              </w:rPr>
              <w:t xml:space="preserve">, </w:t>
            </w:r>
            <w:hyperlink r:id="rId17" w:history="1">
              <w:r w:rsidR="00DD5B6B" w:rsidRPr="00B7626F">
                <w:rPr>
                  <w:rStyle w:val="Hyperlink"/>
                  <w:lang w:val="fr-CH"/>
                </w:rPr>
                <w:t>94</w:t>
              </w:r>
            </w:hyperlink>
            <w:r w:rsidR="00DD5B6B" w:rsidRPr="00B7626F">
              <w:rPr>
                <w:lang w:val="fr-CH"/>
              </w:rPr>
              <w:t xml:space="preserve">, </w:t>
            </w:r>
            <w:hyperlink r:id="rId18" w:history="1">
              <w:r w:rsidR="00DD5B6B" w:rsidRPr="00B7626F">
                <w:rPr>
                  <w:rStyle w:val="Hyperlink"/>
                  <w:lang w:val="fr-CH"/>
                </w:rPr>
                <w:t>95</w:t>
              </w:r>
            </w:hyperlink>
            <w:r w:rsidR="00DD5B6B" w:rsidRPr="00B7626F">
              <w:rPr>
                <w:lang w:val="fr-CH"/>
              </w:rPr>
              <w:t xml:space="preserve">, </w:t>
            </w:r>
            <w:hyperlink r:id="rId19" w:history="1">
              <w:r w:rsidR="00DD5B6B" w:rsidRPr="00B7626F">
                <w:rPr>
                  <w:rStyle w:val="Hyperlink"/>
                  <w:lang w:val="fr-CH"/>
                </w:rPr>
                <w:t>96</w:t>
              </w:r>
            </w:hyperlink>
            <w:r w:rsidR="00DD5B6B" w:rsidRPr="00B7626F">
              <w:rPr>
                <w:lang w:val="fr-CH"/>
              </w:rPr>
              <w:t xml:space="preserve">, </w:t>
            </w:r>
            <w:hyperlink r:id="rId20" w:history="1">
              <w:r w:rsidR="00DD5B6B" w:rsidRPr="00B7626F">
                <w:rPr>
                  <w:rStyle w:val="Hyperlink"/>
                  <w:lang w:val="fr-CH"/>
                </w:rPr>
                <w:t>97</w:t>
              </w:r>
            </w:hyperlink>
            <w:r w:rsidR="00DD5B6B" w:rsidRPr="00B7626F">
              <w:rPr>
                <w:lang w:val="fr-CH"/>
              </w:rPr>
              <w:t xml:space="preserve">, </w:t>
            </w:r>
            <w:hyperlink r:id="rId21" w:history="1">
              <w:r w:rsidR="00DD5B6B" w:rsidRPr="00B7626F">
                <w:rPr>
                  <w:rStyle w:val="Hyperlink"/>
                  <w:lang w:val="fr-CH"/>
                </w:rPr>
                <w:t>98</w:t>
              </w:r>
            </w:hyperlink>
            <w:r w:rsidR="00DD5B6B" w:rsidRPr="00B7626F">
              <w:rPr>
                <w:lang w:val="fr-CH"/>
              </w:rPr>
              <w:t xml:space="preserve">, </w:t>
            </w:r>
            <w:hyperlink r:id="rId22" w:history="1">
              <w:r w:rsidR="00DD5B6B" w:rsidRPr="00B7626F">
                <w:rPr>
                  <w:rStyle w:val="Hyperlink"/>
                  <w:lang w:val="fr-CH"/>
                </w:rPr>
                <w:t>99</w:t>
              </w:r>
            </w:hyperlink>
            <w:r w:rsidR="00DD5B6B" w:rsidRPr="00B7626F">
              <w:rPr>
                <w:lang w:val="fr-CH"/>
              </w:rPr>
              <w:t xml:space="preserve">, </w:t>
            </w:r>
            <w:hyperlink r:id="rId23" w:history="1">
              <w:r w:rsidR="00DD5B6B" w:rsidRPr="00B7626F">
                <w:rPr>
                  <w:rStyle w:val="Hyperlink"/>
                  <w:lang w:val="fr-CH"/>
                </w:rPr>
                <w:t>101</w:t>
              </w:r>
            </w:hyperlink>
          </w:p>
        </w:tc>
      </w:tr>
    </w:tbl>
    <w:p w:rsidR="008B6A61" w:rsidRPr="00B7626F" w:rsidRDefault="008B6A61" w:rsidP="00DD5B6B">
      <w:pPr>
        <w:rPr>
          <w:lang w:val="fr-CH"/>
        </w:rPr>
      </w:pPr>
    </w:p>
    <w:p w:rsidR="00BD1614" w:rsidRPr="00B7626F" w:rsidRDefault="00BD1614" w:rsidP="00DD5B6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7626F">
        <w:rPr>
          <w:lang w:val="fr-CH"/>
        </w:rPr>
        <w:br w:type="page"/>
      </w:r>
    </w:p>
    <w:p w:rsidR="00DD5B6B" w:rsidRPr="00B7626F" w:rsidRDefault="00DD5B6B" w:rsidP="00CD24A4">
      <w:pPr>
        <w:pStyle w:val="Heading1"/>
        <w:rPr>
          <w:lang w:val="fr-CH"/>
        </w:rPr>
      </w:pPr>
      <w:r w:rsidRPr="00B7626F">
        <w:rPr>
          <w:lang w:val="fr-CH"/>
        </w:rPr>
        <w:lastRenderedPageBreak/>
        <w:t>1</w:t>
      </w:r>
      <w:r w:rsidRPr="00B7626F">
        <w:rPr>
          <w:lang w:val="fr-CH"/>
        </w:rPr>
        <w:tab/>
        <w:t xml:space="preserve">Troisième série de textes soumis par la Commission de rédaction en première lecture (B3) (Document </w:t>
      </w:r>
      <w:hyperlink r:id="rId24" w:history="1">
        <w:r w:rsidRPr="00B7626F">
          <w:rPr>
            <w:rStyle w:val="Hyperlink"/>
            <w:bCs/>
            <w:szCs w:val="28"/>
            <w:lang w:val="fr-CH"/>
          </w:rPr>
          <w:t>113</w:t>
        </w:r>
      </w:hyperlink>
      <w:r w:rsidRPr="00B7626F">
        <w:rPr>
          <w:lang w:val="fr-CH"/>
        </w:rPr>
        <w:t>)</w:t>
      </w:r>
    </w:p>
    <w:p w:rsidR="00DD5B6B" w:rsidRPr="00B7626F" w:rsidRDefault="00DD5B6B" w:rsidP="00BD1FD7">
      <w:pPr>
        <w:rPr>
          <w:lang w:val="fr-CH"/>
        </w:rPr>
      </w:pPr>
      <w:r w:rsidRPr="00B7626F">
        <w:rPr>
          <w:lang w:val="fr-CH"/>
        </w:rPr>
        <w:t>1.1</w:t>
      </w:r>
      <w:r w:rsidRPr="00B7626F">
        <w:rPr>
          <w:lang w:val="fr-CH"/>
        </w:rPr>
        <w:tab/>
        <w:t xml:space="preserve">La </w:t>
      </w:r>
      <w:r w:rsidRPr="00B7626F">
        <w:rPr>
          <w:b/>
          <w:lang w:val="fr-CH"/>
        </w:rPr>
        <w:t xml:space="preserve">Présidente de la Commission de rédaction </w:t>
      </w:r>
      <w:r w:rsidRPr="00B7626F">
        <w:rPr>
          <w:lang w:val="fr-CH"/>
        </w:rPr>
        <w:t xml:space="preserve">explique </w:t>
      </w:r>
      <w:r w:rsidR="00CD24A4" w:rsidRPr="00B7626F">
        <w:rPr>
          <w:lang w:val="fr-CH"/>
        </w:rPr>
        <w:t xml:space="preserve">que </w:t>
      </w:r>
      <w:r w:rsidRPr="00B7626F">
        <w:rPr>
          <w:lang w:val="fr-CH"/>
        </w:rPr>
        <w:t xml:space="preserve">les propositions de décisions et de résolutions </w:t>
      </w:r>
      <w:r w:rsidR="00CD24A4" w:rsidRPr="00B7626F">
        <w:rPr>
          <w:lang w:val="fr-CH"/>
        </w:rPr>
        <w:t>soumises à</w:t>
      </w:r>
      <w:r w:rsidRPr="00B7626F">
        <w:rPr>
          <w:lang w:val="fr-CH"/>
        </w:rPr>
        <w:t xml:space="preserve"> la Conférence font référence à d'autres décisions et résolutions qui doivent elles aussi être révisées par ladite Conférence. La Commission de rédaction veillera à ce que toutes les références croisées entre les résolutions et </w:t>
      </w:r>
      <w:r w:rsidR="00CD24A4" w:rsidRPr="00B7626F">
        <w:rPr>
          <w:lang w:val="fr-CH"/>
        </w:rPr>
        <w:t xml:space="preserve">les </w:t>
      </w:r>
      <w:r w:rsidRPr="00B7626F">
        <w:rPr>
          <w:lang w:val="fr-CH"/>
        </w:rPr>
        <w:t xml:space="preserve">décisions renvoient à la bonne version de ces résolutions et décisions. </w:t>
      </w:r>
    </w:p>
    <w:p w:rsidR="00DD5B6B" w:rsidRPr="00B7626F" w:rsidRDefault="00DD5B6B" w:rsidP="00BD1FD7">
      <w:pPr>
        <w:rPr>
          <w:lang w:val="fr-CH"/>
        </w:rPr>
      </w:pPr>
      <w:r w:rsidRPr="00B7626F">
        <w:rPr>
          <w:lang w:val="fr-CH"/>
        </w:rPr>
        <w:t>1.2</w:t>
      </w:r>
      <w:r w:rsidRPr="00B7626F">
        <w:rPr>
          <w:lang w:val="fr-CH"/>
        </w:rPr>
        <w:tab/>
        <w:t xml:space="preserve">Le </w:t>
      </w:r>
      <w:r w:rsidRPr="00B7626F">
        <w:rPr>
          <w:b/>
          <w:lang w:val="fr-CH"/>
        </w:rPr>
        <w:t>Président</w:t>
      </w:r>
      <w:r w:rsidRPr="00B7626F">
        <w:rPr>
          <w:lang w:val="fr-CH"/>
        </w:rPr>
        <w:t xml:space="preserve"> rappelle que la plénière a déjà examiné le projet de Décision 11 (Rév.</w:t>
      </w:r>
      <w:r w:rsidR="00CD24A4" w:rsidRPr="00B7626F">
        <w:rPr>
          <w:lang w:val="fr-CH"/>
        </w:rPr>
        <w:t> </w:t>
      </w:r>
      <w:r w:rsidRPr="00B7626F">
        <w:rPr>
          <w:lang w:val="fr-CH"/>
        </w:rPr>
        <w:t>Dubaï,</w:t>
      </w:r>
      <w:r w:rsidR="00CD24A4" w:rsidRPr="00B7626F">
        <w:rPr>
          <w:lang w:val="fr-CH"/>
        </w:rPr>
        <w:t> </w:t>
      </w:r>
      <w:r w:rsidRPr="00B7626F">
        <w:rPr>
          <w:lang w:val="fr-CH"/>
        </w:rPr>
        <w:t>2018) à sa onzième séance et l'a renvoyé à la Commission de rédaction pour examen.</w:t>
      </w:r>
    </w:p>
    <w:p w:rsidR="00DD5B6B" w:rsidRPr="00B7626F" w:rsidRDefault="00DD5B6B" w:rsidP="00CD24A4">
      <w:pPr>
        <w:spacing w:before="160"/>
        <w:rPr>
          <w:b/>
          <w:szCs w:val="24"/>
          <w:lang w:val="fr-CH"/>
        </w:rPr>
      </w:pPr>
      <w:r w:rsidRPr="00B7626F">
        <w:rPr>
          <w:b/>
          <w:szCs w:val="24"/>
          <w:lang w:val="fr-CH"/>
        </w:rPr>
        <w:t xml:space="preserve">Projet de Décision 11 (Rév. Dubaï, 2018) </w:t>
      </w:r>
      <w:r w:rsidR="00CD24A4" w:rsidRPr="00B7626F">
        <w:rPr>
          <w:b/>
          <w:szCs w:val="24"/>
          <w:lang w:val="fr-CH"/>
        </w:rPr>
        <w:t>–</w:t>
      </w:r>
      <w:r w:rsidRPr="00B7626F">
        <w:rPr>
          <w:b/>
          <w:szCs w:val="24"/>
          <w:lang w:val="fr-CH"/>
        </w:rPr>
        <w:t xml:space="preserve"> </w:t>
      </w:r>
      <w:bookmarkStart w:id="6" w:name="OLE_LINK6"/>
      <w:r w:rsidRPr="00B7626F">
        <w:rPr>
          <w:b/>
          <w:szCs w:val="24"/>
          <w:lang w:val="fr-CH"/>
        </w:rPr>
        <w:t>Création et gestion des groupes de travail du Conseil</w:t>
      </w:r>
      <w:bookmarkEnd w:id="6"/>
    </w:p>
    <w:p w:rsidR="00DD5B6B" w:rsidRPr="00B7626F" w:rsidRDefault="00DD5B6B" w:rsidP="00CD24A4">
      <w:pPr>
        <w:spacing w:before="160"/>
        <w:rPr>
          <w:b/>
          <w:szCs w:val="24"/>
          <w:lang w:val="fr-CH"/>
        </w:rPr>
      </w:pPr>
      <w:r w:rsidRPr="00B7626F">
        <w:rPr>
          <w:b/>
          <w:szCs w:val="24"/>
          <w:lang w:val="fr-CH"/>
        </w:rPr>
        <w:t xml:space="preserve">Projet de Résolution 151 (Rév. Dubaï, 2018) </w:t>
      </w:r>
      <w:r w:rsidR="00CD24A4" w:rsidRPr="00B7626F">
        <w:rPr>
          <w:b/>
          <w:szCs w:val="24"/>
          <w:lang w:val="fr-CH"/>
        </w:rPr>
        <w:t>–</w:t>
      </w:r>
      <w:r w:rsidRPr="00B7626F">
        <w:rPr>
          <w:b/>
          <w:szCs w:val="24"/>
          <w:lang w:val="fr-CH"/>
        </w:rPr>
        <w:t xml:space="preserve"> </w:t>
      </w:r>
      <w:bookmarkStart w:id="7" w:name="_Toc164569907"/>
      <w:bookmarkStart w:id="8" w:name="_Toc407016247"/>
      <w:r w:rsidRPr="00B7626F">
        <w:rPr>
          <w:b/>
          <w:szCs w:val="24"/>
          <w:lang w:val="fr-CH"/>
        </w:rPr>
        <w:t>Amélioration de la gestion axée sur les résultats à l'UIT</w:t>
      </w:r>
      <w:bookmarkEnd w:id="7"/>
      <w:bookmarkEnd w:id="8"/>
    </w:p>
    <w:p w:rsidR="00DD5B6B" w:rsidRPr="00B7626F" w:rsidRDefault="00DD5B6B" w:rsidP="00CD24A4">
      <w:pPr>
        <w:spacing w:before="160"/>
        <w:rPr>
          <w:b/>
          <w:szCs w:val="24"/>
          <w:lang w:val="fr-CH"/>
        </w:rPr>
      </w:pPr>
      <w:r w:rsidRPr="00B7626F">
        <w:rPr>
          <w:b/>
          <w:szCs w:val="24"/>
          <w:lang w:val="fr-CH"/>
        </w:rPr>
        <w:t xml:space="preserve">Projet de Résolution 169 (Rév. Dubaï, 2018) </w:t>
      </w:r>
      <w:r w:rsidR="00CD24A4" w:rsidRPr="00B7626F">
        <w:rPr>
          <w:b/>
          <w:szCs w:val="24"/>
          <w:lang w:val="fr-CH"/>
        </w:rPr>
        <w:t>–</w:t>
      </w:r>
      <w:r w:rsidRPr="00B7626F">
        <w:rPr>
          <w:b/>
          <w:szCs w:val="24"/>
          <w:lang w:val="fr-CH"/>
        </w:rPr>
        <w:t xml:space="preserve"> Admission d'établissements universitaires à participer aux travaux de l'Union</w:t>
      </w:r>
    </w:p>
    <w:p w:rsidR="00DD5B6B" w:rsidRPr="00B7626F" w:rsidRDefault="00DD5B6B" w:rsidP="00DD5B6B">
      <w:pPr>
        <w:spacing w:before="160"/>
        <w:rPr>
          <w:b/>
          <w:szCs w:val="24"/>
          <w:lang w:val="fr-CH"/>
        </w:rPr>
      </w:pPr>
      <w:r w:rsidRPr="00B7626F">
        <w:rPr>
          <w:b/>
          <w:szCs w:val="24"/>
          <w:lang w:val="fr-CH"/>
        </w:rPr>
        <w:t>Projet de Résolution 177 (Rév. Dubaï</w:t>
      </w:r>
      <w:r w:rsidR="00CD24A4" w:rsidRPr="00B7626F">
        <w:rPr>
          <w:b/>
          <w:szCs w:val="24"/>
          <w:lang w:val="fr-CH"/>
        </w:rPr>
        <w:t>, 2018) –</w:t>
      </w:r>
      <w:r w:rsidRPr="00B7626F">
        <w:rPr>
          <w:b/>
          <w:szCs w:val="24"/>
          <w:lang w:val="fr-CH"/>
        </w:rPr>
        <w:t xml:space="preserve"> </w:t>
      </w:r>
      <w:bookmarkStart w:id="9" w:name="_Toc407016275"/>
      <w:r w:rsidRPr="00B7626F">
        <w:rPr>
          <w:b/>
          <w:szCs w:val="24"/>
          <w:lang w:val="fr-CH"/>
        </w:rPr>
        <w:t>Conformité et interopérabilité</w:t>
      </w:r>
      <w:bookmarkEnd w:id="9"/>
    </w:p>
    <w:p w:rsidR="00DD5B6B" w:rsidRPr="00B7626F" w:rsidRDefault="00DD5B6B" w:rsidP="00CD24A4">
      <w:pPr>
        <w:spacing w:before="160"/>
        <w:rPr>
          <w:b/>
          <w:szCs w:val="24"/>
          <w:lang w:val="fr-CH"/>
        </w:rPr>
      </w:pPr>
      <w:r w:rsidRPr="00B7626F">
        <w:rPr>
          <w:b/>
          <w:szCs w:val="24"/>
          <w:lang w:val="fr-CH"/>
        </w:rPr>
        <w:t xml:space="preserve">Projet de Résolution 198 (Rév. Dubaï, 2018) </w:t>
      </w:r>
      <w:r w:rsidR="00CD24A4" w:rsidRPr="00B7626F">
        <w:rPr>
          <w:b/>
          <w:szCs w:val="24"/>
          <w:lang w:val="fr-CH"/>
        </w:rPr>
        <w:t>–</w:t>
      </w:r>
      <w:r w:rsidRPr="00B7626F">
        <w:rPr>
          <w:b/>
          <w:szCs w:val="24"/>
          <w:lang w:val="fr-CH"/>
        </w:rPr>
        <w:t xml:space="preserve"> </w:t>
      </w:r>
      <w:bookmarkStart w:id="10" w:name="_Toc407016310"/>
      <w:r w:rsidRPr="00B7626F">
        <w:rPr>
          <w:b/>
          <w:szCs w:val="24"/>
          <w:lang w:val="fr-CH"/>
        </w:rPr>
        <w:t>Autonomisation des jeunes au moyen des télécommunications et des technologies de l'information et de la communication</w:t>
      </w:r>
      <w:bookmarkEnd w:id="10"/>
    </w:p>
    <w:p w:rsidR="00DD5B6B" w:rsidRPr="00B7626F" w:rsidRDefault="00DD5B6B" w:rsidP="00CD24A4">
      <w:pPr>
        <w:spacing w:before="160"/>
        <w:rPr>
          <w:b/>
          <w:szCs w:val="24"/>
          <w:lang w:val="fr-CH"/>
        </w:rPr>
      </w:pPr>
      <w:r w:rsidRPr="00B7626F">
        <w:rPr>
          <w:b/>
          <w:szCs w:val="24"/>
          <w:lang w:val="fr-CH"/>
        </w:rPr>
        <w:t xml:space="preserve">Projet de Résolution 201 (Rév. Dubaï, 2018) </w:t>
      </w:r>
      <w:r w:rsidR="00CD24A4" w:rsidRPr="00B7626F">
        <w:rPr>
          <w:b/>
          <w:szCs w:val="24"/>
          <w:lang w:val="fr-CH"/>
        </w:rPr>
        <w:t>–</w:t>
      </w:r>
      <w:r w:rsidRPr="00B7626F">
        <w:rPr>
          <w:b/>
          <w:szCs w:val="24"/>
          <w:lang w:val="fr-CH"/>
        </w:rPr>
        <w:t xml:space="preserve"> </w:t>
      </w:r>
      <w:bookmarkStart w:id="11" w:name="_Toc407016315"/>
      <w:r w:rsidRPr="00B7626F">
        <w:rPr>
          <w:b/>
          <w:szCs w:val="24"/>
          <w:lang w:val="fr-CH"/>
        </w:rPr>
        <w:t>Créer un environnement propice au déploiement et à l'utilisation des applications des technologies de l'information et de la communication</w:t>
      </w:r>
      <w:bookmarkEnd w:id="11"/>
    </w:p>
    <w:p w:rsidR="00DD5B6B" w:rsidRPr="00B7626F" w:rsidRDefault="00DD5B6B" w:rsidP="00DD5B6B">
      <w:pPr>
        <w:spacing w:before="160"/>
        <w:rPr>
          <w:b/>
          <w:lang w:val="fr-CH"/>
        </w:rPr>
      </w:pPr>
      <w:r w:rsidRPr="00B7626F">
        <w:rPr>
          <w:lang w:val="fr-CH"/>
        </w:rPr>
        <w:t>1.3</w:t>
      </w:r>
      <w:r w:rsidRPr="00B7626F">
        <w:rPr>
          <w:b/>
          <w:lang w:val="fr-CH"/>
        </w:rPr>
        <w:tab/>
        <w:t>Adoptés.</w:t>
      </w:r>
    </w:p>
    <w:p w:rsidR="00DD5B6B" w:rsidRPr="00B7626F" w:rsidRDefault="00DD5B6B" w:rsidP="00CD24A4">
      <w:pPr>
        <w:spacing w:before="160"/>
        <w:rPr>
          <w:b/>
          <w:szCs w:val="24"/>
          <w:lang w:val="fr-CH"/>
        </w:rPr>
      </w:pPr>
      <w:r w:rsidRPr="00B7626F">
        <w:rPr>
          <w:b/>
          <w:szCs w:val="24"/>
          <w:lang w:val="fr-CH"/>
        </w:rPr>
        <w:t>Suppression de la Résolution 72 (Ré</w:t>
      </w:r>
      <w:r w:rsidR="00CD24A4" w:rsidRPr="00B7626F">
        <w:rPr>
          <w:b/>
          <w:szCs w:val="24"/>
          <w:lang w:val="fr-CH"/>
        </w:rPr>
        <w:t>v. Busan, 2014) –</w:t>
      </w:r>
      <w:r w:rsidRPr="00B7626F">
        <w:rPr>
          <w:b/>
          <w:szCs w:val="24"/>
          <w:lang w:val="fr-CH"/>
        </w:rPr>
        <w:t xml:space="preserve"> </w:t>
      </w:r>
      <w:bookmarkStart w:id="12" w:name="_Toc407016207"/>
      <w:r w:rsidRPr="00B7626F">
        <w:rPr>
          <w:b/>
          <w:szCs w:val="24"/>
          <w:lang w:val="fr-CH"/>
        </w:rPr>
        <w:t>Coordination des planifications stratégique, financière et opérationnelle à l'UIT</w:t>
      </w:r>
      <w:bookmarkEnd w:id="12"/>
    </w:p>
    <w:p w:rsidR="00DD5B6B" w:rsidRPr="00B7626F" w:rsidRDefault="00DD5B6B" w:rsidP="00CD24A4">
      <w:pPr>
        <w:spacing w:before="160"/>
        <w:rPr>
          <w:b/>
          <w:szCs w:val="24"/>
          <w:lang w:val="fr-CH"/>
        </w:rPr>
      </w:pPr>
      <w:r w:rsidRPr="00B7626F">
        <w:rPr>
          <w:b/>
          <w:szCs w:val="24"/>
          <w:lang w:val="fr-CH"/>
        </w:rPr>
        <w:t xml:space="preserve">Suppression de la Résolution 187 (Busan, 2014) </w:t>
      </w:r>
      <w:r w:rsidR="00CD24A4" w:rsidRPr="00B7626F">
        <w:rPr>
          <w:b/>
          <w:szCs w:val="24"/>
          <w:lang w:val="fr-CH"/>
        </w:rPr>
        <w:t>–</w:t>
      </w:r>
      <w:r w:rsidRPr="00B7626F">
        <w:rPr>
          <w:b/>
          <w:szCs w:val="24"/>
          <w:lang w:val="fr-CH"/>
        </w:rPr>
        <w:t xml:space="preserve"> </w:t>
      </w:r>
      <w:bookmarkStart w:id="13" w:name="_Toc407016289"/>
      <w:r w:rsidRPr="00B7626F">
        <w:rPr>
          <w:b/>
          <w:szCs w:val="24"/>
          <w:lang w:val="fr-CH"/>
        </w:rPr>
        <w:t>Examen des méthodes actuelles et définition d'une vision de l'avenir concernant la participation des Membres de Secteur, des Associés et des établissements universitaires aux activités de l'UIT</w:t>
      </w:r>
      <w:bookmarkEnd w:id="13"/>
    </w:p>
    <w:p w:rsidR="00DD5B6B" w:rsidRPr="00B7626F" w:rsidRDefault="00DD5B6B" w:rsidP="00DD5B6B">
      <w:pPr>
        <w:rPr>
          <w:b/>
          <w:lang w:val="fr-CH"/>
        </w:rPr>
      </w:pPr>
      <w:r w:rsidRPr="00B7626F">
        <w:rPr>
          <w:lang w:val="fr-CH"/>
        </w:rPr>
        <w:t>1.4</w:t>
      </w:r>
      <w:r w:rsidRPr="00B7626F">
        <w:rPr>
          <w:lang w:val="fr-CH"/>
        </w:rPr>
        <w:tab/>
      </w:r>
      <w:r w:rsidRPr="00B7626F">
        <w:rPr>
          <w:b/>
          <w:lang w:val="fr-CH"/>
        </w:rPr>
        <w:t>Approuvées.</w:t>
      </w:r>
    </w:p>
    <w:p w:rsidR="00DD5B6B" w:rsidRPr="00B7626F" w:rsidRDefault="00DD5B6B" w:rsidP="00DD5B6B">
      <w:pPr>
        <w:rPr>
          <w:lang w:val="fr-CH"/>
        </w:rPr>
      </w:pPr>
      <w:r w:rsidRPr="00B7626F">
        <w:rPr>
          <w:lang w:val="fr-CH"/>
        </w:rPr>
        <w:t>1.5</w:t>
      </w:r>
      <w:r w:rsidRPr="00B7626F">
        <w:rPr>
          <w:lang w:val="fr-CH"/>
        </w:rPr>
        <w:tab/>
        <w:t xml:space="preserve">La troisième série de texte soumis par la Commission de rédaction en première lecture (B3) (Document 113) est </w:t>
      </w:r>
      <w:r w:rsidRPr="00B7626F">
        <w:rPr>
          <w:b/>
          <w:bCs/>
          <w:lang w:val="fr-CH"/>
        </w:rPr>
        <w:t>approuvée.</w:t>
      </w:r>
    </w:p>
    <w:p w:rsidR="00DD5B6B" w:rsidRPr="00B7626F" w:rsidRDefault="00DD5B6B" w:rsidP="00CD24A4">
      <w:pPr>
        <w:pStyle w:val="Heading1"/>
        <w:rPr>
          <w:lang w:val="fr-CH"/>
        </w:rPr>
      </w:pPr>
      <w:r w:rsidRPr="00B7626F">
        <w:rPr>
          <w:lang w:val="fr-CH"/>
        </w:rPr>
        <w:t>2</w:t>
      </w:r>
      <w:r w:rsidRPr="00B7626F">
        <w:rPr>
          <w:lang w:val="fr-CH"/>
        </w:rPr>
        <w:tab/>
        <w:t xml:space="preserve">Quatrième série de textes soumis par la Commission de rédaction en première lecture (B4) (Document </w:t>
      </w:r>
      <w:hyperlink r:id="rId25" w:history="1">
        <w:r w:rsidRPr="00B7626F">
          <w:rPr>
            <w:rStyle w:val="Hyperlink"/>
            <w:bCs/>
            <w:szCs w:val="28"/>
            <w:lang w:val="fr-CH"/>
          </w:rPr>
          <w:t>117</w:t>
        </w:r>
      </w:hyperlink>
      <w:r w:rsidRPr="00B7626F">
        <w:rPr>
          <w:lang w:val="fr-CH"/>
        </w:rPr>
        <w:t>)</w:t>
      </w:r>
    </w:p>
    <w:p w:rsidR="00DD5B6B" w:rsidRPr="00B7626F" w:rsidRDefault="00DD5B6B" w:rsidP="00E421E2">
      <w:pPr>
        <w:pStyle w:val="Normalaftertitle"/>
        <w:spacing w:before="160"/>
        <w:rPr>
          <w:b/>
          <w:bCs/>
          <w:lang w:val="fr-CH"/>
        </w:rPr>
      </w:pPr>
      <w:r w:rsidRPr="00B7626F">
        <w:rPr>
          <w:b/>
          <w:bCs/>
          <w:lang w:val="fr-CH"/>
        </w:rPr>
        <w:t xml:space="preserve">Projet de Résolution 34 (Rév. Dubaï, 2018) </w:t>
      </w:r>
      <w:r w:rsidR="00CD24A4" w:rsidRPr="00B7626F">
        <w:rPr>
          <w:b/>
          <w:bCs/>
          <w:lang w:val="fr-CH"/>
        </w:rPr>
        <w:t>–</w:t>
      </w:r>
      <w:r w:rsidRPr="00B7626F">
        <w:rPr>
          <w:b/>
          <w:bCs/>
          <w:lang w:val="fr-CH"/>
        </w:rPr>
        <w:t xml:space="preserve"> </w:t>
      </w:r>
      <w:bookmarkStart w:id="14" w:name="_Toc165351390"/>
      <w:bookmarkStart w:id="15" w:name="_Toc407016193"/>
      <w:r w:rsidRPr="00B7626F">
        <w:rPr>
          <w:b/>
          <w:bCs/>
          <w:lang w:val="fr-CH"/>
        </w:rPr>
        <w:t>Assistance et appui aux pays ayant des besoins spéciaux pour la reconstruction</w:t>
      </w:r>
      <w:r w:rsidR="00CD24A4" w:rsidRPr="00B7626F">
        <w:rPr>
          <w:b/>
          <w:bCs/>
          <w:lang w:val="fr-CH"/>
        </w:rPr>
        <w:t xml:space="preserve"> </w:t>
      </w:r>
      <w:r w:rsidRPr="00B7626F">
        <w:rPr>
          <w:b/>
          <w:bCs/>
          <w:lang w:val="fr-CH"/>
        </w:rPr>
        <w:t>de leur secteur des télécommunications</w:t>
      </w:r>
      <w:bookmarkEnd w:id="14"/>
      <w:bookmarkEnd w:id="15"/>
    </w:p>
    <w:p w:rsidR="00DD5B6B" w:rsidRPr="00B7626F" w:rsidRDefault="00DD5B6B" w:rsidP="00E421E2">
      <w:pPr>
        <w:spacing w:before="160"/>
        <w:rPr>
          <w:b/>
          <w:bCs/>
          <w:lang w:val="fr-CH"/>
        </w:rPr>
      </w:pPr>
      <w:r w:rsidRPr="00B7626F">
        <w:rPr>
          <w:b/>
          <w:bCs/>
          <w:lang w:val="fr-CH"/>
        </w:rPr>
        <w:t xml:space="preserve">Projet de Résolution 41 (Rév. Dubaï, 2018) </w:t>
      </w:r>
      <w:r w:rsidR="00CD24A4" w:rsidRPr="00B7626F">
        <w:rPr>
          <w:b/>
          <w:szCs w:val="24"/>
          <w:lang w:val="fr-CH"/>
        </w:rPr>
        <w:t>–</w:t>
      </w:r>
      <w:r w:rsidRPr="00B7626F">
        <w:rPr>
          <w:b/>
          <w:bCs/>
          <w:lang w:val="fr-CH"/>
        </w:rPr>
        <w:t xml:space="preserve"> </w:t>
      </w:r>
      <w:bookmarkStart w:id="16" w:name="_Toc165351400"/>
      <w:bookmarkStart w:id="17" w:name="_Toc407016195"/>
      <w:r w:rsidRPr="00B7626F">
        <w:rPr>
          <w:b/>
          <w:bCs/>
          <w:lang w:val="fr-CH"/>
        </w:rPr>
        <w:t>Arriérés et comptes spéciaux d'arriérés</w:t>
      </w:r>
      <w:bookmarkEnd w:id="16"/>
      <w:bookmarkEnd w:id="17"/>
    </w:p>
    <w:p w:rsidR="00DD5B6B" w:rsidRPr="00B7626F" w:rsidRDefault="00DD5B6B" w:rsidP="00E421E2">
      <w:pPr>
        <w:spacing w:before="160"/>
        <w:rPr>
          <w:b/>
          <w:bCs/>
          <w:lang w:val="fr-CH"/>
        </w:rPr>
      </w:pPr>
      <w:r w:rsidRPr="00B7626F">
        <w:rPr>
          <w:b/>
          <w:bCs/>
          <w:lang w:val="fr-CH"/>
        </w:rPr>
        <w:t>Projet de Résolution 167 (Rév. Dubaï</w:t>
      </w:r>
      <w:r w:rsidR="00CD24A4" w:rsidRPr="00B7626F">
        <w:rPr>
          <w:b/>
          <w:bCs/>
          <w:lang w:val="fr-CH"/>
        </w:rPr>
        <w:t xml:space="preserve">, 2018) </w:t>
      </w:r>
      <w:r w:rsidR="00CD24A4" w:rsidRPr="00B7626F">
        <w:rPr>
          <w:b/>
          <w:szCs w:val="24"/>
          <w:lang w:val="fr-CH"/>
        </w:rPr>
        <w:t>–</w:t>
      </w:r>
      <w:r w:rsidRPr="00B7626F">
        <w:rPr>
          <w:b/>
          <w:bCs/>
          <w:lang w:val="fr-CH"/>
        </w:rPr>
        <w:t xml:space="preserve"> </w:t>
      </w:r>
      <w:bookmarkStart w:id="18" w:name="_Toc407016263"/>
      <w:r w:rsidRPr="00B7626F">
        <w:rPr>
          <w:b/>
          <w:bCs/>
          <w:lang w:val="fr-CH"/>
        </w:rPr>
        <w:t>Renforcement et développement des capacités de l'UIT pour les réunions électroniques et des moyens permettant de faire avancer les travaux de l'Union</w:t>
      </w:r>
      <w:bookmarkEnd w:id="18"/>
    </w:p>
    <w:p w:rsidR="00DD5B6B" w:rsidRPr="00B7626F" w:rsidRDefault="00DD5B6B" w:rsidP="00E421E2">
      <w:pPr>
        <w:spacing w:before="160"/>
        <w:rPr>
          <w:b/>
          <w:bCs/>
          <w:lang w:val="fr-CH"/>
        </w:rPr>
      </w:pPr>
      <w:r w:rsidRPr="00B7626F">
        <w:rPr>
          <w:b/>
          <w:bCs/>
          <w:lang w:val="fr-CH"/>
        </w:rPr>
        <w:lastRenderedPageBreak/>
        <w:t xml:space="preserve">Projet de Résolution </w:t>
      </w:r>
      <w:r w:rsidR="00CD24A4" w:rsidRPr="00B7626F">
        <w:rPr>
          <w:b/>
          <w:bCs/>
          <w:lang w:val="fr-CH"/>
        </w:rPr>
        <w:t xml:space="preserve">COM6/1 (Dubaï, 2018) </w:t>
      </w:r>
      <w:r w:rsidR="00CD24A4" w:rsidRPr="00B7626F">
        <w:rPr>
          <w:b/>
          <w:szCs w:val="24"/>
          <w:lang w:val="fr-CH"/>
        </w:rPr>
        <w:t>–</w:t>
      </w:r>
      <w:r w:rsidRPr="00B7626F">
        <w:rPr>
          <w:b/>
          <w:bCs/>
          <w:lang w:val="fr-CH"/>
        </w:rPr>
        <w:t xml:space="preserve"> Appui à l'initiative iraquienne Du</w:t>
      </w:r>
      <w:r w:rsidRPr="00B7626F">
        <w:rPr>
          <w:b/>
          <w:bCs/>
          <w:vertAlign w:val="subscript"/>
          <w:lang w:val="fr-CH"/>
        </w:rPr>
        <w:t>3</w:t>
      </w:r>
      <w:r w:rsidRPr="00B7626F">
        <w:rPr>
          <w:b/>
          <w:bCs/>
          <w:lang w:val="fr-CH"/>
        </w:rPr>
        <w:t>M 2025 visant à faire progresser les secteurs des télécommunications et des technologies de l'information</w:t>
      </w:r>
    </w:p>
    <w:p w:rsidR="00DD5B6B" w:rsidRPr="00B7626F" w:rsidRDefault="00DD5B6B" w:rsidP="00DD5B6B">
      <w:pPr>
        <w:spacing w:before="160"/>
        <w:rPr>
          <w:b/>
          <w:lang w:val="fr-CH"/>
        </w:rPr>
      </w:pPr>
      <w:r w:rsidRPr="00B7626F">
        <w:rPr>
          <w:lang w:val="fr-CH"/>
        </w:rPr>
        <w:t>2.1</w:t>
      </w:r>
      <w:r w:rsidRPr="00B7626F">
        <w:rPr>
          <w:b/>
          <w:lang w:val="fr-CH"/>
        </w:rPr>
        <w:tab/>
        <w:t>Adoptés.</w:t>
      </w:r>
    </w:p>
    <w:p w:rsidR="00DD5B6B" w:rsidRPr="00B7626F" w:rsidRDefault="00DD5B6B" w:rsidP="00E421E2">
      <w:pPr>
        <w:spacing w:before="160"/>
        <w:rPr>
          <w:b/>
          <w:bCs/>
          <w:szCs w:val="24"/>
          <w:lang w:val="fr-CH"/>
        </w:rPr>
      </w:pPr>
      <w:r w:rsidRPr="00B7626F">
        <w:rPr>
          <w:b/>
          <w:szCs w:val="24"/>
          <w:lang w:val="fr-CH"/>
        </w:rPr>
        <w:t xml:space="preserve">Suppression de la Résolution </w:t>
      </w:r>
      <w:r w:rsidRPr="00B7626F">
        <w:rPr>
          <w:b/>
          <w:bCs/>
          <w:szCs w:val="24"/>
          <w:lang w:val="fr-CH"/>
        </w:rPr>
        <w:t xml:space="preserve">185 (Busan, 2014) </w:t>
      </w:r>
      <w:r w:rsidR="00CD24A4" w:rsidRPr="00B7626F">
        <w:rPr>
          <w:b/>
          <w:szCs w:val="24"/>
          <w:lang w:val="fr-CH"/>
        </w:rPr>
        <w:t>–</w:t>
      </w:r>
      <w:r w:rsidRPr="00B7626F">
        <w:rPr>
          <w:b/>
          <w:bCs/>
          <w:szCs w:val="24"/>
          <w:lang w:val="fr-CH"/>
        </w:rPr>
        <w:t xml:space="preserve"> </w:t>
      </w:r>
      <w:bookmarkStart w:id="19" w:name="_Toc407016285"/>
      <w:r w:rsidRPr="00B7626F">
        <w:rPr>
          <w:b/>
          <w:bCs/>
          <w:szCs w:val="24"/>
          <w:lang w:val="fr-CH"/>
        </w:rPr>
        <w:t>Suivi des vols à l'échelle mondiale pour l'aviation civile</w:t>
      </w:r>
      <w:bookmarkEnd w:id="19"/>
    </w:p>
    <w:p w:rsidR="00DD5B6B" w:rsidRPr="00B7626F" w:rsidRDefault="00DD5B6B" w:rsidP="00E421E2">
      <w:pPr>
        <w:rPr>
          <w:b/>
          <w:bCs/>
          <w:lang w:val="fr-CH"/>
        </w:rPr>
      </w:pPr>
      <w:r w:rsidRPr="00B7626F">
        <w:rPr>
          <w:bCs/>
          <w:lang w:val="fr-CH"/>
        </w:rPr>
        <w:t>2.2</w:t>
      </w:r>
      <w:r w:rsidRPr="00B7626F">
        <w:rPr>
          <w:b/>
          <w:bCs/>
          <w:lang w:val="fr-CH"/>
        </w:rPr>
        <w:tab/>
        <w:t>Approuvée.</w:t>
      </w:r>
    </w:p>
    <w:p w:rsidR="00DD5B6B" w:rsidRPr="00B7626F" w:rsidRDefault="00DD5B6B" w:rsidP="00DD5B6B">
      <w:pPr>
        <w:rPr>
          <w:lang w:val="fr-CH"/>
        </w:rPr>
      </w:pPr>
      <w:r w:rsidRPr="00B7626F">
        <w:rPr>
          <w:lang w:val="fr-CH"/>
        </w:rPr>
        <w:t>2.3</w:t>
      </w:r>
      <w:r w:rsidRPr="00B7626F">
        <w:rPr>
          <w:lang w:val="fr-CH"/>
        </w:rPr>
        <w:tab/>
        <w:t xml:space="preserve">La quatrième série de texte soumis par la Commission de rédaction en première lecture (B4) (Document 117) est </w:t>
      </w:r>
      <w:r w:rsidRPr="00B7626F">
        <w:rPr>
          <w:b/>
          <w:lang w:val="fr-CH"/>
        </w:rPr>
        <w:t>approuvée</w:t>
      </w:r>
      <w:r w:rsidRPr="00B7626F">
        <w:rPr>
          <w:lang w:val="fr-CH"/>
        </w:rPr>
        <w:t>.</w:t>
      </w:r>
    </w:p>
    <w:p w:rsidR="00DD5B6B" w:rsidRPr="00B7626F" w:rsidRDefault="00DD5B6B" w:rsidP="00CD24A4">
      <w:pPr>
        <w:pStyle w:val="Heading1"/>
        <w:rPr>
          <w:lang w:val="fr-CH"/>
        </w:rPr>
      </w:pPr>
      <w:r w:rsidRPr="00B7626F">
        <w:rPr>
          <w:lang w:val="fr-CH"/>
        </w:rPr>
        <w:t>3</w:t>
      </w:r>
      <w:r w:rsidRPr="00B7626F">
        <w:rPr>
          <w:lang w:val="fr-CH"/>
        </w:rPr>
        <w:tab/>
        <w:t xml:space="preserve">Cinquième série de textes soumis par la Commission de rédaction en première lecture (B5) (Document </w:t>
      </w:r>
      <w:hyperlink r:id="rId26" w:history="1">
        <w:r w:rsidRPr="00B7626F">
          <w:rPr>
            <w:rStyle w:val="Hyperlink"/>
            <w:bCs/>
            <w:szCs w:val="28"/>
            <w:lang w:val="fr-CH"/>
          </w:rPr>
          <w:t>121</w:t>
        </w:r>
      </w:hyperlink>
      <w:r w:rsidRPr="00B7626F">
        <w:rPr>
          <w:lang w:val="fr-CH"/>
        </w:rPr>
        <w:t>)</w:t>
      </w:r>
    </w:p>
    <w:p w:rsidR="00DD5B6B" w:rsidRPr="00B7626F" w:rsidRDefault="00DD5B6B" w:rsidP="00E421E2">
      <w:pPr>
        <w:spacing w:before="160"/>
        <w:rPr>
          <w:b/>
          <w:bCs/>
          <w:szCs w:val="24"/>
          <w:lang w:val="fr-CH"/>
        </w:rPr>
      </w:pPr>
      <w:r w:rsidRPr="00B7626F">
        <w:rPr>
          <w:b/>
          <w:szCs w:val="24"/>
          <w:lang w:val="fr-CH"/>
        </w:rPr>
        <w:t xml:space="preserve">Projet de Résolution </w:t>
      </w:r>
      <w:r w:rsidRPr="00B7626F">
        <w:rPr>
          <w:b/>
          <w:bCs/>
          <w:szCs w:val="24"/>
          <w:lang w:val="fr-CH"/>
        </w:rPr>
        <w:t>123 (</w:t>
      </w:r>
      <w:r w:rsidRPr="00B7626F">
        <w:rPr>
          <w:b/>
          <w:szCs w:val="24"/>
          <w:lang w:val="fr-CH"/>
        </w:rPr>
        <w:t>Rév. Dubaï</w:t>
      </w:r>
      <w:r w:rsidRPr="00B7626F">
        <w:rPr>
          <w:b/>
          <w:bCs/>
          <w:szCs w:val="24"/>
          <w:lang w:val="fr-CH"/>
        </w:rPr>
        <w:t xml:space="preserve">, 2018) </w:t>
      </w:r>
      <w:r w:rsidR="00CD24A4" w:rsidRPr="00B7626F">
        <w:rPr>
          <w:b/>
          <w:szCs w:val="24"/>
          <w:lang w:val="fr-CH"/>
        </w:rPr>
        <w:t>–</w:t>
      </w:r>
      <w:r w:rsidRPr="00B7626F">
        <w:rPr>
          <w:b/>
          <w:bCs/>
          <w:szCs w:val="24"/>
          <w:lang w:val="fr-CH"/>
        </w:rPr>
        <w:t xml:space="preserve"> </w:t>
      </w:r>
      <w:bookmarkStart w:id="20" w:name="_Toc407016221"/>
      <w:r w:rsidRPr="00B7626F">
        <w:rPr>
          <w:b/>
          <w:bCs/>
          <w:szCs w:val="24"/>
          <w:lang w:val="fr-CH"/>
        </w:rPr>
        <w:t>Réduire l'écart qui existe en matière de normalisation entre pays en développement et pays développés</w:t>
      </w:r>
      <w:bookmarkEnd w:id="20"/>
    </w:p>
    <w:p w:rsidR="00DD5B6B" w:rsidRPr="00B7626F" w:rsidRDefault="00DD5B6B" w:rsidP="00CD24A4">
      <w:pPr>
        <w:rPr>
          <w:lang w:val="fr-CH"/>
        </w:rPr>
      </w:pPr>
      <w:r w:rsidRPr="00B7626F">
        <w:rPr>
          <w:lang w:val="fr-CH"/>
        </w:rPr>
        <w:t>3.1</w:t>
      </w:r>
      <w:r w:rsidRPr="00B7626F">
        <w:rPr>
          <w:lang w:val="fr-CH"/>
        </w:rPr>
        <w:tab/>
        <w:t xml:space="preserve">La </w:t>
      </w:r>
      <w:r w:rsidRPr="00B7626F">
        <w:rPr>
          <w:b/>
          <w:lang w:val="fr-CH"/>
        </w:rPr>
        <w:t>Présidente de la Commission de rédaction</w:t>
      </w:r>
      <w:r w:rsidRPr="00B7626F">
        <w:rPr>
          <w:lang w:val="fr-CH"/>
        </w:rPr>
        <w:t xml:space="preserve"> explique </w:t>
      </w:r>
      <w:r w:rsidR="00CD24A4" w:rsidRPr="00B7626F">
        <w:rPr>
          <w:lang w:val="fr-CH"/>
        </w:rPr>
        <w:t>que, dans</w:t>
      </w:r>
      <w:r w:rsidRPr="00B7626F">
        <w:rPr>
          <w:lang w:val="fr-CH"/>
        </w:rPr>
        <w:t xml:space="preserve"> le point c) du </w:t>
      </w:r>
      <w:r w:rsidRPr="00B7626F">
        <w:rPr>
          <w:i/>
          <w:iCs/>
          <w:lang w:val="fr-CH"/>
        </w:rPr>
        <w:t xml:space="preserve">notant </w:t>
      </w:r>
      <w:r w:rsidRPr="00B7626F">
        <w:rPr>
          <w:lang w:val="fr-CH"/>
        </w:rPr>
        <w:t xml:space="preserve">et dans le </w:t>
      </w:r>
      <w:r w:rsidRPr="00B7626F">
        <w:rPr>
          <w:i/>
          <w:iCs/>
          <w:lang w:val="fr-CH"/>
        </w:rPr>
        <w:t>considérant</w:t>
      </w:r>
      <w:r w:rsidRPr="00B7626F">
        <w:rPr>
          <w:lang w:val="fr-CH"/>
        </w:rPr>
        <w:t xml:space="preserve">, le texte </w:t>
      </w:r>
      <w:r w:rsidR="00CD24A4" w:rsidRPr="00B7626F">
        <w:rPr>
          <w:lang w:val="fr-CH"/>
        </w:rPr>
        <w:t>tiré</w:t>
      </w:r>
      <w:r w:rsidRPr="00B7626F">
        <w:rPr>
          <w:lang w:val="fr-CH"/>
        </w:rPr>
        <w:t xml:space="preserve"> du plan stratégique de l'Union pour la période 2020-2023 (Résolution 71), qui n'a pas encore été adopté, a été placé entre crochets. Elle propose que la plénière adopte le projet de Résolution 123 en première lecture et attende que le nouveau plan stratégique ait été adopté pour procéder à la seconde lecture.</w:t>
      </w:r>
    </w:p>
    <w:p w:rsidR="00DD5B6B" w:rsidRPr="00B7626F" w:rsidRDefault="00DD5B6B" w:rsidP="00DD5B6B">
      <w:pPr>
        <w:rPr>
          <w:b/>
          <w:lang w:val="fr-CH"/>
        </w:rPr>
      </w:pPr>
      <w:r w:rsidRPr="00B7626F">
        <w:rPr>
          <w:lang w:val="fr-CH"/>
        </w:rPr>
        <w:t>3.2</w:t>
      </w:r>
      <w:r w:rsidRPr="00B7626F">
        <w:rPr>
          <w:lang w:val="fr-CH"/>
        </w:rPr>
        <w:tab/>
        <w:t>Il en est ainsi</w:t>
      </w:r>
      <w:r w:rsidRPr="00B7626F">
        <w:rPr>
          <w:b/>
          <w:bCs/>
          <w:lang w:val="fr-CH"/>
        </w:rPr>
        <w:t xml:space="preserve"> décidé</w:t>
      </w:r>
      <w:r w:rsidRPr="00B7626F">
        <w:rPr>
          <w:b/>
          <w:lang w:val="fr-CH"/>
        </w:rPr>
        <w:t>.</w:t>
      </w:r>
    </w:p>
    <w:p w:rsidR="00DD5B6B" w:rsidRPr="00B7626F" w:rsidRDefault="00DD5B6B" w:rsidP="00E421E2">
      <w:pPr>
        <w:spacing w:before="160"/>
        <w:rPr>
          <w:b/>
          <w:szCs w:val="24"/>
          <w:lang w:val="fr-CH"/>
        </w:rPr>
      </w:pPr>
      <w:r w:rsidRPr="00B7626F">
        <w:rPr>
          <w:b/>
          <w:szCs w:val="24"/>
          <w:lang w:val="fr-CH"/>
        </w:rPr>
        <w:t xml:space="preserve">Projet de Résolution 176 (Rév. Dubaï, 2018) </w:t>
      </w:r>
      <w:r w:rsidR="00CD24A4" w:rsidRPr="00B7626F">
        <w:rPr>
          <w:b/>
          <w:szCs w:val="24"/>
          <w:lang w:val="fr-CH"/>
        </w:rPr>
        <w:t>–</w:t>
      </w:r>
      <w:r w:rsidRPr="00B7626F">
        <w:rPr>
          <w:b/>
          <w:szCs w:val="24"/>
          <w:lang w:val="fr-CH"/>
        </w:rPr>
        <w:t xml:space="preserve"> </w:t>
      </w:r>
      <w:bookmarkStart w:id="21" w:name="_Toc407016273"/>
      <w:r w:rsidRPr="00B7626F">
        <w:rPr>
          <w:b/>
          <w:szCs w:val="24"/>
          <w:lang w:val="fr-CH"/>
        </w:rPr>
        <w:t>Problèmes de mesure et d'évaluation liés à l'exposition des personnes aux champs électromagnétiques</w:t>
      </w:r>
      <w:bookmarkEnd w:id="21"/>
    </w:p>
    <w:p w:rsidR="00DD5B6B" w:rsidRPr="00B7626F" w:rsidRDefault="00DD5B6B" w:rsidP="00E421E2">
      <w:pPr>
        <w:spacing w:before="160"/>
        <w:rPr>
          <w:b/>
          <w:szCs w:val="24"/>
          <w:lang w:val="fr-CH"/>
        </w:rPr>
      </w:pPr>
      <w:r w:rsidRPr="00B7626F">
        <w:rPr>
          <w:b/>
          <w:szCs w:val="24"/>
          <w:lang w:val="fr-CH"/>
        </w:rPr>
        <w:t>Projet de Résolution 200 (Rév. Dubaï</w:t>
      </w:r>
      <w:r w:rsidR="00CD24A4" w:rsidRPr="00B7626F">
        <w:rPr>
          <w:b/>
          <w:szCs w:val="24"/>
          <w:lang w:val="fr-CH"/>
        </w:rPr>
        <w:t>, 2018) –</w:t>
      </w:r>
      <w:r w:rsidRPr="00B7626F">
        <w:rPr>
          <w:b/>
          <w:szCs w:val="24"/>
          <w:lang w:val="fr-CH"/>
        </w:rPr>
        <w:t xml:space="preserve"> Programme Connect 2030 pour les télécommunications/technologies de l'information et de la communication dans le monde, y compris le large bande, en faveur du développement durable</w:t>
      </w:r>
    </w:p>
    <w:p w:rsidR="00DD5B6B" w:rsidRPr="00B7626F" w:rsidRDefault="00DD5B6B" w:rsidP="00E421E2">
      <w:pPr>
        <w:spacing w:before="160"/>
        <w:rPr>
          <w:b/>
          <w:szCs w:val="24"/>
          <w:lang w:val="fr-CH"/>
        </w:rPr>
      </w:pPr>
      <w:r w:rsidRPr="00B7626F">
        <w:rPr>
          <w:b/>
          <w:szCs w:val="24"/>
          <w:lang w:val="fr-CH"/>
        </w:rPr>
        <w:t>Projet de Résolution COM5/2 (Duba</w:t>
      </w:r>
      <w:r w:rsidR="00CD24A4" w:rsidRPr="00B7626F">
        <w:rPr>
          <w:b/>
          <w:szCs w:val="24"/>
          <w:lang w:val="fr-CH"/>
        </w:rPr>
        <w:t>ï</w:t>
      </w:r>
      <w:r w:rsidRPr="00B7626F">
        <w:rPr>
          <w:b/>
          <w:szCs w:val="24"/>
          <w:lang w:val="fr-CH"/>
        </w:rPr>
        <w:t>, 201</w:t>
      </w:r>
      <w:r w:rsidR="00CD24A4" w:rsidRPr="00B7626F">
        <w:rPr>
          <w:b/>
          <w:szCs w:val="24"/>
          <w:lang w:val="fr-CH"/>
        </w:rPr>
        <w:t>8) –</w:t>
      </w:r>
      <w:r w:rsidRPr="00B7626F">
        <w:rPr>
          <w:b/>
          <w:szCs w:val="24"/>
          <w:lang w:val="fr-CH"/>
        </w:rPr>
        <w:t xml:space="preserve"> Nomination et durée maximale du mandat des présidents et des vice-présidents des groupes consultatifs, des commissions d'études et des autres groupes des Secteurs</w:t>
      </w:r>
    </w:p>
    <w:p w:rsidR="00DD5B6B" w:rsidRPr="00B7626F" w:rsidRDefault="00DD5B6B" w:rsidP="00DD5B6B">
      <w:pPr>
        <w:rPr>
          <w:b/>
          <w:lang w:val="fr-CH"/>
        </w:rPr>
      </w:pPr>
      <w:r w:rsidRPr="00B7626F">
        <w:rPr>
          <w:lang w:val="fr-CH"/>
        </w:rPr>
        <w:t>3.3</w:t>
      </w:r>
      <w:r w:rsidRPr="00B7626F">
        <w:rPr>
          <w:lang w:val="fr-CH"/>
        </w:rPr>
        <w:tab/>
      </w:r>
      <w:r w:rsidRPr="00B7626F">
        <w:rPr>
          <w:b/>
          <w:lang w:val="fr-CH"/>
        </w:rPr>
        <w:t>Adoptés.</w:t>
      </w:r>
    </w:p>
    <w:p w:rsidR="00DD5B6B" w:rsidRPr="00B7626F" w:rsidRDefault="00DD5B6B" w:rsidP="00E421E2">
      <w:pPr>
        <w:spacing w:before="160"/>
        <w:rPr>
          <w:b/>
          <w:szCs w:val="24"/>
          <w:lang w:val="fr-CH"/>
        </w:rPr>
      </w:pPr>
      <w:r w:rsidRPr="00B7626F">
        <w:rPr>
          <w:b/>
          <w:szCs w:val="24"/>
          <w:lang w:val="fr-CH"/>
        </w:rPr>
        <w:t xml:space="preserve">Suppression de la Résolution </w:t>
      </w:r>
      <w:r w:rsidR="00CD24A4" w:rsidRPr="00B7626F">
        <w:rPr>
          <w:b/>
          <w:szCs w:val="24"/>
          <w:lang w:val="fr-CH"/>
        </w:rPr>
        <w:t>166 (Ré</w:t>
      </w:r>
      <w:r w:rsidRPr="00B7626F">
        <w:rPr>
          <w:b/>
          <w:szCs w:val="24"/>
          <w:lang w:val="fr-CH"/>
        </w:rPr>
        <w:t xml:space="preserve">v. Busan, 2014) </w:t>
      </w:r>
      <w:r w:rsidR="00CD24A4" w:rsidRPr="00B7626F">
        <w:rPr>
          <w:b/>
          <w:szCs w:val="24"/>
          <w:lang w:val="fr-CH"/>
        </w:rPr>
        <w:t>–</w:t>
      </w:r>
      <w:r w:rsidRPr="00B7626F">
        <w:rPr>
          <w:b/>
          <w:szCs w:val="24"/>
          <w:lang w:val="fr-CH"/>
        </w:rPr>
        <w:t xml:space="preserve"> </w:t>
      </w:r>
      <w:bookmarkStart w:id="22" w:name="_Toc407016261"/>
      <w:r w:rsidRPr="00B7626F">
        <w:rPr>
          <w:b/>
          <w:szCs w:val="24"/>
          <w:lang w:val="fr-CH"/>
        </w:rPr>
        <w:t>Nombre de vice-présidents des groupes consultatifs, des commissions d'études, des groupes de travail et des autres groupes des Secteurs</w:t>
      </w:r>
      <w:bookmarkEnd w:id="22"/>
    </w:p>
    <w:p w:rsidR="00DD5B6B" w:rsidRPr="00B7626F" w:rsidRDefault="00DD5B6B" w:rsidP="00DD5B6B">
      <w:pPr>
        <w:rPr>
          <w:b/>
          <w:lang w:val="fr-CH"/>
        </w:rPr>
      </w:pPr>
      <w:r w:rsidRPr="00B7626F">
        <w:rPr>
          <w:lang w:val="fr-CH"/>
        </w:rPr>
        <w:t>3.4</w:t>
      </w:r>
      <w:r w:rsidRPr="00B7626F">
        <w:rPr>
          <w:lang w:val="fr-CH"/>
        </w:rPr>
        <w:tab/>
      </w:r>
      <w:r w:rsidRPr="00B7626F">
        <w:rPr>
          <w:b/>
          <w:lang w:val="fr-CH"/>
        </w:rPr>
        <w:t>Approuvée.</w:t>
      </w:r>
    </w:p>
    <w:p w:rsidR="00DD5B6B" w:rsidRPr="00B7626F" w:rsidRDefault="00DD5B6B" w:rsidP="00DD5B6B">
      <w:pPr>
        <w:rPr>
          <w:b/>
          <w:lang w:val="fr-CH"/>
        </w:rPr>
      </w:pPr>
      <w:r w:rsidRPr="00B7626F">
        <w:rPr>
          <w:lang w:val="fr-CH"/>
        </w:rPr>
        <w:t>3.5</w:t>
      </w:r>
      <w:r w:rsidRPr="00B7626F">
        <w:rPr>
          <w:lang w:val="fr-CH"/>
        </w:rPr>
        <w:tab/>
        <w:t xml:space="preserve">La cinquième série de texte soumis par la Commission de rédaction en première lecture (B5) (Document 121) est </w:t>
      </w:r>
      <w:r w:rsidRPr="00B7626F">
        <w:rPr>
          <w:b/>
          <w:lang w:val="fr-CH"/>
        </w:rPr>
        <w:t>approuvée</w:t>
      </w:r>
      <w:r w:rsidRPr="00B7626F">
        <w:rPr>
          <w:lang w:val="fr-CH"/>
        </w:rPr>
        <w:t>.</w:t>
      </w:r>
    </w:p>
    <w:p w:rsidR="00DD5B6B" w:rsidRPr="00B7626F" w:rsidRDefault="00DD5B6B" w:rsidP="00CD24A4">
      <w:pPr>
        <w:pStyle w:val="Heading1"/>
        <w:rPr>
          <w:lang w:val="fr-CH"/>
        </w:rPr>
      </w:pPr>
      <w:r w:rsidRPr="00B7626F">
        <w:rPr>
          <w:lang w:val="fr-CH"/>
        </w:rPr>
        <w:lastRenderedPageBreak/>
        <w:t>4</w:t>
      </w:r>
      <w:r w:rsidRPr="00B7626F">
        <w:rPr>
          <w:lang w:val="fr-CH"/>
        </w:rPr>
        <w:tab/>
        <w:t xml:space="preserve">Première série de textes soumis par la Commission de rédaction en deuxième lecture (R1) (Document </w:t>
      </w:r>
      <w:hyperlink r:id="rId27" w:history="1">
        <w:r w:rsidRPr="00B7626F">
          <w:rPr>
            <w:rStyle w:val="Hyperlink"/>
            <w:bCs/>
            <w:szCs w:val="28"/>
            <w:lang w:val="fr-CH"/>
          </w:rPr>
          <w:t>116</w:t>
        </w:r>
      </w:hyperlink>
      <w:r w:rsidRPr="00B7626F">
        <w:rPr>
          <w:lang w:val="fr-CH"/>
        </w:rPr>
        <w:t>)</w:t>
      </w:r>
    </w:p>
    <w:p w:rsidR="00DD5B6B" w:rsidRPr="00B7626F" w:rsidRDefault="00DD5B6B" w:rsidP="00DD5B6B">
      <w:pPr>
        <w:rPr>
          <w:lang w:val="fr-CH"/>
        </w:rPr>
      </w:pPr>
      <w:r w:rsidRPr="00B7626F">
        <w:rPr>
          <w:lang w:val="fr-CH"/>
        </w:rPr>
        <w:t>4.1</w:t>
      </w:r>
      <w:r w:rsidRPr="00B7626F">
        <w:rPr>
          <w:lang w:val="fr-CH"/>
        </w:rPr>
        <w:tab/>
        <w:t xml:space="preserve">La </w:t>
      </w:r>
      <w:r w:rsidRPr="00B7626F">
        <w:rPr>
          <w:b/>
          <w:lang w:val="fr-CH"/>
        </w:rPr>
        <w:t>Présidente de la Commission de rédaction</w:t>
      </w:r>
      <w:r w:rsidRPr="00B7626F">
        <w:rPr>
          <w:lang w:val="fr-CH"/>
        </w:rPr>
        <w:t xml:space="preserve"> attire l'attention sur les modifications apportées au point 1 du </w:t>
      </w:r>
      <w:r w:rsidRPr="00B7626F">
        <w:rPr>
          <w:i/>
          <w:iCs/>
          <w:lang w:val="fr-CH"/>
        </w:rPr>
        <w:t>décide</w:t>
      </w:r>
      <w:r w:rsidRPr="00B7626F">
        <w:rPr>
          <w:lang w:val="fr-CH"/>
        </w:rPr>
        <w:t xml:space="preserve"> de la version arabe du projet de Résolution 165 (Rév. Dubaï, 2018).</w:t>
      </w:r>
    </w:p>
    <w:p w:rsidR="00DD5B6B" w:rsidRPr="00B7626F" w:rsidRDefault="00DD5B6B" w:rsidP="00DD5B6B">
      <w:pPr>
        <w:rPr>
          <w:lang w:val="fr-CH"/>
        </w:rPr>
      </w:pPr>
      <w:r w:rsidRPr="00B7626F">
        <w:rPr>
          <w:lang w:val="fr-CH"/>
        </w:rPr>
        <w:t>4.2</w:t>
      </w:r>
      <w:r w:rsidRPr="00B7626F">
        <w:rPr>
          <w:lang w:val="fr-CH"/>
        </w:rPr>
        <w:tab/>
        <w:t>La première sér</w:t>
      </w:r>
      <w:bookmarkStart w:id="23" w:name="_GoBack"/>
      <w:bookmarkEnd w:id="23"/>
      <w:r w:rsidRPr="00B7626F">
        <w:rPr>
          <w:lang w:val="fr-CH"/>
        </w:rPr>
        <w:t xml:space="preserve">ie de textes soumis par la Commission de rédaction en deuxième lecture (R1) (Document 116) est </w:t>
      </w:r>
      <w:r w:rsidRPr="00B7626F">
        <w:rPr>
          <w:b/>
          <w:lang w:val="fr-CH"/>
        </w:rPr>
        <w:t>approuvée</w:t>
      </w:r>
      <w:r w:rsidRPr="00B7626F">
        <w:rPr>
          <w:lang w:val="fr-CH"/>
        </w:rPr>
        <w:t>.</w:t>
      </w:r>
    </w:p>
    <w:p w:rsidR="00DD5B6B" w:rsidRPr="00B7626F" w:rsidRDefault="00DD5B6B" w:rsidP="00CD24A4">
      <w:pPr>
        <w:pStyle w:val="Heading1"/>
        <w:rPr>
          <w:lang w:val="fr-CH"/>
        </w:rPr>
      </w:pPr>
      <w:r w:rsidRPr="00B7626F">
        <w:rPr>
          <w:lang w:val="fr-CH"/>
        </w:rPr>
        <w:t>5</w:t>
      </w:r>
      <w:r w:rsidRPr="00B7626F">
        <w:rPr>
          <w:lang w:val="fr-CH"/>
        </w:rPr>
        <w:tab/>
        <w:t xml:space="preserve">Troisième série de textes soumis par la Commission de rédaction </w:t>
      </w:r>
      <w:r w:rsidR="00CD24A4" w:rsidRPr="00B7626F">
        <w:rPr>
          <w:b w:val="0"/>
          <w:szCs w:val="24"/>
          <w:lang w:val="fr-CH"/>
        </w:rPr>
        <w:t>–</w:t>
      </w:r>
      <w:r w:rsidRPr="00B7626F">
        <w:rPr>
          <w:lang w:val="fr-CH"/>
        </w:rPr>
        <w:t xml:space="preserve"> seconde lecture (Document </w:t>
      </w:r>
      <w:hyperlink r:id="rId28" w:history="1">
        <w:r w:rsidRPr="00B7626F">
          <w:rPr>
            <w:rStyle w:val="Hyperlink"/>
            <w:bCs/>
            <w:szCs w:val="28"/>
            <w:lang w:val="fr-CH"/>
          </w:rPr>
          <w:t>113</w:t>
        </w:r>
      </w:hyperlink>
      <w:r w:rsidRPr="00B7626F">
        <w:rPr>
          <w:lang w:val="fr-CH"/>
        </w:rPr>
        <w:t>)</w:t>
      </w:r>
    </w:p>
    <w:p w:rsidR="00DD5B6B" w:rsidRPr="00B7626F" w:rsidRDefault="00DD5B6B" w:rsidP="008E3CD7">
      <w:pPr>
        <w:rPr>
          <w:bCs/>
          <w:lang w:val="fr-CH"/>
        </w:rPr>
      </w:pPr>
      <w:r w:rsidRPr="00B7626F">
        <w:rPr>
          <w:bCs/>
          <w:lang w:val="fr-CH"/>
        </w:rPr>
        <w:t>5.1</w:t>
      </w:r>
      <w:r w:rsidRPr="00B7626F">
        <w:rPr>
          <w:bCs/>
          <w:lang w:val="fr-CH"/>
        </w:rPr>
        <w:tab/>
        <w:t xml:space="preserve">La troisième </w:t>
      </w:r>
      <w:r w:rsidRPr="00B7626F">
        <w:rPr>
          <w:lang w:val="fr-CH"/>
        </w:rPr>
        <w:t>série de textes soumis par la Commission de rédaction</w:t>
      </w:r>
      <w:r w:rsidRPr="00B7626F">
        <w:rPr>
          <w:bCs/>
          <w:lang w:val="fr-CH"/>
        </w:rPr>
        <w:t xml:space="preserve"> (Document 113) est </w:t>
      </w:r>
      <w:r w:rsidRPr="00B7626F">
        <w:rPr>
          <w:b/>
          <w:bCs/>
          <w:lang w:val="fr-CH"/>
        </w:rPr>
        <w:t xml:space="preserve">approuvée </w:t>
      </w:r>
      <w:r w:rsidRPr="00B7626F">
        <w:rPr>
          <w:bCs/>
          <w:lang w:val="fr-CH"/>
        </w:rPr>
        <w:t>en seconde lecture.</w:t>
      </w:r>
    </w:p>
    <w:p w:rsidR="00DD5B6B" w:rsidRPr="00B7626F" w:rsidRDefault="00DD5B6B" w:rsidP="00CD24A4">
      <w:pPr>
        <w:pStyle w:val="Heading1"/>
        <w:rPr>
          <w:lang w:val="fr-CH"/>
        </w:rPr>
      </w:pPr>
      <w:r w:rsidRPr="00B7626F">
        <w:rPr>
          <w:lang w:val="fr-CH"/>
        </w:rPr>
        <w:t>6</w:t>
      </w:r>
      <w:r w:rsidRPr="00B7626F">
        <w:rPr>
          <w:lang w:val="fr-CH"/>
        </w:rPr>
        <w:tab/>
        <w:t xml:space="preserve">Quatrième série de textes soumis par la Commission de rédaction </w:t>
      </w:r>
      <w:r w:rsidR="00CD24A4" w:rsidRPr="00B7626F">
        <w:rPr>
          <w:b w:val="0"/>
          <w:szCs w:val="24"/>
          <w:lang w:val="fr-CH"/>
        </w:rPr>
        <w:t>–</w:t>
      </w:r>
      <w:r w:rsidRPr="00B7626F">
        <w:rPr>
          <w:lang w:val="fr-CH"/>
        </w:rPr>
        <w:t xml:space="preserve"> seconde lecture (Document </w:t>
      </w:r>
      <w:hyperlink r:id="rId29" w:history="1">
        <w:r w:rsidRPr="00B7626F">
          <w:rPr>
            <w:rStyle w:val="Hyperlink"/>
            <w:bCs/>
            <w:szCs w:val="28"/>
            <w:lang w:val="fr-CH"/>
          </w:rPr>
          <w:t>117</w:t>
        </w:r>
      </w:hyperlink>
      <w:r w:rsidRPr="00B7626F">
        <w:rPr>
          <w:lang w:val="fr-CH"/>
        </w:rPr>
        <w:t>)</w:t>
      </w:r>
    </w:p>
    <w:p w:rsidR="00DD5B6B" w:rsidRPr="00B7626F" w:rsidRDefault="00DD5B6B" w:rsidP="008E3CD7">
      <w:pPr>
        <w:rPr>
          <w:bCs/>
          <w:lang w:val="fr-CH"/>
        </w:rPr>
      </w:pPr>
      <w:r w:rsidRPr="00B7626F">
        <w:rPr>
          <w:bCs/>
          <w:lang w:val="fr-CH"/>
        </w:rPr>
        <w:t>6.1</w:t>
      </w:r>
      <w:r w:rsidRPr="00B7626F">
        <w:rPr>
          <w:bCs/>
          <w:lang w:val="fr-CH"/>
        </w:rPr>
        <w:tab/>
        <w:t xml:space="preserve">La quatrième </w:t>
      </w:r>
      <w:r w:rsidRPr="00B7626F">
        <w:rPr>
          <w:lang w:val="fr-CH"/>
        </w:rPr>
        <w:t>série de textes soumis par la Commission de rédaction</w:t>
      </w:r>
      <w:r w:rsidRPr="00B7626F">
        <w:rPr>
          <w:bCs/>
          <w:lang w:val="fr-CH"/>
        </w:rPr>
        <w:t xml:space="preserve"> (Document 117) est </w:t>
      </w:r>
      <w:r w:rsidRPr="00B7626F">
        <w:rPr>
          <w:b/>
          <w:bCs/>
          <w:lang w:val="fr-CH"/>
        </w:rPr>
        <w:t xml:space="preserve">approuvée </w:t>
      </w:r>
      <w:r w:rsidRPr="00B7626F">
        <w:rPr>
          <w:bCs/>
          <w:lang w:val="fr-CH"/>
        </w:rPr>
        <w:t>en seconde lecture.</w:t>
      </w:r>
    </w:p>
    <w:p w:rsidR="00DD5B6B" w:rsidRPr="00B7626F" w:rsidRDefault="00DD5B6B" w:rsidP="00CD24A4">
      <w:pPr>
        <w:pStyle w:val="Heading1"/>
        <w:rPr>
          <w:lang w:val="fr-CH"/>
        </w:rPr>
      </w:pPr>
      <w:r w:rsidRPr="00B7626F">
        <w:rPr>
          <w:lang w:val="fr-CH"/>
        </w:rPr>
        <w:t>7</w:t>
      </w:r>
      <w:r w:rsidRPr="00B7626F">
        <w:rPr>
          <w:lang w:val="fr-CH"/>
        </w:rPr>
        <w:tab/>
        <w:t xml:space="preserve">Cinquième série de textes soumis par la Commission de rédaction </w:t>
      </w:r>
      <w:r w:rsidR="00CD24A4" w:rsidRPr="00B7626F">
        <w:rPr>
          <w:b w:val="0"/>
          <w:szCs w:val="24"/>
          <w:lang w:val="fr-CH"/>
        </w:rPr>
        <w:t>–</w:t>
      </w:r>
      <w:r w:rsidRPr="00B7626F">
        <w:rPr>
          <w:lang w:val="fr-CH"/>
        </w:rPr>
        <w:t xml:space="preserve"> seconde lecture (Document </w:t>
      </w:r>
      <w:hyperlink r:id="rId30" w:history="1">
        <w:r w:rsidRPr="00B7626F">
          <w:rPr>
            <w:rStyle w:val="Hyperlink"/>
            <w:bCs/>
            <w:szCs w:val="28"/>
            <w:lang w:val="fr-CH"/>
          </w:rPr>
          <w:t>121</w:t>
        </w:r>
      </w:hyperlink>
      <w:r w:rsidRPr="00B7626F">
        <w:rPr>
          <w:lang w:val="fr-CH"/>
        </w:rPr>
        <w:t>)</w:t>
      </w:r>
    </w:p>
    <w:p w:rsidR="00DD5B6B" w:rsidRPr="00B7626F" w:rsidRDefault="00DD5B6B" w:rsidP="008E3CD7">
      <w:pPr>
        <w:rPr>
          <w:bCs/>
          <w:lang w:val="fr-CH"/>
        </w:rPr>
      </w:pPr>
      <w:r w:rsidRPr="00B7626F">
        <w:rPr>
          <w:bCs/>
          <w:lang w:val="fr-CH"/>
        </w:rPr>
        <w:t>7.1</w:t>
      </w:r>
      <w:r w:rsidRPr="00B7626F">
        <w:rPr>
          <w:bCs/>
          <w:lang w:val="fr-CH"/>
        </w:rPr>
        <w:tab/>
        <w:t xml:space="preserve">A l'exception du projet de Résolution 123 (Rév. Dubaï, 2018), la cinquième </w:t>
      </w:r>
      <w:r w:rsidRPr="00B7626F">
        <w:rPr>
          <w:lang w:val="fr-CH"/>
        </w:rPr>
        <w:t>série de textes soumis par la Commission de rédaction</w:t>
      </w:r>
      <w:r w:rsidRPr="00B7626F">
        <w:rPr>
          <w:bCs/>
          <w:lang w:val="fr-CH"/>
        </w:rPr>
        <w:t xml:space="preserve"> (Document 121) est </w:t>
      </w:r>
      <w:r w:rsidRPr="00B7626F">
        <w:rPr>
          <w:b/>
          <w:bCs/>
          <w:lang w:val="fr-CH"/>
        </w:rPr>
        <w:t xml:space="preserve">approuvée </w:t>
      </w:r>
      <w:r w:rsidRPr="00B7626F">
        <w:rPr>
          <w:bCs/>
          <w:lang w:val="fr-CH"/>
        </w:rPr>
        <w:t>en seconde lecture.</w:t>
      </w:r>
    </w:p>
    <w:p w:rsidR="00DD5B6B" w:rsidRPr="00B7626F" w:rsidRDefault="00DD5B6B" w:rsidP="002025A7">
      <w:pPr>
        <w:pStyle w:val="Heading1"/>
        <w:rPr>
          <w:lang w:val="fr-CH"/>
        </w:rPr>
      </w:pPr>
      <w:r w:rsidRPr="00B7626F">
        <w:rPr>
          <w:lang w:val="fr-CH"/>
        </w:rPr>
        <w:t>8</w:t>
      </w:r>
      <w:r w:rsidRPr="00B7626F">
        <w:rPr>
          <w:lang w:val="fr-CH"/>
        </w:rPr>
        <w:tab/>
        <w:t xml:space="preserve">Approbation des procès-verbaux (Documents </w:t>
      </w:r>
      <w:hyperlink r:id="rId31" w:history="1">
        <w:r w:rsidRPr="00B7626F">
          <w:rPr>
            <w:rStyle w:val="Hyperlink"/>
            <w:bCs/>
            <w:szCs w:val="28"/>
            <w:lang w:val="fr-CH"/>
          </w:rPr>
          <w:t>93</w:t>
        </w:r>
      </w:hyperlink>
      <w:r w:rsidRPr="00B7626F">
        <w:rPr>
          <w:lang w:val="fr-CH"/>
        </w:rPr>
        <w:t xml:space="preserve">, </w:t>
      </w:r>
      <w:hyperlink r:id="rId32" w:history="1">
        <w:r w:rsidRPr="00B7626F">
          <w:rPr>
            <w:rStyle w:val="Hyperlink"/>
            <w:bCs/>
            <w:szCs w:val="28"/>
            <w:lang w:val="fr-CH"/>
          </w:rPr>
          <w:t>94</w:t>
        </w:r>
      </w:hyperlink>
      <w:r w:rsidRPr="00B7626F">
        <w:rPr>
          <w:lang w:val="fr-CH"/>
        </w:rPr>
        <w:t xml:space="preserve">, </w:t>
      </w:r>
      <w:hyperlink r:id="rId33" w:history="1">
        <w:r w:rsidRPr="00B7626F">
          <w:rPr>
            <w:rStyle w:val="Hyperlink"/>
            <w:bCs/>
            <w:szCs w:val="28"/>
            <w:lang w:val="fr-CH"/>
          </w:rPr>
          <w:t>95</w:t>
        </w:r>
      </w:hyperlink>
      <w:r w:rsidRPr="00B7626F">
        <w:rPr>
          <w:lang w:val="fr-CH"/>
        </w:rPr>
        <w:t xml:space="preserve">, </w:t>
      </w:r>
      <w:hyperlink r:id="rId34" w:history="1">
        <w:r w:rsidRPr="00B7626F">
          <w:rPr>
            <w:rStyle w:val="Hyperlink"/>
            <w:bCs/>
            <w:szCs w:val="28"/>
            <w:lang w:val="fr-CH"/>
          </w:rPr>
          <w:t>96</w:t>
        </w:r>
      </w:hyperlink>
      <w:r w:rsidRPr="00B7626F">
        <w:rPr>
          <w:lang w:val="fr-CH"/>
        </w:rPr>
        <w:t xml:space="preserve">, </w:t>
      </w:r>
      <w:hyperlink r:id="rId35" w:history="1">
        <w:r w:rsidRPr="00B7626F">
          <w:rPr>
            <w:rStyle w:val="Hyperlink"/>
            <w:bCs/>
            <w:szCs w:val="28"/>
            <w:lang w:val="fr-CH"/>
          </w:rPr>
          <w:t>97</w:t>
        </w:r>
      </w:hyperlink>
      <w:r w:rsidRPr="00B7626F">
        <w:rPr>
          <w:lang w:val="fr-CH"/>
        </w:rPr>
        <w:t xml:space="preserve">, </w:t>
      </w:r>
      <w:hyperlink r:id="rId36" w:history="1">
        <w:r w:rsidRPr="00B7626F">
          <w:rPr>
            <w:rStyle w:val="Hyperlink"/>
            <w:bCs/>
            <w:szCs w:val="28"/>
            <w:lang w:val="fr-CH"/>
          </w:rPr>
          <w:t>98</w:t>
        </w:r>
      </w:hyperlink>
      <w:r w:rsidRPr="00B7626F">
        <w:rPr>
          <w:lang w:val="fr-CH"/>
        </w:rPr>
        <w:t xml:space="preserve">, </w:t>
      </w:r>
      <w:hyperlink r:id="rId37" w:history="1">
        <w:r w:rsidRPr="00B7626F">
          <w:rPr>
            <w:rStyle w:val="Hyperlink"/>
            <w:bCs/>
            <w:szCs w:val="28"/>
            <w:lang w:val="fr-CH"/>
          </w:rPr>
          <w:t>99</w:t>
        </w:r>
      </w:hyperlink>
      <w:r w:rsidRPr="00B7626F">
        <w:rPr>
          <w:lang w:val="fr-CH"/>
        </w:rPr>
        <w:t xml:space="preserve"> </w:t>
      </w:r>
      <w:r w:rsidR="002025A7" w:rsidRPr="00B7626F">
        <w:rPr>
          <w:lang w:val="fr-CH"/>
        </w:rPr>
        <w:t>et</w:t>
      </w:r>
      <w:r w:rsidRPr="00B7626F">
        <w:rPr>
          <w:lang w:val="fr-CH"/>
        </w:rPr>
        <w:t xml:space="preserve"> </w:t>
      </w:r>
      <w:hyperlink r:id="rId38" w:history="1">
        <w:r w:rsidRPr="00B7626F">
          <w:rPr>
            <w:rStyle w:val="Hyperlink"/>
            <w:bCs/>
            <w:szCs w:val="28"/>
            <w:lang w:val="fr-CH"/>
          </w:rPr>
          <w:t>101</w:t>
        </w:r>
      </w:hyperlink>
      <w:r w:rsidRPr="00B7626F">
        <w:rPr>
          <w:lang w:val="fr-CH"/>
        </w:rPr>
        <w:t>)</w:t>
      </w:r>
    </w:p>
    <w:p w:rsidR="00DD5B6B" w:rsidRPr="00B7626F" w:rsidRDefault="00DD5B6B" w:rsidP="00DD5B6B">
      <w:pPr>
        <w:rPr>
          <w:lang w:val="fr-CH"/>
        </w:rPr>
      </w:pPr>
      <w:r w:rsidRPr="00B7626F">
        <w:rPr>
          <w:lang w:val="fr-CH"/>
        </w:rPr>
        <w:t>8.1</w:t>
      </w:r>
      <w:r w:rsidRPr="00B7626F">
        <w:rPr>
          <w:lang w:val="fr-CH"/>
        </w:rPr>
        <w:tab/>
        <w:t xml:space="preserve">Sous réserve d'une modification du § 1.1 du procès-verbal de la quatrième séance plénière (Document 97) demandée par le </w:t>
      </w:r>
      <w:r w:rsidRPr="00B7626F">
        <w:rPr>
          <w:b/>
          <w:bCs/>
          <w:lang w:val="fr-CH"/>
        </w:rPr>
        <w:t>délégué du Paraguay</w:t>
      </w:r>
      <w:r w:rsidRPr="00B7626F">
        <w:rPr>
          <w:lang w:val="fr-CH"/>
        </w:rPr>
        <w:t>, les procès-verbaux de la cérémonie d'ouve</w:t>
      </w:r>
      <w:r w:rsidR="00B7626F" w:rsidRPr="00B7626F">
        <w:rPr>
          <w:lang w:val="fr-CH"/>
        </w:rPr>
        <w:t>r</w:t>
      </w:r>
      <w:r w:rsidRPr="00B7626F">
        <w:rPr>
          <w:lang w:val="fr-CH"/>
        </w:rPr>
        <w:t xml:space="preserve">ture (Document 93), de la première séance plénière (Document 94), de la deuxième séance plénière (Document 95), de la troisième séance plénière (Document 96), de la quatrième séance plénière (Document 97), de la cinquième séance plénière (Document 98), de la sixième séance plénière (Document 99) et de la septième séance plénière (Document 101) sont </w:t>
      </w:r>
      <w:r w:rsidRPr="00B7626F">
        <w:rPr>
          <w:b/>
          <w:bCs/>
          <w:lang w:val="fr-CH"/>
        </w:rPr>
        <w:t>approuvés</w:t>
      </w:r>
      <w:r w:rsidRPr="00B7626F">
        <w:rPr>
          <w:lang w:val="fr-CH"/>
        </w:rPr>
        <w:t>.</w:t>
      </w:r>
    </w:p>
    <w:p w:rsidR="00DD5B6B" w:rsidRPr="00B7626F" w:rsidRDefault="00DD5B6B" w:rsidP="00DD5B6B">
      <w:pPr>
        <w:pStyle w:val="Normalpv"/>
        <w:rPr>
          <w:b/>
          <w:bCs/>
          <w:lang w:val="fr-CH"/>
        </w:rPr>
      </w:pPr>
      <w:r w:rsidRPr="00B7626F">
        <w:rPr>
          <w:b/>
          <w:bCs/>
          <w:lang w:val="fr-CH"/>
        </w:rPr>
        <w:t>La séance est levée à 15 h 15.</w:t>
      </w:r>
    </w:p>
    <w:p w:rsidR="00615114" w:rsidRPr="00B7626F" w:rsidRDefault="00615114" w:rsidP="00E421E2">
      <w:pPr>
        <w:tabs>
          <w:tab w:val="clear" w:pos="567"/>
          <w:tab w:val="clear" w:pos="1134"/>
          <w:tab w:val="clear" w:pos="1701"/>
          <w:tab w:val="clear" w:pos="2268"/>
          <w:tab w:val="clear" w:pos="2835"/>
          <w:tab w:val="left" w:pos="7088"/>
        </w:tabs>
        <w:spacing w:before="840"/>
        <w:rPr>
          <w:lang w:val="fr-CH"/>
        </w:rPr>
      </w:pPr>
      <w:r w:rsidRPr="00B7626F">
        <w:rPr>
          <w:lang w:val="fr-CH"/>
        </w:rPr>
        <w:t>Le Secrétaire général:</w:t>
      </w:r>
      <w:r w:rsidRPr="00B7626F">
        <w:rPr>
          <w:lang w:val="fr-CH"/>
        </w:rPr>
        <w:tab/>
        <w:t>Le Président:</w:t>
      </w:r>
      <w:r w:rsidR="00FD5DFD" w:rsidRPr="00B7626F">
        <w:rPr>
          <w:lang w:val="fr-CH"/>
        </w:rPr>
        <w:br/>
      </w:r>
      <w:r w:rsidRPr="00B7626F">
        <w:rPr>
          <w:lang w:val="fr-CH"/>
        </w:rPr>
        <w:t>H. ZHAO</w:t>
      </w:r>
      <w:r w:rsidRPr="00B7626F">
        <w:rPr>
          <w:lang w:val="fr-CH"/>
        </w:rPr>
        <w:tab/>
        <w:t>M. ALMESMAR</w:t>
      </w:r>
    </w:p>
    <w:sectPr w:rsidR="00615114" w:rsidRPr="00B7626F" w:rsidSect="003A0B7D">
      <w:headerReference w:type="default" r:id="rId39"/>
      <w:foot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81" w:rsidRDefault="00F01F81">
      <w:r>
        <w:separator/>
      </w:r>
    </w:p>
  </w:endnote>
  <w:endnote w:type="continuationSeparator" w:id="0">
    <w:p w:rsidR="00F01F81" w:rsidRDefault="00F0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B7626F" w:rsidP="005700A8">
    <w:pPr>
      <w:pStyle w:val="Footer"/>
      <w:tabs>
        <w:tab w:val="clear" w:pos="5954"/>
        <w:tab w:val="clear" w:pos="9639"/>
        <w:tab w:val="left" w:pos="7655"/>
        <w:tab w:val="right" w:pos="9498"/>
      </w:tabs>
    </w:pPr>
    <w:fldSimple w:instr=" FILENAME \p \* MERGEFORMAT ">
      <w:r>
        <w:t>P:\FRA\SG\CONF-SG\PP18\100\169F.docx</w:t>
      </w:r>
    </w:fldSimple>
    <w:r w:rsidR="00615114">
      <w:t xml:space="preserve"> (44794</w:t>
    </w:r>
    <w:r w:rsidR="002025A7">
      <w:t>3</w:t>
    </w:r>
    <w:r w:rsidR="0061511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81" w:rsidRDefault="00F01F81">
      <w:r>
        <w:t>____________________</w:t>
      </w:r>
    </w:p>
  </w:footnote>
  <w:footnote w:type="continuationSeparator" w:id="0">
    <w:p w:rsidR="00F01F81" w:rsidRDefault="00F0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D1FD7">
      <w:rPr>
        <w:noProof/>
      </w:rPr>
      <w:t>4</w:t>
    </w:r>
    <w:r>
      <w:fldChar w:fldCharType="end"/>
    </w:r>
  </w:p>
  <w:p w:rsidR="00BD1614" w:rsidRDefault="00BD1614" w:rsidP="002025A7">
    <w:pPr>
      <w:pStyle w:val="Header"/>
    </w:pPr>
    <w:r>
      <w:t>PP1</w:t>
    </w:r>
    <w:r w:rsidR="001E2226">
      <w:t>8</w:t>
    </w:r>
    <w:r w:rsidR="00417658">
      <w:t>/</w:t>
    </w:r>
    <w:r w:rsidR="00615114">
      <w:t>1</w:t>
    </w:r>
    <w:r w:rsidR="002025A7">
      <w:t>69</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748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26C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EF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5E3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0F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440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036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724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22F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C40C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81"/>
    <w:rsid w:val="000054D8"/>
    <w:rsid w:val="00027DCC"/>
    <w:rsid w:val="00060D74"/>
    <w:rsid w:val="00072D5C"/>
    <w:rsid w:val="0008398C"/>
    <w:rsid w:val="00084308"/>
    <w:rsid w:val="00084EA9"/>
    <w:rsid w:val="000B14B6"/>
    <w:rsid w:val="000C467B"/>
    <w:rsid w:val="000D15FB"/>
    <w:rsid w:val="000F58F7"/>
    <w:rsid w:val="001051E4"/>
    <w:rsid w:val="001354EA"/>
    <w:rsid w:val="00136FCE"/>
    <w:rsid w:val="00153BA4"/>
    <w:rsid w:val="00183ADD"/>
    <w:rsid w:val="001941AD"/>
    <w:rsid w:val="001A0682"/>
    <w:rsid w:val="001B4D8D"/>
    <w:rsid w:val="001D31B2"/>
    <w:rsid w:val="001E1B9B"/>
    <w:rsid w:val="001E2226"/>
    <w:rsid w:val="001F6233"/>
    <w:rsid w:val="002025A7"/>
    <w:rsid w:val="002355CD"/>
    <w:rsid w:val="00270B2F"/>
    <w:rsid w:val="002818FB"/>
    <w:rsid w:val="002A0E1B"/>
    <w:rsid w:val="002C1059"/>
    <w:rsid w:val="002C2F9C"/>
    <w:rsid w:val="00322DEA"/>
    <w:rsid w:val="0035005B"/>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00A8"/>
    <w:rsid w:val="00575DC7"/>
    <w:rsid w:val="005836C2"/>
    <w:rsid w:val="005A4EFD"/>
    <w:rsid w:val="005A5ABE"/>
    <w:rsid w:val="005C2ECC"/>
    <w:rsid w:val="005C6744"/>
    <w:rsid w:val="005E419E"/>
    <w:rsid w:val="005F63BD"/>
    <w:rsid w:val="00611CF1"/>
    <w:rsid w:val="00615114"/>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97A82"/>
    <w:rsid w:val="007A5830"/>
    <w:rsid w:val="00801256"/>
    <w:rsid w:val="008703CB"/>
    <w:rsid w:val="008B61AF"/>
    <w:rsid w:val="008B6A61"/>
    <w:rsid w:val="008C33C2"/>
    <w:rsid w:val="008C6137"/>
    <w:rsid w:val="008E2DB4"/>
    <w:rsid w:val="008E3CD7"/>
    <w:rsid w:val="00901DD5"/>
    <w:rsid w:val="0090735B"/>
    <w:rsid w:val="00912D5E"/>
    <w:rsid w:val="00934340"/>
    <w:rsid w:val="00956DC7"/>
    <w:rsid w:val="00966CD3"/>
    <w:rsid w:val="00987A20"/>
    <w:rsid w:val="009A0E15"/>
    <w:rsid w:val="009C335D"/>
    <w:rsid w:val="009D4037"/>
    <w:rsid w:val="009F0592"/>
    <w:rsid w:val="00A20E72"/>
    <w:rsid w:val="00A246DC"/>
    <w:rsid w:val="00A47BAF"/>
    <w:rsid w:val="00A542D3"/>
    <w:rsid w:val="00A5784F"/>
    <w:rsid w:val="00A8436E"/>
    <w:rsid w:val="00A95B66"/>
    <w:rsid w:val="00AE0667"/>
    <w:rsid w:val="00B41E0A"/>
    <w:rsid w:val="00B56DE0"/>
    <w:rsid w:val="00B71BD7"/>
    <w:rsid w:val="00B71F12"/>
    <w:rsid w:val="00B7626F"/>
    <w:rsid w:val="00B96B1E"/>
    <w:rsid w:val="00BB0FC9"/>
    <w:rsid w:val="00BB2A6F"/>
    <w:rsid w:val="00BD1614"/>
    <w:rsid w:val="00BD1FD7"/>
    <w:rsid w:val="00BD5DA6"/>
    <w:rsid w:val="00BF7D25"/>
    <w:rsid w:val="00C010C0"/>
    <w:rsid w:val="00C40CB5"/>
    <w:rsid w:val="00C54CE6"/>
    <w:rsid w:val="00C575E2"/>
    <w:rsid w:val="00C7368B"/>
    <w:rsid w:val="00C92746"/>
    <w:rsid w:val="00CC4DC5"/>
    <w:rsid w:val="00CD24A4"/>
    <w:rsid w:val="00CE1A7C"/>
    <w:rsid w:val="00D0464B"/>
    <w:rsid w:val="00D12C74"/>
    <w:rsid w:val="00D2263F"/>
    <w:rsid w:val="00D56483"/>
    <w:rsid w:val="00D5658F"/>
    <w:rsid w:val="00D56AD6"/>
    <w:rsid w:val="00D70019"/>
    <w:rsid w:val="00D74B58"/>
    <w:rsid w:val="00D82ABE"/>
    <w:rsid w:val="00D902D4"/>
    <w:rsid w:val="00DA4ABA"/>
    <w:rsid w:val="00DA685B"/>
    <w:rsid w:val="00DA742B"/>
    <w:rsid w:val="00DD5B6B"/>
    <w:rsid w:val="00DF25C1"/>
    <w:rsid w:val="00DF48F7"/>
    <w:rsid w:val="00DF4964"/>
    <w:rsid w:val="00DF4D73"/>
    <w:rsid w:val="00DF79B0"/>
    <w:rsid w:val="00E01DD6"/>
    <w:rsid w:val="00E1047D"/>
    <w:rsid w:val="00E34BBF"/>
    <w:rsid w:val="00E421E2"/>
    <w:rsid w:val="00E443FA"/>
    <w:rsid w:val="00E5061A"/>
    <w:rsid w:val="00E54FCE"/>
    <w:rsid w:val="00E60DA1"/>
    <w:rsid w:val="00E93D35"/>
    <w:rsid w:val="00EA45DB"/>
    <w:rsid w:val="00ED2CD9"/>
    <w:rsid w:val="00F01F81"/>
    <w:rsid w:val="00F07DA7"/>
    <w:rsid w:val="00F564C1"/>
    <w:rsid w:val="00F77FA2"/>
    <w:rsid w:val="00F8357A"/>
    <w:rsid w:val="00FA1B77"/>
    <w:rsid w:val="00FB4B65"/>
    <w:rsid w:val="00FB5741"/>
    <w:rsid w:val="00FB74B8"/>
    <w:rsid w:val="00FC49E0"/>
    <w:rsid w:val="00FD5DF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3C661A-543E-416D-A006-A3F29A4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1511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character" w:styleId="FollowedHyperlink">
    <w:name w:val="FollowedHyperlink"/>
    <w:basedOn w:val="DefaultParagraphFont"/>
    <w:semiHidden/>
    <w:unhideWhenUsed/>
    <w:rsid w:val="00FD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113/en" TargetMode="External"/><Relationship Id="rId18" Type="http://schemas.openxmlformats.org/officeDocument/2006/relationships/hyperlink" Target="https://www.itu.int/md/S18-PP-C-0095/en" TargetMode="External"/><Relationship Id="rId26" Type="http://schemas.openxmlformats.org/officeDocument/2006/relationships/hyperlink" Target="https://www.itu.int/md/S18-PP-C-0121/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8-PP-C-0098/en" TargetMode="External"/><Relationship Id="rId34" Type="http://schemas.openxmlformats.org/officeDocument/2006/relationships/hyperlink" Target="https://www.itu.int/md/S18-PP-C-0096/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PP-C-0116/en" TargetMode="External"/><Relationship Id="rId17" Type="http://schemas.openxmlformats.org/officeDocument/2006/relationships/hyperlink" Target="https://www.itu.int/md/S18-PP-C-0094/en" TargetMode="External"/><Relationship Id="rId25" Type="http://schemas.openxmlformats.org/officeDocument/2006/relationships/hyperlink" Target="https://www.itu.int/md/S18-PP-C-0117/en" TargetMode="External"/><Relationship Id="rId33" Type="http://schemas.openxmlformats.org/officeDocument/2006/relationships/hyperlink" Target="https://www.itu.int/md/S18-PP-C-0095/en" TargetMode="External"/><Relationship Id="rId38" Type="http://schemas.openxmlformats.org/officeDocument/2006/relationships/hyperlink" Target="https://www.itu.int/md/S18-PP-C-0101/en" TargetMode="External"/><Relationship Id="rId2" Type="http://schemas.openxmlformats.org/officeDocument/2006/relationships/numbering" Target="numbering.xml"/><Relationship Id="rId16" Type="http://schemas.openxmlformats.org/officeDocument/2006/relationships/hyperlink" Target="https://www.itu.int/md/S18-PP-C-0093/en" TargetMode="External"/><Relationship Id="rId20" Type="http://schemas.openxmlformats.org/officeDocument/2006/relationships/hyperlink" Target="https://www.itu.int/md/S18-PP-C-0097/en" TargetMode="External"/><Relationship Id="rId29" Type="http://schemas.openxmlformats.org/officeDocument/2006/relationships/hyperlink" Target="https://www.itu.int/md/S18-PP-C-0117/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PP-C-0121/en" TargetMode="External"/><Relationship Id="rId24" Type="http://schemas.openxmlformats.org/officeDocument/2006/relationships/hyperlink" Target="https://www.itu.int/md/S18-PP-C-0113/en" TargetMode="External"/><Relationship Id="rId32" Type="http://schemas.openxmlformats.org/officeDocument/2006/relationships/hyperlink" Target="https://www.itu.int/md/S18-PP-C-0094/en" TargetMode="External"/><Relationship Id="rId37" Type="http://schemas.openxmlformats.org/officeDocument/2006/relationships/hyperlink" Target="https://www.itu.int/md/S18-PP-C-0099/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PP-C-0121/en" TargetMode="External"/><Relationship Id="rId23" Type="http://schemas.openxmlformats.org/officeDocument/2006/relationships/hyperlink" Target="https://www.itu.int/md/S18-PP-C-0101/en" TargetMode="External"/><Relationship Id="rId28" Type="http://schemas.openxmlformats.org/officeDocument/2006/relationships/hyperlink" Target="https://www.itu.int/md/S18-PP-C-0113/en" TargetMode="External"/><Relationship Id="rId36" Type="http://schemas.openxmlformats.org/officeDocument/2006/relationships/hyperlink" Target="https://www.itu.int/md/S18-PP-C-0098/en" TargetMode="External"/><Relationship Id="rId10" Type="http://schemas.openxmlformats.org/officeDocument/2006/relationships/hyperlink" Target="https://www.itu.int/md/S18-PP-C-0117/en" TargetMode="External"/><Relationship Id="rId19" Type="http://schemas.openxmlformats.org/officeDocument/2006/relationships/hyperlink" Target="https://www.itu.int/md/S18-PP-C-0096/en" TargetMode="External"/><Relationship Id="rId31" Type="http://schemas.openxmlformats.org/officeDocument/2006/relationships/hyperlink" Target="https://www.itu.int/md/S18-PP-C-0093/en" TargetMode="External"/><Relationship Id="rId4" Type="http://schemas.openxmlformats.org/officeDocument/2006/relationships/settings" Target="settings.xml"/><Relationship Id="rId9" Type="http://schemas.openxmlformats.org/officeDocument/2006/relationships/hyperlink" Target="https://www.itu.int/md/S18-PP-C-0113/en" TargetMode="External"/><Relationship Id="rId14" Type="http://schemas.openxmlformats.org/officeDocument/2006/relationships/hyperlink" Target="https://www.itu.int/md/S18-PP-C-0117/en" TargetMode="External"/><Relationship Id="rId22" Type="http://schemas.openxmlformats.org/officeDocument/2006/relationships/hyperlink" Target="https://www.itu.int/md/S18-PP-C-0099/en" TargetMode="External"/><Relationship Id="rId27" Type="http://schemas.openxmlformats.org/officeDocument/2006/relationships/hyperlink" Target="https://www.itu.int/md/S18-PP-C-0116/en" TargetMode="External"/><Relationship Id="rId30" Type="http://schemas.openxmlformats.org/officeDocument/2006/relationships/hyperlink" Target="https://www.itu.int/md/S18-PP-C-0121/en" TargetMode="External"/><Relationship Id="rId35" Type="http://schemas.openxmlformats.org/officeDocument/2006/relationships/hyperlink" Target="https://www.itu.int/md/S18-PP-C-0097/en"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4920-AADD-4D7F-9D71-F5AE008C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PF_PP18Summaryrecord.dotx</Template>
  <TotalTime>114</TotalTime>
  <Pages>4</Pages>
  <Words>1151</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9184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Gozel, Elsa</dc:creator>
  <cp:keywords/>
  <dc:description/>
  <cp:lastModifiedBy>Royer, Veronique</cp:lastModifiedBy>
  <cp:revision>8</cp:revision>
  <cp:lastPrinted>2018-12-18T12:41:00Z</cp:lastPrinted>
  <dcterms:created xsi:type="dcterms:W3CDTF">2018-12-18T10:48:00Z</dcterms:created>
  <dcterms:modified xsi:type="dcterms:W3CDTF">2018-12-18T13:45:00Z</dcterms:modified>
  <cp:category>Conference document</cp:category>
</cp:coreProperties>
</file>