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Tr="00E26429">
        <w:trPr>
          <w:cantSplit/>
        </w:trPr>
        <w:tc>
          <w:tcPr>
            <w:tcW w:w="6629" w:type="dxa"/>
            <w:vAlign w:val="center"/>
          </w:tcPr>
          <w:p w:rsidR="001A16ED" w:rsidRPr="00F04067" w:rsidRDefault="001A16ED" w:rsidP="00E26429">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(PP-1</w:t>
            </w:r>
            <w:r w:rsidR="004F7925">
              <w:rPr>
                <w:rFonts w:cs="Times"/>
                <w:b/>
                <w:position w:val="6"/>
                <w:sz w:val="30"/>
                <w:szCs w:val="30"/>
              </w:rPr>
              <w:t>8</w:t>
            </w:r>
            <w:r w:rsidRPr="00936F04">
              <w:rPr>
                <w:rFonts w:cs="Times"/>
                <w:b/>
                <w:position w:val="6"/>
                <w:sz w:val="30"/>
                <w:szCs w:val="30"/>
              </w:rPr>
              <w:t>)</w:t>
            </w:r>
            <w:r w:rsidRPr="00936F04">
              <w:rPr>
                <w:rFonts w:cs="Times"/>
                <w:b/>
                <w:position w:val="6"/>
                <w:sz w:val="26"/>
                <w:szCs w:val="26"/>
              </w:rPr>
              <w:br/>
            </w:r>
            <w:r w:rsidR="004F7925">
              <w:rPr>
                <w:b/>
                <w:bCs/>
                <w:position w:val="6"/>
                <w:szCs w:val="24"/>
              </w:rPr>
              <w:t>Dubai</w:t>
            </w:r>
            <w:r w:rsidRPr="00936F04">
              <w:rPr>
                <w:b/>
                <w:bCs/>
                <w:position w:val="6"/>
                <w:szCs w:val="24"/>
              </w:rPr>
              <w:t xml:space="preserve">, </w:t>
            </w:r>
            <w:r w:rsidR="004F7925">
              <w:rPr>
                <w:b/>
                <w:bCs/>
                <w:position w:val="6"/>
                <w:szCs w:val="24"/>
              </w:rPr>
              <w:t>29</w:t>
            </w:r>
            <w:r w:rsidRPr="00936F04">
              <w:rPr>
                <w:b/>
                <w:bCs/>
                <w:position w:val="6"/>
                <w:szCs w:val="24"/>
              </w:rPr>
              <w:t xml:space="preserve"> October </w:t>
            </w:r>
            <w:r>
              <w:rPr>
                <w:b/>
                <w:bCs/>
                <w:position w:val="6"/>
                <w:szCs w:val="24"/>
              </w:rPr>
              <w:t xml:space="preserve">– </w:t>
            </w:r>
            <w:r w:rsidR="004F7925">
              <w:rPr>
                <w:b/>
                <w:bCs/>
                <w:position w:val="6"/>
                <w:szCs w:val="24"/>
              </w:rPr>
              <w:t>16</w:t>
            </w:r>
            <w:r>
              <w:rPr>
                <w:b/>
                <w:bCs/>
                <w:position w:val="6"/>
                <w:szCs w:val="24"/>
              </w:rPr>
              <w:t xml:space="preserve"> November 201</w:t>
            </w:r>
            <w:r w:rsidR="004F7925">
              <w:rPr>
                <w:b/>
                <w:bCs/>
                <w:position w:val="6"/>
                <w:szCs w:val="24"/>
              </w:rPr>
              <w:t>8</w:t>
            </w:r>
          </w:p>
        </w:tc>
        <w:tc>
          <w:tcPr>
            <w:tcW w:w="3402" w:type="dxa"/>
          </w:tcPr>
          <w:p w:rsidR="001A16ED" w:rsidRPr="00D96B4B" w:rsidRDefault="001A16ED" w:rsidP="006A046E">
            <w:pPr>
              <w:spacing w:line="240" w:lineRule="atLeast"/>
              <w:rPr>
                <w:rFonts w:cstheme="minorHAnsi"/>
              </w:rPr>
            </w:pPr>
            <w:bookmarkStart w:id="1" w:name="ditulogo"/>
            <w:bookmarkEnd w:id="1"/>
            <w:r w:rsidRPr="00D96B4B">
              <w:rPr>
                <w:rFonts w:cstheme="minorHAnsi"/>
                <w:noProof/>
                <w:lang w:val="en-US" w:eastAsia="zh-CN"/>
              </w:rPr>
              <w:drawing>
                <wp:inline distT="0" distB="0" distL="0" distR="0" wp14:anchorId="49456A9F" wp14:editId="07183A52">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AB2D04">
        <w:trPr>
          <w:cantSplit/>
        </w:trPr>
        <w:tc>
          <w:tcPr>
            <w:tcW w:w="6629" w:type="dxa"/>
            <w:tcBorders>
              <w:bottom w:val="single" w:sz="12" w:space="0" w:color="auto"/>
            </w:tcBorders>
          </w:tcPr>
          <w:p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rsidR="001A16ED" w:rsidRPr="00D96B4B" w:rsidRDefault="001A16ED" w:rsidP="003740BC">
            <w:pPr>
              <w:spacing w:before="0"/>
              <w:rPr>
                <w:rFonts w:cstheme="minorHAnsi"/>
                <w:szCs w:val="24"/>
              </w:rPr>
            </w:pPr>
          </w:p>
        </w:tc>
      </w:tr>
      <w:tr w:rsidR="001A16ED" w:rsidRPr="00C324A8" w:rsidTr="00AB2D04">
        <w:trPr>
          <w:cantSplit/>
        </w:trPr>
        <w:tc>
          <w:tcPr>
            <w:tcW w:w="6629" w:type="dxa"/>
            <w:tcBorders>
              <w:top w:val="single" w:sz="12" w:space="0" w:color="auto"/>
            </w:tcBorders>
          </w:tcPr>
          <w:p w:rsidR="001A16ED" w:rsidRPr="00D96B4B" w:rsidRDefault="001A16ED" w:rsidP="003740BC">
            <w:pPr>
              <w:spacing w:before="0"/>
              <w:rPr>
                <w:rFonts w:cstheme="minorHAnsi"/>
                <w:b/>
                <w:smallCaps/>
                <w:sz w:val="20"/>
              </w:rPr>
            </w:pPr>
          </w:p>
        </w:tc>
        <w:tc>
          <w:tcPr>
            <w:tcW w:w="3402" w:type="dxa"/>
            <w:tcBorders>
              <w:top w:val="single" w:sz="12" w:space="0" w:color="auto"/>
            </w:tcBorders>
          </w:tcPr>
          <w:p w:rsidR="001A16ED" w:rsidRPr="00D96B4B" w:rsidRDefault="001A16ED" w:rsidP="003740BC">
            <w:pPr>
              <w:spacing w:before="0"/>
              <w:rPr>
                <w:rFonts w:cstheme="minorHAnsi"/>
                <w:sz w:val="20"/>
              </w:rPr>
            </w:pPr>
          </w:p>
        </w:tc>
      </w:tr>
      <w:tr w:rsidR="001A16ED" w:rsidRPr="00C324A8" w:rsidTr="00AB2D04">
        <w:trPr>
          <w:cantSplit/>
          <w:trHeight w:val="23"/>
        </w:trPr>
        <w:tc>
          <w:tcPr>
            <w:tcW w:w="6629" w:type="dxa"/>
            <w:shd w:val="clear" w:color="auto" w:fill="auto"/>
          </w:tcPr>
          <w:p w:rsidR="001A16ED" w:rsidRPr="00D96B4B" w:rsidRDefault="00E26429" w:rsidP="002E77F4">
            <w:pPr>
              <w:pStyle w:val="Committee"/>
              <w:spacing w:after="0"/>
            </w:pPr>
            <w:bookmarkStart w:id="3" w:name="dnum" w:colFirst="1" w:colLast="1"/>
            <w:bookmarkStart w:id="4" w:name="dmeeting" w:colFirst="0" w:colLast="0"/>
            <w:bookmarkEnd w:id="2"/>
            <w:r>
              <w:t>PLENARY MEETING</w:t>
            </w:r>
          </w:p>
        </w:tc>
        <w:tc>
          <w:tcPr>
            <w:tcW w:w="3402" w:type="dxa"/>
          </w:tcPr>
          <w:p w:rsidR="001A16ED" w:rsidRPr="00F44B1A" w:rsidRDefault="00A03000" w:rsidP="003740BC">
            <w:pPr>
              <w:tabs>
                <w:tab w:val="left" w:pos="851"/>
              </w:tabs>
              <w:spacing w:before="0"/>
              <w:rPr>
                <w:rFonts w:cstheme="minorHAnsi"/>
                <w:b/>
                <w:szCs w:val="24"/>
              </w:rPr>
            </w:pPr>
            <w:r>
              <w:rPr>
                <w:rFonts w:cstheme="minorHAnsi"/>
                <w:b/>
                <w:szCs w:val="24"/>
              </w:rPr>
              <w:t>Document 131</w:t>
            </w:r>
            <w:r w:rsidR="00E26429">
              <w:rPr>
                <w:rFonts w:cstheme="minorHAnsi"/>
                <w:b/>
                <w:szCs w:val="24"/>
              </w:rPr>
              <w:t>-E</w:t>
            </w:r>
          </w:p>
        </w:tc>
      </w:tr>
      <w:tr w:rsidR="001A16ED" w:rsidRPr="00C324A8" w:rsidTr="00AB2D04">
        <w:trPr>
          <w:cantSplit/>
          <w:trHeight w:val="23"/>
        </w:trPr>
        <w:tc>
          <w:tcPr>
            <w:tcW w:w="6629" w:type="dxa"/>
            <w:shd w:val="clear" w:color="auto" w:fill="auto"/>
          </w:tcPr>
          <w:p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rsidR="001A16ED" w:rsidRPr="00D96B4B" w:rsidRDefault="00A03000" w:rsidP="003740BC">
            <w:pPr>
              <w:spacing w:before="0"/>
              <w:rPr>
                <w:rFonts w:cstheme="minorHAnsi"/>
                <w:szCs w:val="24"/>
              </w:rPr>
            </w:pPr>
            <w:r>
              <w:rPr>
                <w:rFonts w:cstheme="minorHAnsi"/>
                <w:b/>
                <w:szCs w:val="24"/>
              </w:rPr>
              <w:t>12 November</w:t>
            </w:r>
            <w:r w:rsidR="00E26429">
              <w:rPr>
                <w:rFonts w:cstheme="minorHAnsi"/>
                <w:b/>
                <w:szCs w:val="24"/>
              </w:rPr>
              <w:t xml:space="preserve"> 2018</w:t>
            </w:r>
          </w:p>
        </w:tc>
      </w:tr>
      <w:tr w:rsidR="001A16ED" w:rsidRPr="00C324A8" w:rsidTr="00AB2D04">
        <w:trPr>
          <w:cantSplit/>
          <w:trHeight w:val="23"/>
        </w:trPr>
        <w:tc>
          <w:tcPr>
            <w:tcW w:w="6629" w:type="dxa"/>
            <w:shd w:val="clear" w:color="auto" w:fill="auto"/>
          </w:tcPr>
          <w:p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rsidR="001A16ED" w:rsidRPr="00D96B4B" w:rsidRDefault="00E26429" w:rsidP="003740BC">
            <w:pPr>
              <w:tabs>
                <w:tab w:val="left" w:pos="993"/>
              </w:tabs>
              <w:spacing w:before="0"/>
              <w:rPr>
                <w:rFonts w:cstheme="minorHAnsi"/>
                <w:b/>
                <w:szCs w:val="24"/>
              </w:rPr>
            </w:pPr>
            <w:r>
              <w:rPr>
                <w:rFonts w:cstheme="minorHAnsi"/>
                <w:b/>
                <w:szCs w:val="24"/>
              </w:rPr>
              <w:t>Original: English</w:t>
            </w:r>
          </w:p>
        </w:tc>
      </w:tr>
      <w:tr w:rsidR="001A16ED" w:rsidRPr="00C324A8" w:rsidTr="006A046E">
        <w:trPr>
          <w:cantSplit/>
          <w:trHeight w:val="23"/>
        </w:trPr>
        <w:tc>
          <w:tcPr>
            <w:tcW w:w="10031" w:type="dxa"/>
            <w:gridSpan w:val="2"/>
            <w:shd w:val="clear" w:color="auto" w:fill="auto"/>
          </w:tcPr>
          <w:p w:rsidR="009609D9" w:rsidRPr="00DB0816" w:rsidRDefault="009609D9" w:rsidP="009609D9">
            <w:pPr>
              <w:pStyle w:val="Title1"/>
              <w:spacing w:before="720"/>
              <w:rPr>
                <w:lang w:val="en-CA"/>
              </w:rPr>
            </w:pPr>
            <w:r w:rsidRPr="00DB0816">
              <w:rPr>
                <w:lang w:val="en-CA"/>
              </w:rPr>
              <w:t>minutes</w:t>
            </w:r>
          </w:p>
          <w:p w:rsidR="009609D9" w:rsidRPr="00DB0816" w:rsidRDefault="009609D9" w:rsidP="009609D9">
            <w:pPr>
              <w:pStyle w:val="Title1"/>
              <w:rPr>
                <w:lang w:val="en-CA"/>
              </w:rPr>
            </w:pPr>
            <w:bookmarkStart w:id="9" w:name="_GoBack"/>
            <w:bookmarkEnd w:id="9"/>
            <w:r w:rsidRPr="00DB0816">
              <w:rPr>
                <w:lang w:val="en-CA"/>
              </w:rPr>
              <w:t>OF THE</w:t>
            </w:r>
          </w:p>
          <w:p w:rsidR="001A16ED" w:rsidRDefault="00A03000" w:rsidP="009609D9">
            <w:pPr>
              <w:pStyle w:val="Title2"/>
              <w:spacing w:after="240"/>
            </w:pPr>
            <w:r>
              <w:rPr>
                <w:lang w:val="en-CA"/>
              </w:rPr>
              <w:t>Eleventh</w:t>
            </w:r>
            <w:r w:rsidR="009609D9" w:rsidRPr="00DB0816">
              <w:rPr>
                <w:lang w:val="en-CA"/>
              </w:rPr>
              <w:t xml:space="preserve"> PLENARY MEETING</w:t>
            </w:r>
          </w:p>
        </w:tc>
      </w:tr>
      <w:tr w:rsidR="009609D9" w:rsidRPr="00C324A8" w:rsidTr="006A046E">
        <w:trPr>
          <w:cantSplit/>
          <w:trHeight w:val="23"/>
        </w:trPr>
        <w:tc>
          <w:tcPr>
            <w:tcW w:w="10031" w:type="dxa"/>
            <w:gridSpan w:val="2"/>
            <w:shd w:val="clear" w:color="auto" w:fill="auto"/>
          </w:tcPr>
          <w:p w:rsidR="009609D9" w:rsidRPr="00DB0816" w:rsidRDefault="00A03000" w:rsidP="009609D9">
            <w:pPr>
              <w:jc w:val="center"/>
              <w:rPr>
                <w:lang w:val="en-CA"/>
              </w:rPr>
            </w:pPr>
            <w:r w:rsidRPr="00A03000">
              <w:rPr>
                <w:lang w:val="en-CA"/>
              </w:rPr>
              <w:t>Thursday, 8 November 2018, at 1610 hours</w:t>
            </w:r>
          </w:p>
        </w:tc>
      </w:tr>
      <w:tr w:rsidR="009609D9" w:rsidRPr="00C324A8" w:rsidTr="006A046E">
        <w:trPr>
          <w:cantSplit/>
          <w:trHeight w:val="23"/>
        </w:trPr>
        <w:tc>
          <w:tcPr>
            <w:tcW w:w="10031" w:type="dxa"/>
            <w:gridSpan w:val="2"/>
            <w:shd w:val="clear" w:color="auto" w:fill="auto"/>
          </w:tcPr>
          <w:p w:rsidR="009609D9" w:rsidRPr="00DB0816" w:rsidRDefault="009609D9" w:rsidP="009609D9">
            <w:pPr>
              <w:jc w:val="center"/>
              <w:rPr>
                <w:b/>
                <w:bCs/>
                <w:lang w:val="en-CA"/>
              </w:rPr>
            </w:pPr>
            <w:r w:rsidRPr="00DB0816">
              <w:rPr>
                <w:b/>
                <w:bCs/>
                <w:lang w:val="en-CA"/>
              </w:rPr>
              <w:t xml:space="preserve">Chairman: </w:t>
            </w:r>
            <w:r w:rsidRPr="00DB0816">
              <w:rPr>
                <w:bCs/>
                <w:lang w:val="en-CA"/>
              </w:rPr>
              <w:t xml:space="preserve">Mr </w:t>
            </w:r>
            <w:proofErr w:type="spellStart"/>
            <w:r w:rsidRPr="00DB0816">
              <w:rPr>
                <w:bCs/>
                <w:lang w:val="en-CA"/>
              </w:rPr>
              <w:t>M</w:t>
            </w:r>
            <w:r>
              <w:rPr>
                <w:bCs/>
                <w:lang w:val="en-CA"/>
              </w:rPr>
              <w:t>ajed</w:t>
            </w:r>
            <w:proofErr w:type="spellEnd"/>
            <w:r w:rsidRPr="00DB0816">
              <w:rPr>
                <w:bCs/>
                <w:lang w:val="en-CA"/>
              </w:rPr>
              <w:t xml:space="preserve"> ALMESMAR (United Arab Emirates)</w:t>
            </w:r>
          </w:p>
        </w:tc>
      </w:tr>
      <w:bookmarkEnd w:id="7"/>
      <w:bookmarkEnd w:id="8"/>
    </w:tbl>
    <w:p w:rsidR="001A16ED" w:rsidRDefault="001A16ED" w:rsidP="00AB2D04"/>
    <w:tbl>
      <w:tblPr>
        <w:tblW w:w="10031" w:type="dxa"/>
        <w:tblLayout w:type="fixed"/>
        <w:tblLook w:val="0000" w:firstRow="0" w:lastRow="0" w:firstColumn="0" w:lastColumn="0" w:noHBand="0" w:noVBand="0"/>
      </w:tblPr>
      <w:tblGrid>
        <w:gridCol w:w="534"/>
        <w:gridCol w:w="7164"/>
        <w:gridCol w:w="2333"/>
      </w:tblGrid>
      <w:tr w:rsidR="00A03000" w:rsidRPr="00AC1F4A" w:rsidTr="004F7421">
        <w:tc>
          <w:tcPr>
            <w:tcW w:w="534" w:type="dxa"/>
          </w:tcPr>
          <w:p w:rsidR="00A03000" w:rsidRPr="00AC1F4A" w:rsidRDefault="00A03000" w:rsidP="004F7421">
            <w:pPr>
              <w:pStyle w:val="toc0"/>
              <w:rPr>
                <w:lang w:val="en-CA"/>
              </w:rPr>
            </w:pPr>
          </w:p>
        </w:tc>
        <w:tc>
          <w:tcPr>
            <w:tcW w:w="7164" w:type="dxa"/>
          </w:tcPr>
          <w:p w:rsidR="00A03000" w:rsidRPr="00AC1F4A" w:rsidRDefault="00A03000" w:rsidP="004F7421">
            <w:pPr>
              <w:pStyle w:val="toc0"/>
              <w:rPr>
                <w:lang w:val="en-CA"/>
              </w:rPr>
            </w:pPr>
            <w:r w:rsidRPr="00AC1F4A">
              <w:rPr>
                <w:lang w:val="en-CA"/>
              </w:rPr>
              <w:t>Subjects discussed</w:t>
            </w:r>
          </w:p>
        </w:tc>
        <w:tc>
          <w:tcPr>
            <w:tcW w:w="2333" w:type="dxa"/>
          </w:tcPr>
          <w:p w:rsidR="00A03000" w:rsidRPr="00AC1F4A" w:rsidRDefault="00A03000" w:rsidP="004F7421">
            <w:pPr>
              <w:pStyle w:val="toc0"/>
              <w:jc w:val="center"/>
              <w:rPr>
                <w:lang w:val="en-CA"/>
              </w:rPr>
            </w:pPr>
            <w:r w:rsidRPr="00AC1F4A">
              <w:rPr>
                <w:lang w:val="en-CA"/>
              </w:rPr>
              <w:t>Documents</w:t>
            </w:r>
          </w:p>
        </w:tc>
      </w:tr>
      <w:tr w:rsidR="00A03000" w:rsidRPr="00AC1F4A" w:rsidTr="004F7421">
        <w:tc>
          <w:tcPr>
            <w:tcW w:w="534" w:type="dxa"/>
          </w:tcPr>
          <w:p w:rsidR="00A03000" w:rsidRPr="00AC1F4A" w:rsidRDefault="00A03000" w:rsidP="00E13D46">
            <w:pPr>
              <w:snapToGrid w:val="0"/>
              <w:spacing w:before="60" w:after="60"/>
              <w:ind w:left="567" w:hanging="567"/>
              <w:rPr>
                <w:lang w:val="en-CA"/>
              </w:rPr>
            </w:pPr>
            <w:r w:rsidRPr="00AC1F4A">
              <w:rPr>
                <w:rFonts w:asciiTheme="minorHAnsi" w:hAnsiTheme="minorHAnsi"/>
                <w:lang w:val="en-CA"/>
              </w:rPr>
              <w:t>1</w:t>
            </w:r>
          </w:p>
        </w:tc>
        <w:tc>
          <w:tcPr>
            <w:tcW w:w="7164" w:type="dxa"/>
          </w:tcPr>
          <w:p w:rsidR="00A03000" w:rsidRPr="00AC1F4A" w:rsidRDefault="00A03000" w:rsidP="00E13D46">
            <w:pPr>
              <w:snapToGrid w:val="0"/>
              <w:spacing w:before="60" w:after="60"/>
              <w:rPr>
                <w:rFonts w:asciiTheme="minorHAnsi" w:hAnsiTheme="minorHAnsi"/>
                <w:lang w:val="en-CA"/>
              </w:rPr>
            </w:pPr>
            <w:r w:rsidRPr="00AC1F4A">
              <w:rPr>
                <w:rFonts w:asciiTheme="minorHAnsi" w:hAnsiTheme="minorHAnsi"/>
                <w:szCs w:val="24"/>
                <w:lang w:val="en-CA"/>
              </w:rPr>
              <w:t>General policy statements (continued)</w:t>
            </w:r>
          </w:p>
        </w:tc>
        <w:tc>
          <w:tcPr>
            <w:tcW w:w="2333" w:type="dxa"/>
          </w:tcPr>
          <w:p w:rsidR="00A03000" w:rsidRPr="00AC1F4A" w:rsidRDefault="00A03000" w:rsidP="00E13D46">
            <w:pPr>
              <w:snapToGrid w:val="0"/>
              <w:spacing w:before="60" w:after="60"/>
              <w:jc w:val="center"/>
              <w:rPr>
                <w:lang w:val="en-CA"/>
              </w:rPr>
            </w:pPr>
            <w:r>
              <w:rPr>
                <w:lang w:val="en-CA"/>
              </w:rPr>
              <w:t>–</w:t>
            </w:r>
          </w:p>
        </w:tc>
      </w:tr>
      <w:tr w:rsidR="00A03000" w:rsidRPr="00AC1F4A" w:rsidTr="004F7421">
        <w:tc>
          <w:tcPr>
            <w:tcW w:w="534" w:type="dxa"/>
          </w:tcPr>
          <w:p w:rsidR="00A03000" w:rsidRPr="00AC1F4A" w:rsidRDefault="00A03000" w:rsidP="00E13D46">
            <w:pPr>
              <w:snapToGrid w:val="0"/>
              <w:spacing w:before="60" w:after="60"/>
              <w:ind w:left="567" w:hanging="567"/>
              <w:rPr>
                <w:rFonts w:asciiTheme="minorHAnsi" w:hAnsiTheme="minorHAnsi"/>
                <w:lang w:val="en-CA"/>
              </w:rPr>
            </w:pPr>
            <w:r w:rsidRPr="00AC1F4A">
              <w:rPr>
                <w:rFonts w:asciiTheme="minorHAnsi" w:hAnsiTheme="minorHAnsi"/>
                <w:lang w:val="en-CA"/>
              </w:rPr>
              <w:t>2</w:t>
            </w:r>
          </w:p>
        </w:tc>
        <w:tc>
          <w:tcPr>
            <w:tcW w:w="7164" w:type="dxa"/>
          </w:tcPr>
          <w:p w:rsidR="00A03000" w:rsidRPr="00AC1F4A" w:rsidRDefault="00A03000" w:rsidP="00E13D46">
            <w:pPr>
              <w:snapToGrid w:val="0"/>
              <w:spacing w:before="60" w:after="60"/>
              <w:rPr>
                <w:rFonts w:asciiTheme="minorHAnsi" w:hAnsiTheme="minorHAnsi"/>
                <w:szCs w:val="24"/>
                <w:lang w:val="en-CA"/>
              </w:rPr>
            </w:pPr>
            <w:r w:rsidRPr="00AC1F4A">
              <w:rPr>
                <w:rFonts w:asciiTheme="minorHAnsi" w:hAnsiTheme="minorHAnsi"/>
                <w:szCs w:val="24"/>
                <w:lang w:val="en-CA"/>
              </w:rPr>
              <w:t xml:space="preserve">Date of taking office of the newly elected officials and swearing-in ceremony </w:t>
            </w:r>
          </w:p>
        </w:tc>
        <w:tc>
          <w:tcPr>
            <w:tcW w:w="2333" w:type="dxa"/>
          </w:tcPr>
          <w:p w:rsidR="00A03000" w:rsidRPr="00AC1F4A" w:rsidRDefault="00A03000" w:rsidP="00E13D46">
            <w:pPr>
              <w:snapToGrid w:val="0"/>
              <w:spacing w:before="60" w:after="60"/>
              <w:jc w:val="center"/>
              <w:rPr>
                <w:lang w:val="en-CA"/>
              </w:rPr>
            </w:pPr>
            <w:r>
              <w:rPr>
                <w:lang w:val="en-CA"/>
              </w:rPr>
              <w:t>–</w:t>
            </w:r>
          </w:p>
        </w:tc>
      </w:tr>
      <w:tr w:rsidR="00A03000" w:rsidRPr="00AC1F4A" w:rsidTr="004F7421">
        <w:tc>
          <w:tcPr>
            <w:tcW w:w="534" w:type="dxa"/>
          </w:tcPr>
          <w:p w:rsidR="00A03000" w:rsidRPr="00AC1F4A" w:rsidRDefault="00A03000" w:rsidP="00E13D46">
            <w:pPr>
              <w:snapToGrid w:val="0"/>
              <w:spacing w:before="60" w:after="60"/>
              <w:ind w:left="567" w:hanging="567"/>
              <w:rPr>
                <w:rFonts w:asciiTheme="minorHAnsi" w:hAnsiTheme="minorHAnsi"/>
                <w:lang w:val="en-CA"/>
              </w:rPr>
            </w:pPr>
            <w:r w:rsidRPr="00AC1F4A">
              <w:rPr>
                <w:rFonts w:asciiTheme="minorHAnsi" w:hAnsiTheme="minorHAnsi"/>
                <w:lang w:val="en-CA"/>
              </w:rPr>
              <w:t>3</w:t>
            </w:r>
          </w:p>
        </w:tc>
        <w:tc>
          <w:tcPr>
            <w:tcW w:w="7164" w:type="dxa"/>
          </w:tcPr>
          <w:p w:rsidR="00A03000" w:rsidRPr="00AC1F4A" w:rsidRDefault="00A03000" w:rsidP="00E13D46">
            <w:pPr>
              <w:snapToGrid w:val="0"/>
              <w:spacing w:before="60" w:after="60"/>
              <w:rPr>
                <w:rFonts w:asciiTheme="minorHAnsi" w:hAnsiTheme="minorHAnsi"/>
                <w:szCs w:val="24"/>
                <w:lang w:val="en-CA"/>
              </w:rPr>
            </w:pPr>
            <w:r w:rsidRPr="00AC1F4A">
              <w:rPr>
                <w:rFonts w:asciiTheme="minorHAnsi" w:hAnsiTheme="minorHAnsi"/>
                <w:szCs w:val="24"/>
                <w:lang w:val="en-CA"/>
              </w:rPr>
              <w:t>Date of taking office of the newly elected members of the Radio Regulations Board</w:t>
            </w:r>
          </w:p>
        </w:tc>
        <w:tc>
          <w:tcPr>
            <w:tcW w:w="2333" w:type="dxa"/>
          </w:tcPr>
          <w:p w:rsidR="00A03000" w:rsidRPr="00AC1F4A" w:rsidRDefault="00A03000" w:rsidP="00E13D46">
            <w:pPr>
              <w:snapToGrid w:val="0"/>
              <w:spacing w:before="60" w:after="60"/>
              <w:jc w:val="center"/>
              <w:rPr>
                <w:lang w:val="en-CA"/>
              </w:rPr>
            </w:pPr>
            <w:r>
              <w:rPr>
                <w:lang w:val="en-CA"/>
              </w:rPr>
              <w:t>–</w:t>
            </w:r>
          </w:p>
        </w:tc>
      </w:tr>
      <w:tr w:rsidR="00A03000" w:rsidRPr="00AC1F4A" w:rsidTr="004F7421">
        <w:tc>
          <w:tcPr>
            <w:tcW w:w="534" w:type="dxa"/>
          </w:tcPr>
          <w:p w:rsidR="00A03000" w:rsidRPr="00AC1F4A" w:rsidRDefault="00A03000" w:rsidP="00E13D46">
            <w:pPr>
              <w:snapToGrid w:val="0"/>
              <w:spacing w:before="60" w:after="60"/>
              <w:ind w:left="567" w:hanging="567"/>
              <w:rPr>
                <w:rFonts w:asciiTheme="minorHAnsi" w:hAnsiTheme="minorHAnsi"/>
                <w:lang w:val="en-CA"/>
              </w:rPr>
            </w:pPr>
            <w:r w:rsidRPr="00AC1F4A">
              <w:rPr>
                <w:rFonts w:asciiTheme="minorHAnsi" w:hAnsiTheme="minorHAnsi"/>
                <w:lang w:val="en-CA"/>
              </w:rPr>
              <w:t>4</w:t>
            </w:r>
          </w:p>
        </w:tc>
        <w:tc>
          <w:tcPr>
            <w:tcW w:w="7164" w:type="dxa"/>
          </w:tcPr>
          <w:p w:rsidR="00A03000" w:rsidRPr="00AC1F4A" w:rsidRDefault="00A03000" w:rsidP="00E13D46">
            <w:pPr>
              <w:snapToGrid w:val="0"/>
              <w:spacing w:before="60" w:after="60"/>
              <w:rPr>
                <w:rFonts w:asciiTheme="minorHAnsi" w:hAnsiTheme="minorHAnsi"/>
                <w:szCs w:val="24"/>
                <w:lang w:val="en-CA"/>
              </w:rPr>
            </w:pPr>
            <w:r w:rsidRPr="00AC1F4A">
              <w:rPr>
                <w:rFonts w:asciiTheme="minorHAnsi" w:hAnsiTheme="minorHAnsi"/>
                <w:szCs w:val="24"/>
                <w:lang w:val="en-CA"/>
              </w:rPr>
              <w:t>Report of Committee 2 (Credentials)</w:t>
            </w:r>
          </w:p>
        </w:tc>
        <w:tc>
          <w:tcPr>
            <w:tcW w:w="2333" w:type="dxa"/>
          </w:tcPr>
          <w:p w:rsidR="00A03000" w:rsidRPr="00AC1F4A" w:rsidRDefault="00A03000" w:rsidP="00E13D46">
            <w:pPr>
              <w:snapToGrid w:val="0"/>
              <w:spacing w:before="60" w:after="60"/>
              <w:jc w:val="center"/>
              <w:rPr>
                <w:lang w:val="en-CA"/>
              </w:rPr>
            </w:pPr>
            <w:r w:rsidRPr="00AC1F4A">
              <w:rPr>
                <w:lang w:val="en-CA"/>
              </w:rPr>
              <w:t>106</w:t>
            </w:r>
          </w:p>
        </w:tc>
      </w:tr>
      <w:tr w:rsidR="00A03000" w:rsidRPr="00AC1F4A" w:rsidTr="004F7421">
        <w:tc>
          <w:tcPr>
            <w:tcW w:w="534" w:type="dxa"/>
          </w:tcPr>
          <w:p w:rsidR="00A03000" w:rsidRPr="00AC1F4A" w:rsidRDefault="00A03000" w:rsidP="00E13D46">
            <w:pPr>
              <w:snapToGrid w:val="0"/>
              <w:spacing w:before="60" w:after="60"/>
              <w:ind w:left="567" w:hanging="567"/>
              <w:rPr>
                <w:rFonts w:asciiTheme="minorHAnsi" w:hAnsiTheme="minorHAnsi"/>
                <w:lang w:val="en-CA"/>
              </w:rPr>
            </w:pPr>
            <w:r w:rsidRPr="00AC1F4A">
              <w:rPr>
                <w:rFonts w:asciiTheme="minorHAnsi" w:hAnsiTheme="minorHAnsi"/>
                <w:lang w:val="en-CA"/>
              </w:rPr>
              <w:t>5</w:t>
            </w:r>
          </w:p>
        </w:tc>
        <w:tc>
          <w:tcPr>
            <w:tcW w:w="7164" w:type="dxa"/>
          </w:tcPr>
          <w:p w:rsidR="00A03000" w:rsidRPr="00AC1F4A" w:rsidRDefault="00A03000" w:rsidP="00E13D46">
            <w:pPr>
              <w:snapToGrid w:val="0"/>
              <w:spacing w:before="60" w:after="60"/>
              <w:rPr>
                <w:rFonts w:asciiTheme="minorHAnsi" w:hAnsiTheme="minorHAnsi"/>
                <w:szCs w:val="24"/>
                <w:lang w:val="en-CA"/>
              </w:rPr>
            </w:pPr>
            <w:r w:rsidRPr="00AC1F4A">
              <w:rPr>
                <w:rFonts w:asciiTheme="minorHAnsi" w:hAnsiTheme="minorHAnsi"/>
                <w:szCs w:val="24"/>
                <w:lang w:val="en-CA"/>
              </w:rPr>
              <w:t>Proposed suppression of Resolution 185 (Busan, 2014) – Global flight tracking for civil aviation</w:t>
            </w:r>
          </w:p>
        </w:tc>
        <w:tc>
          <w:tcPr>
            <w:tcW w:w="2333" w:type="dxa"/>
          </w:tcPr>
          <w:p w:rsidR="00A03000" w:rsidRPr="00AC1F4A" w:rsidRDefault="00AD3E42" w:rsidP="00E13D46">
            <w:pPr>
              <w:snapToGrid w:val="0"/>
              <w:spacing w:before="60" w:after="60"/>
              <w:jc w:val="center"/>
              <w:rPr>
                <w:lang w:val="en-CA"/>
              </w:rPr>
            </w:pPr>
            <w:hyperlink r:id="rId8" w:history="1">
              <w:r w:rsidR="00A03000" w:rsidRPr="00E13D46">
                <w:rPr>
                  <w:rStyle w:val="Hyperlink"/>
                  <w:lang w:val="en-CA"/>
                </w:rPr>
                <w:t>18</w:t>
              </w:r>
            </w:hyperlink>
            <w:r w:rsidR="00A03000" w:rsidRPr="00AC1F4A">
              <w:rPr>
                <w:lang w:val="en-CA"/>
              </w:rPr>
              <w:t xml:space="preserve">, </w:t>
            </w:r>
            <w:hyperlink r:id="rId9" w:history="1">
              <w:r w:rsidR="00A03000" w:rsidRPr="00E13D46">
                <w:rPr>
                  <w:rStyle w:val="Hyperlink"/>
                  <w:lang w:val="en-CA"/>
                </w:rPr>
                <w:t>48(Add.1),</w:t>
              </w:r>
            </w:hyperlink>
            <w:r w:rsidR="00A03000" w:rsidRPr="00AC1F4A">
              <w:rPr>
                <w:lang w:val="en-CA"/>
              </w:rPr>
              <w:t xml:space="preserve"> </w:t>
            </w:r>
            <w:hyperlink r:id="rId10" w:history="1">
              <w:r w:rsidR="00A03000" w:rsidRPr="00E13D46">
                <w:rPr>
                  <w:rStyle w:val="Hyperlink"/>
                  <w:lang w:val="en-CA"/>
                </w:rPr>
                <w:t>55(Add.1),</w:t>
              </w:r>
            </w:hyperlink>
            <w:r w:rsidR="00A03000" w:rsidRPr="00AC1F4A">
              <w:rPr>
                <w:lang w:val="en-CA"/>
              </w:rPr>
              <w:t xml:space="preserve"> </w:t>
            </w:r>
            <w:hyperlink r:id="rId11" w:history="1">
              <w:r w:rsidR="00A03000" w:rsidRPr="00A83210">
                <w:rPr>
                  <w:rStyle w:val="Hyperlink"/>
                  <w:lang w:val="en-CA"/>
                </w:rPr>
                <w:t>62(Add.1)</w:t>
              </w:r>
            </w:hyperlink>
            <w:r w:rsidR="00A03000" w:rsidRPr="00AC1F4A">
              <w:rPr>
                <w:lang w:val="en-CA"/>
              </w:rPr>
              <w:t xml:space="preserve">, </w:t>
            </w:r>
            <w:hyperlink r:id="rId12" w:history="1">
              <w:r w:rsidR="00A03000" w:rsidRPr="00A83210">
                <w:rPr>
                  <w:rStyle w:val="Hyperlink"/>
                  <w:lang w:val="en-CA"/>
                </w:rPr>
                <w:t>63(Add.1)</w:t>
              </w:r>
            </w:hyperlink>
            <w:r w:rsidR="00A03000" w:rsidRPr="00AC1F4A">
              <w:rPr>
                <w:lang w:val="en-CA"/>
              </w:rPr>
              <w:t xml:space="preserve">, </w:t>
            </w:r>
            <w:hyperlink r:id="rId13" w:history="1">
              <w:r w:rsidR="00A03000" w:rsidRPr="00A83210">
                <w:rPr>
                  <w:rStyle w:val="Hyperlink"/>
                  <w:lang w:val="en-CA"/>
                </w:rPr>
                <w:t>64(Add.1)</w:t>
              </w:r>
            </w:hyperlink>
            <w:r w:rsidR="00A03000" w:rsidRPr="00AC1F4A">
              <w:rPr>
                <w:lang w:val="en-CA"/>
              </w:rPr>
              <w:t xml:space="preserve">, </w:t>
            </w:r>
            <w:hyperlink r:id="rId14" w:history="1">
              <w:r w:rsidR="00A03000" w:rsidRPr="00A83210">
                <w:rPr>
                  <w:rStyle w:val="Hyperlink"/>
                  <w:lang w:val="en-CA"/>
                </w:rPr>
                <w:t>72(Add.1)</w:t>
              </w:r>
            </w:hyperlink>
          </w:p>
        </w:tc>
      </w:tr>
      <w:tr w:rsidR="00A83210" w:rsidRPr="00AC1F4A" w:rsidTr="00A83210">
        <w:tc>
          <w:tcPr>
            <w:tcW w:w="534" w:type="dxa"/>
          </w:tcPr>
          <w:p w:rsidR="00A83210" w:rsidRPr="00AC1F4A" w:rsidRDefault="00A83210" w:rsidP="00E13D46">
            <w:pPr>
              <w:snapToGrid w:val="0"/>
              <w:spacing w:before="60" w:after="60"/>
              <w:ind w:left="567" w:hanging="567"/>
              <w:rPr>
                <w:rFonts w:asciiTheme="minorHAnsi" w:hAnsiTheme="minorHAnsi"/>
                <w:lang w:val="en-CA"/>
              </w:rPr>
            </w:pPr>
            <w:r w:rsidRPr="00AC1F4A">
              <w:rPr>
                <w:rFonts w:asciiTheme="minorHAnsi" w:hAnsiTheme="minorHAnsi"/>
                <w:lang w:val="en-CA"/>
              </w:rPr>
              <w:t>6</w:t>
            </w:r>
          </w:p>
        </w:tc>
        <w:tc>
          <w:tcPr>
            <w:tcW w:w="7164" w:type="dxa"/>
          </w:tcPr>
          <w:p w:rsidR="00A83210" w:rsidRPr="00AC1F4A" w:rsidRDefault="00A83210" w:rsidP="00E13D46">
            <w:pPr>
              <w:snapToGrid w:val="0"/>
              <w:spacing w:before="60" w:after="60"/>
              <w:rPr>
                <w:rFonts w:asciiTheme="minorHAnsi" w:hAnsiTheme="minorHAnsi"/>
                <w:szCs w:val="24"/>
                <w:lang w:val="en-CA"/>
              </w:rPr>
            </w:pPr>
            <w:r w:rsidRPr="00AC1F4A">
              <w:rPr>
                <w:rFonts w:asciiTheme="minorHAnsi" w:hAnsiTheme="minorHAnsi"/>
                <w:szCs w:val="24"/>
                <w:lang w:val="en-CA"/>
              </w:rPr>
              <w:t>First series of texts submitted by the Editorial Committee for first reading (B1)</w:t>
            </w:r>
          </w:p>
        </w:tc>
        <w:tc>
          <w:tcPr>
            <w:tcW w:w="2333" w:type="dxa"/>
            <w:vMerge w:val="restart"/>
            <w:vAlign w:val="center"/>
          </w:tcPr>
          <w:p w:rsidR="00A83210" w:rsidRPr="00AC1F4A" w:rsidRDefault="00A83210" w:rsidP="00A83210">
            <w:pPr>
              <w:snapToGrid w:val="0"/>
              <w:spacing w:before="60" w:after="60"/>
              <w:jc w:val="center"/>
              <w:rPr>
                <w:lang w:val="en-CA"/>
              </w:rPr>
            </w:pPr>
            <w:hyperlink r:id="rId15" w:history="1">
              <w:r w:rsidRPr="00A83210">
                <w:rPr>
                  <w:rStyle w:val="Hyperlink"/>
                  <w:lang w:val="en-CA"/>
                </w:rPr>
                <w:t>107</w:t>
              </w:r>
            </w:hyperlink>
          </w:p>
        </w:tc>
      </w:tr>
      <w:tr w:rsidR="00A83210" w:rsidRPr="00AC1F4A" w:rsidTr="004F7421">
        <w:tc>
          <w:tcPr>
            <w:tcW w:w="534" w:type="dxa"/>
          </w:tcPr>
          <w:p w:rsidR="00A83210" w:rsidRPr="00AC1F4A" w:rsidRDefault="00A83210" w:rsidP="00E13D46">
            <w:pPr>
              <w:snapToGrid w:val="0"/>
              <w:spacing w:before="60" w:after="60"/>
              <w:ind w:left="567" w:hanging="567"/>
              <w:rPr>
                <w:rFonts w:asciiTheme="minorHAnsi" w:hAnsiTheme="minorHAnsi"/>
                <w:lang w:val="en-CA"/>
              </w:rPr>
            </w:pPr>
            <w:r w:rsidRPr="00AC1F4A">
              <w:rPr>
                <w:rFonts w:asciiTheme="minorHAnsi" w:hAnsiTheme="minorHAnsi"/>
                <w:lang w:val="en-CA"/>
              </w:rPr>
              <w:t>7</w:t>
            </w:r>
          </w:p>
        </w:tc>
        <w:tc>
          <w:tcPr>
            <w:tcW w:w="7164" w:type="dxa"/>
          </w:tcPr>
          <w:p w:rsidR="00A83210" w:rsidRPr="00AC1F4A" w:rsidRDefault="00A83210" w:rsidP="00E13D46">
            <w:pPr>
              <w:snapToGrid w:val="0"/>
              <w:spacing w:before="60" w:after="60"/>
              <w:rPr>
                <w:rFonts w:asciiTheme="minorHAnsi" w:hAnsiTheme="minorHAnsi"/>
                <w:szCs w:val="24"/>
                <w:lang w:val="en-CA"/>
              </w:rPr>
            </w:pPr>
            <w:r w:rsidRPr="00AC1F4A">
              <w:rPr>
                <w:rFonts w:asciiTheme="minorHAnsi" w:hAnsiTheme="minorHAnsi"/>
                <w:szCs w:val="24"/>
                <w:lang w:val="en-CA"/>
              </w:rPr>
              <w:t>First series of texts submitted by the Editorial Committee – second reading</w:t>
            </w:r>
          </w:p>
        </w:tc>
        <w:tc>
          <w:tcPr>
            <w:tcW w:w="2333" w:type="dxa"/>
            <w:vMerge/>
          </w:tcPr>
          <w:p w:rsidR="00A83210" w:rsidRPr="00AC1F4A" w:rsidRDefault="00A83210" w:rsidP="00E13D46">
            <w:pPr>
              <w:snapToGrid w:val="0"/>
              <w:spacing w:before="60" w:after="60"/>
              <w:jc w:val="center"/>
              <w:rPr>
                <w:lang w:val="en-CA"/>
              </w:rPr>
            </w:pPr>
          </w:p>
        </w:tc>
      </w:tr>
      <w:tr w:rsidR="00A83210" w:rsidRPr="00AC1F4A" w:rsidTr="00A83210">
        <w:tc>
          <w:tcPr>
            <w:tcW w:w="534" w:type="dxa"/>
          </w:tcPr>
          <w:p w:rsidR="00A83210" w:rsidRPr="00AC1F4A" w:rsidRDefault="00A83210" w:rsidP="00E13D46">
            <w:pPr>
              <w:snapToGrid w:val="0"/>
              <w:spacing w:before="60" w:after="60"/>
              <w:ind w:left="567" w:hanging="567"/>
              <w:rPr>
                <w:rFonts w:asciiTheme="minorHAnsi" w:hAnsiTheme="minorHAnsi"/>
                <w:lang w:val="en-CA"/>
              </w:rPr>
            </w:pPr>
            <w:r w:rsidRPr="00AC1F4A">
              <w:rPr>
                <w:rFonts w:asciiTheme="minorHAnsi" w:hAnsiTheme="minorHAnsi"/>
                <w:lang w:val="en-CA"/>
              </w:rPr>
              <w:t>8</w:t>
            </w:r>
          </w:p>
        </w:tc>
        <w:tc>
          <w:tcPr>
            <w:tcW w:w="7164" w:type="dxa"/>
          </w:tcPr>
          <w:p w:rsidR="00A83210" w:rsidRPr="00AC1F4A" w:rsidRDefault="00A83210" w:rsidP="00E13D46">
            <w:pPr>
              <w:snapToGrid w:val="0"/>
              <w:spacing w:before="60" w:after="60"/>
              <w:rPr>
                <w:rFonts w:asciiTheme="minorHAnsi" w:hAnsiTheme="minorHAnsi"/>
                <w:szCs w:val="24"/>
                <w:lang w:val="en-CA"/>
              </w:rPr>
            </w:pPr>
            <w:r w:rsidRPr="00AC1F4A">
              <w:rPr>
                <w:rFonts w:asciiTheme="minorHAnsi" w:hAnsiTheme="minorHAnsi"/>
                <w:szCs w:val="24"/>
                <w:lang w:val="en-CA"/>
              </w:rPr>
              <w:t>Second series of texts submitted by the Editorial Committee for first reading (B2)</w:t>
            </w:r>
          </w:p>
        </w:tc>
        <w:tc>
          <w:tcPr>
            <w:tcW w:w="2333" w:type="dxa"/>
            <w:vMerge w:val="restart"/>
            <w:vAlign w:val="center"/>
          </w:tcPr>
          <w:p w:rsidR="00A83210" w:rsidRPr="00AC1F4A" w:rsidRDefault="00A83210" w:rsidP="00A83210">
            <w:pPr>
              <w:snapToGrid w:val="0"/>
              <w:spacing w:before="60" w:after="60"/>
              <w:jc w:val="center"/>
              <w:rPr>
                <w:lang w:val="en-CA"/>
              </w:rPr>
            </w:pPr>
            <w:hyperlink r:id="rId16" w:history="1">
              <w:r w:rsidRPr="00A83210">
                <w:rPr>
                  <w:rStyle w:val="Hyperlink"/>
                  <w:lang w:val="en-CA"/>
                </w:rPr>
                <w:t>108</w:t>
              </w:r>
            </w:hyperlink>
          </w:p>
        </w:tc>
      </w:tr>
      <w:tr w:rsidR="00A83210" w:rsidRPr="00AC1F4A" w:rsidTr="004F7421">
        <w:tc>
          <w:tcPr>
            <w:tcW w:w="534" w:type="dxa"/>
          </w:tcPr>
          <w:p w:rsidR="00A83210" w:rsidRPr="00AC1F4A" w:rsidRDefault="00A83210" w:rsidP="00E13D46">
            <w:pPr>
              <w:snapToGrid w:val="0"/>
              <w:spacing w:before="60" w:after="60"/>
              <w:ind w:left="567" w:hanging="567"/>
              <w:rPr>
                <w:rFonts w:asciiTheme="minorHAnsi" w:hAnsiTheme="minorHAnsi"/>
                <w:lang w:val="en-CA"/>
              </w:rPr>
            </w:pPr>
            <w:r w:rsidRPr="00AC1F4A">
              <w:rPr>
                <w:rFonts w:asciiTheme="minorHAnsi" w:hAnsiTheme="minorHAnsi"/>
                <w:lang w:val="en-CA"/>
              </w:rPr>
              <w:t>9</w:t>
            </w:r>
          </w:p>
        </w:tc>
        <w:tc>
          <w:tcPr>
            <w:tcW w:w="7164" w:type="dxa"/>
          </w:tcPr>
          <w:p w:rsidR="00A83210" w:rsidRPr="00AC1F4A" w:rsidRDefault="00A83210" w:rsidP="00E13D46">
            <w:pPr>
              <w:snapToGrid w:val="0"/>
              <w:spacing w:before="60" w:after="60"/>
              <w:rPr>
                <w:rFonts w:asciiTheme="minorHAnsi" w:hAnsiTheme="minorHAnsi"/>
                <w:szCs w:val="24"/>
                <w:lang w:val="en-CA"/>
              </w:rPr>
            </w:pPr>
            <w:r w:rsidRPr="00AC1F4A">
              <w:rPr>
                <w:rFonts w:asciiTheme="minorHAnsi" w:hAnsiTheme="minorHAnsi"/>
                <w:szCs w:val="24"/>
                <w:lang w:val="en-CA"/>
              </w:rPr>
              <w:t>Second series of texts submitted by the Editorial Committee – second reading</w:t>
            </w:r>
          </w:p>
        </w:tc>
        <w:tc>
          <w:tcPr>
            <w:tcW w:w="2333" w:type="dxa"/>
            <w:vMerge/>
          </w:tcPr>
          <w:p w:rsidR="00A83210" w:rsidRPr="00AC1F4A" w:rsidRDefault="00A83210" w:rsidP="00E13D46">
            <w:pPr>
              <w:snapToGrid w:val="0"/>
              <w:spacing w:before="60" w:after="60"/>
              <w:jc w:val="center"/>
              <w:rPr>
                <w:lang w:val="en-CA"/>
              </w:rPr>
            </w:pPr>
          </w:p>
        </w:tc>
      </w:tr>
    </w:tbl>
    <w:p w:rsidR="001A16ED" w:rsidRDefault="001A16ED" w:rsidP="00AB2D04">
      <w:r>
        <w:br w:type="page"/>
      </w:r>
    </w:p>
    <w:p w:rsidR="00A03000" w:rsidRPr="00A03000" w:rsidRDefault="00A03000" w:rsidP="00A03000">
      <w:pPr>
        <w:tabs>
          <w:tab w:val="clear" w:pos="567"/>
          <w:tab w:val="clear" w:pos="1134"/>
          <w:tab w:val="clear" w:pos="1701"/>
          <w:tab w:val="clear" w:pos="2268"/>
          <w:tab w:val="clear" w:pos="2835"/>
        </w:tabs>
        <w:overflowPunct/>
        <w:autoSpaceDE/>
        <w:autoSpaceDN/>
        <w:snapToGrid w:val="0"/>
        <w:spacing w:before="360" w:after="120"/>
        <w:textAlignment w:val="auto"/>
        <w:rPr>
          <w:b/>
          <w:sz w:val="26"/>
          <w:szCs w:val="26"/>
          <w:lang w:val="en-CA"/>
        </w:rPr>
      </w:pPr>
      <w:r w:rsidRPr="00A03000">
        <w:rPr>
          <w:b/>
          <w:sz w:val="26"/>
          <w:szCs w:val="26"/>
          <w:lang w:val="en-CA"/>
        </w:rPr>
        <w:lastRenderedPageBreak/>
        <w:t>1</w:t>
      </w:r>
      <w:r w:rsidRPr="00A03000">
        <w:rPr>
          <w:b/>
          <w:sz w:val="26"/>
          <w:szCs w:val="26"/>
          <w:lang w:val="en-CA"/>
        </w:rPr>
        <w:tab/>
        <w:t>General policy statements (continued)</w:t>
      </w:r>
      <w:r w:rsidRPr="00A03000">
        <w:rPr>
          <w:rStyle w:val="FootnoteReference"/>
          <w:b/>
          <w:sz w:val="20"/>
          <w:lang w:val="en-CA"/>
        </w:rPr>
        <w:footnoteReference w:id="1"/>
      </w:r>
    </w:p>
    <w:p w:rsidR="00A03000" w:rsidRPr="00AC1F4A" w:rsidRDefault="00A03000" w:rsidP="00A83210">
      <w:pPr>
        <w:tabs>
          <w:tab w:val="clear" w:pos="567"/>
          <w:tab w:val="clear" w:pos="1134"/>
          <w:tab w:val="clear" w:pos="1701"/>
          <w:tab w:val="clear" w:pos="2268"/>
          <w:tab w:val="clear" w:pos="2835"/>
        </w:tabs>
        <w:overflowPunct/>
        <w:autoSpaceDE/>
        <w:autoSpaceDN/>
        <w:snapToGrid w:val="0"/>
        <w:spacing w:after="120"/>
        <w:textAlignment w:val="auto"/>
        <w:rPr>
          <w:lang w:val="en-CA"/>
        </w:rPr>
      </w:pPr>
      <w:r>
        <w:rPr>
          <w:lang w:val="en-CA"/>
        </w:rPr>
        <w:t>1.1</w:t>
      </w:r>
      <w:r>
        <w:rPr>
          <w:lang w:val="en-CA"/>
        </w:rPr>
        <w:tab/>
      </w:r>
      <w:r w:rsidRPr="00AC1F4A">
        <w:rPr>
          <w:lang w:val="en-CA"/>
        </w:rPr>
        <w:t xml:space="preserve">Mr </w:t>
      </w:r>
      <w:proofErr w:type="spellStart"/>
      <w:r w:rsidRPr="00AC1F4A">
        <w:rPr>
          <w:lang w:val="en-CA"/>
        </w:rPr>
        <w:t>Mário</w:t>
      </w:r>
      <w:proofErr w:type="spellEnd"/>
      <w:r w:rsidRPr="00AC1F4A">
        <w:rPr>
          <w:lang w:val="en-CA"/>
        </w:rPr>
        <w:t xml:space="preserve"> Oliveira, Deputy Minister, Ministry of Telecommunications and Information Technologies (Angola)</w:t>
      </w:r>
      <w:r>
        <w:rPr>
          <w:lang w:val="en-CA"/>
        </w:rPr>
        <w:t>,</w:t>
      </w:r>
      <w:r w:rsidRPr="00AC1F4A">
        <w:rPr>
          <w:lang w:val="en-CA"/>
        </w:rPr>
        <w:t xml:space="preserve"> </w:t>
      </w:r>
      <w:r>
        <w:rPr>
          <w:lang w:val="en-CA"/>
        </w:rPr>
        <w:t>made</w:t>
      </w:r>
      <w:r w:rsidR="00A83210">
        <w:rPr>
          <w:lang w:val="en-CA"/>
        </w:rPr>
        <w:t xml:space="preserve"> a general policy statement; (see </w:t>
      </w:r>
      <w:hyperlink r:id="rId17" w:history="1">
        <w:r w:rsidR="00A83210" w:rsidRPr="00D8042A">
          <w:rPr>
            <w:rStyle w:val="Hyperlink"/>
            <w:lang w:val="en-CA"/>
          </w:rPr>
          <w:t>https://www.itu.int/web/pp-18/en/speech/173</w:t>
        </w:r>
      </w:hyperlink>
      <w:r w:rsidR="00A83210">
        <w:rPr>
          <w:lang w:val="en-CA"/>
        </w:rPr>
        <w:t>)</w:t>
      </w:r>
    </w:p>
    <w:p w:rsidR="00A03000" w:rsidRPr="00A03000" w:rsidRDefault="00A03000" w:rsidP="00A03000">
      <w:pPr>
        <w:tabs>
          <w:tab w:val="clear" w:pos="567"/>
          <w:tab w:val="clear" w:pos="1134"/>
          <w:tab w:val="clear" w:pos="1701"/>
          <w:tab w:val="clear" w:pos="2268"/>
          <w:tab w:val="clear" w:pos="2835"/>
        </w:tabs>
        <w:overflowPunct/>
        <w:autoSpaceDE/>
        <w:autoSpaceDN/>
        <w:snapToGrid w:val="0"/>
        <w:spacing w:before="360" w:after="120"/>
        <w:textAlignment w:val="auto"/>
        <w:rPr>
          <w:b/>
          <w:sz w:val="26"/>
          <w:szCs w:val="26"/>
          <w:lang w:val="en-CA"/>
        </w:rPr>
      </w:pPr>
      <w:r w:rsidRPr="00A03000">
        <w:rPr>
          <w:b/>
          <w:sz w:val="26"/>
          <w:szCs w:val="26"/>
          <w:lang w:val="en-CA"/>
        </w:rPr>
        <w:t>2</w:t>
      </w:r>
      <w:r w:rsidRPr="00A03000">
        <w:rPr>
          <w:b/>
          <w:sz w:val="26"/>
          <w:szCs w:val="26"/>
          <w:lang w:val="en-CA"/>
        </w:rPr>
        <w:tab/>
        <w:t>Date of taking office of the newly elected officials and swearing-in ceremony</w:t>
      </w:r>
    </w:p>
    <w:p w:rsidR="00A03000" w:rsidRPr="00AC1F4A" w:rsidRDefault="00A03000" w:rsidP="00A03000">
      <w:pPr>
        <w:tabs>
          <w:tab w:val="clear" w:pos="567"/>
          <w:tab w:val="clear" w:pos="1134"/>
          <w:tab w:val="clear" w:pos="1701"/>
          <w:tab w:val="clear" w:pos="2268"/>
          <w:tab w:val="clear" w:pos="2835"/>
        </w:tabs>
        <w:overflowPunct/>
        <w:autoSpaceDE/>
        <w:autoSpaceDN/>
        <w:snapToGrid w:val="0"/>
        <w:spacing w:after="120"/>
        <w:textAlignment w:val="auto"/>
        <w:rPr>
          <w:lang w:val="en-CA"/>
        </w:rPr>
      </w:pPr>
      <w:r>
        <w:rPr>
          <w:lang w:val="en-CA"/>
        </w:rPr>
        <w:t>2.1</w:t>
      </w:r>
      <w:r>
        <w:rPr>
          <w:lang w:val="en-CA"/>
        </w:rPr>
        <w:tab/>
      </w:r>
      <w:r w:rsidRPr="00AC1F4A">
        <w:rPr>
          <w:lang w:val="en-CA"/>
        </w:rPr>
        <w:t xml:space="preserve">The </w:t>
      </w:r>
      <w:r w:rsidRPr="00AC1F4A">
        <w:rPr>
          <w:b/>
          <w:lang w:val="en-CA"/>
        </w:rPr>
        <w:t>Chairman</w:t>
      </w:r>
      <w:r w:rsidRPr="00A06B80">
        <w:rPr>
          <w:bCs/>
          <w:lang w:val="en-CA"/>
        </w:rPr>
        <w:t>, referring to No. 13 of the Convention,</w:t>
      </w:r>
      <w:r w:rsidRPr="00AC1F4A">
        <w:rPr>
          <w:lang w:val="en-CA"/>
        </w:rPr>
        <w:t xml:space="preserve"> said that it was proposed that the newly elected officials take office on 1 January 2019.</w:t>
      </w:r>
    </w:p>
    <w:p w:rsidR="00A03000" w:rsidRPr="00AC1F4A" w:rsidRDefault="00A03000" w:rsidP="00A03000">
      <w:pPr>
        <w:tabs>
          <w:tab w:val="clear" w:pos="567"/>
          <w:tab w:val="clear" w:pos="1134"/>
          <w:tab w:val="clear" w:pos="1701"/>
          <w:tab w:val="clear" w:pos="2268"/>
          <w:tab w:val="clear" w:pos="2835"/>
        </w:tabs>
        <w:overflowPunct/>
        <w:autoSpaceDE/>
        <w:autoSpaceDN/>
        <w:snapToGrid w:val="0"/>
        <w:spacing w:after="120"/>
        <w:textAlignment w:val="auto"/>
        <w:rPr>
          <w:lang w:val="en-CA"/>
        </w:rPr>
      </w:pPr>
      <w:r>
        <w:rPr>
          <w:lang w:val="en-CA"/>
        </w:rPr>
        <w:t>2.2</w:t>
      </w:r>
      <w:r>
        <w:rPr>
          <w:lang w:val="en-CA"/>
        </w:rPr>
        <w:tab/>
      </w:r>
      <w:r w:rsidRPr="00AC1F4A">
        <w:rPr>
          <w:lang w:val="en-CA"/>
        </w:rPr>
        <w:t xml:space="preserve">It was so </w:t>
      </w:r>
      <w:r w:rsidRPr="00AC1F4A">
        <w:rPr>
          <w:b/>
          <w:lang w:val="en-CA"/>
        </w:rPr>
        <w:t>agreed</w:t>
      </w:r>
      <w:r w:rsidRPr="00AC1F4A">
        <w:rPr>
          <w:lang w:val="en-CA"/>
        </w:rPr>
        <w:t xml:space="preserve">. </w:t>
      </w:r>
    </w:p>
    <w:p w:rsidR="00A03000" w:rsidRPr="00AC1F4A" w:rsidRDefault="00A03000" w:rsidP="00A03000">
      <w:pPr>
        <w:tabs>
          <w:tab w:val="clear" w:pos="567"/>
          <w:tab w:val="clear" w:pos="1134"/>
          <w:tab w:val="clear" w:pos="1701"/>
          <w:tab w:val="clear" w:pos="2268"/>
          <w:tab w:val="clear" w:pos="2835"/>
        </w:tabs>
        <w:overflowPunct/>
        <w:autoSpaceDE/>
        <w:autoSpaceDN/>
        <w:snapToGrid w:val="0"/>
        <w:spacing w:after="120"/>
        <w:textAlignment w:val="auto"/>
        <w:rPr>
          <w:lang w:val="en-CA"/>
        </w:rPr>
      </w:pPr>
      <w:r>
        <w:rPr>
          <w:lang w:val="en-CA"/>
        </w:rPr>
        <w:t>2.3</w:t>
      </w:r>
      <w:r>
        <w:rPr>
          <w:lang w:val="en-CA"/>
        </w:rPr>
        <w:tab/>
      </w:r>
      <w:r w:rsidRPr="00AC1F4A">
        <w:rPr>
          <w:lang w:val="en-CA"/>
        </w:rPr>
        <w:t xml:space="preserve">The </w:t>
      </w:r>
      <w:r w:rsidRPr="00AC1F4A">
        <w:rPr>
          <w:b/>
          <w:lang w:val="en-CA"/>
        </w:rPr>
        <w:t>Chairman</w:t>
      </w:r>
      <w:r w:rsidRPr="00AC1F4A">
        <w:rPr>
          <w:lang w:val="en-CA"/>
        </w:rPr>
        <w:t xml:space="preserve"> invited the Secretary-General, the Deputy Secretary-General, the Director of TSB and the Directors</w:t>
      </w:r>
      <w:r>
        <w:rPr>
          <w:lang w:val="en-CA"/>
        </w:rPr>
        <w:t xml:space="preserve"> </w:t>
      </w:r>
      <w:r w:rsidRPr="00AC1F4A">
        <w:rPr>
          <w:lang w:val="en-CA"/>
        </w:rPr>
        <w:t>elect of BR and BDT to take the oath of office.</w:t>
      </w:r>
    </w:p>
    <w:p w:rsidR="00A03000" w:rsidRPr="00AC1F4A" w:rsidRDefault="00A03000" w:rsidP="00A03000">
      <w:pPr>
        <w:tabs>
          <w:tab w:val="clear" w:pos="567"/>
          <w:tab w:val="clear" w:pos="1134"/>
          <w:tab w:val="clear" w:pos="1701"/>
          <w:tab w:val="clear" w:pos="2268"/>
          <w:tab w:val="clear" w:pos="2835"/>
        </w:tabs>
        <w:overflowPunct/>
        <w:autoSpaceDE/>
        <w:autoSpaceDN/>
        <w:snapToGrid w:val="0"/>
        <w:spacing w:after="120"/>
        <w:textAlignment w:val="auto"/>
        <w:rPr>
          <w:lang w:val="en-CA"/>
        </w:rPr>
      </w:pPr>
      <w:r>
        <w:rPr>
          <w:lang w:val="en-CA"/>
        </w:rPr>
        <w:t>2.4</w:t>
      </w:r>
      <w:r>
        <w:rPr>
          <w:lang w:val="en-CA"/>
        </w:rPr>
        <w:tab/>
      </w:r>
      <w:r w:rsidRPr="00AC1F4A">
        <w:rPr>
          <w:lang w:val="en-CA"/>
        </w:rPr>
        <w:t xml:space="preserve">The </w:t>
      </w:r>
      <w:r w:rsidRPr="00AC1F4A">
        <w:rPr>
          <w:b/>
          <w:lang w:val="en-CA"/>
        </w:rPr>
        <w:t>Secretary-General</w:t>
      </w:r>
      <w:r w:rsidRPr="00AC1F4A">
        <w:rPr>
          <w:lang w:val="en-CA"/>
        </w:rPr>
        <w:t xml:space="preserve">, the </w:t>
      </w:r>
      <w:r w:rsidRPr="00AC1F4A">
        <w:rPr>
          <w:b/>
          <w:lang w:val="en-CA"/>
        </w:rPr>
        <w:t>Deputy Secretary-General</w:t>
      </w:r>
      <w:r w:rsidRPr="00AC1F4A">
        <w:rPr>
          <w:lang w:val="en-CA"/>
        </w:rPr>
        <w:t xml:space="preserve">, the </w:t>
      </w:r>
      <w:r w:rsidRPr="00AC1F4A">
        <w:rPr>
          <w:b/>
          <w:lang w:val="en-CA"/>
        </w:rPr>
        <w:t>Director of TSB</w:t>
      </w:r>
      <w:r w:rsidRPr="00AC1F4A">
        <w:rPr>
          <w:lang w:val="en-CA"/>
        </w:rPr>
        <w:t xml:space="preserve"> and the </w:t>
      </w:r>
      <w:r w:rsidRPr="00AC1F4A">
        <w:rPr>
          <w:b/>
          <w:lang w:val="en-CA"/>
        </w:rPr>
        <w:t>Directors</w:t>
      </w:r>
      <w:r>
        <w:rPr>
          <w:b/>
          <w:lang w:val="en-CA"/>
        </w:rPr>
        <w:t xml:space="preserve"> </w:t>
      </w:r>
      <w:r w:rsidRPr="00AC1F4A">
        <w:rPr>
          <w:b/>
          <w:lang w:val="en-CA"/>
        </w:rPr>
        <w:t>elect</w:t>
      </w:r>
      <w:r w:rsidRPr="00AC1F4A">
        <w:rPr>
          <w:lang w:val="en-CA"/>
        </w:rPr>
        <w:t xml:space="preserve"> </w:t>
      </w:r>
      <w:r w:rsidRPr="00AC1F4A">
        <w:rPr>
          <w:b/>
          <w:lang w:val="en-CA"/>
        </w:rPr>
        <w:t>of BR</w:t>
      </w:r>
      <w:r w:rsidRPr="00AC1F4A">
        <w:rPr>
          <w:lang w:val="en-CA"/>
        </w:rPr>
        <w:t xml:space="preserve"> and </w:t>
      </w:r>
      <w:r w:rsidRPr="00AC1F4A">
        <w:rPr>
          <w:b/>
          <w:lang w:val="en-CA"/>
        </w:rPr>
        <w:t>BDT</w:t>
      </w:r>
      <w:r w:rsidRPr="00AC1F4A">
        <w:rPr>
          <w:lang w:val="en-CA"/>
        </w:rPr>
        <w:t xml:space="preserve"> took the following oath of office:</w:t>
      </w:r>
    </w:p>
    <w:p w:rsidR="00A03000" w:rsidRPr="00AC1F4A" w:rsidRDefault="00A03000" w:rsidP="00A03000">
      <w:pPr>
        <w:tabs>
          <w:tab w:val="clear" w:pos="567"/>
          <w:tab w:val="clear" w:pos="1134"/>
          <w:tab w:val="clear" w:pos="1701"/>
          <w:tab w:val="clear" w:pos="2268"/>
          <w:tab w:val="clear" w:pos="2835"/>
        </w:tabs>
        <w:overflowPunct/>
        <w:autoSpaceDE/>
        <w:autoSpaceDN/>
        <w:snapToGrid w:val="0"/>
        <w:spacing w:after="120"/>
        <w:textAlignment w:val="auto"/>
        <w:rPr>
          <w:lang w:val="en-CA"/>
        </w:rPr>
      </w:pPr>
      <w:r w:rsidRPr="00AC1F4A">
        <w:rPr>
          <w:lang w:val="en-CA"/>
        </w:rPr>
        <w:t>“I solemnly swear to exercise in all loyalty, discretion and conscience the functions entrusted to me as a staff member of the International Telecommunication Union; to discharge these functions and to regulate my conduct with the interest of the Union only in view, without seeking or accepting instructions or assistance from any Government or other authority external to the Union in regard to the accomplishment of my duties.”</w:t>
      </w:r>
    </w:p>
    <w:p w:rsidR="00A03000" w:rsidRPr="00AC1F4A" w:rsidRDefault="00A03000" w:rsidP="00A03000">
      <w:pPr>
        <w:tabs>
          <w:tab w:val="clear" w:pos="567"/>
          <w:tab w:val="clear" w:pos="1134"/>
          <w:tab w:val="clear" w:pos="1701"/>
          <w:tab w:val="clear" w:pos="2268"/>
          <w:tab w:val="clear" w:pos="2835"/>
        </w:tabs>
        <w:overflowPunct/>
        <w:autoSpaceDE/>
        <w:autoSpaceDN/>
        <w:snapToGrid w:val="0"/>
        <w:spacing w:after="120"/>
        <w:textAlignment w:val="auto"/>
        <w:rPr>
          <w:lang w:val="en-CA"/>
        </w:rPr>
      </w:pPr>
      <w:r>
        <w:rPr>
          <w:lang w:val="en-CA"/>
        </w:rPr>
        <w:t>2.5</w:t>
      </w:r>
      <w:r>
        <w:rPr>
          <w:lang w:val="en-CA"/>
        </w:rPr>
        <w:tab/>
      </w:r>
      <w:r w:rsidRPr="00AC1F4A">
        <w:rPr>
          <w:lang w:val="en-CA"/>
        </w:rPr>
        <w:t xml:space="preserve">The </w:t>
      </w:r>
      <w:r w:rsidRPr="00AC1F4A">
        <w:rPr>
          <w:b/>
          <w:lang w:val="en-CA"/>
        </w:rPr>
        <w:t>Chairman</w:t>
      </w:r>
      <w:r w:rsidRPr="00AC1F4A">
        <w:rPr>
          <w:lang w:val="en-CA"/>
        </w:rPr>
        <w:t xml:space="preserve"> presented the Secretary-General, the Deputy Secretary-General and the Director of TSB with their respective letters of re-appointment</w:t>
      </w:r>
      <w:r>
        <w:rPr>
          <w:lang w:val="en-CA"/>
        </w:rPr>
        <w:t>, and</w:t>
      </w:r>
      <w:r w:rsidRPr="00AC1F4A">
        <w:rPr>
          <w:lang w:val="en-CA"/>
        </w:rPr>
        <w:t xml:space="preserve"> the Directors</w:t>
      </w:r>
      <w:r>
        <w:rPr>
          <w:lang w:val="en-CA"/>
        </w:rPr>
        <w:t xml:space="preserve"> </w:t>
      </w:r>
      <w:r w:rsidRPr="00AC1F4A">
        <w:rPr>
          <w:lang w:val="en-CA"/>
        </w:rPr>
        <w:t>elect of BR and BDT with their respective letters of appointment.</w:t>
      </w:r>
    </w:p>
    <w:p w:rsidR="00A03000" w:rsidRPr="00A03000" w:rsidRDefault="00A03000" w:rsidP="00AD3E42">
      <w:pPr>
        <w:tabs>
          <w:tab w:val="clear" w:pos="567"/>
          <w:tab w:val="clear" w:pos="1134"/>
          <w:tab w:val="clear" w:pos="1701"/>
          <w:tab w:val="clear" w:pos="2268"/>
          <w:tab w:val="clear" w:pos="2835"/>
        </w:tabs>
        <w:overflowPunct/>
        <w:autoSpaceDE/>
        <w:autoSpaceDN/>
        <w:snapToGrid w:val="0"/>
        <w:spacing w:before="360" w:after="120"/>
        <w:ind w:left="709" w:hanging="709"/>
        <w:textAlignment w:val="auto"/>
        <w:rPr>
          <w:b/>
          <w:sz w:val="26"/>
          <w:szCs w:val="26"/>
          <w:lang w:val="en-CA"/>
        </w:rPr>
      </w:pPr>
      <w:r w:rsidRPr="00A03000">
        <w:rPr>
          <w:b/>
          <w:sz w:val="26"/>
          <w:szCs w:val="26"/>
          <w:lang w:val="en-CA"/>
        </w:rPr>
        <w:t>3</w:t>
      </w:r>
      <w:r w:rsidRPr="00A03000">
        <w:rPr>
          <w:b/>
          <w:sz w:val="26"/>
          <w:szCs w:val="26"/>
          <w:lang w:val="en-CA"/>
        </w:rPr>
        <w:tab/>
        <w:t>Date of taking of office of the newly elected m</w:t>
      </w:r>
      <w:r w:rsidR="00AD3E42">
        <w:rPr>
          <w:b/>
          <w:sz w:val="26"/>
          <w:szCs w:val="26"/>
          <w:lang w:val="en-CA"/>
        </w:rPr>
        <w:t xml:space="preserve">embers of the Radio Regulations </w:t>
      </w:r>
      <w:r w:rsidRPr="00A03000">
        <w:rPr>
          <w:b/>
          <w:sz w:val="26"/>
          <w:szCs w:val="26"/>
          <w:lang w:val="en-CA"/>
        </w:rPr>
        <w:t>Board</w:t>
      </w:r>
    </w:p>
    <w:p w:rsidR="00A03000" w:rsidRPr="00AC1F4A" w:rsidRDefault="00A03000" w:rsidP="00A03000">
      <w:pPr>
        <w:tabs>
          <w:tab w:val="clear" w:pos="567"/>
          <w:tab w:val="clear" w:pos="1134"/>
          <w:tab w:val="clear" w:pos="1701"/>
          <w:tab w:val="clear" w:pos="2268"/>
          <w:tab w:val="clear" w:pos="2835"/>
        </w:tabs>
        <w:overflowPunct/>
        <w:autoSpaceDE/>
        <w:autoSpaceDN/>
        <w:snapToGrid w:val="0"/>
        <w:spacing w:after="120"/>
        <w:textAlignment w:val="auto"/>
        <w:rPr>
          <w:lang w:val="en-CA"/>
        </w:rPr>
      </w:pPr>
      <w:r>
        <w:rPr>
          <w:lang w:val="en-CA"/>
        </w:rPr>
        <w:t>3.1</w:t>
      </w:r>
      <w:r>
        <w:rPr>
          <w:lang w:val="en-CA"/>
        </w:rPr>
        <w:tab/>
      </w:r>
      <w:r w:rsidRPr="00AC1F4A">
        <w:rPr>
          <w:lang w:val="en-CA"/>
        </w:rPr>
        <w:t xml:space="preserve">The </w:t>
      </w:r>
      <w:r w:rsidRPr="00AC1F4A">
        <w:rPr>
          <w:b/>
          <w:lang w:val="en-CA"/>
        </w:rPr>
        <w:t>Chairman</w:t>
      </w:r>
      <w:r w:rsidRPr="00AC1F4A">
        <w:rPr>
          <w:lang w:val="en-CA"/>
        </w:rPr>
        <w:t xml:space="preserve"> recalled that, under No. 20 of the Convention, the plenipotentiary conference was to determine the date on which the newly elected members of the Radio Regulations Board took office, and he suggested the date of 1 January 2019.</w:t>
      </w:r>
    </w:p>
    <w:p w:rsidR="00A03000" w:rsidRPr="00AC1F4A" w:rsidRDefault="00A03000" w:rsidP="00A03000">
      <w:pPr>
        <w:tabs>
          <w:tab w:val="clear" w:pos="567"/>
          <w:tab w:val="clear" w:pos="1134"/>
          <w:tab w:val="clear" w:pos="1701"/>
          <w:tab w:val="clear" w:pos="2268"/>
          <w:tab w:val="clear" w:pos="2835"/>
        </w:tabs>
        <w:overflowPunct/>
        <w:autoSpaceDE/>
        <w:autoSpaceDN/>
        <w:snapToGrid w:val="0"/>
        <w:spacing w:after="120"/>
        <w:textAlignment w:val="auto"/>
        <w:rPr>
          <w:lang w:val="en-CA"/>
        </w:rPr>
      </w:pPr>
      <w:r>
        <w:rPr>
          <w:lang w:val="en-CA"/>
        </w:rPr>
        <w:t>3.2</w:t>
      </w:r>
      <w:r>
        <w:rPr>
          <w:lang w:val="en-CA"/>
        </w:rPr>
        <w:tab/>
      </w:r>
      <w:r w:rsidRPr="00AC1F4A">
        <w:rPr>
          <w:lang w:val="en-CA"/>
        </w:rPr>
        <w:t xml:space="preserve">It was so </w:t>
      </w:r>
      <w:r w:rsidRPr="00AC1F4A">
        <w:rPr>
          <w:b/>
          <w:lang w:val="en-CA"/>
        </w:rPr>
        <w:t>agreed</w:t>
      </w:r>
      <w:r w:rsidRPr="00AC1F4A">
        <w:rPr>
          <w:lang w:val="en-CA"/>
        </w:rPr>
        <w:t>.</w:t>
      </w:r>
    </w:p>
    <w:p w:rsidR="00A03000" w:rsidRPr="00A03000" w:rsidRDefault="00A03000" w:rsidP="00A03000">
      <w:pPr>
        <w:tabs>
          <w:tab w:val="clear" w:pos="567"/>
          <w:tab w:val="clear" w:pos="1134"/>
          <w:tab w:val="clear" w:pos="1701"/>
          <w:tab w:val="clear" w:pos="2268"/>
          <w:tab w:val="clear" w:pos="2835"/>
        </w:tabs>
        <w:overflowPunct/>
        <w:autoSpaceDE/>
        <w:autoSpaceDN/>
        <w:snapToGrid w:val="0"/>
        <w:spacing w:before="360" w:after="120"/>
        <w:textAlignment w:val="auto"/>
        <w:rPr>
          <w:b/>
          <w:sz w:val="26"/>
          <w:szCs w:val="26"/>
          <w:lang w:val="en-CA"/>
        </w:rPr>
      </w:pPr>
      <w:r w:rsidRPr="00A03000">
        <w:rPr>
          <w:b/>
          <w:sz w:val="26"/>
          <w:szCs w:val="26"/>
          <w:lang w:val="en-CA"/>
        </w:rPr>
        <w:t>4</w:t>
      </w:r>
      <w:r w:rsidRPr="00A03000">
        <w:rPr>
          <w:b/>
          <w:sz w:val="26"/>
          <w:szCs w:val="26"/>
          <w:lang w:val="en-CA"/>
        </w:rPr>
        <w:tab/>
        <w:t xml:space="preserve">Report of Committee 2 (Credentials) (Document </w:t>
      </w:r>
      <w:hyperlink r:id="rId18" w:history="1">
        <w:r w:rsidRPr="00AD3E42">
          <w:rPr>
            <w:rStyle w:val="Hyperlink"/>
            <w:b/>
            <w:sz w:val="26"/>
            <w:szCs w:val="26"/>
            <w:lang w:val="en-CA"/>
          </w:rPr>
          <w:t>106</w:t>
        </w:r>
      </w:hyperlink>
      <w:r w:rsidRPr="00A03000">
        <w:rPr>
          <w:b/>
          <w:sz w:val="26"/>
          <w:szCs w:val="26"/>
          <w:lang w:val="en-CA"/>
        </w:rPr>
        <w:t>)</w:t>
      </w:r>
    </w:p>
    <w:p w:rsidR="00A03000" w:rsidRPr="00AC1F4A" w:rsidRDefault="00A03000" w:rsidP="00A03000">
      <w:pPr>
        <w:tabs>
          <w:tab w:val="clear" w:pos="567"/>
          <w:tab w:val="clear" w:pos="1134"/>
          <w:tab w:val="clear" w:pos="1701"/>
          <w:tab w:val="clear" w:pos="2268"/>
          <w:tab w:val="clear" w:pos="2835"/>
        </w:tabs>
        <w:overflowPunct/>
        <w:autoSpaceDE/>
        <w:autoSpaceDN/>
        <w:snapToGrid w:val="0"/>
        <w:spacing w:after="120"/>
        <w:textAlignment w:val="auto"/>
        <w:rPr>
          <w:lang w:val="en-CA"/>
        </w:rPr>
      </w:pPr>
      <w:r>
        <w:rPr>
          <w:lang w:val="en-CA"/>
        </w:rPr>
        <w:t>4.1</w:t>
      </w:r>
      <w:r>
        <w:rPr>
          <w:lang w:val="en-CA"/>
        </w:rPr>
        <w:tab/>
      </w:r>
      <w:r w:rsidRPr="00AC1F4A">
        <w:rPr>
          <w:lang w:val="en-CA"/>
        </w:rPr>
        <w:t xml:space="preserve">The </w:t>
      </w:r>
      <w:r w:rsidRPr="00AC1F4A">
        <w:rPr>
          <w:b/>
          <w:lang w:val="en-CA"/>
        </w:rPr>
        <w:t>Chairman of Committee 2 (Credentials)</w:t>
      </w:r>
      <w:r w:rsidRPr="00AC1F4A">
        <w:rPr>
          <w:lang w:val="en-CA"/>
        </w:rPr>
        <w:t xml:space="preserve"> introduced Document 106. Committee 2 had held two meetings, on 30 October and 7 November, at which it had verified the credentials, transfers of powers and proxies of delegations, in accordance with Article 31 of the Convention. The Committee’s conclusions were set out in the annex to Document 106. She drew attention to the recommendation in section 4 of Document 106 that the Plenary authorize her, assisted by the secretariat of Committee 2, to verify credentials and transfers of powers received after the date of publication of her report and to submit her conclusions to the Plenary.</w:t>
      </w:r>
    </w:p>
    <w:p w:rsidR="00A03000" w:rsidRPr="0066517E" w:rsidRDefault="00A03000" w:rsidP="00A03000">
      <w:pPr>
        <w:tabs>
          <w:tab w:val="clear" w:pos="567"/>
          <w:tab w:val="clear" w:pos="1134"/>
          <w:tab w:val="clear" w:pos="1701"/>
          <w:tab w:val="clear" w:pos="2268"/>
          <w:tab w:val="clear" w:pos="2835"/>
        </w:tabs>
        <w:overflowPunct/>
        <w:autoSpaceDE/>
        <w:autoSpaceDN/>
        <w:snapToGrid w:val="0"/>
        <w:spacing w:after="120"/>
        <w:textAlignment w:val="auto"/>
        <w:rPr>
          <w:b/>
          <w:lang w:val="en-CA"/>
        </w:rPr>
      </w:pPr>
      <w:r>
        <w:rPr>
          <w:lang w:val="en-CA"/>
        </w:rPr>
        <w:t>4.2</w:t>
      </w:r>
      <w:r>
        <w:rPr>
          <w:lang w:val="en-CA"/>
        </w:rPr>
        <w:tab/>
        <w:t xml:space="preserve">It was so </w:t>
      </w:r>
      <w:r>
        <w:rPr>
          <w:b/>
          <w:lang w:val="en-CA"/>
        </w:rPr>
        <w:t>agreed.</w:t>
      </w:r>
    </w:p>
    <w:p w:rsidR="00A03000" w:rsidRPr="00AC1F4A" w:rsidRDefault="00A03000" w:rsidP="00A03000">
      <w:pPr>
        <w:tabs>
          <w:tab w:val="clear" w:pos="567"/>
          <w:tab w:val="clear" w:pos="1134"/>
          <w:tab w:val="clear" w:pos="1701"/>
          <w:tab w:val="clear" w:pos="2268"/>
          <w:tab w:val="clear" w:pos="2835"/>
        </w:tabs>
        <w:overflowPunct/>
        <w:autoSpaceDE/>
        <w:autoSpaceDN/>
        <w:snapToGrid w:val="0"/>
        <w:spacing w:after="120"/>
        <w:textAlignment w:val="auto"/>
        <w:rPr>
          <w:lang w:val="en-CA"/>
        </w:rPr>
      </w:pPr>
      <w:r>
        <w:rPr>
          <w:lang w:val="en-CA"/>
        </w:rPr>
        <w:lastRenderedPageBreak/>
        <w:t>4.3</w:t>
      </w:r>
      <w:r>
        <w:rPr>
          <w:lang w:val="en-CA"/>
        </w:rPr>
        <w:tab/>
      </w:r>
      <w:r w:rsidRPr="00AC1F4A">
        <w:rPr>
          <w:lang w:val="en-CA"/>
        </w:rPr>
        <w:t>The report of Committee 2, as set out in Document 106</w:t>
      </w:r>
      <w:r>
        <w:rPr>
          <w:lang w:val="en-CA"/>
        </w:rPr>
        <w:t>,</w:t>
      </w:r>
      <w:r w:rsidRPr="00AC1F4A">
        <w:rPr>
          <w:lang w:val="en-CA"/>
        </w:rPr>
        <w:t xml:space="preserve"> was </w:t>
      </w:r>
      <w:r w:rsidRPr="00AC1F4A">
        <w:rPr>
          <w:b/>
          <w:lang w:val="en-CA"/>
        </w:rPr>
        <w:t>approved</w:t>
      </w:r>
      <w:r w:rsidRPr="00AC1F4A">
        <w:rPr>
          <w:lang w:val="en-CA"/>
        </w:rPr>
        <w:t>.</w:t>
      </w:r>
    </w:p>
    <w:p w:rsidR="00A03000" w:rsidRPr="00AC1F4A" w:rsidRDefault="00A03000" w:rsidP="00A03000">
      <w:pPr>
        <w:tabs>
          <w:tab w:val="clear" w:pos="567"/>
          <w:tab w:val="clear" w:pos="1134"/>
          <w:tab w:val="clear" w:pos="1701"/>
          <w:tab w:val="clear" w:pos="2268"/>
          <w:tab w:val="clear" w:pos="2835"/>
        </w:tabs>
        <w:overflowPunct/>
        <w:autoSpaceDE/>
        <w:autoSpaceDN/>
        <w:snapToGrid w:val="0"/>
        <w:spacing w:after="120"/>
        <w:textAlignment w:val="auto"/>
        <w:rPr>
          <w:lang w:val="en-CA"/>
        </w:rPr>
      </w:pPr>
      <w:r>
        <w:rPr>
          <w:lang w:val="en-CA"/>
        </w:rPr>
        <w:t>4.4</w:t>
      </w:r>
      <w:r>
        <w:rPr>
          <w:lang w:val="en-CA"/>
        </w:rPr>
        <w:tab/>
      </w:r>
      <w:r w:rsidRPr="00AC1F4A">
        <w:rPr>
          <w:lang w:val="en-CA"/>
        </w:rPr>
        <w:t xml:space="preserve">The </w:t>
      </w:r>
      <w:r w:rsidRPr="00AC1F4A">
        <w:rPr>
          <w:b/>
          <w:lang w:val="en-CA"/>
        </w:rPr>
        <w:t>Chairman</w:t>
      </w:r>
      <w:r w:rsidRPr="00AC1F4A">
        <w:rPr>
          <w:lang w:val="en-CA"/>
        </w:rPr>
        <w:t xml:space="preserve"> thanked the Chairman of Committee 2 for her work and invited her to keep the Plenary informed of any new developments.</w:t>
      </w:r>
    </w:p>
    <w:p w:rsidR="00A03000" w:rsidRPr="00A03000" w:rsidRDefault="00A03000" w:rsidP="00A03000">
      <w:pPr>
        <w:tabs>
          <w:tab w:val="clear" w:pos="567"/>
          <w:tab w:val="clear" w:pos="1134"/>
          <w:tab w:val="clear" w:pos="1701"/>
          <w:tab w:val="clear" w:pos="2268"/>
          <w:tab w:val="clear" w:pos="2835"/>
        </w:tabs>
        <w:snapToGrid w:val="0"/>
        <w:spacing w:before="360" w:after="120"/>
        <w:ind w:left="709" w:hanging="709"/>
        <w:rPr>
          <w:b/>
          <w:sz w:val="26"/>
          <w:szCs w:val="26"/>
          <w:lang w:val="en-CA"/>
        </w:rPr>
      </w:pPr>
      <w:r w:rsidRPr="00A03000">
        <w:rPr>
          <w:b/>
          <w:sz w:val="26"/>
          <w:szCs w:val="26"/>
          <w:lang w:val="en-CA"/>
        </w:rPr>
        <w:t>5</w:t>
      </w:r>
      <w:r w:rsidRPr="00A03000">
        <w:rPr>
          <w:b/>
          <w:sz w:val="26"/>
          <w:szCs w:val="26"/>
          <w:lang w:val="en-CA"/>
        </w:rPr>
        <w:tab/>
        <w:t xml:space="preserve">Proposed suppression of Resolution 185 (Busan, 2014) – Global flight tracking for civil aviation (Documents </w:t>
      </w:r>
      <w:hyperlink r:id="rId19" w:history="1">
        <w:r w:rsidRPr="00AD3E42">
          <w:rPr>
            <w:rStyle w:val="Hyperlink"/>
            <w:b/>
            <w:sz w:val="26"/>
            <w:szCs w:val="26"/>
            <w:lang w:val="en-CA"/>
          </w:rPr>
          <w:t>18</w:t>
        </w:r>
      </w:hyperlink>
      <w:r w:rsidRPr="00A03000">
        <w:rPr>
          <w:b/>
          <w:sz w:val="26"/>
          <w:szCs w:val="26"/>
          <w:lang w:val="en-CA"/>
        </w:rPr>
        <w:t xml:space="preserve">, </w:t>
      </w:r>
      <w:hyperlink r:id="rId20" w:history="1">
        <w:r w:rsidRPr="00AD3E42">
          <w:rPr>
            <w:rStyle w:val="Hyperlink"/>
            <w:b/>
            <w:sz w:val="26"/>
            <w:szCs w:val="26"/>
            <w:lang w:val="en-CA"/>
          </w:rPr>
          <w:t>48(Add.1)</w:t>
        </w:r>
      </w:hyperlink>
      <w:r w:rsidRPr="00A03000">
        <w:rPr>
          <w:b/>
          <w:sz w:val="26"/>
          <w:szCs w:val="26"/>
          <w:lang w:val="en-CA"/>
        </w:rPr>
        <w:t xml:space="preserve">, </w:t>
      </w:r>
      <w:hyperlink r:id="rId21" w:history="1">
        <w:r w:rsidRPr="00AD3E42">
          <w:rPr>
            <w:rStyle w:val="Hyperlink"/>
            <w:b/>
            <w:sz w:val="26"/>
            <w:szCs w:val="26"/>
            <w:lang w:val="en-CA"/>
          </w:rPr>
          <w:t>55(Add.1)</w:t>
        </w:r>
      </w:hyperlink>
      <w:r w:rsidRPr="00A03000">
        <w:rPr>
          <w:b/>
          <w:sz w:val="26"/>
          <w:szCs w:val="26"/>
          <w:lang w:val="en-CA"/>
        </w:rPr>
        <w:t xml:space="preserve">, </w:t>
      </w:r>
      <w:hyperlink r:id="rId22" w:history="1">
        <w:r w:rsidRPr="00AD3E42">
          <w:rPr>
            <w:rStyle w:val="Hyperlink"/>
            <w:b/>
            <w:sz w:val="26"/>
            <w:szCs w:val="26"/>
            <w:lang w:val="en-CA"/>
          </w:rPr>
          <w:t>62(Add.1)</w:t>
        </w:r>
      </w:hyperlink>
      <w:r w:rsidRPr="00A03000">
        <w:rPr>
          <w:b/>
          <w:sz w:val="26"/>
          <w:szCs w:val="26"/>
          <w:lang w:val="en-CA"/>
        </w:rPr>
        <w:t xml:space="preserve">, </w:t>
      </w:r>
      <w:hyperlink r:id="rId23" w:history="1">
        <w:r w:rsidRPr="00AD3E42">
          <w:rPr>
            <w:rStyle w:val="Hyperlink"/>
            <w:b/>
            <w:sz w:val="26"/>
            <w:szCs w:val="26"/>
            <w:lang w:val="en-CA"/>
          </w:rPr>
          <w:t>63(Add.1)</w:t>
        </w:r>
      </w:hyperlink>
      <w:r w:rsidRPr="00A03000">
        <w:rPr>
          <w:b/>
          <w:sz w:val="26"/>
          <w:szCs w:val="26"/>
          <w:lang w:val="en-CA"/>
        </w:rPr>
        <w:t xml:space="preserve">, </w:t>
      </w:r>
      <w:hyperlink r:id="rId24" w:history="1">
        <w:r w:rsidRPr="00AD3E42">
          <w:rPr>
            <w:rStyle w:val="Hyperlink"/>
            <w:b/>
            <w:sz w:val="26"/>
            <w:szCs w:val="26"/>
            <w:lang w:val="en-CA"/>
          </w:rPr>
          <w:t>64(Add.1)</w:t>
        </w:r>
      </w:hyperlink>
      <w:r w:rsidRPr="00A03000">
        <w:rPr>
          <w:b/>
          <w:sz w:val="26"/>
          <w:szCs w:val="26"/>
          <w:lang w:val="en-CA"/>
        </w:rPr>
        <w:t xml:space="preserve"> and </w:t>
      </w:r>
      <w:hyperlink r:id="rId25" w:history="1">
        <w:r w:rsidRPr="00AD3E42">
          <w:rPr>
            <w:rStyle w:val="Hyperlink"/>
            <w:b/>
            <w:sz w:val="26"/>
            <w:szCs w:val="26"/>
            <w:lang w:val="en-CA"/>
          </w:rPr>
          <w:t>72(Add.1)</w:t>
        </w:r>
      </w:hyperlink>
      <w:r w:rsidRPr="00A03000">
        <w:rPr>
          <w:b/>
          <w:sz w:val="26"/>
          <w:szCs w:val="26"/>
          <w:lang w:val="en-CA"/>
        </w:rPr>
        <w:t>)</w:t>
      </w:r>
    </w:p>
    <w:p w:rsidR="00A03000" w:rsidRPr="00AC1F4A" w:rsidRDefault="00A03000" w:rsidP="00A03000">
      <w:pPr>
        <w:tabs>
          <w:tab w:val="clear" w:pos="567"/>
          <w:tab w:val="clear" w:pos="1134"/>
          <w:tab w:val="clear" w:pos="1701"/>
          <w:tab w:val="clear" w:pos="2268"/>
          <w:tab w:val="clear" w:pos="2835"/>
        </w:tabs>
        <w:overflowPunct/>
        <w:autoSpaceDE/>
        <w:autoSpaceDN/>
        <w:snapToGrid w:val="0"/>
        <w:spacing w:after="120"/>
        <w:textAlignment w:val="auto"/>
        <w:rPr>
          <w:lang w:val="en-CA"/>
        </w:rPr>
      </w:pPr>
      <w:r>
        <w:rPr>
          <w:lang w:val="en-CA"/>
        </w:rPr>
        <w:t>5.1</w:t>
      </w:r>
      <w:r>
        <w:rPr>
          <w:lang w:val="en-CA"/>
        </w:rPr>
        <w:tab/>
      </w:r>
      <w:r w:rsidRPr="00AC1F4A">
        <w:rPr>
          <w:lang w:val="en-CA"/>
        </w:rPr>
        <w:t xml:space="preserve">The </w:t>
      </w:r>
      <w:r w:rsidRPr="00AC1F4A">
        <w:rPr>
          <w:b/>
          <w:lang w:val="en-CA"/>
        </w:rPr>
        <w:t xml:space="preserve">Chairman </w:t>
      </w:r>
      <w:r w:rsidRPr="00AC1F4A">
        <w:rPr>
          <w:lang w:val="en-CA"/>
        </w:rPr>
        <w:t>said that multiple proposals had been received supporting the suppression of Resolution 185 (Busan, 2014), which had been implemented</w:t>
      </w:r>
      <w:r>
        <w:rPr>
          <w:lang w:val="en-CA"/>
        </w:rPr>
        <w:t>, namely proposals USA/18/9, EUR/48A1/6, AFCP/55A1/9, RCC/62A1/17, IAP/63A1/1, ACP/64A1/20 and ARB/72A1/29</w:t>
      </w:r>
      <w:r w:rsidRPr="00AC1F4A">
        <w:rPr>
          <w:lang w:val="en-CA"/>
        </w:rPr>
        <w:t>.</w:t>
      </w:r>
    </w:p>
    <w:p w:rsidR="00A03000" w:rsidRPr="00AC1F4A" w:rsidRDefault="00A03000" w:rsidP="00A03000">
      <w:pPr>
        <w:tabs>
          <w:tab w:val="clear" w:pos="567"/>
          <w:tab w:val="clear" w:pos="1134"/>
          <w:tab w:val="clear" w:pos="1701"/>
          <w:tab w:val="clear" w:pos="2268"/>
          <w:tab w:val="clear" w:pos="2835"/>
        </w:tabs>
        <w:overflowPunct/>
        <w:autoSpaceDE/>
        <w:autoSpaceDN/>
        <w:snapToGrid w:val="0"/>
        <w:spacing w:after="120"/>
        <w:textAlignment w:val="auto"/>
        <w:rPr>
          <w:lang w:val="en-CA"/>
        </w:rPr>
      </w:pPr>
      <w:r>
        <w:rPr>
          <w:lang w:val="en-CA"/>
        </w:rPr>
        <w:t>5.2</w:t>
      </w:r>
      <w:r>
        <w:rPr>
          <w:lang w:val="en-CA"/>
        </w:rPr>
        <w:tab/>
      </w:r>
      <w:r w:rsidRPr="00AC1F4A">
        <w:rPr>
          <w:lang w:val="en-CA"/>
        </w:rPr>
        <w:t xml:space="preserve">The suppression of Resolution 185 (Busan, 2014) was </w:t>
      </w:r>
      <w:r w:rsidRPr="00AC1F4A">
        <w:rPr>
          <w:b/>
          <w:lang w:val="en-CA"/>
        </w:rPr>
        <w:t>approved</w:t>
      </w:r>
      <w:r w:rsidRPr="00AC1F4A">
        <w:rPr>
          <w:lang w:val="en-CA"/>
        </w:rPr>
        <w:t>.</w:t>
      </w:r>
    </w:p>
    <w:p w:rsidR="00A03000" w:rsidRPr="00A03000" w:rsidRDefault="00A03000" w:rsidP="00AD3E42">
      <w:pPr>
        <w:tabs>
          <w:tab w:val="clear" w:pos="567"/>
          <w:tab w:val="clear" w:pos="1134"/>
          <w:tab w:val="clear" w:pos="1701"/>
          <w:tab w:val="clear" w:pos="2268"/>
          <w:tab w:val="clear" w:pos="2835"/>
        </w:tabs>
        <w:overflowPunct/>
        <w:autoSpaceDE/>
        <w:autoSpaceDN/>
        <w:snapToGrid w:val="0"/>
        <w:spacing w:before="360" w:after="120"/>
        <w:ind w:left="709" w:hanging="709"/>
        <w:textAlignment w:val="auto"/>
        <w:rPr>
          <w:rFonts w:asciiTheme="minorHAnsi" w:hAnsiTheme="minorHAnsi"/>
          <w:b/>
          <w:sz w:val="26"/>
          <w:szCs w:val="26"/>
          <w:lang w:val="en-CA"/>
        </w:rPr>
      </w:pPr>
      <w:r w:rsidRPr="00A03000">
        <w:rPr>
          <w:rFonts w:asciiTheme="minorHAnsi" w:hAnsiTheme="minorHAnsi"/>
          <w:b/>
          <w:sz w:val="26"/>
          <w:szCs w:val="26"/>
          <w:lang w:val="en-CA"/>
        </w:rPr>
        <w:t>6</w:t>
      </w:r>
      <w:r w:rsidRPr="00A03000">
        <w:rPr>
          <w:rFonts w:asciiTheme="minorHAnsi" w:hAnsiTheme="minorHAnsi"/>
          <w:b/>
          <w:sz w:val="26"/>
          <w:szCs w:val="26"/>
          <w:lang w:val="en-CA"/>
        </w:rPr>
        <w:tab/>
        <w:t>First series of texts submitted by the Editorial Co</w:t>
      </w:r>
      <w:r w:rsidR="00AD3E42">
        <w:rPr>
          <w:rFonts w:asciiTheme="minorHAnsi" w:hAnsiTheme="minorHAnsi"/>
          <w:b/>
          <w:sz w:val="26"/>
          <w:szCs w:val="26"/>
          <w:lang w:val="en-CA"/>
        </w:rPr>
        <w:t xml:space="preserve">mmittee for first reading (B1) </w:t>
      </w:r>
      <w:r w:rsidRPr="00A03000">
        <w:rPr>
          <w:rFonts w:asciiTheme="minorHAnsi" w:hAnsiTheme="minorHAnsi"/>
          <w:b/>
          <w:sz w:val="26"/>
          <w:szCs w:val="26"/>
          <w:lang w:val="en-CA"/>
        </w:rPr>
        <w:t xml:space="preserve">(Document </w:t>
      </w:r>
      <w:hyperlink r:id="rId26" w:history="1">
        <w:r w:rsidRPr="00AD3E42">
          <w:rPr>
            <w:rStyle w:val="Hyperlink"/>
            <w:rFonts w:asciiTheme="minorHAnsi" w:hAnsiTheme="minorHAnsi"/>
            <w:b/>
            <w:sz w:val="26"/>
            <w:szCs w:val="26"/>
            <w:lang w:val="en-CA"/>
          </w:rPr>
          <w:t>107</w:t>
        </w:r>
      </w:hyperlink>
      <w:r w:rsidRPr="00A03000">
        <w:rPr>
          <w:rFonts w:asciiTheme="minorHAnsi" w:hAnsiTheme="minorHAnsi"/>
          <w:b/>
          <w:sz w:val="26"/>
          <w:szCs w:val="26"/>
          <w:lang w:val="en-CA"/>
        </w:rPr>
        <w:t>)</w:t>
      </w:r>
    </w:p>
    <w:p w:rsidR="00A03000" w:rsidRPr="00AC1F4A" w:rsidRDefault="00A03000" w:rsidP="00A03000">
      <w:pPr>
        <w:tabs>
          <w:tab w:val="clear" w:pos="567"/>
          <w:tab w:val="clear" w:pos="1134"/>
          <w:tab w:val="clear" w:pos="1701"/>
          <w:tab w:val="clear" w:pos="2268"/>
          <w:tab w:val="clear" w:pos="2835"/>
        </w:tabs>
        <w:overflowPunct/>
        <w:autoSpaceDE/>
        <w:autoSpaceDN/>
        <w:snapToGrid w:val="0"/>
        <w:spacing w:after="120"/>
        <w:textAlignment w:val="auto"/>
        <w:rPr>
          <w:b/>
          <w:lang w:val="en-CA"/>
        </w:rPr>
      </w:pPr>
      <w:r w:rsidRPr="00AC1F4A">
        <w:rPr>
          <w:b/>
          <w:lang w:val="en-CA"/>
        </w:rPr>
        <w:t>Draft Resolution 94 (Rev. Dubai, 2018)</w:t>
      </w:r>
      <w:r w:rsidRPr="00AC1F4A">
        <w:rPr>
          <w:lang w:val="en-CA"/>
        </w:rPr>
        <w:t xml:space="preserve"> </w:t>
      </w:r>
      <w:r w:rsidRPr="00AC1F4A">
        <w:rPr>
          <w:b/>
          <w:lang w:val="en-CA"/>
        </w:rPr>
        <w:t>– Auditing of the accounts of the Union</w:t>
      </w:r>
    </w:p>
    <w:p w:rsidR="00A03000" w:rsidRPr="00AC1F4A" w:rsidRDefault="00A03000" w:rsidP="00A03000">
      <w:pPr>
        <w:tabs>
          <w:tab w:val="clear" w:pos="567"/>
          <w:tab w:val="clear" w:pos="1134"/>
          <w:tab w:val="clear" w:pos="1701"/>
          <w:tab w:val="clear" w:pos="2268"/>
          <w:tab w:val="clear" w:pos="2835"/>
        </w:tabs>
        <w:overflowPunct/>
        <w:autoSpaceDE/>
        <w:autoSpaceDN/>
        <w:snapToGrid w:val="0"/>
        <w:spacing w:after="120"/>
        <w:textAlignment w:val="auto"/>
        <w:rPr>
          <w:b/>
          <w:lang w:val="en-CA"/>
        </w:rPr>
      </w:pPr>
      <w:r w:rsidRPr="009D777F">
        <w:rPr>
          <w:bCs/>
          <w:lang w:val="en-CA"/>
        </w:rPr>
        <w:t>6.1</w:t>
      </w:r>
      <w:r>
        <w:rPr>
          <w:b/>
          <w:lang w:val="en-CA"/>
        </w:rPr>
        <w:tab/>
      </w:r>
      <w:r w:rsidRPr="00AC1F4A">
        <w:rPr>
          <w:b/>
          <w:lang w:val="en-CA"/>
        </w:rPr>
        <w:t>Adopted.</w:t>
      </w:r>
    </w:p>
    <w:p w:rsidR="00A03000" w:rsidRPr="00AC1F4A" w:rsidRDefault="00A03000" w:rsidP="00A03000">
      <w:pPr>
        <w:tabs>
          <w:tab w:val="clear" w:pos="567"/>
          <w:tab w:val="clear" w:pos="1134"/>
          <w:tab w:val="clear" w:pos="1701"/>
          <w:tab w:val="clear" w:pos="2268"/>
          <w:tab w:val="clear" w:pos="2835"/>
        </w:tabs>
        <w:overflowPunct/>
        <w:autoSpaceDE/>
        <w:autoSpaceDN/>
        <w:snapToGrid w:val="0"/>
        <w:spacing w:after="120"/>
        <w:textAlignment w:val="auto"/>
        <w:rPr>
          <w:b/>
          <w:lang w:val="en-CA"/>
        </w:rPr>
      </w:pPr>
      <w:r w:rsidRPr="00AC1F4A">
        <w:rPr>
          <w:b/>
          <w:lang w:val="en-CA"/>
        </w:rPr>
        <w:t xml:space="preserve">Draft Resolution 150 (Rev. Dubai, 2018) – Approval of the accounts of the Union for the years </w:t>
      </w:r>
      <w:r>
        <w:rPr>
          <w:b/>
          <w:lang w:val="en-CA"/>
        </w:rPr>
        <w:t>2014–</w:t>
      </w:r>
      <w:r w:rsidRPr="00AC1F4A">
        <w:rPr>
          <w:b/>
          <w:lang w:val="en-CA"/>
        </w:rPr>
        <w:t>2017</w:t>
      </w:r>
    </w:p>
    <w:p w:rsidR="00A03000" w:rsidRPr="00AC1F4A" w:rsidRDefault="00A03000" w:rsidP="00A03000">
      <w:pPr>
        <w:tabs>
          <w:tab w:val="clear" w:pos="567"/>
          <w:tab w:val="clear" w:pos="1134"/>
          <w:tab w:val="clear" w:pos="1701"/>
          <w:tab w:val="clear" w:pos="2268"/>
          <w:tab w:val="clear" w:pos="2835"/>
        </w:tabs>
        <w:overflowPunct/>
        <w:autoSpaceDE/>
        <w:autoSpaceDN/>
        <w:snapToGrid w:val="0"/>
        <w:spacing w:after="120"/>
        <w:textAlignment w:val="auto"/>
        <w:rPr>
          <w:lang w:val="en-CA"/>
        </w:rPr>
      </w:pPr>
      <w:r>
        <w:rPr>
          <w:lang w:val="en-CA"/>
        </w:rPr>
        <w:t>6.2</w:t>
      </w:r>
      <w:r>
        <w:rPr>
          <w:lang w:val="en-CA"/>
        </w:rPr>
        <w:tab/>
      </w:r>
      <w:r w:rsidRPr="00AC1F4A">
        <w:rPr>
          <w:lang w:val="en-CA"/>
        </w:rPr>
        <w:t xml:space="preserve">The </w:t>
      </w:r>
      <w:r w:rsidRPr="00AC1F4A">
        <w:rPr>
          <w:b/>
          <w:lang w:val="en-CA"/>
        </w:rPr>
        <w:t>Chairman</w:t>
      </w:r>
      <w:r w:rsidRPr="00AC1F4A">
        <w:rPr>
          <w:lang w:val="en-CA"/>
        </w:rPr>
        <w:t xml:space="preserve"> suggested that the reference to “(Document PP-18/100)” in </w:t>
      </w:r>
      <w:r w:rsidRPr="00AC1F4A">
        <w:rPr>
          <w:i/>
          <w:lang w:val="en-CA"/>
        </w:rPr>
        <w:t>considering b)</w:t>
      </w:r>
      <w:r>
        <w:rPr>
          <w:lang w:val="en-CA"/>
        </w:rPr>
        <w:t xml:space="preserve"> </w:t>
      </w:r>
      <w:r w:rsidRPr="00AC1F4A">
        <w:rPr>
          <w:lang w:val="en-CA"/>
        </w:rPr>
        <w:t xml:space="preserve"> be placed in square brackets pending publication of that </w:t>
      </w:r>
      <w:r>
        <w:rPr>
          <w:lang w:val="en-CA"/>
        </w:rPr>
        <w:t>d</w:t>
      </w:r>
      <w:r w:rsidRPr="00AC1F4A">
        <w:rPr>
          <w:lang w:val="en-CA"/>
        </w:rPr>
        <w:t>ocument</w:t>
      </w:r>
      <w:r>
        <w:rPr>
          <w:lang w:val="en-CA"/>
        </w:rPr>
        <w:t>, and that the draft resolution be left in abeyance for the time being</w:t>
      </w:r>
      <w:r w:rsidRPr="00AC1F4A">
        <w:rPr>
          <w:lang w:val="en-CA"/>
        </w:rPr>
        <w:t xml:space="preserve">. </w:t>
      </w:r>
    </w:p>
    <w:p w:rsidR="00A03000" w:rsidRPr="00AC1F4A" w:rsidRDefault="00A03000" w:rsidP="00A03000">
      <w:pPr>
        <w:tabs>
          <w:tab w:val="clear" w:pos="567"/>
          <w:tab w:val="clear" w:pos="1134"/>
          <w:tab w:val="clear" w:pos="1701"/>
          <w:tab w:val="clear" w:pos="2268"/>
          <w:tab w:val="clear" w:pos="2835"/>
        </w:tabs>
        <w:overflowPunct/>
        <w:autoSpaceDE/>
        <w:autoSpaceDN/>
        <w:snapToGrid w:val="0"/>
        <w:spacing w:after="120"/>
        <w:textAlignment w:val="auto"/>
        <w:rPr>
          <w:lang w:val="en-CA"/>
        </w:rPr>
      </w:pPr>
      <w:r>
        <w:rPr>
          <w:lang w:val="en-CA"/>
        </w:rPr>
        <w:t>6.3</w:t>
      </w:r>
      <w:r>
        <w:rPr>
          <w:lang w:val="en-CA"/>
        </w:rPr>
        <w:tab/>
      </w:r>
      <w:r w:rsidRPr="00AC1F4A">
        <w:rPr>
          <w:lang w:val="en-CA"/>
        </w:rPr>
        <w:t xml:space="preserve">It was so </w:t>
      </w:r>
      <w:r w:rsidRPr="00AC1F4A">
        <w:rPr>
          <w:b/>
          <w:lang w:val="en-CA"/>
        </w:rPr>
        <w:t>agreed</w:t>
      </w:r>
      <w:r w:rsidRPr="00AC1F4A">
        <w:rPr>
          <w:lang w:val="en-CA"/>
        </w:rPr>
        <w:t>.</w:t>
      </w:r>
    </w:p>
    <w:p w:rsidR="00A03000" w:rsidRPr="00AC1F4A" w:rsidRDefault="00A03000" w:rsidP="00A03000">
      <w:pPr>
        <w:tabs>
          <w:tab w:val="clear" w:pos="567"/>
          <w:tab w:val="clear" w:pos="1134"/>
          <w:tab w:val="clear" w:pos="1701"/>
          <w:tab w:val="clear" w:pos="2268"/>
          <w:tab w:val="clear" w:pos="2835"/>
        </w:tabs>
        <w:overflowPunct/>
        <w:autoSpaceDE/>
        <w:autoSpaceDN/>
        <w:snapToGrid w:val="0"/>
        <w:spacing w:after="120"/>
        <w:textAlignment w:val="auto"/>
        <w:rPr>
          <w:lang w:val="en-CA"/>
        </w:rPr>
      </w:pPr>
      <w:r w:rsidRPr="00AC1F4A">
        <w:rPr>
          <w:b/>
          <w:lang w:val="en-CA"/>
        </w:rPr>
        <w:t xml:space="preserve">Draft Resolution COM 5/1 (Dubai, 2018) – ITU Journal: </w:t>
      </w:r>
      <w:r w:rsidRPr="00AC1F4A">
        <w:rPr>
          <w:b/>
          <w:i/>
          <w:lang w:val="en-CA"/>
        </w:rPr>
        <w:t>ICT Discoveries</w:t>
      </w:r>
    </w:p>
    <w:p w:rsidR="00A03000" w:rsidRPr="00AC1F4A" w:rsidRDefault="00A03000" w:rsidP="00A03000">
      <w:pPr>
        <w:tabs>
          <w:tab w:val="clear" w:pos="567"/>
          <w:tab w:val="clear" w:pos="1134"/>
          <w:tab w:val="clear" w:pos="1701"/>
          <w:tab w:val="clear" w:pos="2268"/>
          <w:tab w:val="clear" w:pos="2835"/>
        </w:tabs>
        <w:overflowPunct/>
        <w:autoSpaceDE/>
        <w:autoSpaceDN/>
        <w:snapToGrid w:val="0"/>
        <w:spacing w:after="120"/>
        <w:textAlignment w:val="auto"/>
        <w:rPr>
          <w:lang w:val="en-CA"/>
        </w:rPr>
      </w:pPr>
      <w:r>
        <w:rPr>
          <w:lang w:val="en-CA"/>
        </w:rPr>
        <w:t>6.4</w:t>
      </w:r>
      <w:r>
        <w:rPr>
          <w:lang w:val="en-CA"/>
        </w:rPr>
        <w:tab/>
      </w:r>
      <w:r w:rsidRPr="00AC1F4A">
        <w:rPr>
          <w:lang w:val="en-CA"/>
        </w:rPr>
        <w:t xml:space="preserve">The </w:t>
      </w:r>
      <w:r w:rsidRPr="00AC1F4A">
        <w:rPr>
          <w:b/>
          <w:lang w:val="en-CA"/>
        </w:rPr>
        <w:t>Chairman of Committee 5</w:t>
      </w:r>
      <w:r w:rsidRPr="00AC1F4A">
        <w:rPr>
          <w:lang w:val="en-CA"/>
        </w:rPr>
        <w:t xml:space="preserve"> said that “established” should be replaced by “confirmed the establishment of” in</w:t>
      </w:r>
      <w:r>
        <w:rPr>
          <w:lang w:val="en-CA"/>
        </w:rPr>
        <w:t xml:space="preserve"> the</w:t>
      </w:r>
      <w:r w:rsidRPr="00AC1F4A">
        <w:rPr>
          <w:lang w:val="en-CA"/>
        </w:rPr>
        <w:t xml:space="preserve"> </w:t>
      </w:r>
      <w:r w:rsidRPr="00AC1F4A">
        <w:rPr>
          <w:i/>
          <w:lang w:val="en-CA"/>
        </w:rPr>
        <w:t>recalling</w:t>
      </w:r>
      <w:r>
        <w:rPr>
          <w:lang w:val="en-CA"/>
        </w:rPr>
        <w:t xml:space="preserve"> section</w:t>
      </w:r>
      <w:r w:rsidRPr="00AC1F4A">
        <w:rPr>
          <w:lang w:val="en-CA"/>
        </w:rPr>
        <w:t xml:space="preserve">. </w:t>
      </w:r>
    </w:p>
    <w:p w:rsidR="00A03000" w:rsidRPr="00AC1F4A" w:rsidRDefault="00A03000" w:rsidP="00A03000">
      <w:pPr>
        <w:tabs>
          <w:tab w:val="clear" w:pos="567"/>
          <w:tab w:val="clear" w:pos="1134"/>
          <w:tab w:val="clear" w:pos="1701"/>
          <w:tab w:val="clear" w:pos="2268"/>
          <w:tab w:val="clear" w:pos="2835"/>
        </w:tabs>
        <w:overflowPunct/>
        <w:autoSpaceDE/>
        <w:autoSpaceDN/>
        <w:snapToGrid w:val="0"/>
        <w:spacing w:after="120"/>
        <w:textAlignment w:val="auto"/>
        <w:rPr>
          <w:lang w:val="en-CA"/>
        </w:rPr>
      </w:pPr>
      <w:r>
        <w:rPr>
          <w:lang w:val="en-CA"/>
        </w:rPr>
        <w:t>6.5</w:t>
      </w:r>
      <w:r>
        <w:rPr>
          <w:lang w:val="en-CA"/>
        </w:rPr>
        <w:tab/>
      </w:r>
      <w:r w:rsidRPr="00AC1F4A">
        <w:rPr>
          <w:lang w:val="en-CA"/>
        </w:rPr>
        <w:t xml:space="preserve">It was so </w:t>
      </w:r>
      <w:r w:rsidRPr="00AC1F4A">
        <w:rPr>
          <w:b/>
          <w:lang w:val="en-CA"/>
        </w:rPr>
        <w:t>agreed</w:t>
      </w:r>
      <w:r w:rsidRPr="00AC1F4A">
        <w:rPr>
          <w:lang w:val="en-CA"/>
        </w:rPr>
        <w:t>.</w:t>
      </w:r>
    </w:p>
    <w:p w:rsidR="00A03000" w:rsidRPr="00AC1F4A" w:rsidRDefault="00A03000" w:rsidP="00A03000">
      <w:pPr>
        <w:tabs>
          <w:tab w:val="clear" w:pos="567"/>
          <w:tab w:val="clear" w:pos="1134"/>
          <w:tab w:val="clear" w:pos="1701"/>
          <w:tab w:val="clear" w:pos="2268"/>
          <w:tab w:val="clear" w:pos="2835"/>
        </w:tabs>
        <w:overflowPunct/>
        <w:autoSpaceDE/>
        <w:autoSpaceDN/>
        <w:snapToGrid w:val="0"/>
        <w:spacing w:after="120"/>
        <w:textAlignment w:val="auto"/>
        <w:rPr>
          <w:lang w:val="en-CA"/>
        </w:rPr>
      </w:pPr>
      <w:r>
        <w:rPr>
          <w:lang w:val="en-CA"/>
        </w:rPr>
        <w:t>6.6</w:t>
      </w:r>
      <w:r>
        <w:rPr>
          <w:lang w:val="en-CA"/>
        </w:rPr>
        <w:tab/>
      </w:r>
      <w:r w:rsidRPr="00AC1F4A">
        <w:rPr>
          <w:lang w:val="en-CA"/>
        </w:rPr>
        <w:t xml:space="preserve">Draft Resolution COM 5/1 (Dubai, 2018), as amended, was </w:t>
      </w:r>
      <w:r w:rsidRPr="00AC1F4A">
        <w:rPr>
          <w:b/>
          <w:lang w:val="en-CA"/>
        </w:rPr>
        <w:t>adopted</w:t>
      </w:r>
      <w:r w:rsidRPr="00AC1F4A">
        <w:rPr>
          <w:lang w:val="en-CA"/>
        </w:rPr>
        <w:t>.</w:t>
      </w:r>
    </w:p>
    <w:p w:rsidR="00A03000" w:rsidRPr="00AC1F4A" w:rsidRDefault="00A03000" w:rsidP="00A03000">
      <w:pPr>
        <w:tabs>
          <w:tab w:val="clear" w:pos="567"/>
          <w:tab w:val="clear" w:pos="1134"/>
          <w:tab w:val="clear" w:pos="1701"/>
          <w:tab w:val="clear" w:pos="2268"/>
          <w:tab w:val="clear" w:pos="2835"/>
        </w:tabs>
        <w:overflowPunct/>
        <w:autoSpaceDE/>
        <w:autoSpaceDN/>
        <w:snapToGrid w:val="0"/>
        <w:spacing w:after="120"/>
        <w:textAlignment w:val="auto"/>
        <w:rPr>
          <w:b/>
          <w:lang w:val="en-CA"/>
        </w:rPr>
      </w:pPr>
      <w:r w:rsidRPr="00AC1F4A">
        <w:rPr>
          <w:b/>
          <w:lang w:val="en-CA"/>
        </w:rPr>
        <w:t>SUP Resolution 89 (Minneapolis, 1998) – Coping with the decreased use of international telex service</w:t>
      </w:r>
    </w:p>
    <w:p w:rsidR="00A03000" w:rsidRPr="00AC1F4A" w:rsidRDefault="00A03000" w:rsidP="00A03000">
      <w:pPr>
        <w:tabs>
          <w:tab w:val="clear" w:pos="567"/>
          <w:tab w:val="clear" w:pos="1134"/>
          <w:tab w:val="clear" w:pos="1701"/>
          <w:tab w:val="clear" w:pos="2268"/>
          <w:tab w:val="clear" w:pos="2835"/>
        </w:tabs>
        <w:overflowPunct/>
        <w:autoSpaceDE/>
        <w:autoSpaceDN/>
        <w:snapToGrid w:val="0"/>
        <w:spacing w:after="120"/>
        <w:textAlignment w:val="auto"/>
        <w:rPr>
          <w:b/>
          <w:lang w:val="en-CA"/>
        </w:rPr>
      </w:pPr>
      <w:r w:rsidRPr="00AC1F4A">
        <w:rPr>
          <w:b/>
          <w:lang w:val="en-CA"/>
        </w:rPr>
        <w:t>SUP Resolution 128 (Rev. Antalya, 2006) –</w:t>
      </w:r>
      <w:r w:rsidRPr="00AC1F4A">
        <w:rPr>
          <w:lang w:val="en-CA"/>
        </w:rPr>
        <w:t xml:space="preserve"> </w:t>
      </w:r>
      <w:r w:rsidRPr="00AC1F4A">
        <w:rPr>
          <w:b/>
          <w:lang w:val="en-CA"/>
        </w:rPr>
        <w:t>Support for the Agenda for Connectivity in the Americas and Quito Action Plan</w:t>
      </w:r>
    </w:p>
    <w:p w:rsidR="00A03000" w:rsidRPr="00AC1F4A" w:rsidRDefault="00A03000" w:rsidP="00A03000">
      <w:pPr>
        <w:tabs>
          <w:tab w:val="clear" w:pos="567"/>
          <w:tab w:val="clear" w:pos="1134"/>
          <w:tab w:val="clear" w:pos="1701"/>
          <w:tab w:val="clear" w:pos="2268"/>
          <w:tab w:val="clear" w:pos="2835"/>
        </w:tabs>
        <w:overflowPunct/>
        <w:autoSpaceDE/>
        <w:autoSpaceDN/>
        <w:snapToGrid w:val="0"/>
        <w:spacing w:after="120"/>
        <w:textAlignment w:val="auto"/>
        <w:rPr>
          <w:lang w:val="en-CA"/>
        </w:rPr>
      </w:pPr>
      <w:r w:rsidRPr="009D777F">
        <w:rPr>
          <w:bCs/>
          <w:lang w:val="en-CA"/>
        </w:rPr>
        <w:t>6.7</w:t>
      </w:r>
      <w:r>
        <w:rPr>
          <w:b/>
          <w:lang w:val="en-CA"/>
        </w:rPr>
        <w:tab/>
      </w:r>
      <w:r w:rsidRPr="00AC1F4A">
        <w:rPr>
          <w:b/>
          <w:lang w:val="en-CA"/>
        </w:rPr>
        <w:t>Approved</w:t>
      </w:r>
      <w:r w:rsidRPr="00AC1F4A">
        <w:rPr>
          <w:lang w:val="en-CA"/>
        </w:rPr>
        <w:t>.</w:t>
      </w:r>
    </w:p>
    <w:p w:rsidR="00A03000" w:rsidRPr="00AC1F4A" w:rsidRDefault="00A03000" w:rsidP="00A03000">
      <w:pPr>
        <w:tabs>
          <w:tab w:val="clear" w:pos="567"/>
          <w:tab w:val="clear" w:pos="1134"/>
          <w:tab w:val="clear" w:pos="1701"/>
          <w:tab w:val="clear" w:pos="2268"/>
          <w:tab w:val="clear" w:pos="2835"/>
        </w:tabs>
        <w:overflowPunct/>
        <w:autoSpaceDE/>
        <w:autoSpaceDN/>
        <w:snapToGrid w:val="0"/>
        <w:spacing w:after="120"/>
        <w:textAlignment w:val="auto"/>
        <w:rPr>
          <w:lang w:val="en-CA"/>
        </w:rPr>
      </w:pPr>
      <w:r>
        <w:rPr>
          <w:lang w:val="en-CA"/>
        </w:rPr>
        <w:t>6.8</w:t>
      </w:r>
      <w:r>
        <w:rPr>
          <w:lang w:val="en-CA"/>
        </w:rPr>
        <w:tab/>
      </w:r>
      <w:r w:rsidRPr="00AC1F4A">
        <w:rPr>
          <w:lang w:val="en-CA"/>
        </w:rPr>
        <w:t xml:space="preserve">With the exception of draft Resolution 150 (Rev. Dubai, 2018), the first series of texts submitted by the Editorial Committee for first reading (B1) (Document 107), as amended, was </w:t>
      </w:r>
      <w:r w:rsidRPr="00AC1F4A">
        <w:rPr>
          <w:b/>
          <w:lang w:val="en-CA"/>
        </w:rPr>
        <w:t>approved</w:t>
      </w:r>
      <w:r w:rsidRPr="00AC1F4A">
        <w:rPr>
          <w:lang w:val="en-CA"/>
        </w:rPr>
        <w:t>.</w:t>
      </w:r>
    </w:p>
    <w:p w:rsidR="00A03000" w:rsidRPr="00A03000" w:rsidRDefault="00A03000" w:rsidP="00AD3E42">
      <w:pPr>
        <w:keepNext/>
        <w:keepLines/>
        <w:tabs>
          <w:tab w:val="clear" w:pos="567"/>
          <w:tab w:val="clear" w:pos="1134"/>
          <w:tab w:val="clear" w:pos="1701"/>
          <w:tab w:val="clear" w:pos="2268"/>
          <w:tab w:val="clear" w:pos="2835"/>
        </w:tabs>
        <w:snapToGrid w:val="0"/>
        <w:spacing w:before="360" w:after="120"/>
        <w:ind w:left="709" w:hanging="709"/>
        <w:rPr>
          <w:rFonts w:asciiTheme="minorHAnsi" w:hAnsiTheme="minorHAnsi"/>
          <w:b/>
          <w:sz w:val="26"/>
          <w:szCs w:val="26"/>
          <w:lang w:val="en-CA"/>
        </w:rPr>
      </w:pPr>
      <w:r w:rsidRPr="00A03000">
        <w:rPr>
          <w:rFonts w:asciiTheme="minorHAnsi" w:hAnsiTheme="minorHAnsi"/>
          <w:b/>
          <w:sz w:val="26"/>
          <w:szCs w:val="26"/>
          <w:lang w:val="en-CA"/>
        </w:rPr>
        <w:lastRenderedPageBreak/>
        <w:t>7</w:t>
      </w:r>
      <w:r w:rsidRPr="00A03000">
        <w:rPr>
          <w:rFonts w:asciiTheme="minorHAnsi" w:hAnsiTheme="minorHAnsi"/>
          <w:b/>
          <w:sz w:val="26"/>
          <w:szCs w:val="26"/>
          <w:lang w:val="en-CA"/>
        </w:rPr>
        <w:tab/>
        <w:t>First series of texts submitted by the Editorial Committee – se</w:t>
      </w:r>
      <w:r w:rsidR="00AD3E42">
        <w:rPr>
          <w:rFonts w:asciiTheme="minorHAnsi" w:hAnsiTheme="minorHAnsi"/>
          <w:b/>
          <w:sz w:val="26"/>
          <w:szCs w:val="26"/>
          <w:lang w:val="en-CA"/>
        </w:rPr>
        <w:t>cond reading</w:t>
      </w:r>
    </w:p>
    <w:p w:rsidR="00A03000" w:rsidRPr="00AC1F4A" w:rsidRDefault="00A03000" w:rsidP="00AD3E42">
      <w:pPr>
        <w:keepNext/>
        <w:keepLines/>
        <w:tabs>
          <w:tab w:val="clear" w:pos="567"/>
          <w:tab w:val="clear" w:pos="1134"/>
          <w:tab w:val="clear" w:pos="1701"/>
          <w:tab w:val="clear" w:pos="2268"/>
          <w:tab w:val="clear" w:pos="2835"/>
        </w:tabs>
        <w:overflowPunct/>
        <w:autoSpaceDE/>
        <w:autoSpaceDN/>
        <w:snapToGrid w:val="0"/>
        <w:spacing w:after="120"/>
        <w:textAlignment w:val="auto"/>
        <w:rPr>
          <w:lang w:val="en-CA"/>
        </w:rPr>
      </w:pPr>
      <w:r>
        <w:rPr>
          <w:lang w:val="en-CA"/>
        </w:rPr>
        <w:t>7.1</w:t>
      </w:r>
      <w:r>
        <w:rPr>
          <w:lang w:val="en-CA"/>
        </w:rPr>
        <w:tab/>
      </w:r>
      <w:r w:rsidRPr="00AC1F4A">
        <w:rPr>
          <w:lang w:val="en-CA"/>
        </w:rPr>
        <w:t xml:space="preserve">With the exception of draft Resolution 150 (Rev. Dubai, 2018), the first series of texts submitted by the Editorial Committee (Document 107), as amended on first reading, was </w:t>
      </w:r>
      <w:r w:rsidRPr="00AC1F4A">
        <w:rPr>
          <w:b/>
          <w:lang w:val="en-CA"/>
        </w:rPr>
        <w:t>approved</w:t>
      </w:r>
      <w:r w:rsidRPr="00AC1F4A">
        <w:rPr>
          <w:lang w:val="en-CA"/>
        </w:rPr>
        <w:t xml:space="preserve"> on second reading.</w:t>
      </w:r>
    </w:p>
    <w:p w:rsidR="00A03000" w:rsidRPr="00A03000" w:rsidRDefault="00A03000" w:rsidP="00A03000">
      <w:pPr>
        <w:tabs>
          <w:tab w:val="clear" w:pos="567"/>
          <w:tab w:val="clear" w:pos="1134"/>
          <w:tab w:val="clear" w:pos="1701"/>
          <w:tab w:val="clear" w:pos="2268"/>
          <w:tab w:val="clear" w:pos="2835"/>
        </w:tabs>
        <w:overflowPunct/>
        <w:autoSpaceDE/>
        <w:autoSpaceDN/>
        <w:snapToGrid w:val="0"/>
        <w:spacing w:before="360" w:after="120"/>
        <w:ind w:left="709" w:hanging="709"/>
        <w:textAlignment w:val="auto"/>
        <w:rPr>
          <w:b/>
          <w:sz w:val="26"/>
          <w:szCs w:val="26"/>
          <w:lang w:val="en-CA"/>
        </w:rPr>
      </w:pPr>
      <w:r w:rsidRPr="00A03000">
        <w:rPr>
          <w:b/>
          <w:sz w:val="26"/>
          <w:szCs w:val="26"/>
          <w:lang w:val="en-CA"/>
        </w:rPr>
        <w:t>8</w:t>
      </w:r>
      <w:r w:rsidRPr="00A03000">
        <w:rPr>
          <w:b/>
          <w:sz w:val="26"/>
          <w:szCs w:val="26"/>
          <w:lang w:val="en-CA"/>
        </w:rPr>
        <w:tab/>
        <w:t xml:space="preserve">Second series of texts submitted by the Editorial Committee for first reading (B2) (Document </w:t>
      </w:r>
      <w:hyperlink r:id="rId27" w:history="1">
        <w:r w:rsidRPr="00AD3E42">
          <w:rPr>
            <w:rStyle w:val="Hyperlink"/>
            <w:b/>
            <w:sz w:val="26"/>
            <w:szCs w:val="26"/>
            <w:lang w:val="en-CA"/>
          </w:rPr>
          <w:t>108</w:t>
        </w:r>
      </w:hyperlink>
      <w:r w:rsidRPr="00A03000">
        <w:rPr>
          <w:b/>
          <w:sz w:val="26"/>
          <w:szCs w:val="26"/>
          <w:lang w:val="en-CA"/>
        </w:rPr>
        <w:t>)</w:t>
      </w:r>
    </w:p>
    <w:p w:rsidR="00A03000" w:rsidRPr="00AC1F4A" w:rsidRDefault="00A03000" w:rsidP="00A03000">
      <w:pPr>
        <w:tabs>
          <w:tab w:val="clear" w:pos="567"/>
          <w:tab w:val="clear" w:pos="1134"/>
          <w:tab w:val="clear" w:pos="1701"/>
          <w:tab w:val="clear" w:pos="2268"/>
          <w:tab w:val="clear" w:pos="2835"/>
        </w:tabs>
        <w:overflowPunct/>
        <w:autoSpaceDE/>
        <w:autoSpaceDN/>
        <w:snapToGrid w:val="0"/>
        <w:spacing w:after="120"/>
        <w:textAlignment w:val="auto"/>
        <w:rPr>
          <w:b/>
          <w:lang w:val="en-CA"/>
        </w:rPr>
      </w:pPr>
      <w:r w:rsidRPr="00AC1F4A">
        <w:rPr>
          <w:b/>
          <w:lang w:val="en-CA"/>
        </w:rPr>
        <w:t>Draft Decision 11 (Rev. Dubai, 2018) – Creation and management of Council working groups</w:t>
      </w:r>
    </w:p>
    <w:p w:rsidR="00A03000" w:rsidRPr="00AC1F4A" w:rsidRDefault="00A03000" w:rsidP="00A03000">
      <w:pPr>
        <w:tabs>
          <w:tab w:val="clear" w:pos="567"/>
          <w:tab w:val="clear" w:pos="1134"/>
          <w:tab w:val="clear" w:pos="1701"/>
          <w:tab w:val="clear" w:pos="2268"/>
          <w:tab w:val="clear" w:pos="2835"/>
        </w:tabs>
        <w:overflowPunct/>
        <w:autoSpaceDE/>
        <w:autoSpaceDN/>
        <w:snapToGrid w:val="0"/>
        <w:spacing w:after="120"/>
        <w:textAlignment w:val="auto"/>
        <w:rPr>
          <w:lang w:val="en-CA"/>
        </w:rPr>
      </w:pPr>
      <w:r>
        <w:rPr>
          <w:lang w:val="en-CA"/>
        </w:rPr>
        <w:t>8.1</w:t>
      </w:r>
      <w:r>
        <w:rPr>
          <w:lang w:val="en-CA"/>
        </w:rPr>
        <w:tab/>
      </w:r>
      <w:r w:rsidRPr="00AC1F4A">
        <w:rPr>
          <w:lang w:val="en-CA"/>
        </w:rPr>
        <w:t xml:space="preserve">Following a comment from the </w:t>
      </w:r>
      <w:r w:rsidRPr="00AC1F4A">
        <w:rPr>
          <w:b/>
          <w:lang w:val="en-CA"/>
        </w:rPr>
        <w:t>delegate of the Russian Federation,</w:t>
      </w:r>
      <w:r w:rsidRPr="00AC1F4A">
        <w:rPr>
          <w:lang w:val="en-CA"/>
        </w:rPr>
        <w:t xml:space="preserve"> the </w:t>
      </w:r>
      <w:r w:rsidRPr="00AC1F4A">
        <w:rPr>
          <w:b/>
          <w:lang w:val="en-CA"/>
        </w:rPr>
        <w:t>Chairman</w:t>
      </w:r>
      <w:r w:rsidRPr="00AC1F4A">
        <w:rPr>
          <w:lang w:val="en-CA"/>
        </w:rPr>
        <w:t xml:space="preserve"> suggested that the phrase “ITU Sectors’ groups” in </w:t>
      </w:r>
      <w:r w:rsidRPr="00AC1F4A">
        <w:rPr>
          <w:i/>
          <w:lang w:val="en-CA"/>
        </w:rPr>
        <w:t xml:space="preserve">decides </w:t>
      </w:r>
      <w:r w:rsidRPr="00AC1F4A">
        <w:rPr>
          <w:lang w:val="en-CA"/>
        </w:rPr>
        <w:t xml:space="preserve">7 </w:t>
      </w:r>
      <w:r>
        <w:rPr>
          <w:lang w:val="en-CA"/>
        </w:rPr>
        <w:t>be reviewed</w:t>
      </w:r>
      <w:r w:rsidRPr="00AC1F4A">
        <w:rPr>
          <w:lang w:val="en-CA"/>
        </w:rPr>
        <w:t xml:space="preserve"> by the Editorial Committee to facilitate translation into Russian</w:t>
      </w:r>
      <w:r>
        <w:rPr>
          <w:lang w:val="en-CA"/>
        </w:rPr>
        <w:t>, and that the draft decision be left in abeyance for the time being</w:t>
      </w:r>
      <w:r w:rsidRPr="00AC1F4A">
        <w:rPr>
          <w:lang w:val="en-CA"/>
        </w:rPr>
        <w:t>.</w:t>
      </w:r>
    </w:p>
    <w:p w:rsidR="00A03000" w:rsidRPr="00AC1F4A" w:rsidRDefault="00A03000" w:rsidP="00A03000">
      <w:pPr>
        <w:tabs>
          <w:tab w:val="clear" w:pos="567"/>
          <w:tab w:val="clear" w:pos="1134"/>
          <w:tab w:val="clear" w:pos="1701"/>
          <w:tab w:val="clear" w:pos="2268"/>
          <w:tab w:val="clear" w:pos="2835"/>
        </w:tabs>
        <w:overflowPunct/>
        <w:autoSpaceDE/>
        <w:autoSpaceDN/>
        <w:snapToGrid w:val="0"/>
        <w:spacing w:after="120"/>
        <w:textAlignment w:val="auto"/>
        <w:rPr>
          <w:lang w:val="en-CA"/>
        </w:rPr>
      </w:pPr>
      <w:r>
        <w:rPr>
          <w:lang w:val="en-CA"/>
        </w:rPr>
        <w:t>8.2</w:t>
      </w:r>
      <w:r>
        <w:rPr>
          <w:lang w:val="en-CA"/>
        </w:rPr>
        <w:tab/>
      </w:r>
      <w:r w:rsidRPr="00AC1F4A">
        <w:rPr>
          <w:lang w:val="en-CA"/>
        </w:rPr>
        <w:t xml:space="preserve">It was so </w:t>
      </w:r>
      <w:r w:rsidRPr="00AC1F4A">
        <w:rPr>
          <w:b/>
          <w:lang w:val="en-CA"/>
        </w:rPr>
        <w:t>agreed</w:t>
      </w:r>
      <w:r w:rsidRPr="00AC1F4A">
        <w:rPr>
          <w:lang w:val="en-CA"/>
        </w:rPr>
        <w:t>.</w:t>
      </w:r>
    </w:p>
    <w:p w:rsidR="00A03000" w:rsidRPr="00AC1F4A" w:rsidRDefault="00A03000" w:rsidP="00A03000">
      <w:pPr>
        <w:tabs>
          <w:tab w:val="clear" w:pos="567"/>
          <w:tab w:val="clear" w:pos="1134"/>
          <w:tab w:val="clear" w:pos="1701"/>
          <w:tab w:val="clear" w:pos="2268"/>
          <w:tab w:val="clear" w:pos="2835"/>
        </w:tabs>
        <w:overflowPunct/>
        <w:autoSpaceDE/>
        <w:autoSpaceDN/>
        <w:snapToGrid w:val="0"/>
        <w:spacing w:after="120"/>
        <w:textAlignment w:val="auto"/>
        <w:rPr>
          <w:b/>
          <w:lang w:val="en-CA"/>
        </w:rPr>
      </w:pPr>
      <w:r w:rsidRPr="00AC1F4A">
        <w:rPr>
          <w:b/>
          <w:lang w:val="en-CA"/>
        </w:rPr>
        <w:t>Draft Resolution 21 (Rev. Dubai, 2018) – Measures concerning alternative calling procedures on international telecommunication networks</w:t>
      </w:r>
    </w:p>
    <w:p w:rsidR="00A03000" w:rsidRPr="00AC1F4A" w:rsidRDefault="00A03000" w:rsidP="00A03000">
      <w:pPr>
        <w:tabs>
          <w:tab w:val="clear" w:pos="567"/>
          <w:tab w:val="clear" w:pos="1134"/>
          <w:tab w:val="clear" w:pos="1701"/>
          <w:tab w:val="clear" w:pos="2268"/>
          <w:tab w:val="clear" w:pos="2835"/>
        </w:tabs>
        <w:overflowPunct/>
        <w:autoSpaceDE/>
        <w:autoSpaceDN/>
        <w:snapToGrid w:val="0"/>
        <w:spacing w:after="120"/>
        <w:textAlignment w:val="auto"/>
        <w:rPr>
          <w:b/>
          <w:lang w:val="en-CA"/>
        </w:rPr>
      </w:pPr>
      <w:r w:rsidRPr="00AC1F4A">
        <w:rPr>
          <w:b/>
          <w:lang w:val="en-CA"/>
        </w:rPr>
        <w:t>Draft Resolution 66 (Rev. Dubai, 2018) –</w:t>
      </w:r>
      <w:r w:rsidRPr="00AC1F4A">
        <w:rPr>
          <w:lang w:val="en-CA"/>
        </w:rPr>
        <w:t xml:space="preserve"> </w:t>
      </w:r>
      <w:r w:rsidRPr="00AC1F4A">
        <w:rPr>
          <w:b/>
          <w:lang w:val="en-CA"/>
        </w:rPr>
        <w:t>Documents and publications of the Union</w:t>
      </w:r>
    </w:p>
    <w:p w:rsidR="00A03000" w:rsidRPr="00AC1F4A" w:rsidRDefault="00A03000" w:rsidP="00A03000">
      <w:pPr>
        <w:tabs>
          <w:tab w:val="clear" w:pos="567"/>
          <w:tab w:val="clear" w:pos="1134"/>
          <w:tab w:val="clear" w:pos="1701"/>
          <w:tab w:val="clear" w:pos="2268"/>
          <w:tab w:val="clear" w:pos="2835"/>
        </w:tabs>
        <w:overflowPunct/>
        <w:autoSpaceDE/>
        <w:autoSpaceDN/>
        <w:snapToGrid w:val="0"/>
        <w:spacing w:after="120"/>
        <w:textAlignment w:val="auto"/>
        <w:rPr>
          <w:b/>
          <w:lang w:val="en-CA"/>
        </w:rPr>
      </w:pPr>
      <w:r w:rsidRPr="00AC1F4A">
        <w:rPr>
          <w:b/>
          <w:lang w:val="en-CA"/>
        </w:rPr>
        <w:t>Draft Resolution 160 (Rev. Dubai, 2018) – Assistance to Somalia</w:t>
      </w:r>
    </w:p>
    <w:p w:rsidR="00A03000" w:rsidRPr="00AC1F4A" w:rsidRDefault="00A03000" w:rsidP="00A03000">
      <w:pPr>
        <w:tabs>
          <w:tab w:val="clear" w:pos="567"/>
          <w:tab w:val="clear" w:pos="1134"/>
          <w:tab w:val="clear" w:pos="1701"/>
          <w:tab w:val="clear" w:pos="2268"/>
          <w:tab w:val="clear" w:pos="2835"/>
        </w:tabs>
        <w:overflowPunct/>
        <w:autoSpaceDE/>
        <w:autoSpaceDN/>
        <w:snapToGrid w:val="0"/>
        <w:spacing w:after="120"/>
        <w:textAlignment w:val="auto"/>
        <w:rPr>
          <w:b/>
          <w:lang w:val="en-CA"/>
        </w:rPr>
      </w:pPr>
      <w:r>
        <w:rPr>
          <w:bCs/>
          <w:lang w:val="en-CA"/>
        </w:rPr>
        <w:t>8.3</w:t>
      </w:r>
      <w:r>
        <w:rPr>
          <w:bCs/>
          <w:lang w:val="en-CA"/>
        </w:rPr>
        <w:tab/>
      </w:r>
      <w:r w:rsidRPr="00AC1F4A">
        <w:rPr>
          <w:b/>
          <w:lang w:val="en-CA"/>
        </w:rPr>
        <w:t>Adopted.</w:t>
      </w:r>
    </w:p>
    <w:p w:rsidR="00A03000" w:rsidRPr="00AC1F4A" w:rsidRDefault="00A03000" w:rsidP="00A03000">
      <w:pPr>
        <w:tabs>
          <w:tab w:val="clear" w:pos="567"/>
          <w:tab w:val="clear" w:pos="1134"/>
          <w:tab w:val="clear" w:pos="1701"/>
          <w:tab w:val="clear" w:pos="2268"/>
          <w:tab w:val="clear" w:pos="2835"/>
        </w:tabs>
        <w:overflowPunct/>
        <w:autoSpaceDE/>
        <w:autoSpaceDN/>
        <w:snapToGrid w:val="0"/>
        <w:spacing w:after="120"/>
        <w:textAlignment w:val="auto"/>
        <w:rPr>
          <w:b/>
          <w:lang w:val="en-CA"/>
        </w:rPr>
      </w:pPr>
      <w:r w:rsidRPr="00AC1F4A">
        <w:rPr>
          <w:b/>
          <w:lang w:val="en-CA"/>
        </w:rPr>
        <w:t>Draft Resolution 165 (Rev. Dubai, 2018) – Deadlines for the submission of proposals and procedures for the registration of participants for conferences and assemblies of the Union</w:t>
      </w:r>
    </w:p>
    <w:p w:rsidR="00A03000" w:rsidRPr="00AC1F4A" w:rsidRDefault="00A03000" w:rsidP="00A03000">
      <w:pPr>
        <w:tabs>
          <w:tab w:val="clear" w:pos="567"/>
          <w:tab w:val="clear" w:pos="1134"/>
          <w:tab w:val="clear" w:pos="1701"/>
          <w:tab w:val="clear" w:pos="2268"/>
          <w:tab w:val="clear" w:pos="2835"/>
        </w:tabs>
        <w:overflowPunct/>
        <w:autoSpaceDE/>
        <w:autoSpaceDN/>
        <w:snapToGrid w:val="0"/>
        <w:spacing w:after="120"/>
        <w:textAlignment w:val="auto"/>
        <w:rPr>
          <w:lang w:val="en-CA"/>
        </w:rPr>
      </w:pPr>
      <w:r>
        <w:rPr>
          <w:lang w:val="en-CA"/>
        </w:rPr>
        <w:t>8.4</w:t>
      </w:r>
      <w:r>
        <w:rPr>
          <w:lang w:val="en-CA"/>
        </w:rPr>
        <w:tab/>
      </w:r>
      <w:r w:rsidRPr="00AC1F4A">
        <w:rPr>
          <w:lang w:val="en-CA"/>
        </w:rPr>
        <w:t xml:space="preserve">Following a comment from the </w:t>
      </w:r>
      <w:r w:rsidRPr="0066517E">
        <w:rPr>
          <w:b/>
          <w:lang w:val="en-CA"/>
        </w:rPr>
        <w:t>delegate of the</w:t>
      </w:r>
      <w:r w:rsidRPr="00AC1F4A">
        <w:rPr>
          <w:lang w:val="en-CA"/>
        </w:rPr>
        <w:t xml:space="preserve"> </w:t>
      </w:r>
      <w:r w:rsidRPr="00AC1F4A">
        <w:rPr>
          <w:b/>
          <w:lang w:val="en-CA"/>
        </w:rPr>
        <w:t>United Arab Emirates</w:t>
      </w:r>
      <w:r w:rsidRPr="00AC1F4A">
        <w:rPr>
          <w:lang w:val="en-CA"/>
        </w:rPr>
        <w:t xml:space="preserve">, the </w:t>
      </w:r>
      <w:r w:rsidRPr="00AC1F4A">
        <w:rPr>
          <w:b/>
          <w:lang w:val="en-CA"/>
        </w:rPr>
        <w:t xml:space="preserve">Chairman of the Editorial Committee </w:t>
      </w:r>
      <w:r w:rsidRPr="00AC1F4A">
        <w:rPr>
          <w:lang w:val="en-CA"/>
        </w:rPr>
        <w:t xml:space="preserve">suggested that the Arabic version of </w:t>
      </w:r>
      <w:r w:rsidRPr="00AC1F4A">
        <w:rPr>
          <w:i/>
          <w:lang w:val="en-CA"/>
        </w:rPr>
        <w:t>resolves</w:t>
      </w:r>
      <w:r w:rsidRPr="00AC1F4A">
        <w:rPr>
          <w:lang w:val="en-CA"/>
        </w:rPr>
        <w:t xml:space="preserve"> 1 be revised by the Committee.</w:t>
      </w:r>
    </w:p>
    <w:p w:rsidR="00A03000" w:rsidRPr="0066517E" w:rsidRDefault="00A03000" w:rsidP="00A03000">
      <w:pPr>
        <w:tabs>
          <w:tab w:val="clear" w:pos="567"/>
          <w:tab w:val="clear" w:pos="1134"/>
          <w:tab w:val="clear" w:pos="1701"/>
          <w:tab w:val="clear" w:pos="2268"/>
          <w:tab w:val="clear" w:pos="2835"/>
        </w:tabs>
        <w:overflowPunct/>
        <w:autoSpaceDE/>
        <w:autoSpaceDN/>
        <w:snapToGrid w:val="0"/>
        <w:spacing w:after="120"/>
        <w:textAlignment w:val="auto"/>
        <w:rPr>
          <w:b/>
          <w:lang w:val="en-CA"/>
        </w:rPr>
      </w:pPr>
      <w:r>
        <w:rPr>
          <w:lang w:val="en-CA"/>
        </w:rPr>
        <w:t>8.5</w:t>
      </w:r>
      <w:r>
        <w:rPr>
          <w:lang w:val="en-CA"/>
        </w:rPr>
        <w:tab/>
        <w:t xml:space="preserve">On that understanding, draft Resolution 165 (Rev. Dubai, 2018) was </w:t>
      </w:r>
      <w:r>
        <w:rPr>
          <w:b/>
          <w:lang w:val="en-CA"/>
        </w:rPr>
        <w:t>adopted.</w:t>
      </w:r>
    </w:p>
    <w:p w:rsidR="00A03000" w:rsidRPr="00AC1F4A" w:rsidRDefault="00A03000" w:rsidP="00A03000">
      <w:pPr>
        <w:tabs>
          <w:tab w:val="clear" w:pos="567"/>
          <w:tab w:val="clear" w:pos="1134"/>
          <w:tab w:val="clear" w:pos="1701"/>
          <w:tab w:val="clear" w:pos="2268"/>
          <w:tab w:val="clear" w:pos="2835"/>
        </w:tabs>
        <w:overflowPunct/>
        <w:autoSpaceDE/>
        <w:autoSpaceDN/>
        <w:snapToGrid w:val="0"/>
        <w:spacing w:after="120"/>
        <w:textAlignment w:val="auto"/>
        <w:rPr>
          <w:lang w:val="en-CA"/>
        </w:rPr>
      </w:pPr>
      <w:r>
        <w:rPr>
          <w:lang w:val="en-CA"/>
        </w:rPr>
        <w:t>8.6</w:t>
      </w:r>
      <w:r>
        <w:rPr>
          <w:lang w:val="en-CA"/>
        </w:rPr>
        <w:tab/>
      </w:r>
      <w:r w:rsidRPr="00AC1F4A">
        <w:rPr>
          <w:lang w:val="en-CA"/>
        </w:rPr>
        <w:t>With the exception of draft Decision 11 (Rev. Dubai, 2018)</w:t>
      </w:r>
      <w:r>
        <w:rPr>
          <w:lang w:val="en-CA"/>
        </w:rPr>
        <w:t>, and on the understanding that</w:t>
      </w:r>
      <w:r w:rsidRPr="00AC1F4A">
        <w:rPr>
          <w:lang w:val="en-CA"/>
        </w:rPr>
        <w:t xml:space="preserve"> draft Resolution 165 (Rev. Dubai, 2018)</w:t>
      </w:r>
      <w:r w:rsidRPr="00312431">
        <w:t xml:space="preserve"> </w:t>
      </w:r>
      <w:r w:rsidRPr="00312431">
        <w:rPr>
          <w:lang w:val="en-CA"/>
        </w:rPr>
        <w:t>would be resubmitted to the Editorial Committee for review</w:t>
      </w:r>
      <w:r w:rsidRPr="00AC1F4A">
        <w:rPr>
          <w:lang w:val="en-CA"/>
        </w:rPr>
        <w:t xml:space="preserve">, the second series of texts submitted by the Editorial Committee for first reading (B2) (Document 108) was </w:t>
      </w:r>
      <w:r w:rsidRPr="00AC1F4A">
        <w:rPr>
          <w:b/>
          <w:lang w:val="en-CA"/>
        </w:rPr>
        <w:t>approved</w:t>
      </w:r>
      <w:r w:rsidRPr="00AC1F4A">
        <w:rPr>
          <w:lang w:val="en-CA"/>
        </w:rPr>
        <w:t>.</w:t>
      </w:r>
    </w:p>
    <w:p w:rsidR="00A03000" w:rsidRPr="00A03000" w:rsidRDefault="00A03000" w:rsidP="00AD3E42">
      <w:pPr>
        <w:tabs>
          <w:tab w:val="clear" w:pos="567"/>
          <w:tab w:val="clear" w:pos="1134"/>
          <w:tab w:val="clear" w:pos="1701"/>
          <w:tab w:val="clear" w:pos="2268"/>
          <w:tab w:val="clear" w:pos="2835"/>
        </w:tabs>
        <w:snapToGrid w:val="0"/>
        <w:spacing w:before="360" w:after="120"/>
        <w:ind w:left="709" w:hanging="709"/>
        <w:rPr>
          <w:rFonts w:asciiTheme="minorHAnsi" w:hAnsiTheme="minorHAnsi"/>
          <w:b/>
          <w:sz w:val="26"/>
          <w:szCs w:val="26"/>
          <w:lang w:val="en-CA"/>
        </w:rPr>
      </w:pPr>
      <w:r w:rsidRPr="00A03000">
        <w:rPr>
          <w:rFonts w:asciiTheme="minorHAnsi" w:hAnsiTheme="minorHAnsi"/>
          <w:b/>
          <w:sz w:val="26"/>
          <w:szCs w:val="26"/>
          <w:lang w:val="en-CA"/>
        </w:rPr>
        <w:t>9</w:t>
      </w:r>
      <w:r w:rsidRPr="00A03000">
        <w:rPr>
          <w:rFonts w:asciiTheme="minorHAnsi" w:hAnsiTheme="minorHAnsi"/>
          <w:b/>
          <w:sz w:val="26"/>
          <w:szCs w:val="26"/>
          <w:lang w:val="en-CA"/>
        </w:rPr>
        <w:tab/>
        <w:t>Second series of texts submitted by the Edito</w:t>
      </w:r>
      <w:r w:rsidR="00AD3E42">
        <w:rPr>
          <w:rFonts w:asciiTheme="minorHAnsi" w:hAnsiTheme="minorHAnsi"/>
          <w:b/>
          <w:sz w:val="26"/>
          <w:szCs w:val="26"/>
          <w:lang w:val="en-CA"/>
        </w:rPr>
        <w:t>rial Committee – second reading</w:t>
      </w:r>
    </w:p>
    <w:p w:rsidR="00A03000" w:rsidRPr="00AC1F4A" w:rsidRDefault="00A03000" w:rsidP="00A03000">
      <w:pPr>
        <w:tabs>
          <w:tab w:val="clear" w:pos="567"/>
          <w:tab w:val="clear" w:pos="1134"/>
          <w:tab w:val="clear" w:pos="1701"/>
          <w:tab w:val="clear" w:pos="2268"/>
          <w:tab w:val="clear" w:pos="2835"/>
        </w:tabs>
        <w:snapToGrid w:val="0"/>
        <w:spacing w:after="120"/>
        <w:rPr>
          <w:rFonts w:asciiTheme="minorHAnsi" w:hAnsiTheme="minorHAnsi"/>
          <w:szCs w:val="24"/>
          <w:lang w:val="en-CA"/>
        </w:rPr>
      </w:pPr>
      <w:r>
        <w:rPr>
          <w:rFonts w:asciiTheme="minorHAnsi" w:hAnsiTheme="minorHAnsi"/>
          <w:szCs w:val="24"/>
          <w:lang w:val="en-CA"/>
        </w:rPr>
        <w:t>9.1</w:t>
      </w:r>
      <w:r>
        <w:rPr>
          <w:rFonts w:asciiTheme="minorHAnsi" w:hAnsiTheme="minorHAnsi"/>
          <w:szCs w:val="24"/>
          <w:lang w:val="en-CA"/>
        </w:rPr>
        <w:tab/>
      </w:r>
      <w:r w:rsidRPr="00AC1F4A">
        <w:rPr>
          <w:rFonts w:asciiTheme="minorHAnsi" w:hAnsiTheme="minorHAnsi"/>
          <w:szCs w:val="24"/>
          <w:lang w:val="en-CA"/>
        </w:rPr>
        <w:t>With the exception of draft Decision 11 (Rev. Dubai, 2018)</w:t>
      </w:r>
      <w:r>
        <w:rPr>
          <w:rFonts w:asciiTheme="minorHAnsi" w:hAnsiTheme="minorHAnsi"/>
          <w:szCs w:val="24"/>
          <w:lang w:val="en-CA"/>
        </w:rPr>
        <w:t>,</w:t>
      </w:r>
      <w:r w:rsidRPr="00AC1F4A">
        <w:rPr>
          <w:rFonts w:asciiTheme="minorHAnsi" w:hAnsiTheme="minorHAnsi"/>
          <w:szCs w:val="24"/>
          <w:lang w:val="en-CA"/>
        </w:rPr>
        <w:t xml:space="preserve"> and </w:t>
      </w:r>
      <w:r>
        <w:rPr>
          <w:rFonts w:asciiTheme="minorHAnsi" w:hAnsiTheme="minorHAnsi"/>
          <w:szCs w:val="24"/>
          <w:lang w:val="en-CA"/>
        </w:rPr>
        <w:t xml:space="preserve">of </w:t>
      </w:r>
      <w:r w:rsidRPr="00AC1F4A">
        <w:rPr>
          <w:rFonts w:asciiTheme="minorHAnsi" w:hAnsiTheme="minorHAnsi"/>
          <w:szCs w:val="24"/>
          <w:lang w:val="en-CA"/>
        </w:rPr>
        <w:t>draft Resolution 165 (Rev. Dubai, 2018)</w:t>
      </w:r>
      <w:r w:rsidRPr="00531584">
        <w:rPr>
          <w:rFonts w:asciiTheme="minorHAnsi" w:hAnsiTheme="minorHAnsi"/>
          <w:szCs w:val="24"/>
          <w:lang w:val="en-CA"/>
        </w:rPr>
        <w:t xml:space="preserve"> </w:t>
      </w:r>
      <w:r>
        <w:rPr>
          <w:rFonts w:asciiTheme="minorHAnsi" w:hAnsiTheme="minorHAnsi"/>
          <w:szCs w:val="24"/>
          <w:lang w:val="en-CA"/>
        </w:rPr>
        <w:t xml:space="preserve">which </w:t>
      </w:r>
      <w:r w:rsidRPr="00531584">
        <w:rPr>
          <w:rFonts w:asciiTheme="minorHAnsi" w:hAnsiTheme="minorHAnsi"/>
          <w:szCs w:val="24"/>
          <w:lang w:val="en-CA"/>
        </w:rPr>
        <w:t>would be resubmitted to the Plenary for second reading once the Editorial Committee had review</w:t>
      </w:r>
      <w:r>
        <w:rPr>
          <w:rFonts w:asciiTheme="minorHAnsi" w:hAnsiTheme="minorHAnsi"/>
          <w:szCs w:val="24"/>
          <w:lang w:val="en-CA"/>
        </w:rPr>
        <w:t>ed it,</w:t>
      </w:r>
      <w:r w:rsidRPr="00531584">
        <w:rPr>
          <w:rFonts w:asciiTheme="minorHAnsi" w:hAnsiTheme="minorHAnsi"/>
          <w:szCs w:val="24"/>
          <w:lang w:val="en-CA"/>
        </w:rPr>
        <w:t xml:space="preserve"> </w:t>
      </w:r>
      <w:r w:rsidRPr="00AC1F4A">
        <w:rPr>
          <w:rFonts w:asciiTheme="minorHAnsi" w:hAnsiTheme="minorHAnsi"/>
          <w:szCs w:val="24"/>
          <w:lang w:val="en-CA"/>
        </w:rPr>
        <w:t xml:space="preserve">the second series of texts submitted by the Editorial Committee (Document 108) was </w:t>
      </w:r>
      <w:r w:rsidRPr="00AC1F4A">
        <w:rPr>
          <w:rFonts w:asciiTheme="minorHAnsi" w:hAnsiTheme="minorHAnsi"/>
          <w:b/>
          <w:szCs w:val="24"/>
          <w:lang w:val="en-CA"/>
        </w:rPr>
        <w:t>approved</w:t>
      </w:r>
      <w:r w:rsidRPr="00AC1F4A">
        <w:rPr>
          <w:rFonts w:asciiTheme="minorHAnsi" w:hAnsiTheme="minorHAnsi"/>
          <w:szCs w:val="24"/>
          <w:lang w:val="en-CA"/>
        </w:rPr>
        <w:t xml:space="preserve"> on second reading.</w:t>
      </w:r>
    </w:p>
    <w:p w:rsidR="00A03000" w:rsidRPr="00AC1F4A" w:rsidRDefault="00A03000" w:rsidP="00A03000">
      <w:pPr>
        <w:tabs>
          <w:tab w:val="clear" w:pos="567"/>
          <w:tab w:val="clear" w:pos="1134"/>
          <w:tab w:val="clear" w:pos="1701"/>
          <w:tab w:val="clear" w:pos="2268"/>
          <w:tab w:val="clear" w:pos="2835"/>
        </w:tabs>
        <w:overflowPunct/>
        <w:autoSpaceDE/>
        <w:autoSpaceDN/>
        <w:snapToGrid w:val="0"/>
        <w:spacing w:before="240" w:after="120"/>
        <w:textAlignment w:val="auto"/>
        <w:rPr>
          <w:b/>
          <w:lang w:val="en-CA"/>
        </w:rPr>
      </w:pPr>
      <w:r w:rsidRPr="00AC1F4A">
        <w:rPr>
          <w:b/>
          <w:lang w:val="en-CA"/>
        </w:rPr>
        <w:t>The meeting rose at 1705 hours.</w:t>
      </w:r>
    </w:p>
    <w:p w:rsidR="00A03000" w:rsidRPr="00AC1F4A" w:rsidRDefault="00A03000" w:rsidP="00A03000">
      <w:pPr>
        <w:tabs>
          <w:tab w:val="clear" w:pos="567"/>
          <w:tab w:val="clear" w:pos="1134"/>
          <w:tab w:val="clear" w:pos="1701"/>
          <w:tab w:val="clear" w:pos="2268"/>
          <w:tab w:val="clear" w:pos="2835"/>
        </w:tabs>
        <w:overflowPunct/>
        <w:autoSpaceDE/>
        <w:autoSpaceDN/>
        <w:snapToGrid w:val="0"/>
        <w:spacing w:before="600"/>
        <w:textAlignment w:val="auto"/>
        <w:rPr>
          <w:lang w:val="en-CA"/>
        </w:rPr>
      </w:pPr>
      <w:r w:rsidRPr="00AC1F4A">
        <w:rPr>
          <w:lang w:val="en-CA"/>
        </w:rPr>
        <w:t>The Secretary-General:</w:t>
      </w:r>
      <w:r w:rsidRPr="00AC1F4A">
        <w:rPr>
          <w:lang w:val="en-CA"/>
        </w:rPr>
        <w:tab/>
      </w:r>
      <w:r w:rsidRPr="00AC1F4A">
        <w:rPr>
          <w:lang w:val="en-CA"/>
        </w:rPr>
        <w:tab/>
      </w:r>
      <w:r w:rsidRPr="00AC1F4A">
        <w:rPr>
          <w:lang w:val="en-CA"/>
        </w:rPr>
        <w:tab/>
      </w:r>
      <w:r w:rsidRPr="00AC1F4A">
        <w:rPr>
          <w:lang w:val="en-CA"/>
        </w:rPr>
        <w:tab/>
      </w:r>
      <w:r w:rsidRPr="00AC1F4A">
        <w:rPr>
          <w:lang w:val="en-CA"/>
        </w:rPr>
        <w:tab/>
      </w:r>
      <w:r w:rsidRPr="00AC1F4A">
        <w:rPr>
          <w:lang w:val="en-CA"/>
        </w:rPr>
        <w:tab/>
        <w:t>The Chairman:</w:t>
      </w:r>
    </w:p>
    <w:p w:rsidR="0008540E" w:rsidRPr="00A03000" w:rsidRDefault="00A03000" w:rsidP="00A03000">
      <w:pPr>
        <w:tabs>
          <w:tab w:val="clear" w:pos="567"/>
          <w:tab w:val="clear" w:pos="1134"/>
          <w:tab w:val="clear" w:pos="1701"/>
          <w:tab w:val="clear" w:pos="2268"/>
          <w:tab w:val="clear" w:pos="2835"/>
        </w:tabs>
        <w:overflowPunct/>
        <w:autoSpaceDE/>
        <w:autoSpaceDN/>
        <w:snapToGrid w:val="0"/>
        <w:spacing w:before="0"/>
        <w:textAlignment w:val="auto"/>
        <w:rPr>
          <w:lang w:val="en-CA"/>
        </w:rPr>
      </w:pPr>
      <w:r w:rsidRPr="00AC1F4A">
        <w:rPr>
          <w:lang w:val="en-CA"/>
        </w:rPr>
        <w:t>H. ZHAO</w:t>
      </w:r>
      <w:r w:rsidRPr="00AC1F4A">
        <w:rPr>
          <w:lang w:val="en-CA"/>
        </w:rPr>
        <w:tab/>
      </w:r>
      <w:r w:rsidRPr="00AC1F4A">
        <w:rPr>
          <w:lang w:val="en-CA"/>
        </w:rPr>
        <w:tab/>
      </w:r>
      <w:r w:rsidRPr="00AC1F4A">
        <w:rPr>
          <w:lang w:val="en-CA"/>
        </w:rPr>
        <w:tab/>
      </w:r>
      <w:r w:rsidRPr="00AC1F4A">
        <w:rPr>
          <w:lang w:val="en-CA"/>
        </w:rPr>
        <w:tab/>
      </w:r>
      <w:r w:rsidRPr="00AC1F4A">
        <w:rPr>
          <w:lang w:val="en-CA"/>
        </w:rPr>
        <w:tab/>
      </w:r>
      <w:r w:rsidRPr="00AC1F4A">
        <w:rPr>
          <w:lang w:val="en-CA"/>
        </w:rPr>
        <w:tab/>
      </w:r>
      <w:r w:rsidRPr="00AC1F4A">
        <w:rPr>
          <w:lang w:val="en-CA"/>
        </w:rPr>
        <w:tab/>
      </w:r>
      <w:r w:rsidRPr="00AC1F4A">
        <w:rPr>
          <w:lang w:val="en-CA"/>
        </w:rPr>
        <w:tab/>
        <w:t>M. ALMESMAR</w:t>
      </w:r>
    </w:p>
    <w:sectPr w:rsidR="0008540E" w:rsidRPr="00A03000" w:rsidSect="00361097">
      <w:headerReference w:type="default" r:id="rId28"/>
      <w:footerReference w:type="default" r:id="rId29"/>
      <w:footerReference w:type="first" r:id="rId30"/>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BC2" w:rsidRDefault="00F94BC2">
      <w:r>
        <w:separator/>
      </w:r>
    </w:p>
  </w:endnote>
  <w:endnote w:type="continuationSeparator" w:id="0">
    <w:p w:rsidR="00F94BC2" w:rsidRDefault="00F94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B63" w:rsidRDefault="007E7B63" w:rsidP="00855DAB">
    <w:pPr>
      <w:pStyle w:val="Footer"/>
      <w:tabs>
        <w:tab w:val="clear" w:pos="5954"/>
        <w:tab w:val="clear" w:pos="9639"/>
        <w:tab w:val="left" w:pos="7655"/>
        <w:tab w:val="right" w:pos="949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C0B" w:rsidRDefault="00AB2D04"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p w:rsidR="00A516BB" w:rsidRDefault="00A516BB" w:rsidP="00855DAB">
    <w:pPr>
      <w:pStyle w:val="Footer"/>
      <w:tabs>
        <w:tab w:val="clear" w:pos="5954"/>
        <w:tab w:val="clear" w:pos="9639"/>
        <w:tab w:val="left" w:pos="7655"/>
        <w:tab w:val="right" w:pos="949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BC2" w:rsidRDefault="00F94BC2">
      <w:r>
        <w:t>____________________</w:t>
      </w:r>
    </w:p>
  </w:footnote>
  <w:footnote w:type="continuationSeparator" w:id="0">
    <w:p w:rsidR="00F94BC2" w:rsidRDefault="00F94BC2">
      <w:r>
        <w:continuationSeparator/>
      </w:r>
    </w:p>
  </w:footnote>
  <w:footnote w:id="1">
    <w:p w:rsidR="00A03000" w:rsidRPr="000D50F4" w:rsidRDefault="00A03000" w:rsidP="00A03000">
      <w:pPr>
        <w:pStyle w:val="FootnoteText"/>
        <w:rPr>
          <w:lang w:val="en-US"/>
        </w:rPr>
      </w:pPr>
      <w:r>
        <w:rPr>
          <w:rStyle w:val="FootnoteReference"/>
        </w:rPr>
        <w:footnoteRef/>
      </w:r>
      <w:r>
        <w:t xml:space="preserve"> </w:t>
      </w:r>
      <w:r w:rsidR="00AD3E42">
        <w:tab/>
      </w:r>
      <w:r w:rsidRPr="00AD3E42">
        <w:rPr>
          <w:sz w:val="20"/>
          <w:lang w:val="en-US"/>
        </w:rPr>
        <w:t xml:space="preserve">The texts of general policy statements submitted to the secretariat may be consulted at: </w:t>
      </w:r>
      <w:hyperlink r:id="rId1" w:history="1">
        <w:r w:rsidRPr="00AD3E42">
          <w:rPr>
            <w:rStyle w:val="Hyperlink"/>
            <w:sz w:val="20"/>
            <w:lang w:val="en-US"/>
          </w:rPr>
          <w:t>https://www.itu.int/web/pp-18/en/policy-statement</w:t>
        </w:r>
      </w:hyperlink>
      <w:r w:rsidRPr="00AD3E42">
        <w:rPr>
          <w:rStyle w:val="Hyperlink"/>
          <w:color w:val="auto"/>
          <w:sz w:val="20"/>
          <w:u w:val="none"/>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7C1" w:rsidRDefault="000507C1" w:rsidP="00CE1B90">
    <w:pPr>
      <w:pStyle w:val="Header"/>
    </w:pPr>
    <w:r>
      <w:fldChar w:fldCharType="begin"/>
    </w:r>
    <w:r>
      <w:instrText xml:space="preserve"> PAGE   \* MERGEFORMAT </w:instrText>
    </w:r>
    <w:r>
      <w:fldChar w:fldCharType="separate"/>
    </w:r>
    <w:r w:rsidR="00AD3E42">
      <w:rPr>
        <w:noProof/>
      </w:rPr>
      <w:t>4</w:t>
    </w:r>
    <w:r>
      <w:fldChar w:fldCharType="end"/>
    </w:r>
  </w:p>
  <w:p w:rsidR="00CE1B90" w:rsidRDefault="00CE1B90" w:rsidP="00E26429">
    <w:pPr>
      <w:pStyle w:val="Header"/>
    </w:pPr>
    <w:r>
      <w:t>PP1</w:t>
    </w:r>
    <w:r w:rsidR="004F7925">
      <w:t>8</w:t>
    </w:r>
    <w:r w:rsidR="00A03000">
      <w:t>/131</w:t>
    </w:r>
    <w:r w:rsidR="00E26429">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48E4"/>
    <w:rsid w:val="00010B2A"/>
    <w:rsid w:val="00011208"/>
    <w:rsid w:val="000143FA"/>
    <w:rsid w:val="00014808"/>
    <w:rsid w:val="00015E97"/>
    <w:rsid w:val="00041924"/>
    <w:rsid w:val="000507C1"/>
    <w:rsid w:val="00053B97"/>
    <w:rsid w:val="00082EB9"/>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C19D7"/>
    <w:rsid w:val="004C297B"/>
    <w:rsid w:val="004C73C9"/>
    <w:rsid w:val="004E01FA"/>
    <w:rsid w:val="004E6764"/>
    <w:rsid w:val="004F041D"/>
    <w:rsid w:val="004F1C55"/>
    <w:rsid w:val="004F7925"/>
    <w:rsid w:val="00504FE5"/>
    <w:rsid w:val="00507348"/>
    <w:rsid w:val="00522C97"/>
    <w:rsid w:val="005356FD"/>
    <w:rsid w:val="00547D75"/>
    <w:rsid w:val="00551C8B"/>
    <w:rsid w:val="00554E24"/>
    <w:rsid w:val="00555A0F"/>
    <w:rsid w:val="00567130"/>
    <w:rsid w:val="0057034B"/>
    <w:rsid w:val="00581E8F"/>
    <w:rsid w:val="00586A98"/>
    <w:rsid w:val="005927A4"/>
    <w:rsid w:val="00596B48"/>
    <w:rsid w:val="005B10E8"/>
    <w:rsid w:val="005B5026"/>
    <w:rsid w:val="005B661F"/>
    <w:rsid w:val="005C3315"/>
    <w:rsid w:val="005E1CC3"/>
    <w:rsid w:val="005F05C8"/>
    <w:rsid w:val="00604079"/>
    <w:rsid w:val="00617BE4"/>
    <w:rsid w:val="00620233"/>
    <w:rsid w:val="006404B0"/>
    <w:rsid w:val="0066499C"/>
    <w:rsid w:val="00676E68"/>
    <w:rsid w:val="006A7108"/>
    <w:rsid w:val="006B2035"/>
    <w:rsid w:val="006B40DA"/>
    <w:rsid w:val="006C5D5D"/>
    <w:rsid w:val="006E215D"/>
    <w:rsid w:val="006E57C8"/>
    <w:rsid w:val="006E70E1"/>
    <w:rsid w:val="006F565E"/>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50E0F"/>
    <w:rsid w:val="009609D9"/>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3000"/>
    <w:rsid w:val="00A06D56"/>
    <w:rsid w:val="00A314A2"/>
    <w:rsid w:val="00A516BB"/>
    <w:rsid w:val="00A619C5"/>
    <w:rsid w:val="00A808E1"/>
    <w:rsid w:val="00A8262F"/>
    <w:rsid w:val="00A83210"/>
    <w:rsid w:val="00A84B32"/>
    <w:rsid w:val="00A84B3A"/>
    <w:rsid w:val="00A93B71"/>
    <w:rsid w:val="00AB0B32"/>
    <w:rsid w:val="00AB2D04"/>
    <w:rsid w:val="00AB5C39"/>
    <w:rsid w:val="00AB75A9"/>
    <w:rsid w:val="00AD1C5C"/>
    <w:rsid w:val="00AD3E42"/>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6038"/>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13D46"/>
    <w:rsid w:val="00E20134"/>
    <w:rsid w:val="00E24CB2"/>
    <w:rsid w:val="00E26429"/>
    <w:rsid w:val="00E31D1C"/>
    <w:rsid w:val="00E32981"/>
    <w:rsid w:val="00E34312"/>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4BC2"/>
    <w:rsid w:val="00F95ABE"/>
    <w:rsid w:val="00F9756D"/>
    <w:rsid w:val="00FB5F12"/>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link w:val="FootnoteTextChar"/>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FootnoteTextChar">
    <w:name w:val="Footnote Text Char"/>
    <w:basedOn w:val="DefaultParagraphFont"/>
    <w:link w:val="FootnoteText"/>
    <w:rsid w:val="00A03000"/>
    <w:rPr>
      <w:rFonts w:ascii="Calibri" w:hAnsi="Calibri"/>
      <w:sz w:val="24"/>
      <w:lang w:val="en-GB" w:eastAsia="en-US"/>
    </w:rPr>
  </w:style>
  <w:style w:type="paragraph" w:styleId="ListParagraph">
    <w:name w:val="List Paragraph"/>
    <w:basedOn w:val="Normal"/>
    <w:uiPriority w:val="34"/>
    <w:qFormat/>
    <w:rsid w:val="00A030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www.itu.int/md/S18-PP-C-0018/en" TargetMode="External"/><Relationship Id="rId13" Type="http://schemas.openxmlformats.org/officeDocument/2006/relationships/hyperlink" Target="https://www.itu.int/md/S18-PP-C-0064/en" TargetMode="External"/><Relationship Id="rId18" Type="http://schemas.openxmlformats.org/officeDocument/2006/relationships/hyperlink" Target="https://www.itu.int/md/S18-PP-C-0106/en" TargetMode="External"/><Relationship Id="rId26" Type="http://schemas.openxmlformats.org/officeDocument/2006/relationships/hyperlink" Target="https://www.itu.int/md/S18-PP-C-0107/en" TargetMode="External"/><Relationship Id="rId3" Type="http://schemas.openxmlformats.org/officeDocument/2006/relationships/settings" Target="settings.xml"/><Relationship Id="rId21" Type="http://schemas.openxmlformats.org/officeDocument/2006/relationships/hyperlink" Target="https://www.itu.int/md/S18-PP-C-0055/en" TargetMode="External"/><Relationship Id="rId7" Type="http://schemas.openxmlformats.org/officeDocument/2006/relationships/image" Target="media/image1.png"/><Relationship Id="rId12" Type="http://schemas.openxmlformats.org/officeDocument/2006/relationships/hyperlink" Target="https://www.itu.int/md/S18-PP-C-0063/en" TargetMode="External"/><Relationship Id="rId17" Type="http://schemas.openxmlformats.org/officeDocument/2006/relationships/hyperlink" Target="https://www.itu.int/web/pp-18/en/speech/173" TargetMode="External"/><Relationship Id="rId25" Type="http://schemas.openxmlformats.org/officeDocument/2006/relationships/hyperlink" Target="https://www.itu.int/md/S18-PP-C-0072/en" TargetMode="External"/><Relationship Id="rId2" Type="http://schemas.openxmlformats.org/officeDocument/2006/relationships/styles" Target="styles.xml"/><Relationship Id="rId16" Type="http://schemas.openxmlformats.org/officeDocument/2006/relationships/hyperlink" Target="https://www.itu.int/md/S18-PP-C-0108/en" TargetMode="External"/><Relationship Id="rId20" Type="http://schemas.openxmlformats.org/officeDocument/2006/relationships/hyperlink" Target="https://www.itu.int/md/S18-PP-C-0048/en" TargetMode="External"/><Relationship Id="rId29"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hyperlink" Target="https://www.itu.int/md/S18-PP-C-0062/en" TargetMode="External"/><Relationship Id="rId24" Type="http://schemas.openxmlformats.org/officeDocument/2006/relationships/hyperlink" Target="https://www.itu.int/md/S18-PP-C-0064/en"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tu.int/md/S18-PP-C-0107/en" TargetMode="External"/><Relationship Id="rId23" Type="http://schemas.openxmlformats.org/officeDocument/2006/relationships/hyperlink" Target="https://www.itu.int/md/S18-PP-C-0063/en" TargetMode="External"/><Relationship Id="rId28" Type="http://schemas.openxmlformats.org/officeDocument/2006/relationships/header" Target="header1.xml"/><Relationship Id="rId10" Type="http://schemas.openxmlformats.org/officeDocument/2006/relationships/hyperlink" Target="https://www.itu.int/md/S18-PP-C-0055/en" TargetMode="External"/><Relationship Id="rId19" Type="http://schemas.openxmlformats.org/officeDocument/2006/relationships/hyperlink" Target="https://www.itu.int/md/S18-PP-C-0018/en"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tu.int/md/S18-PP-C-0048/en" TargetMode="External"/><Relationship Id="rId14" Type="http://schemas.openxmlformats.org/officeDocument/2006/relationships/hyperlink" Target="https://www.itu.int/md/S18-PP-C-0072/en" TargetMode="External"/><Relationship Id="rId22" Type="http://schemas.openxmlformats.org/officeDocument/2006/relationships/hyperlink" Target="https://www.itu.int/md/S18-PP-C-0062/en" TargetMode="External"/><Relationship Id="rId27" Type="http://schemas.openxmlformats.org/officeDocument/2006/relationships/hyperlink" Target="https://www.itu.int/md/S18-PP-C-0108/en" TargetMode="External"/><Relationship Id="rId30"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web/pp-18/en/polic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1224</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Proposals for the work of the conference</vt:lpstr>
    </vt:vector>
  </TitlesOfParts>
  <Manager/>
  <Company/>
  <LinksUpToDate>false</LinksUpToDate>
  <CharactersWithSpaces>9078</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eventh Plenary meeting</dc:title>
  <dc:subject>Plenipotentiary Conference (PP-18)</dc:subject>
  <dc:creator/>
  <cp:keywords>PP-18, Plenipotentiary</cp:keywords>
  <cp:lastModifiedBy/>
  <cp:revision>1</cp:revision>
  <dcterms:created xsi:type="dcterms:W3CDTF">2018-11-12T20:05:00Z</dcterms:created>
  <dcterms:modified xsi:type="dcterms:W3CDTF">2018-11-13T05:17:00Z</dcterms:modified>
  <cp:category>Conference document</cp:category>
</cp:coreProperties>
</file>