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Tr="00E26429">
        <w:trPr>
          <w:cantSplit/>
        </w:trPr>
        <w:tc>
          <w:tcPr>
            <w:tcW w:w="6629" w:type="dxa"/>
            <w:vAlign w:val="center"/>
          </w:tcPr>
          <w:p w:rsidR="001A16ED" w:rsidRPr="00F04067" w:rsidRDefault="001A16ED" w:rsidP="00E26429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 w:rsidR="004F7925">
              <w:rPr>
                <w:rFonts w:cs="Times"/>
                <w:b/>
                <w:position w:val="6"/>
                <w:sz w:val="30"/>
                <w:szCs w:val="30"/>
              </w:rPr>
              <w:t>8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4F7925">
              <w:rPr>
                <w:b/>
                <w:bCs/>
                <w:position w:val="6"/>
                <w:szCs w:val="24"/>
              </w:rPr>
              <w:t>Dubai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 w:rsidR="004F7925">
              <w:rPr>
                <w:b/>
                <w:bCs/>
                <w:position w:val="6"/>
                <w:szCs w:val="24"/>
              </w:rPr>
              <w:t>29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4F7925">
              <w:rPr>
                <w:b/>
                <w:bCs/>
                <w:position w:val="6"/>
                <w:szCs w:val="24"/>
              </w:rPr>
              <w:t>16</w:t>
            </w:r>
            <w:r>
              <w:rPr>
                <w:b/>
                <w:bCs/>
                <w:position w:val="6"/>
                <w:szCs w:val="24"/>
              </w:rPr>
              <w:t xml:space="preserve"> November 201</w:t>
            </w:r>
            <w:r w:rsidR="004F7925">
              <w:rPr>
                <w:b/>
                <w:bCs/>
                <w:position w:val="6"/>
                <w:szCs w:val="24"/>
              </w:rPr>
              <w:t>8</w:t>
            </w:r>
          </w:p>
        </w:tc>
        <w:tc>
          <w:tcPr>
            <w:tcW w:w="3402" w:type="dxa"/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49456A9F" wp14:editId="07183A52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E26429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t>PLENARY MEETING</w:t>
            </w:r>
          </w:p>
        </w:tc>
        <w:tc>
          <w:tcPr>
            <w:tcW w:w="3402" w:type="dxa"/>
          </w:tcPr>
          <w:p w:rsidR="001A16ED" w:rsidRPr="00F44B1A" w:rsidRDefault="00E26429" w:rsidP="008376C9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Document </w:t>
            </w:r>
            <w:r w:rsidR="008376C9">
              <w:rPr>
                <w:rFonts w:cstheme="minorHAnsi"/>
                <w:b/>
                <w:szCs w:val="24"/>
              </w:rPr>
              <w:t>99</w:t>
            </w:r>
            <w:r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:rsidR="001A16ED" w:rsidRPr="00D96B4B" w:rsidRDefault="008376C9" w:rsidP="003740BC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6 November</w:t>
            </w:r>
            <w:r w:rsidR="00E26429">
              <w:rPr>
                <w:rFonts w:cstheme="minorHAnsi"/>
                <w:b/>
                <w:szCs w:val="24"/>
              </w:rPr>
              <w:t xml:space="preserve"> 2018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:rsidR="001A16ED" w:rsidRPr="00D96B4B" w:rsidRDefault="00E26429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9609D9" w:rsidRPr="00DB0816" w:rsidRDefault="009609D9" w:rsidP="009609D9">
            <w:pPr>
              <w:pStyle w:val="Title1"/>
              <w:spacing w:before="720"/>
              <w:rPr>
                <w:lang w:val="en-CA"/>
              </w:rPr>
            </w:pPr>
            <w:r w:rsidRPr="00DB0816">
              <w:rPr>
                <w:lang w:val="en-CA"/>
              </w:rPr>
              <w:t>minutes</w:t>
            </w:r>
          </w:p>
          <w:p w:rsidR="009609D9" w:rsidRPr="00DB0816" w:rsidRDefault="009609D9" w:rsidP="009609D9">
            <w:pPr>
              <w:pStyle w:val="Title1"/>
              <w:rPr>
                <w:lang w:val="en-CA"/>
              </w:rPr>
            </w:pPr>
            <w:r w:rsidRPr="00DB0816">
              <w:rPr>
                <w:lang w:val="en-CA"/>
              </w:rPr>
              <w:t>OF THE</w:t>
            </w:r>
          </w:p>
          <w:p w:rsidR="001A16ED" w:rsidRDefault="00864A93" w:rsidP="009609D9">
            <w:pPr>
              <w:pStyle w:val="Title2"/>
              <w:spacing w:after="240"/>
            </w:pPr>
            <w:r>
              <w:rPr>
                <w:lang w:val="en-CA"/>
              </w:rPr>
              <w:t>sixth</w:t>
            </w:r>
            <w:r w:rsidR="009609D9" w:rsidRPr="00DB0816">
              <w:rPr>
                <w:lang w:val="en-CA"/>
              </w:rPr>
              <w:t xml:space="preserve"> PLENARY MEETING</w:t>
            </w:r>
          </w:p>
        </w:tc>
      </w:tr>
      <w:tr w:rsidR="009609D9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9609D9" w:rsidRPr="00DB0816" w:rsidRDefault="00864A93" w:rsidP="009609D9">
            <w:pPr>
              <w:jc w:val="center"/>
              <w:rPr>
                <w:lang w:val="en-CA"/>
              </w:rPr>
            </w:pPr>
            <w:r w:rsidRPr="00864A93">
              <w:rPr>
                <w:lang w:val="en-CA"/>
              </w:rPr>
              <w:t>Thursday, 1 November</w:t>
            </w:r>
            <w:r w:rsidR="008831B4">
              <w:rPr>
                <w:lang w:val="en-CA"/>
              </w:rPr>
              <w:t xml:space="preserve"> 2018</w:t>
            </w:r>
            <w:r w:rsidRPr="00864A93">
              <w:rPr>
                <w:lang w:val="en-CA"/>
              </w:rPr>
              <w:t>, at 0945 hours</w:t>
            </w:r>
          </w:p>
        </w:tc>
      </w:tr>
      <w:tr w:rsidR="009609D9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9609D9" w:rsidRPr="00DB0816" w:rsidRDefault="009609D9" w:rsidP="009609D9">
            <w:pPr>
              <w:jc w:val="center"/>
              <w:rPr>
                <w:b/>
                <w:bCs/>
                <w:lang w:val="en-CA"/>
              </w:rPr>
            </w:pPr>
            <w:r w:rsidRPr="00DB0816">
              <w:rPr>
                <w:b/>
                <w:bCs/>
                <w:lang w:val="en-CA"/>
              </w:rPr>
              <w:t xml:space="preserve">Chairman: </w:t>
            </w:r>
            <w:r w:rsidRPr="00DB0816">
              <w:rPr>
                <w:bCs/>
                <w:lang w:val="en-CA"/>
              </w:rPr>
              <w:t xml:space="preserve">Mr </w:t>
            </w:r>
            <w:proofErr w:type="spellStart"/>
            <w:r w:rsidRPr="00DB0816">
              <w:rPr>
                <w:bCs/>
                <w:lang w:val="en-CA"/>
              </w:rPr>
              <w:t>M</w:t>
            </w:r>
            <w:r>
              <w:rPr>
                <w:bCs/>
                <w:lang w:val="en-CA"/>
              </w:rPr>
              <w:t>ajed</w:t>
            </w:r>
            <w:proofErr w:type="spellEnd"/>
            <w:r w:rsidRPr="00DB0816">
              <w:rPr>
                <w:bCs/>
                <w:lang w:val="en-CA"/>
              </w:rPr>
              <w:t xml:space="preserve"> ALMESMAR (United Arab Emirates)</w:t>
            </w:r>
          </w:p>
        </w:tc>
      </w:tr>
      <w:bookmarkEnd w:id="7"/>
      <w:bookmarkEnd w:id="8"/>
    </w:tbl>
    <w:p w:rsidR="001A16ED" w:rsidRDefault="001A16ED" w:rsidP="00750643">
      <w:pPr>
        <w:spacing w:before="240"/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864A93" w:rsidRPr="00FE4A49" w:rsidTr="00763C2D">
        <w:tc>
          <w:tcPr>
            <w:tcW w:w="534" w:type="dxa"/>
          </w:tcPr>
          <w:p w:rsidR="00864A93" w:rsidRPr="00FE4A49" w:rsidRDefault="00864A93" w:rsidP="00763C2D">
            <w:pPr>
              <w:pStyle w:val="toc0"/>
              <w:rPr>
                <w:lang w:val="en-CA"/>
              </w:rPr>
            </w:pPr>
          </w:p>
        </w:tc>
        <w:tc>
          <w:tcPr>
            <w:tcW w:w="7164" w:type="dxa"/>
          </w:tcPr>
          <w:p w:rsidR="00864A93" w:rsidRPr="00FE4A49" w:rsidRDefault="00864A93" w:rsidP="00763C2D">
            <w:pPr>
              <w:pStyle w:val="toc0"/>
              <w:rPr>
                <w:lang w:val="en-CA"/>
              </w:rPr>
            </w:pPr>
            <w:r w:rsidRPr="00FE4A49">
              <w:rPr>
                <w:lang w:val="en-CA"/>
              </w:rPr>
              <w:t>Subjects discussed</w:t>
            </w:r>
          </w:p>
        </w:tc>
        <w:tc>
          <w:tcPr>
            <w:tcW w:w="2333" w:type="dxa"/>
          </w:tcPr>
          <w:p w:rsidR="00864A93" w:rsidRPr="00FE4A49" w:rsidRDefault="00864A93" w:rsidP="00763C2D">
            <w:pPr>
              <w:pStyle w:val="toc0"/>
              <w:jc w:val="center"/>
              <w:rPr>
                <w:lang w:val="en-CA"/>
              </w:rPr>
            </w:pPr>
            <w:r w:rsidRPr="00FE4A49">
              <w:rPr>
                <w:lang w:val="en-CA"/>
              </w:rPr>
              <w:t>Documents</w:t>
            </w:r>
          </w:p>
        </w:tc>
      </w:tr>
      <w:tr w:rsidR="00864A93" w:rsidRPr="00FE4A49" w:rsidTr="00763C2D">
        <w:tc>
          <w:tcPr>
            <w:tcW w:w="534" w:type="dxa"/>
          </w:tcPr>
          <w:p w:rsidR="00864A93" w:rsidRPr="00FE4A49" w:rsidRDefault="00864A93" w:rsidP="00763C2D">
            <w:pPr>
              <w:ind w:left="567" w:hanging="567"/>
              <w:rPr>
                <w:lang w:val="en-CA"/>
              </w:rPr>
            </w:pPr>
            <w:r>
              <w:rPr>
                <w:rFonts w:asciiTheme="minorHAnsi" w:hAnsiTheme="minorHAnsi"/>
                <w:lang w:val="en-CA"/>
              </w:rPr>
              <w:t>1</w:t>
            </w:r>
          </w:p>
        </w:tc>
        <w:tc>
          <w:tcPr>
            <w:tcW w:w="7164" w:type="dxa"/>
          </w:tcPr>
          <w:p w:rsidR="00864A93" w:rsidRPr="00FE4A49" w:rsidRDefault="00864A93" w:rsidP="00763C2D">
            <w:pPr>
              <w:rPr>
                <w:lang w:val="en-CA"/>
              </w:rPr>
            </w:pPr>
            <w:r w:rsidRPr="00FE4A49">
              <w:rPr>
                <w:rFonts w:asciiTheme="minorHAnsi" w:hAnsiTheme="minorHAnsi"/>
                <w:lang w:val="en-CA"/>
              </w:rPr>
              <w:t xml:space="preserve">Election of the Secretary-General and Deputy Secretary-General </w:t>
            </w:r>
          </w:p>
        </w:tc>
        <w:tc>
          <w:tcPr>
            <w:tcW w:w="2333" w:type="dxa"/>
          </w:tcPr>
          <w:p w:rsidR="00864A93" w:rsidRPr="00FE4A49" w:rsidRDefault="008831B4" w:rsidP="00763C2D">
            <w:pPr>
              <w:jc w:val="center"/>
              <w:rPr>
                <w:lang w:val="en-CA"/>
              </w:rPr>
            </w:pPr>
            <w:hyperlink r:id="rId10" w:history="1">
              <w:r w:rsidR="00864A93" w:rsidRPr="00750643">
                <w:rPr>
                  <w:rStyle w:val="Hyperlink"/>
                  <w:lang w:val="en-CA"/>
                </w:rPr>
                <w:t>75</w:t>
              </w:r>
            </w:hyperlink>
            <w:r w:rsidR="00864A93" w:rsidRPr="00FE4A49">
              <w:rPr>
                <w:lang w:val="en-CA"/>
              </w:rPr>
              <w:t xml:space="preserve">, </w:t>
            </w:r>
            <w:hyperlink r:id="rId11" w:history="1">
              <w:r w:rsidR="00864A93" w:rsidRPr="00750643">
                <w:rPr>
                  <w:rStyle w:val="Hyperlink"/>
                  <w:lang w:val="en-CA"/>
                </w:rPr>
                <w:t>78</w:t>
              </w:r>
            </w:hyperlink>
            <w:r w:rsidR="00864A93" w:rsidRPr="00FE4A49">
              <w:rPr>
                <w:lang w:val="en-CA"/>
              </w:rPr>
              <w:t xml:space="preserve">, </w:t>
            </w:r>
            <w:hyperlink r:id="rId12" w:history="1">
              <w:r w:rsidR="00864A93" w:rsidRPr="00750643">
                <w:rPr>
                  <w:rStyle w:val="Hyperlink"/>
                  <w:lang w:val="en-CA"/>
                </w:rPr>
                <w:t>86</w:t>
              </w:r>
            </w:hyperlink>
          </w:p>
        </w:tc>
      </w:tr>
      <w:tr w:rsidR="00864A93" w:rsidRPr="00FE4A49" w:rsidTr="00763C2D">
        <w:tc>
          <w:tcPr>
            <w:tcW w:w="534" w:type="dxa"/>
          </w:tcPr>
          <w:p w:rsidR="00864A93" w:rsidRPr="00FE4A49" w:rsidRDefault="00864A93" w:rsidP="00763C2D">
            <w:pPr>
              <w:ind w:left="567" w:hanging="567"/>
              <w:rPr>
                <w:rFonts w:asciiTheme="minorHAnsi" w:hAnsiTheme="minorHAnsi"/>
                <w:lang w:val="en-CA"/>
              </w:rPr>
            </w:pPr>
            <w:r>
              <w:rPr>
                <w:rFonts w:asciiTheme="minorHAnsi" w:hAnsiTheme="minorHAnsi"/>
                <w:lang w:val="en-CA"/>
              </w:rPr>
              <w:t>2</w:t>
            </w:r>
          </w:p>
        </w:tc>
        <w:tc>
          <w:tcPr>
            <w:tcW w:w="7164" w:type="dxa"/>
          </w:tcPr>
          <w:p w:rsidR="00864A93" w:rsidRPr="00FE4A49" w:rsidRDefault="00864A93" w:rsidP="00763C2D">
            <w:pPr>
              <w:rPr>
                <w:rFonts w:asciiTheme="minorHAnsi" w:hAnsiTheme="minorHAnsi"/>
                <w:lang w:val="en-CA"/>
              </w:rPr>
            </w:pPr>
            <w:r w:rsidRPr="00FE4A49">
              <w:rPr>
                <w:rFonts w:asciiTheme="minorHAnsi" w:hAnsiTheme="minorHAnsi"/>
                <w:szCs w:val="24"/>
                <w:lang w:val="en-CA"/>
              </w:rPr>
              <w:t>General policy statements (continued)</w:t>
            </w:r>
          </w:p>
        </w:tc>
        <w:tc>
          <w:tcPr>
            <w:tcW w:w="2333" w:type="dxa"/>
          </w:tcPr>
          <w:p w:rsidR="00864A93" w:rsidRPr="00FE4A49" w:rsidRDefault="00864A93" w:rsidP="00763C2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–</w:t>
            </w:r>
          </w:p>
        </w:tc>
      </w:tr>
      <w:tr w:rsidR="00864A93" w:rsidRPr="00FE4A49" w:rsidTr="00763C2D">
        <w:tc>
          <w:tcPr>
            <w:tcW w:w="534" w:type="dxa"/>
          </w:tcPr>
          <w:p w:rsidR="00864A93" w:rsidRPr="00FE4A49" w:rsidRDefault="00864A93" w:rsidP="00763C2D">
            <w:pPr>
              <w:ind w:left="567" w:hanging="567"/>
              <w:rPr>
                <w:rFonts w:asciiTheme="minorHAnsi" w:hAnsiTheme="minorHAnsi"/>
                <w:lang w:val="en-CA"/>
              </w:rPr>
            </w:pPr>
            <w:r>
              <w:rPr>
                <w:rFonts w:asciiTheme="minorHAnsi" w:hAnsiTheme="minorHAnsi"/>
                <w:lang w:val="en-CA"/>
              </w:rPr>
              <w:t>3</w:t>
            </w:r>
          </w:p>
        </w:tc>
        <w:tc>
          <w:tcPr>
            <w:tcW w:w="7164" w:type="dxa"/>
          </w:tcPr>
          <w:p w:rsidR="00864A93" w:rsidRPr="00BF5EC1" w:rsidRDefault="00864A93" w:rsidP="00763C2D">
            <w:pPr>
              <w:rPr>
                <w:rFonts w:asciiTheme="minorHAnsi" w:hAnsiTheme="minorHAnsi"/>
                <w:szCs w:val="24"/>
                <w:lang w:val="en-CA"/>
              </w:rPr>
            </w:pPr>
            <w:r w:rsidRPr="00BF5EC1">
              <w:rPr>
                <w:rFonts w:asciiTheme="minorHAnsi" w:hAnsiTheme="minorHAnsi"/>
                <w:szCs w:val="24"/>
                <w:lang w:val="en-CA"/>
              </w:rPr>
              <w:t>Member States' contributory units</w:t>
            </w:r>
          </w:p>
        </w:tc>
        <w:tc>
          <w:tcPr>
            <w:tcW w:w="2333" w:type="dxa"/>
          </w:tcPr>
          <w:p w:rsidR="00864A93" w:rsidRPr="00FE4A49" w:rsidRDefault="008831B4" w:rsidP="00763C2D">
            <w:pPr>
              <w:jc w:val="center"/>
              <w:rPr>
                <w:lang w:val="en-CA"/>
              </w:rPr>
            </w:pPr>
            <w:hyperlink r:id="rId13" w:history="1">
              <w:r w:rsidR="00864A93" w:rsidRPr="00750643">
                <w:rPr>
                  <w:rStyle w:val="Hyperlink"/>
                  <w:lang w:val="en-CA"/>
                </w:rPr>
                <w:t>INF/7</w:t>
              </w:r>
            </w:hyperlink>
          </w:p>
        </w:tc>
      </w:tr>
    </w:tbl>
    <w:p w:rsidR="001A16ED" w:rsidRDefault="001A16ED" w:rsidP="00AB2D04">
      <w:r>
        <w:br w:type="page"/>
      </w:r>
    </w:p>
    <w:p w:rsidR="00864A93" w:rsidRPr="00864A93" w:rsidRDefault="00864A93" w:rsidP="00864A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ind w:left="709" w:hanging="709"/>
        <w:textAlignment w:val="auto"/>
        <w:rPr>
          <w:b/>
          <w:sz w:val="26"/>
          <w:szCs w:val="26"/>
          <w:lang w:val="en-CA"/>
        </w:rPr>
      </w:pPr>
      <w:r w:rsidRPr="00864A93">
        <w:rPr>
          <w:b/>
          <w:sz w:val="26"/>
          <w:szCs w:val="26"/>
          <w:lang w:val="en-CA"/>
        </w:rPr>
        <w:lastRenderedPageBreak/>
        <w:t>1</w:t>
      </w:r>
      <w:r w:rsidRPr="00864A93">
        <w:rPr>
          <w:b/>
          <w:sz w:val="26"/>
          <w:szCs w:val="26"/>
          <w:lang w:val="en-CA"/>
        </w:rPr>
        <w:tab/>
        <w:t>Election of the Secretary-General and Deputy Secretary-General</w:t>
      </w:r>
      <w:r>
        <w:rPr>
          <w:b/>
          <w:sz w:val="26"/>
          <w:szCs w:val="26"/>
          <w:lang w:val="en-CA"/>
        </w:rPr>
        <w:br/>
      </w:r>
      <w:r w:rsidRPr="00864A93">
        <w:rPr>
          <w:b/>
          <w:sz w:val="26"/>
          <w:szCs w:val="26"/>
          <w:lang w:val="en-CA"/>
        </w:rPr>
        <w:t xml:space="preserve">(Documents </w:t>
      </w:r>
      <w:hyperlink r:id="rId14" w:history="1">
        <w:r w:rsidRPr="00750643">
          <w:rPr>
            <w:rStyle w:val="Hyperlink"/>
            <w:b/>
            <w:sz w:val="26"/>
            <w:szCs w:val="26"/>
            <w:lang w:val="en-CA"/>
          </w:rPr>
          <w:t>75</w:t>
        </w:r>
      </w:hyperlink>
      <w:r w:rsidRPr="00864A93">
        <w:rPr>
          <w:b/>
          <w:sz w:val="26"/>
          <w:szCs w:val="26"/>
          <w:lang w:val="en-CA"/>
        </w:rPr>
        <w:t xml:space="preserve">, </w:t>
      </w:r>
      <w:hyperlink r:id="rId15" w:history="1">
        <w:r w:rsidRPr="00750643">
          <w:rPr>
            <w:rStyle w:val="Hyperlink"/>
            <w:b/>
            <w:sz w:val="26"/>
            <w:szCs w:val="26"/>
            <w:lang w:val="en-CA"/>
          </w:rPr>
          <w:t>78</w:t>
        </w:r>
      </w:hyperlink>
      <w:r w:rsidRPr="00864A93">
        <w:rPr>
          <w:b/>
          <w:sz w:val="26"/>
          <w:szCs w:val="26"/>
          <w:lang w:val="en-CA"/>
        </w:rPr>
        <w:t xml:space="preserve"> and </w:t>
      </w:r>
      <w:hyperlink r:id="rId16" w:history="1">
        <w:r w:rsidRPr="00750643">
          <w:rPr>
            <w:rStyle w:val="Hyperlink"/>
            <w:b/>
            <w:sz w:val="26"/>
            <w:szCs w:val="26"/>
            <w:lang w:val="en-CA"/>
          </w:rPr>
          <w:t>86</w:t>
        </w:r>
      </w:hyperlink>
      <w:r w:rsidRPr="00864A93">
        <w:rPr>
          <w:b/>
          <w:sz w:val="26"/>
          <w:szCs w:val="26"/>
          <w:lang w:val="en-CA"/>
        </w:rPr>
        <w:t>)</w:t>
      </w:r>
    </w:p>
    <w:p w:rsidR="00864A93" w:rsidRPr="00FE4A49" w:rsidRDefault="00864A93" w:rsidP="00864A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lang w:val="en-CA"/>
        </w:rPr>
      </w:pPr>
      <w:r>
        <w:rPr>
          <w:bCs/>
          <w:lang w:val="en-CA"/>
        </w:rPr>
        <w:t>1.1</w:t>
      </w:r>
      <w:r>
        <w:rPr>
          <w:bCs/>
          <w:lang w:val="en-CA"/>
        </w:rPr>
        <w:tab/>
      </w:r>
      <w:r w:rsidRPr="0083253C">
        <w:rPr>
          <w:bCs/>
          <w:lang w:val="en-CA"/>
        </w:rPr>
        <w:t>The</w:t>
      </w:r>
      <w:r>
        <w:rPr>
          <w:b/>
          <w:lang w:val="en-CA"/>
        </w:rPr>
        <w:t xml:space="preserve"> </w:t>
      </w:r>
      <w:r w:rsidRPr="00FE4A49">
        <w:rPr>
          <w:b/>
          <w:lang w:val="en-CA"/>
        </w:rPr>
        <w:t>Chairman of Committee 2</w:t>
      </w:r>
      <w:r w:rsidRPr="00FE4A49">
        <w:rPr>
          <w:lang w:val="en-CA"/>
        </w:rPr>
        <w:t xml:space="preserve"> reported that, as indicated in Documents 78 and 86, </w:t>
      </w:r>
      <w:r>
        <w:rPr>
          <w:lang w:val="en-CA"/>
        </w:rPr>
        <w:t xml:space="preserve">respectively, </w:t>
      </w:r>
      <w:r w:rsidRPr="00FE4A49">
        <w:rPr>
          <w:lang w:val="en-CA"/>
        </w:rPr>
        <w:t xml:space="preserve">the Marshall Islands had transferred its powers to the United States, and Qatar to Oman. </w:t>
      </w:r>
    </w:p>
    <w:p w:rsidR="00864A93" w:rsidRPr="00FE4A49" w:rsidRDefault="00864A93" w:rsidP="00864A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lang w:val="en-CA"/>
        </w:rPr>
      </w:pPr>
      <w:r>
        <w:rPr>
          <w:lang w:val="en-CA"/>
        </w:rPr>
        <w:t>1.2</w:t>
      </w:r>
      <w:r>
        <w:rPr>
          <w:lang w:val="en-CA"/>
        </w:rPr>
        <w:tab/>
      </w:r>
      <w:r w:rsidRPr="00FE4A49">
        <w:rPr>
          <w:lang w:val="en-CA"/>
        </w:rPr>
        <w:t xml:space="preserve">Those transfers of powers were </w:t>
      </w:r>
      <w:r w:rsidRPr="00FE4A49">
        <w:rPr>
          <w:b/>
          <w:lang w:val="en-CA"/>
        </w:rPr>
        <w:t>noted</w:t>
      </w:r>
      <w:r w:rsidRPr="00FE4A49">
        <w:rPr>
          <w:lang w:val="en-CA"/>
        </w:rPr>
        <w:t>.</w:t>
      </w:r>
    </w:p>
    <w:p w:rsidR="00864A93" w:rsidRPr="00FE4A49" w:rsidRDefault="00864A93" w:rsidP="00864A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lang w:val="en-CA"/>
        </w:rPr>
      </w:pPr>
      <w:r>
        <w:rPr>
          <w:lang w:val="en-CA"/>
        </w:rPr>
        <w:t>1.3</w:t>
      </w:r>
      <w:r>
        <w:rPr>
          <w:lang w:val="en-CA"/>
        </w:rPr>
        <w:tab/>
      </w:r>
      <w:r w:rsidRPr="00FE4A49">
        <w:rPr>
          <w:lang w:val="en-CA"/>
        </w:rPr>
        <w:t xml:space="preserve">The </w:t>
      </w:r>
      <w:r w:rsidRPr="00FE4A49">
        <w:rPr>
          <w:b/>
          <w:lang w:val="en-CA"/>
        </w:rPr>
        <w:t>Chairman</w:t>
      </w:r>
      <w:r w:rsidRPr="00FE4A49">
        <w:rPr>
          <w:lang w:val="en-CA"/>
        </w:rPr>
        <w:t xml:space="preserve"> announced that the five tellers </w:t>
      </w:r>
      <w:r>
        <w:rPr>
          <w:lang w:val="en-CA"/>
        </w:rPr>
        <w:t xml:space="preserve">representing the five administrative regions </w:t>
      </w:r>
      <w:r w:rsidRPr="00FE4A49">
        <w:rPr>
          <w:lang w:val="en-CA"/>
        </w:rPr>
        <w:t>were in their positions and outlined the voting procedure. Each delegation had been issued with two ballot papers</w:t>
      </w:r>
      <w:r>
        <w:rPr>
          <w:lang w:val="en-CA"/>
        </w:rPr>
        <w:t>,</w:t>
      </w:r>
      <w:r w:rsidRPr="00FE4A49">
        <w:rPr>
          <w:lang w:val="en-CA"/>
        </w:rPr>
        <w:t xml:space="preserve"> marked</w:t>
      </w:r>
      <w:r>
        <w:rPr>
          <w:lang w:val="en-CA"/>
        </w:rPr>
        <w:t xml:space="preserve"> </w:t>
      </w:r>
      <w:r w:rsidRPr="00FE4A49">
        <w:rPr>
          <w:lang w:val="en-CA"/>
        </w:rPr>
        <w:t>for the election</w:t>
      </w:r>
      <w:r>
        <w:rPr>
          <w:lang w:val="en-CA"/>
        </w:rPr>
        <w:t>s</w:t>
      </w:r>
      <w:r w:rsidRPr="00FE4A49">
        <w:rPr>
          <w:lang w:val="en-CA"/>
        </w:rPr>
        <w:t xml:space="preserve"> of the Secretary-General and the Deputy Secretary-General, respectively. Delegations were requested, when called to vote, to deposit both ballot papers in the ballot box</w:t>
      </w:r>
      <w:r>
        <w:rPr>
          <w:lang w:val="en-CA"/>
        </w:rPr>
        <w:t>es</w:t>
      </w:r>
      <w:r w:rsidRPr="00FE4A49">
        <w:rPr>
          <w:lang w:val="en-CA"/>
        </w:rPr>
        <w:t>.</w:t>
      </w:r>
    </w:p>
    <w:p w:rsidR="00864A93" w:rsidRPr="00FE4A49" w:rsidRDefault="00864A93" w:rsidP="00864A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lang w:val="en-CA"/>
        </w:rPr>
      </w:pPr>
      <w:r>
        <w:rPr>
          <w:lang w:val="en-CA"/>
        </w:rPr>
        <w:t>1.4</w:t>
      </w:r>
      <w:r>
        <w:rPr>
          <w:lang w:val="en-CA"/>
        </w:rPr>
        <w:tab/>
      </w:r>
      <w:r w:rsidRPr="00FE4A49">
        <w:rPr>
          <w:lang w:val="en-CA"/>
        </w:rPr>
        <w:t xml:space="preserve">The </w:t>
      </w:r>
      <w:r w:rsidRPr="00FE4A49">
        <w:rPr>
          <w:b/>
          <w:lang w:val="en-CA"/>
        </w:rPr>
        <w:t>Legal Adviser</w:t>
      </w:r>
      <w:r w:rsidRPr="00FE4A49">
        <w:rPr>
          <w:lang w:val="en-CA"/>
        </w:rPr>
        <w:t xml:space="preserve">, responding to a question from the </w:t>
      </w:r>
      <w:r w:rsidRPr="00FE4A49">
        <w:rPr>
          <w:b/>
          <w:lang w:val="en-CA"/>
        </w:rPr>
        <w:t>delegate of Jordan</w:t>
      </w:r>
      <w:r w:rsidRPr="00FE4A49">
        <w:rPr>
          <w:lang w:val="en-CA"/>
        </w:rPr>
        <w:t>, said that, in accordance with No. 334 of the Convention, any delegation</w:t>
      </w:r>
      <w:r>
        <w:rPr>
          <w:lang w:val="en-CA"/>
        </w:rPr>
        <w:t xml:space="preserve"> of a Member State having the right to vote</w:t>
      </w:r>
      <w:r w:rsidRPr="00FE4A49">
        <w:rPr>
          <w:lang w:val="en-CA"/>
        </w:rPr>
        <w:t xml:space="preserve"> was entitled to participate in the conference and to exercise the right to vote of the Member State concerned pending the plenary meeting’s decision on the final report of Committee 2 (Credentials), which would be submitted</w:t>
      </w:r>
      <w:r>
        <w:rPr>
          <w:lang w:val="en-CA"/>
        </w:rPr>
        <w:t xml:space="preserve"> to the Plenary</w:t>
      </w:r>
      <w:r w:rsidRPr="00FE4A49">
        <w:rPr>
          <w:lang w:val="en-CA"/>
        </w:rPr>
        <w:t xml:space="preserve"> on Thursday</w:t>
      </w:r>
      <w:r>
        <w:rPr>
          <w:lang w:val="en-CA"/>
        </w:rPr>
        <w:t>,</w:t>
      </w:r>
      <w:r w:rsidRPr="00FE4A49">
        <w:rPr>
          <w:lang w:val="en-CA"/>
        </w:rPr>
        <w:t xml:space="preserve"> 8 November</w:t>
      </w:r>
      <w:r>
        <w:rPr>
          <w:lang w:val="en-CA"/>
        </w:rPr>
        <w:t>, as formally decided by the Plenary at its first meeting</w:t>
      </w:r>
      <w:r w:rsidRPr="00FE4A49">
        <w:rPr>
          <w:lang w:val="en-CA"/>
        </w:rPr>
        <w:t xml:space="preserve">. </w:t>
      </w:r>
    </w:p>
    <w:p w:rsidR="00864A93" w:rsidRPr="00FE4A49" w:rsidRDefault="00864A93" w:rsidP="00864A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lang w:val="en-CA"/>
        </w:rPr>
      </w:pPr>
      <w:r>
        <w:rPr>
          <w:lang w:val="en-CA"/>
        </w:rPr>
        <w:t>1.5</w:t>
      </w:r>
      <w:r>
        <w:rPr>
          <w:lang w:val="en-CA"/>
        </w:rPr>
        <w:tab/>
      </w:r>
      <w:r w:rsidRPr="00FE4A49">
        <w:rPr>
          <w:lang w:val="en-CA"/>
        </w:rPr>
        <w:t xml:space="preserve">The </w:t>
      </w:r>
      <w:r w:rsidRPr="00FE4A49">
        <w:rPr>
          <w:b/>
          <w:lang w:val="en-CA"/>
        </w:rPr>
        <w:t>Secretary of the Plenary</w:t>
      </w:r>
      <w:r w:rsidRPr="00FE4A49">
        <w:rPr>
          <w:lang w:val="en-CA"/>
        </w:rPr>
        <w:t xml:space="preserve"> called the roll of the delegations entitled to vote </w:t>
      </w:r>
      <w:r>
        <w:rPr>
          <w:lang w:val="en-CA"/>
        </w:rPr>
        <w:t xml:space="preserve">(Document 75) </w:t>
      </w:r>
      <w:r w:rsidRPr="00FE4A49">
        <w:rPr>
          <w:lang w:val="en-CA"/>
        </w:rPr>
        <w:t xml:space="preserve">and invited them to deposit their ballot papers in the ballot boxes provided for that purpose. </w:t>
      </w:r>
    </w:p>
    <w:p w:rsidR="00864A93" w:rsidRPr="00FE4A49" w:rsidRDefault="00864A93" w:rsidP="00864A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lang w:val="en-CA"/>
        </w:rPr>
      </w:pPr>
      <w:r>
        <w:rPr>
          <w:lang w:val="en-CA"/>
        </w:rPr>
        <w:t>1.6</w:t>
      </w:r>
      <w:r>
        <w:rPr>
          <w:lang w:val="en-CA"/>
        </w:rPr>
        <w:tab/>
      </w:r>
      <w:r w:rsidRPr="00FE4A49">
        <w:rPr>
          <w:lang w:val="en-CA"/>
        </w:rPr>
        <w:t>Candidate for the post of Secretary-General: Mr H. Zhao (China).</w:t>
      </w:r>
    </w:p>
    <w:p w:rsidR="00864A93" w:rsidRPr="00FE4A49" w:rsidRDefault="00864A93" w:rsidP="00864A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en-CA"/>
        </w:rPr>
      </w:pPr>
      <w:r>
        <w:rPr>
          <w:lang w:val="en-CA"/>
        </w:rPr>
        <w:t>1.7</w:t>
      </w:r>
      <w:r w:rsidRPr="00FE4A49">
        <w:rPr>
          <w:lang w:val="en-CA"/>
        </w:rPr>
        <w:tab/>
        <w:t>Results of the vote:</w:t>
      </w:r>
    </w:p>
    <w:tbl>
      <w:tblPr>
        <w:tblW w:w="0" w:type="auto"/>
        <w:tblInd w:w="709" w:type="dxa"/>
        <w:tblLayout w:type="fixed"/>
        <w:tblLook w:val="01E0" w:firstRow="1" w:lastRow="1" w:firstColumn="1" w:lastColumn="1" w:noHBand="0" w:noVBand="0"/>
      </w:tblPr>
      <w:tblGrid>
        <w:gridCol w:w="6804"/>
        <w:gridCol w:w="1134"/>
      </w:tblGrid>
      <w:tr w:rsidR="00864A93" w:rsidRPr="00FE4A49" w:rsidTr="00750643">
        <w:tc>
          <w:tcPr>
            <w:tcW w:w="6804" w:type="dxa"/>
          </w:tcPr>
          <w:p w:rsidR="00864A93" w:rsidRPr="00FE4A49" w:rsidRDefault="00864A93" w:rsidP="00864A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r w:rsidRPr="00FE4A49">
              <w:rPr>
                <w:lang w:val="en-CA"/>
              </w:rPr>
              <w:sym w:font="Symbol" w:char="F02D"/>
            </w:r>
            <w:r w:rsidRPr="00FE4A49">
              <w:rPr>
                <w:lang w:val="en-CA"/>
              </w:rPr>
              <w:t xml:space="preserve"> </w:t>
            </w:r>
            <w:r w:rsidRPr="00FE4A49">
              <w:rPr>
                <w:lang w:val="en-CA"/>
              </w:rPr>
              <w:tab/>
              <w:t>Number of ballot papers deposited:</w:t>
            </w:r>
          </w:p>
        </w:tc>
        <w:tc>
          <w:tcPr>
            <w:tcW w:w="1134" w:type="dxa"/>
          </w:tcPr>
          <w:p w:rsidR="00864A93" w:rsidRPr="00FE4A49" w:rsidRDefault="00864A93" w:rsidP="00864A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FE4A49">
              <w:rPr>
                <w:lang w:val="en-CA"/>
              </w:rPr>
              <w:t>178</w:t>
            </w:r>
          </w:p>
        </w:tc>
      </w:tr>
      <w:tr w:rsidR="00864A93" w:rsidRPr="00FE4A49" w:rsidTr="00750643">
        <w:tc>
          <w:tcPr>
            <w:tcW w:w="6804" w:type="dxa"/>
          </w:tcPr>
          <w:p w:rsidR="00864A93" w:rsidRPr="00FE4A49" w:rsidRDefault="00864A93" w:rsidP="00864A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r w:rsidRPr="00FE4A49">
              <w:rPr>
                <w:lang w:val="en-CA"/>
              </w:rPr>
              <w:sym w:font="Symbol" w:char="F02D"/>
            </w:r>
            <w:r w:rsidRPr="00FE4A49">
              <w:rPr>
                <w:lang w:val="en-CA"/>
              </w:rPr>
              <w:t xml:space="preserve"> </w:t>
            </w:r>
            <w:r w:rsidRPr="00FE4A49">
              <w:rPr>
                <w:lang w:val="en-CA"/>
              </w:rPr>
              <w:tab/>
              <w:t>Number of invalid ballot papers:</w:t>
            </w:r>
          </w:p>
        </w:tc>
        <w:tc>
          <w:tcPr>
            <w:tcW w:w="1134" w:type="dxa"/>
          </w:tcPr>
          <w:p w:rsidR="00864A93" w:rsidRPr="00FE4A49" w:rsidRDefault="00864A93" w:rsidP="00864A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FE4A49">
              <w:rPr>
                <w:lang w:val="en-CA"/>
              </w:rPr>
              <w:t>0</w:t>
            </w:r>
          </w:p>
        </w:tc>
      </w:tr>
      <w:tr w:rsidR="00864A93" w:rsidRPr="00FE4A49" w:rsidTr="00750643">
        <w:tc>
          <w:tcPr>
            <w:tcW w:w="6804" w:type="dxa"/>
          </w:tcPr>
          <w:p w:rsidR="00864A93" w:rsidRPr="00FE4A49" w:rsidRDefault="00864A93" w:rsidP="00864A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r w:rsidRPr="00FE4A49">
              <w:rPr>
                <w:lang w:val="en-CA"/>
              </w:rPr>
              <w:sym w:font="Symbol" w:char="F02D"/>
            </w:r>
            <w:r w:rsidRPr="00FE4A49">
              <w:rPr>
                <w:lang w:val="en-CA"/>
              </w:rPr>
              <w:t xml:space="preserve"> </w:t>
            </w:r>
            <w:r w:rsidRPr="00FE4A49">
              <w:rPr>
                <w:lang w:val="en-CA"/>
              </w:rPr>
              <w:tab/>
              <w:t>Abstentions:</w:t>
            </w:r>
          </w:p>
        </w:tc>
        <w:tc>
          <w:tcPr>
            <w:tcW w:w="1134" w:type="dxa"/>
          </w:tcPr>
          <w:p w:rsidR="00864A93" w:rsidRPr="00FE4A49" w:rsidRDefault="00864A93" w:rsidP="00864A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FE4A49">
              <w:rPr>
                <w:lang w:val="en-CA"/>
              </w:rPr>
              <w:t>2</w:t>
            </w:r>
          </w:p>
        </w:tc>
      </w:tr>
      <w:tr w:rsidR="00864A93" w:rsidRPr="00FE4A49" w:rsidTr="00750643">
        <w:tc>
          <w:tcPr>
            <w:tcW w:w="6804" w:type="dxa"/>
          </w:tcPr>
          <w:p w:rsidR="00864A93" w:rsidRPr="00FE4A49" w:rsidRDefault="00864A93" w:rsidP="00864A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r w:rsidRPr="00FE4A49">
              <w:rPr>
                <w:lang w:val="en-CA"/>
              </w:rPr>
              <w:sym w:font="Symbol" w:char="F02D"/>
            </w:r>
            <w:r w:rsidRPr="00FE4A49">
              <w:rPr>
                <w:lang w:val="en-CA"/>
              </w:rPr>
              <w:t xml:space="preserve"> </w:t>
            </w:r>
            <w:r w:rsidRPr="00FE4A49">
              <w:rPr>
                <w:lang w:val="en-CA"/>
              </w:rPr>
              <w:tab/>
              <w:t xml:space="preserve">Number of delegations present and voting (number </w:t>
            </w:r>
            <w:r w:rsidR="00750643">
              <w:rPr>
                <w:lang w:val="en-CA"/>
              </w:rPr>
              <w:br/>
            </w:r>
            <w:r w:rsidR="00750643">
              <w:rPr>
                <w:lang w:val="en-CA"/>
              </w:rPr>
              <w:tab/>
            </w:r>
            <w:r w:rsidRPr="00FE4A49">
              <w:rPr>
                <w:lang w:val="en-CA"/>
              </w:rPr>
              <w:t>of ballot papers used to compute the required majority):</w:t>
            </w:r>
          </w:p>
        </w:tc>
        <w:tc>
          <w:tcPr>
            <w:tcW w:w="1134" w:type="dxa"/>
          </w:tcPr>
          <w:p w:rsidR="00864A93" w:rsidRPr="00FE4A49" w:rsidRDefault="00864A93" w:rsidP="00864A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FE4A49">
              <w:rPr>
                <w:lang w:val="en-CA"/>
              </w:rPr>
              <w:br/>
              <w:t>176</w:t>
            </w:r>
          </w:p>
        </w:tc>
      </w:tr>
      <w:tr w:rsidR="00864A93" w:rsidRPr="00FE4A49" w:rsidTr="00750643">
        <w:tc>
          <w:tcPr>
            <w:tcW w:w="6804" w:type="dxa"/>
          </w:tcPr>
          <w:p w:rsidR="00864A93" w:rsidRPr="00FE4A49" w:rsidRDefault="00864A93" w:rsidP="00864A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r w:rsidRPr="00FE4A49">
              <w:rPr>
                <w:lang w:val="en-CA"/>
              </w:rPr>
              <w:sym w:font="Symbol" w:char="F02D"/>
            </w:r>
            <w:r w:rsidRPr="00FE4A49">
              <w:rPr>
                <w:lang w:val="en-CA"/>
              </w:rPr>
              <w:t xml:space="preserve"> </w:t>
            </w:r>
            <w:r w:rsidRPr="00FE4A49">
              <w:rPr>
                <w:lang w:val="en-CA"/>
              </w:rPr>
              <w:tab/>
              <w:t>Required majority:</w:t>
            </w:r>
          </w:p>
        </w:tc>
        <w:tc>
          <w:tcPr>
            <w:tcW w:w="1134" w:type="dxa"/>
          </w:tcPr>
          <w:p w:rsidR="00864A93" w:rsidRPr="00FE4A49" w:rsidRDefault="00864A93" w:rsidP="00864A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FE4A49">
              <w:rPr>
                <w:lang w:val="en-CA"/>
              </w:rPr>
              <w:t>89</w:t>
            </w:r>
          </w:p>
        </w:tc>
      </w:tr>
      <w:tr w:rsidR="00864A93" w:rsidRPr="00FE4A49" w:rsidTr="00750643">
        <w:tc>
          <w:tcPr>
            <w:tcW w:w="6804" w:type="dxa"/>
          </w:tcPr>
          <w:p w:rsidR="00864A93" w:rsidRPr="00FE4A49" w:rsidRDefault="00864A93" w:rsidP="00864A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r w:rsidRPr="00FE4A49">
              <w:rPr>
                <w:lang w:val="en-CA"/>
              </w:rPr>
              <w:sym w:font="Symbol" w:char="F02D"/>
            </w:r>
            <w:r w:rsidRPr="00FE4A49">
              <w:rPr>
                <w:lang w:val="en-CA"/>
              </w:rPr>
              <w:t xml:space="preserve"> </w:t>
            </w:r>
            <w:r w:rsidRPr="00FE4A49">
              <w:rPr>
                <w:lang w:val="en-CA"/>
              </w:rPr>
              <w:tab/>
              <w:t>Number of votes obtained:</w:t>
            </w:r>
          </w:p>
        </w:tc>
        <w:tc>
          <w:tcPr>
            <w:tcW w:w="1134" w:type="dxa"/>
          </w:tcPr>
          <w:p w:rsidR="00864A93" w:rsidRPr="00FE4A49" w:rsidRDefault="00864A93" w:rsidP="00864A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</w:p>
        </w:tc>
      </w:tr>
      <w:tr w:rsidR="00864A93" w:rsidRPr="00FE4A49" w:rsidTr="00750643">
        <w:tc>
          <w:tcPr>
            <w:tcW w:w="6804" w:type="dxa"/>
          </w:tcPr>
          <w:p w:rsidR="00864A93" w:rsidRPr="00FE4A49" w:rsidRDefault="00864A93" w:rsidP="00864A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r w:rsidRPr="00FE4A49">
              <w:rPr>
                <w:lang w:val="en-CA"/>
              </w:rPr>
              <w:tab/>
              <w:t>Mr H. Zhao:</w:t>
            </w:r>
          </w:p>
        </w:tc>
        <w:tc>
          <w:tcPr>
            <w:tcW w:w="1134" w:type="dxa"/>
          </w:tcPr>
          <w:p w:rsidR="00864A93" w:rsidRPr="00FE4A49" w:rsidRDefault="00864A93" w:rsidP="00864A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FE4A49">
              <w:rPr>
                <w:lang w:val="en-CA"/>
              </w:rPr>
              <w:t>176</w:t>
            </w:r>
          </w:p>
        </w:tc>
      </w:tr>
    </w:tbl>
    <w:p w:rsidR="00864A93" w:rsidRPr="00FE4A49" w:rsidRDefault="00864A93" w:rsidP="00864A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b/>
          <w:lang w:val="en-CA"/>
        </w:rPr>
      </w:pPr>
      <w:r>
        <w:rPr>
          <w:bCs/>
          <w:lang w:val="en-CA"/>
        </w:rPr>
        <w:t>1.8</w:t>
      </w:r>
      <w:r>
        <w:rPr>
          <w:bCs/>
          <w:lang w:val="en-CA"/>
        </w:rPr>
        <w:tab/>
      </w:r>
      <w:r w:rsidRPr="00FE4A49">
        <w:rPr>
          <w:b/>
          <w:lang w:val="en-CA"/>
        </w:rPr>
        <w:t>Mr H. Zhao (China) was elected Secretary-General.</w:t>
      </w:r>
    </w:p>
    <w:p w:rsidR="00864A93" w:rsidRDefault="00864A93" w:rsidP="00864A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lang w:val="en-CA"/>
        </w:rPr>
      </w:pPr>
      <w:r>
        <w:rPr>
          <w:lang w:val="en-CA"/>
        </w:rPr>
        <w:t>1.9</w:t>
      </w:r>
      <w:r>
        <w:rPr>
          <w:lang w:val="en-CA"/>
        </w:rPr>
        <w:tab/>
      </w:r>
      <w:r w:rsidRPr="00FE4A49">
        <w:rPr>
          <w:lang w:val="en-CA"/>
        </w:rPr>
        <w:t xml:space="preserve">The </w:t>
      </w:r>
      <w:r w:rsidRPr="00FE4A49">
        <w:rPr>
          <w:b/>
          <w:lang w:val="en-CA"/>
        </w:rPr>
        <w:t>Secretary-General</w:t>
      </w:r>
      <w:r w:rsidRPr="00FE4A49">
        <w:rPr>
          <w:lang w:val="en-CA"/>
        </w:rPr>
        <w:t xml:space="preserve"> said that he was deeply honoured by his re-election. He thanked delegates for the confidence they had placed in him and expressed his profound gratitude to the Government of China for supporting his candidature. He delivered the address available at</w:t>
      </w:r>
      <w:r>
        <w:rPr>
          <w:lang w:val="en-CA"/>
        </w:rPr>
        <w:t xml:space="preserve"> </w:t>
      </w:r>
      <w:hyperlink r:id="rId17" w:history="1">
        <w:r w:rsidRPr="00A47937">
          <w:rPr>
            <w:rStyle w:val="Hyperlink"/>
            <w:lang w:val="en-CA"/>
          </w:rPr>
          <w:t>https://www.itu.int/web/pp-18/en/page/215-other-speeches</w:t>
        </w:r>
      </w:hyperlink>
      <w:r>
        <w:rPr>
          <w:lang w:val="en-CA"/>
        </w:rPr>
        <w:t>.</w:t>
      </w:r>
    </w:p>
    <w:p w:rsidR="00864A93" w:rsidRPr="00FE4A49" w:rsidRDefault="00864A93" w:rsidP="00864A9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lang w:val="en-CA"/>
        </w:rPr>
      </w:pPr>
      <w:r>
        <w:rPr>
          <w:lang w:val="en-CA"/>
        </w:rPr>
        <w:lastRenderedPageBreak/>
        <w:t>1.10</w:t>
      </w:r>
      <w:r>
        <w:rPr>
          <w:lang w:val="en-CA"/>
        </w:rPr>
        <w:tab/>
      </w:r>
      <w:r w:rsidRPr="00FE4A49">
        <w:rPr>
          <w:lang w:val="en-CA"/>
        </w:rPr>
        <w:t xml:space="preserve">The </w:t>
      </w:r>
      <w:r w:rsidRPr="00FE4A49">
        <w:rPr>
          <w:b/>
          <w:lang w:val="en-CA"/>
        </w:rPr>
        <w:t>delegate of China</w:t>
      </w:r>
      <w:r w:rsidRPr="00FE4A49">
        <w:rPr>
          <w:lang w:val="en-CA"/>
        </w:rPr>
        <w:t xml:space="preserve"> warmly congratulated Mr Zhao on his re-election to the post of Secretary-General and thanked Member States for placing their trust in him. China was confident that the Secretary-General would continue to lead ITU to new and greater accomplishments in the </w:t>
      </w:r>
      <w:r w:rsidRPr="00750643">
        <w:rPr>
          <w:spacing w:val="-2"/>
          <w:lang w:val="en-CA"/>
        </w:rPr>
        <w:t xml:space="preserve">area of ICTs and digital transformation, and it would continue to </w:t>
      </w:r>
      <w:r w:rsidR="00750643">
        <w:rPr>
          <w:spacing w:val="-2"/>
          <w:lang w:val="en-CA"/>
        </w:rPr>
        <w:t>provide a donation of USD 2 </w:t>
      </w:r>
      <w:r w:rsidRPr="00750643">
        <w:rPr>
          <w:spacing w:val="-2"/>
          <w:lang w:val="en-CA"/>
        </w:rPr>
        <w:t>million</w:t>
      </w:r>
      <w:r w:rsidRPr="00FE4A49">
        <w:rPr>
          <w:lang w:val="en-CA"/>
        </w:rPr>
        <w:t xml:space="preserve"> to the Union over the following four years.</w:t>
      </w:r>
    </w:p>
    <w:p w:rsidR="00864A93" w:rsidRPr="00FE4A49" w:rsidRDefault="00864A93" w:rsidP="00864A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lang w:val="en-CA"/>
        </w:rPr>
      </w:pPr>
      <w:r>
        <w:rPr>
          <w:lang w:val="en-CA"/>
        </w:rPr>
        <w:t>1.11</w:t>
      </w:r>
      <w:r>
        <w:rPr>
          <w:lang w:val="en-CA"/>
        </w:rPr>
        <w:tab/>
      </w:r>
      <w:r w:rsidRPr="00FE4A49">
        <w:rPr>
          <w:lang w:val="en-CA"/>
        </w:rPr>
        <w:t xml:space="preserve">The </w:t>
      </w:r>
      <w:r w:rsidRPr="00FE4A49">
        <w:rPr>
          <w:b/>
          <w:lang w:val="en-CA"/>
        </w:rPr>
        <w:t>Chairman</w:t>
      </w:r>
      <w:r w:rsidRPr="00FE4A49">
        <w:rPr>
          <w:lang w:val="en-CA"/>
        </w:rPr>
        <w:t xml:space="preserve"> thanked China for its generosity.</w:t>
      </w:r>
    </w:p>
    <w:p w:rsidR="00864A93" w:rsidRPr="00FE4A49" w:rsidRDefault="00864A93" w:rsidP="0075064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en-CA"/>
        </w:rPr>
      </w:pPr>
      <w:r>
        <w:rPr>
          <w:lang w:val="en-CA"/>
        </w:rPr>
        <w:t>1.12</w:t>
      </w:r>
      <w:r>
        <w:rPr>
          <w:lang w:val="en-CA"/>
        </w:rPr>
        <w:tab/>
      </w:r>
      <w:r w:rsidRPr="00FE4A49">
        <w:rPr>
          <w:lang w:val="en-CA"/>
        </w:rPr>
        <w:t>Candidates for the post of Deputy Secretary-General: Mr M. Johnson (United Kingdom) and Mr</w:t>
      </w:r>
      <w:r w:rsidR="00750643">
        <w:rPr>
          <w:lang w:val="en-CA"/>
        </w:rPr>
        <w:t> </w:t>
      </w:r>
      <w:r w:rsidRPr="00FE4A49">
        <w:rPr>
          <w:lang w:val="en-CA"/>
        </w:rPr>
        <w:t>B.</w:t>
      </w:r>
      <w:r w:rsidR="00750643">
        <w:rPr>
          <w:lang w:val="en-CA"/>
        </w:rPr>
        <w:t> </w:t>
      </w:r>
      <w:proofErr w:type="spellStart"/>
      <w:r w:rsidRPr="00FE4A49">
        <w:rPr>
          <w:lang w:val="en-CA"/>
        </w:rPr>
        <w:t>Sanou</w:t>
      </w:r>
      <w:proofErr w:type="spellEnd"/>
      <w:r w:rsidRPr="00FE4A49">
        <w:rPr>
          <w:lang w:val="en-CA"/>
        </w:rPr>
        <w:t xml:space="preserve"> (Burkina Faso).</w:t>
      </w:r>
    </w:p>
    <w:p w:rsidR="00864A93" w:rsidRPr="00FE4A49" w:rsidRDefault="00864A93" w:rsidP="00864A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en-CA"/>
        </w:rPr>
      </w:pPr>
      <w:r>
        <w:rPr>
          <w:lang w:val="en-CA"/>
        </w:rPr>
        <w:t>1.13</w:t>
      </w:r>
      <w:r w:rsidRPr="00FE4A49">
        <w:rPr>
          <w:lang w:val="en-CA"/>
        </w:rPr>
        <w:tab/>
        <w:t>Results of the vote: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521"/>
        <w:gridCol w:w="1030"/>
      </w:tblGrid>
      <w:tr w:rsidR="00864A93" w:rsidRPr="00FE4A49" w:rsidTr="00750643">
        <w:tc>
          <w:tcPr>
            <w:tcW w:w="6521" w:type="dxa"/>
          </w:tcPr>
          <w:p w:rsidR="00864A93" w:rsidRPr="00FE4A49" w:rsidRDefault="00864A93" w:rsidP="00864A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r w:rsidRPr="00FE4A49">
              <w:rPr>
                <w:lang w:val="en-CA"/>
              </w:rPr>
              <w:sym w:font="Symbol" w:char="F02D"/>
            </w:r>
            <w:r w:rsidRPr="00FE4A49">
              <w:rPr>
                <w:lang w:val="en-CA"/>
              </w:rPr>
              <w:t xml:space="preserve"> </w:t>
            </w:r>
            <w:r w:rsidRPr="00FE4A49">
              <w:rPr>
                <w:lang w:val="en-CA"/>
              </w:rPr>
              <w:tab/>
              <w:t>Number of ballot papers deposited:</w:t>
            </w:r>
          </w:p>
        </w:tc>
        <w:tc>
          <w:tcPr>
            <w:tcW w:w="1030" w:type="dxa"/>
          </w:tcPr>
          <w:p w:rsidR="00864A93" w:rsidRPr="00FE4A49" w:rsidRDefault="00864A93" w:rsidP="00864A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FE4A49">
              <w:rPr>
                <w:lang w:val="en-CA"/>
              </w:rPr>
              <w:t>178</w:t>
            </w:r>
          </w:p>
        </w:tc>
      </w:tr>
      <w:tr w:rsidR="00864A93" w:rsidRPr="00FE4A49" w:rsidTr="00750643">
        <w:tc>
          <w:tcPr>
            <w:tcW w:w="6521" w:type="dxa"/>
          </w:tcPr>
          <w:p w:rsidR="00864A93" w:rsidRPr="00FE4A49" w:rsidRDefault="00864A93" w:rsidP="00864A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r w:rsidRPr="00FE4A49">
              <w:rPr>
                <w:lang w:val="en-CA"/>
              </w:rPr>
              <w:sym w:font="Symbol" w:char="F02D"/>
            </w:r>
            <w:r w:rsidRPr="00FE4A49">
              <w:rPr>
                <w:lang w:val="en-CA"/>
              </w:rPr>
              <w:t xml:space="preserve"> </w:t>
            </w:r>
            <w:r w:rsidRPr="00FE4A49">
              <w:rPr>
                <w:lang w:val="en-CA"/>
              </w:rPr>
              <w:tab/>
              <w:t>Number of invalid ballot papers:</w:t>
            </w:r>
          </w:p>
        </w:tc>
        <w:tc>
          <w:tcPr>
            <w:tcW w:w="1030" w:type="dxa"/>
          </w:tcPr>
          <w:p w:rsidR="00864A93" w:rsidRPr="00FE4A49" w:rsidRDefault="00864A93" w:rsidP="00864A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FE4A49">
              <w:rPr>
                <w:lang w:val="en-CA"/>
              </w:rPr>
              <w:t>0</w:t>
            </w:r>
          </w:p>
        </w:tc>
      </w:tr>
      <w:tr w:rsidR="00864A93" w:rsidRPr="00FE4A49" w:rsidTr="00750643">
        <w:tc>
          <w:tcPr>
            <w:tcW w:w="6521" w:type="dxa"/>
          </w:tcPr>
          <w:p w:rsidR="00864A93" w:rsidRPr="00FE4A49" w:rsidRDefault="00864A93" w:rsidP="00864A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r w:rsidRPr="00FE4A49">
              <w:rPr>
                <w:lang w:val="en-CA"/>
              </w:rPr>
              <w:sym w:font="Symbol" w:char="F02D"/>
            </w:r>
            <w:r w:rsidRPr="00FE4A49">
              <w:rPr>
                <w:lang w:val="en-CA"/>
              </w:rPr>
              <w:t xml:space="preserve"> </w:t>
            </w:r>
            <w:r w:rsidRPr="00FE4A49">
              <w:rPr>
                <w:lang w:val="en-CA"/>
              </w:rPr>
              <w:tab/>
              <w:t>Abstentions:</w:t>
            </w:r>
          </w:p>
        </w:tc>
        <w:tc>
          <w:tcPr>
            <w:tcW w:w="1030" w:type="dxa"/>
          </w:tcPr>
          <w:p w:rsidR="00864A93" w:rsidRPr="00FE4A49" w:rsidRDefault="00864A93" w:rsidP="00864A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FE4A49">
              <w:rPr>
                <w:lang w:val="en-CA"/>
              </w:rPr>
              <w:t>0</w:t>
            </w:r>
          </w:p>
        </w:tc>
      </w:tr>
      <w:tr w:rsidR="00864A93" w:rsidRPr="00FE4A49" w:rsidTr="00750643">
        <w:tc>
          <w:tcPr>
            <w:tcW w:w="6521" w:type="dxa"/>
          </w:tcPr>
          <w:p w:rsidR="00864A93" w:rsidRPr="00FE4A49" w:rsidRDefault="00864A93" w:rsidP="00864A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r w:rsidRPr="00FE4A49">
              <w:rPr>
                <w:lang w:val="en-CA"/>
              </w:rPr>
              <w:sym w:font="Symbol" w:char="F02D"/>
            </w:r>
            <w:r w:rsidRPr="00FE4A49">
              <w:rPr>
                <w:lang w:val="en-CA"/>
              </w:rPr>
              <w:t xml:space="preserve"> </w:t>
            </w:r>
            <w:r w:rsidRPr="00FE4A49">
              <w:rPr>
                <w:lang w:val="en-CA"/>
              </w:rPr>
              <w:tab/>
              <w:t xml:space="preserve">Number of delegations present and voting (number </w:t>
            </w:r>
            <w:r w:rsidR="00750643">
              <w:rPr>
                <w:lang w:val="en-CA"/>
              </w:rPr>
              <w:br/>
            </w:r>
            <w:r w:rsidR="00750643">
              <w:rPr>
                <w:lang w:val="en-CA"/>
              </w:rPr>
              <w:tab/>
            </w:r>
            <w:r w:rsidRPr="00FE4A49">
              <w:rPr>
                <w:lang w:val="en-CA"/>
              </w:rPr>
              <w:t>of ballot papers used to compute the required majority):</w:t>
            </w:r>
          </w:p>
        </w:tc>
        <w:tc>
          <w:tcPr>
            <w:tcW w:w="1030" w:type="dxa"/>
          </w:tcPr>
          <w:p w:rsidR="00864A93" w:rsidRPr="00FE4A49" w:rsidRDefault="00864A93" w:rsidP="00864A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FE4A49">
              <w:rPr>
                <w:lang w:val="en-CA"/>
              </w:rPr>
              <w:br/>
              <w:t>178</w:t>
            </w:r>
          </w:p>
        </w:tc>
      </w:tr>
      <w:tr w:rsidR="00864A93" w:rsidRPr="00FE4A49" w:rsidTr="00750643">
        <w:tc>
          <w:tcPr>
            <w:tcW w:w="6521" w:type="dxa"/>
          </w:tcPr>
          <w:p w:rsidR="00864A93" w:rsidRPr="00FE4A49" w:rsidRDefault="00864A93" w:rsidP="00864A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r w:rsidRPr="00FE4A49">
              <w:rPr>
                <w:lang w:val="en-CA"/>
              </w:rPr>
              <w:sym w:font="Symbol" w:char="F02D"/>
            </w:r>
            <w:r w:rsidRPr="00FE4A49">
              <w:rPr>
                <w:lang w:val="en-CA"/>
              </w:rPr>
              <w:t xml:space="preserve"> </w:t>
            </w:r>
            <w:r w:rsidRPr="00FE4A49">
              <w:rPr>
                <w:lang w:val="en-CA"/>
              </w:rPr>
              <w:tab/>
              <w:t>Required majority:</w:t>
            </w:r>
          </w:p>
        </w:tc>
        <w:tc>
          <w:tcPr>
            <w:tcW w:w="1030" w:type="dxa"/>
          </w:tcPr>
          <w:p w:rsidR="00864A93" w:rsidRPr="00FE4A49" w:rsidRDefault="00864A93" w:rsidP="00864A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FE4A49">
              <w:rPr>
                <w:lang w:val="en-CA"/>
              </w:rPr>
              <w:t>90</w:t>
            </w:r>
          </w:p>
        </w:tc>
      </w:tr>
      <w:tr w:rsidR="00864A93" w:rsidRPr="00FE4A49" w:rsidTr="00750643">
        <w:tc>
          <w:tcPr>
            <w:tcW w:w="6521" w:type="dxa"/>
          </w:tcPr>
          <w:p w:rsidR="00864A93" w:rsidRPr="00FE4A49" w:rsidRDefault="00864A93" w:rsidP="00864A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r w:rsidRPr="00FE4A49">
              <w:rPr>
                <w:lang w:val="en-CA"/>
              </w:rPr>
              <w:sym w:font="Symbol" w:char="F02D"/>
            </w:r>
            <w:r w:rsidRPr="00FE4A49">
              <w:rPr>
                <w:lang w:val="en-CA"/>
              </w:rPr>
              <w:t xml:space="preserve"> </w:t>
            </w:r>
            <w:r w:rsidRPr="00FE4A49">
              <w:rPr>
                <w:lang w:val="en-CA"/>
              </w:rPr>
              <w:tab/>
              <w:t>Number of votes obtained:</w:t>
            </w:r>
          </w:p>
        </w:tc>
        <w:tc>
          <w:tcPr>
            <w:tcW w:w="1030" w:type="dxa"/>
          </w:tcPr>
          <w:p w:rsidR="00864A93" w:rsidRPr="00FE4A49" w:rsidRDefault="00864A93" w:rsidP="00864A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</w:p>
        </w:tc>
      </w:tr>
      <w:tr w:rsidR="00864A93" w:rsidRPr="00FE4A49" w:rsidTr="00750643">
        <w:tc>
          <w:tcPr>
            <w:tcW w:w="6521" w:type="dxa"/>
          </w:tcPr>
          <w:p w:rsidR="00864A93" w:rsidRPr="00FE4A49" w:rsidRDefault="00864A93" w:rsidP="00864A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r w:rsidRPr="00FE4A49">
              <w:rPr>
                <w:lang w:val="en-CA"/>
              </w:rPr>
              <w:tab/>
              <w:t xml:space="preserve">Mr B. </w:t>
            </w:r>
            <w:proofErr w:type="spellStart"/>
            <w:r w:rsidRPr="00FE4A49">
              <w:rPr>
                <w:lang w:val="en-CA"/>
              </w:rPr>
              <w:t>Sanou</w:t>
            </w:r>
            <w:proofErr w:type="spellEnd"/>
          </w:p>
        </w:tc>
        <w:tc>
          <w:tcPr>
            <w:tcW w:w="1030" w:type="dxa"/>
          </w:tcPr>
          <w:p w:rsidR="00864A93" w:rsidRPr="00FE4A49" w:rsidRDefault="00864A93" w:rsidP="00864A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FE4A49">
              <w:rPr>
                <w:lang w:val="en-CA"/>
              </w:rPr>
              <w:t>65</w:t>
            </w:r>
          </w:p>
        </w:tc>
      </w:tr>
      <w:tr w:rsidR="00864A93" w:rsidRPr="00FE4A49" w:rsidTr="00750643">
        <w:tc>
          <w:tcPr>
            <w:tcW w:w="6521" w:type="dxa"/>
          </w:tcPr>
          <w:p w:rsidR="00864A93" w:rsidRPr="00FE4A49" w:rsidRDefault="00864A93" w:rsidP="00864A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lang w:val="en-CA"/>
              </w:rPr>
            </w:pPr>
            <w:r w:rsidRPr="00FE4A49">
              <w:rPr>
                <w:lang w:val="en-CA"/>
              </w:rPr>
              <w:tab/>
              <w:t>Mr M. Johnson</w:t>
            </w:r>
          </w:p>
        </w:tc>
        <w:tc>
          <w:tcPr>
            <w:tcW w:w="1030" w:type="dxa"/>
          </w:tcPr>
          <w:p w:rsidR="00864A93" w:rsidRPr="00FE4A49" w:rsidRDefault="00864A93" w:rsidP="00864A9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right"/>
              <w:rPr>
                <w:lang w:val="en-CA"/>
              </w:rPr>
            </w:pPr>
            <w:r w:rsidRPr="00FE4A49">
              <w:rPr>
                <w:lang w:val="en-CA"/>
              </w:rPr>
              <w:t>113</w:t>
            </w:r>
          </w:p>
        </w:tc>
      </w:tr>
    </w:tbl>
    <w:p w:rsidR="00864A93" w:rsidRPr="00FE4A49" w:rsidRDefault="00864A93" w:rsidP="00864A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b/>
          <w:lang w:val="en-CA"/>
        </w:rPr>
      </w:pPr>
      <w:r>
        <w:rPr>
          <w:bCs/>
          <w:lang w:val="en-CA"/>
        </w:rPr>
        <w:t>1.14</w:t>
      </w:r>
      <w:r>
        <w:rPr>
          <w:bCs/>
          <w:lang w:val="en-CA"/>
        </w:rPr>
        <w:tab/>
      </w:r>
      <w:r w:rsidRPr="00FE4A49">
        <w:rPr>
          <w:b/>
          <w:lang w:val="en-CA"/>
        </w:rPr>
        <w:t>Mr M. Johnson (United Kingdom) was elected Deputy Secretary-General.</w:t>
      </w:r>
    </w:p>
    <w:p w:rsidR="00864A93" w:rsidRDefault="00864A93" w:rsidP="008F3E5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lang w:val="en-CA"/>
        </w:rPr>
      </w:pPr>
      <w:r>
        <w:rPr>
          <w:lang w:val="en-CA"/>
        </w:rPr>
        <w:t>1.15</w:t>
      </w:r>
      <w:r>
        <w:rPr>
          <w:lang w:val="en-CA"/>
        </w:rPr>
        <w:tab/>
      </w:r>
      <w:r w:rsidRPr="00FE4A49">
        <w:rPr>
          <w:lang w:val="en-CA"/>
        </w:rPr>
        <w:t>The</w:t>
      </w:r>
      <w:r w:rsidRPr="00FE4A49">
        <w:rPr>
          <w:b/>
          <w:lang w:val="en-CA"/>
        </w:rPr>
        <w:t xml:space="preserve"> Deputy Secretary-General</w:t>
      </w:r>
      <w:r w:rsidRPr="00FE4A49">
        <w:rPr>
          <w:lang w:val="en-CA"/>
        </w:rPr>
        <w:t xml:space="preserve"> said that he was honoured to be re-elected. He thanked Member States for their trust and the Government </w:t>
      </w:r>
      <w:r>
        <w:rPr>
          <w:lang w:val="en-CA"/>
        </w:rPr>
        <w:t xml:space="preserve">of the United Kingdom </w:t>
      </w:r>
      <w:r w:rsidRPr="00FE4A49">
        <w:rPr>
          <w:lang w:val="en-CA"/>
        </w:rPr>
        <w:t xml:space="preserve">for its strong support of his candidature. He paid tribute to Mr </w:t>
      </w:r>
      <w:proofErr w:type="spellStart"/>
      <w:r w:rsidRPr="00FE4A49">
        <w:rPr>
          <w:lang w:val="en-CA"/>
        </w:rPr>
        <w:t>Sanou</w:t>
      </w:r>
      <w:proofErr w:type="spellEnd"/>
      <w:r w:rsidRPr="00FE4A49">
        <w:rPr>
          <w:lang w:val="en-CA"/>
        </w:rPr>
        <w:t xml:space="preserve"> </w:t>
      </w:r>
      <w:r>
        <w:rPr>
          <w:lang w:val="en-CA"/>
        </w:rPr>
        <w:t xml:space="preserve">for his enormous </w:t>
      </w:r>
      <w:r w:rsidRPr="00FE4A49">
        <w:rPr>
          <w:lang w:val="en-CA"/>
        </w:rPr>
        <w:t>contribution to ITU and thanked the elected officials and staff for their collaboration. H</w:t>
      </w:r>
      <w:r>
        <w:rPr>
          <w:lang w:val="en-CA"/>
        </w:rPr>
        <w:t xml:space="preserve">e gave the address available at </w:t>
      </w:r>
      <w:hyperlink r:id="rId18" w:history="1">
        <w:r w:rsidR="008F3E5A" w:rsidRPr="00A5457F">
          <w:rPr>
            <w:rStyle w:val="Hyperlink"/>
            <w:lang w:val="en-CA"/>
          </w:rPr>
          <w:t>https://www.itu.int/web/pp-18/en/page/215-other-speeches</w:t>
        </w:r>
      </w:hyperlink>
    </w:p>
    <w:p w:rsidR="00864A93" w:rsidRPr="00FE4A49" w:rsidRDefault="00864A93" w:rsidP="00864A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lang w:val="en-CA"/>
        </w:rPr>
      </w:pPr>
      <w:r>
        <w:rPr>
          <w:lang w:val="en-CA"/>
        </w:rPr>
        <w:t>1.16</w:t>
      </w:r>
      <w:r>
        <w:rPr>
          <w:lang w:val="en-CA"/>
        </w:rPr>
        <w:tab/>
      </w:r>
      <w:r w:rsidRPr="00FE4A49">
        <w:rPr>
          <w:lang w:val="en-CA"/>
        </w:rPr>
        <w:t xml:space="preserve">The </w:t>
      </w:r>
      <w:r w:rsidRPr="00FE4A49">
        <w:rPr>
          <w:b/>
          <w:lang w:val="en-CA"/>
        </w:rPr>
        <w:t>delegate of the United Kingdom</w:t>
      </w:r>
      <w:r w:rsidRPr="00FE4A49">
        <w:rPr>
          <w:lang w:val="en-CA"/>
        </w:rPr>
        <w:t xml:space="preserve"> thanked all those States that had renewed the mandate of Mr Johnson. He was confident that ITU would have a successful future under the re-elected Secretary-General and Deputy Secretary-General. He paid tribute to Mr </w:t>
      </w:r>
      <w:proofErr w:type="spellStart"/>
      <w:r w:rsidRPr="00FE4A49">
        <w:rPr>
          <w:lang w:val="en-CA"/>
        </w:rPr>
        <w:t>Sanou</w:t>
      </w:r>
      <w:proofErr w:type="spellEnd"/>
      <w:r w:rsidRPr="00FE4A49">
        <w:rPr>
          <w:lang w:val="en-CA"/>
        </w:rPr>
        <w:t xml:space="preserve"> for his campaign and lengthy service to the Telecommunication Development Sector.</w:t>
      </w:r>
    </w:p>
    <w:p w:rsidR="00864A93" w:rsidRPr="00FE4A49" w:rsidRDefault="00864A93" w:rsidP="008F3E5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lang w:val="en-CA"/>
        </w:rPr>
      </w:pPr>
      <w:r>
        <w:rPr>
          <w:bCs/>
          <w:lang w:val="en-CA"/>
        </w:rPr>
        <w:t>1.17</w:t>
      </w:r>
      <w:r>
        <w:rPr>
          <w:bCs/>
          <w:lang w:val="en-CA"/>
        </w:rPr>
        <w:tab/>
      </w:r>
      <w:r w:rsidRPr="00FE4A49">
        <w:rPr>
          <w:b/>
          <w:lang w:val="en-CA"/>
        </w:rPr>
        <w:t xml:space="preserve">Mr </w:t>
      </w:r>
      <w:proofErr w:type="spellStart"/>
      <w:r w:rsidRPr="00FE4A49">
        <w:rPr>
          <w:b/>
          <w:lang w:val="en-CA"/>
        </w:rPr>
        <w:t>Sanou</w:t>
      </w:r>
      <w:proofErr w:type="spellEnd"/>
      <w:r w:rsidRPr="00FE4A49">
        <w:rPr>
          <w:lang w:val="en-CA"/>
        </w:rPr>
        <w:t xml:space="preserve"> thanked the President and Government of Burkina Faso for supporting his candidature for the post of Deputy Secretary-General, and all those States that had voted for him. He congratulated Mr </w:t>
      </w:r>
      <w:r>
        <w:rPr>
          <w:lang w:val="en-CA"/>
        </w:rPr>
        <w:t xml:space="preserve">Zhao </w:t>
      </w:r>
      <w:r w:rsidRPr="00FE4A49">
        <w:rPr>
          <w:lang w:val="en-CA"/>
        </w:rPr>
        <w:t xml:space="preserve">and Mr </w:t>
      </w:r>
      <w:r>
        <w:rPr>
          <w:lang w:val="en-CA"/>
        </w:rPr>
        <w:t>Johnson</w:t>
      </w:r>
      <w:r w:rsidRPr="00FE4A49">
        <w:rPr>
          <w:lang w:val="en-CA"/>
        </w:rPr>
        <w:t xml:space="preserve"> on their re-election and wished them every success. It had been a privilege to work with the other Directors and ITU staff.</w:t>
      </w:r>
    </w:p>
    <w:p w:rsidR="00864A93" w:rsidRPr="00FE4A49" w:rsidRDefault="00864A93" w:rsidP="00BC754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lang w:val="en-CA"/>
        </w:rPr>
      </w:pPr>
      <w:r>
        <w:rPr>
          <w:lang w:val="en-CA"/>
        </w:rPr>
        <w:t>1.18</w:t>
      </w:r>
      <w:r>
        <w:rPr>
          <w:lang w:val="en-CA"/>
        </w:rPr>
        <w:tab/>
      </w:r>
      <w:r w:rsidRPr="00FE4A49">
        <w:rPr>
          <w:lang w:val="en-CA"/>
        </w:rPr>
        <w:t xml:space="preserve">The </w:t>
      </w:r>
      <w:r w:rsidRPr="00FE4A49">
        <w:rPr>
          <w:b/>
          <w:lang w:val="en-CA"/>
        </w:rPr>
        <w:t>Secretary-General</w:t>
      </w:r>
      <w:r w:rsidRPr="00FE4A49">
        <w:rPr>
          <w:lang w:val="en-CA"/>
        </w:rPr>
        <w:t xml:space="preserve"> expressed his gratitude to the outgoing management team of ITU, with whom he had enjoyed working over the previous four years. He congratulated the Deputy Secretary-General on his re-election, and commended the achievements and dedication of </w:t>
      </w:r>
      <w:r w:rsidR="00750643">
        <w:rPr>
          <w:lang w:val="en-CA"/>
        </w:rPr>
        <w:t>Mr </w:t>
      </w:r>
      <w:proofErr w:type="spellStart"/>
      <w:r w:rsidRPr="00FE4A49">
        <w:rPr>
          <w:lang w:val="en-CA"/>
        </w:rPr>
        <w:t>Sanou</w:t>
      </w:r>
      <w:proofErr w:type="spellEnd"/>
      <w:r w:rsidRPr="00FE4A49">
        <w:rPr>
          <w:lang w:val="en-CA"/>
        </w:rPr>
        <w:t xml:space="preserve">, the outgoing Director of BDT, during his many years of service to ITU. </w:t>
      </w:r>
    </w:p>
    <w:p w:rsidR="00864A93" w:rsidRPr="00FE4A49" w:rsidRDefault="00864A93" w:rsidP="00864A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lang w:val="en-CA"/>
        </w:rPr>
      </w:pPr>
      <w:r>
        <w:rPr>
          <w:lang w:val="en-CA"/>
        </w:rPr>
        <w:lastRenderedPageBreak/>
        <w:t>1.19</w:t>
      </w:r>
      <w:r>
        <w:rPr>
          <w:lang w:val="en-CA"/>
        </w:rPr>
        <w:tab/>
      </w:r>
      <w:r w:rsidRPr="00FE4A49">
        <w:rPr>
          <w:lang w:val="en-CA"/>
        </w:rPr>
        <w:t xml:space="preserve">The </w:t>
      </w:r>
      <w:r w:rsidRPr="00FE4A49">
        <w:rPr>
          <w:b/>
          <w:lang w:val="en-CA"/>
        </w:rPr>
        <w:t>delegates of the United Arab Emirates</w:t>
      </w:r>
      <w:r w:rsidRPr="00FE4A49">
        <w:rPr>
          <w:lang w:val="en-CA"/>
        </w:rPr>
        <w:t xml:space="preserve">, speaking on behalf of the Arab group, </w:t>
      </w:r>
      <w:r w:rsidRPr="00FE4A49">
        <w:rPr>
          <w:b/>
          <w:lang w:val="en-CA"/>
        </w:rPr>
        <w:t>Romania</w:t>
      </w:r>
      <w:r w:rsidRPr="00FE4A49">
        <w:rPr>
          <w:lang w:val="en-CA"/>
        </w:rPr>
        <w:t xml:space="preserve">, speaking on behalf of CEPT, </w:t>
      </w:r>
      <w:r w:rsidRPr="00FE4A49">
        <w:rPr>
          <w:b/>
          <w:lang w:val="en-CA"/>
        </w:rPr>
        <w:t>Canada</w:t>
      </w:r>
      <w:r w:rsidRPr="00FE4A49">
        <w:rPr>
          <w:lang w:val="en-CA"/>
        </w:rPr>
        <w:t>, speaking on behalf of CITEL,</w:t>
      </w:r>
      <w:r>
        <w:rPr>
          <w:lang w:val="en-CA"/>
        </w:rPr>
        <w:t xml:space="preserve"> the</w:t>
      </w:r>
      <w:r w:rsidRPr="00FE4A49">
        <w:rPr>
          <w:lang w:val="en-CA"/>
        </w:rPr>
        <w:t xml:space="preserve"> </w:t>
      </w:r>
      <w:r w:rsidRPr="00FE4A49">
        <w:rPr>
          <w:b/>
          <w:lang w:val="en-CA"/>
        </w:rPr>
        <w:t>Russia</w:t>
      </w:r>
      <w:r>
        <w:rPr>
          <w:b/>
          <w:lang w:val="en-CA"/>
        </w:rPr>
        <w:t>n Federation</w:t>
      </w:r>
      <w:r w:rsidRPr="00FE4A49">
        <w:rPr>
          <w:lang w:val="en-CA"/>
        </w:rPr>
        <w:t xml:space="preserve">, </w:t>
      </w:r>
      <w:r>
        <w:rPr>
          <w:lang w:val="en-CA"/>
        </w:rPr>
        <w:t xml:space="preserve">speaking </w:t>
      </w:r>
      <w:r w:rsidRPr="00FE4A49">
        <w:rPr>
          <w:lang w:val="en-CA"/>
        </w:rPr>
        <w:t xml:space="preserve">on behalf of RCC, </w:t>
      </w:r>
      <w:r w:rsidRPr="00FE4A49">
        <w:rPr>
          <w:b/>
          <w:lang w:val="en-CA"/>
        </w:rPr>
        <w:t>Kenya</w:t>
      </w:r>
      <w:r w:rsidRPr="0083253C">
        <w:rPr>
          <w:bCs/>
          <w:lang w:val="en-CA"/>
        </w:rPr>
        <w:t>,</w:t>
      </w:r>
      <w:r w:rsidRPr="00FE4A49">
        <w:rPr>
          <w:lang w:val="en-CA"/>
        </w:rPr>
        <w:t xml:space="preserve"> </w:t>
      </w:r>
      <w:r>
        <w:rPr>
          <w:lang w:val="en-CA"/>
        </w:rPr>
        <w:t xml:space="preserve">speaking </w:t>
      </w:r>
      <w:r w:rsidRPr="00FE4A49">
        <w:rPr>
          <w:lang w:val="en-CA"/>
        </w:rPr>
        <w:t>on behalf of the African group, and</w:t>
      </w:r>
      <w:r>
        <w:rPr>
          <w:lang w:val="en-CA"/>
        </w:rPr>
        <w:t xml:space="preserve"> the</w:t>
      </w:r>
      <w:r w:rsidRPr="00FE4A49">
        <w:rPr>
          <w:lang w:val="en-CA"/>
        </w:rPr>
        <w:t xml:space="preserve"> </w:t>
      </w:r>
      <w:r w:rsidRPr="00FE4A49">
        <w:rPr>
          <w:b/>
          <w:lang w:val="en-CA"/>
        </w:rPr>
        <w:t>Philippines</w:t>
      </w:r>
      <w:r>
        <w:rPr>
          <w:lang w:val="en-CA"/>
        </w:rPr>
        <w:t xml:space="preserve">, speaking </w:t>
      </w:r>
      <w:r w:rsidRPr="00FE4A49">
        <w:rPr>
          <w:lang w:val="en-CA"/>
        </w:rPr>
        <w:t>on behalf of APT, congratulated the Secretary-General and Deputy Secretary-General on their re-election. They also paid tribute to the outgoing Directors of BDT and BR for their significant contributions to ITU.</w:t>
      </w:r>
    </w:p>
    <w:p w:rsidR="00864A93" w:rsidRPr="00864A93" w:rsidRDefault="00864A93" w:rsidP="00864A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360" w:after="120"/>
        <w:textAlignment w:val="auto"/>
        <w:rPr>
          <w:b/>
          <w:sz w:val="26"/>
          <w:szCs w:val="26"/>
          <w:lang w:val="en-CA"/>
        </w:rPr>
      </w:pPr>
      <w:r w:rsidRPr="00864A93">
        <w:rPr>
          <w:b/>
          <w:sz w:val="26"/>
          <w:szCs w:val="26"/>
          <w:lang w:val="en-CA"/>
        </w:rPr>
        <w:t>2</w:t>
      </w:r>
      <w:r w:rsidRPr="00864A93">
        <w:rPr>
          <w:b/>
          <w:sz w:val="26"/>
          <w:szCs w:val="26"/>
          <w:lang w:val="en-CA"/>
        </w:rPr>
        <w:tab/>
        <w:t>General policy statements (continued)</w:t>
      </w:r>
    </w:p>
    <w:p w:rsidR="00864A93" w:rsidRDefault="00864A93" w:rsidP="00BC7543">
      <w:pPr>
        <w:pStyle w:val="ListParagraph"/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ind w:left="0" w:firstLine="0"/>
        <w:contextualSpacing w:val="0"/>
        <w:textAlignment w:val="auto"/>
        <w:rPr>
          <w:lang w:val="en-CA"/>
        </w:rPr>
      </w:pPr>
      <w:r w:rsidRPr="00BC7543">
        <w:rPr>
          <w:lang w:val="en-CA"/>
        </w:rPr>
        <w:t>The following speakers made general policy statements:</w:t>
      </w:r>
      <w:r w:rsidR="00750643" w:rsidRPr="00BC7543">
        <w:rPr>
          <w:rStyle w:val="FootnoteReference"/>
          <w:lang w:val="en-CA"/>
        </w:rPr>
        <w:footnoteReference w:customMarkFollows="1" w:id="1"/>
        <w:t>1</w:t>
      </w:r>
    </w:p>
    <w:p w:rsidR="00864A93" w:rsidRPr="00FE4A49" w:rsidRDefault="00BC7543" w:rsidP="00BC7543">
      <w:pPr>
        <w:pStyle w:val="ListParagraph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ind w:left="709" w:hanging="709"/>
        <w:contextualSpacing w:val="0"/>
        <w:textAlignment w:val="auto"/>
        <w:rPr>
          <w:lang w:val="en-CA"/>
        </w:rPr>
      </w:pPr>
      <w:r>
        <w:rPr>
          <w:lang w:val="en-CA"/>
        </w:rPr>
        <w:t>-</w:t>
      </w:r>
      <w:r>
        <w:rPr>
          <w:lang w:val="en-CA"/>
        </w:rPr>
        <w:tab/>
      </w:r>
      <w:r w:rsidR="00864A93" w:rsidRPr="00FE4A49">
        <w:rPr>
          <w:lang w:val="en-CA"/>
        </w:rPr>
        <w:t>Mr Abdi YOUSSOUF SOUGUEH, Minister, Ministry of Communication, responsible for Posts and Telecommunications (Djibouti)</w:t>
      </w:r>
      <w:r>
        <w:rPr>
          <w:lang w:val="en-CA"/>
        </w:rPr>
        <w:t xml:space="preserve"> (see </w:t>
      </w:r>
      <w:hyperlink r:id="rId19" w:history="1">
        <w:r w:rsidRPr="00F2429A">
          <w:rPr>
            <w:rStyle w:val="Hyperlink"/>
            <w:lang w:val="en-CA"/>
          </w:rPr>
          <w:t>https://www.itu.int/web/pp-18/en/speec</w:t>
        </w:r>
        <w:bookmarkStart w:id="9" w:name="_GoBack"/>
        <w:bookmarkEnd w:id="9"/>
        <w:r w:rsidRPr="00F2429A">
          <w:rPr>
            <w:rStyle w:val="Hyperlink"/>
            <w:lang w:val="en-CA"/>
          </w:rPr>
          <w:t>h/124</w:t>
        </w:r>
      </w:hyperlink>
      <w:r>
        <w:rPr>
          <w:lang w:val="en-CA"/>
        </w:rPr>
        <w:t>)</w:t>
      </w:r>
      <w:r w:rsidR="00864A93" w:rsidRPr="00FE4A49">
        <w:rPr>
          <w:lang w:val="en-CA"/>
        </w:rPr>
        <w:t>;</w:t>
      </w:r>
    </w:p>
    <w:p w:rsidR="00864A93" w:rsidRPr="00BC7543" w:rsidRDefault="00BC7543" w:rsidP="00BC754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ind w:left="709" w:hanging="709"/>
        <w:textAlignment w:val="auto"/>
        <w:rPr>
          <w:lang w:val="en-CA"/>
        </w:rPr>
      </w:pPr>
      <w:r>
        <w:rPr>
          <w:lang w:val="en-CA"/>
        </w:rPr>
        <w:t>-</w:t>
      </w:r>
      <w:r>
        <w:rPr>
          <w:lang w:val="en-CA"/>
        </w:rPr>
        <w:tab/>
      </w:r>
      <w:r w:rsidR="00864A93" w:rsidRPr="00BC7543">
        <w:rPr>
          <w:lang w:val="en-CA"/>
        </w:rPr>
        <w:t>Mr Abdallah SAID SAROUMA, Minister, National Regulatory Authority for ICTs (Comoros)</w:t>
      </w:r>
      <w:r w:rsidRPr="00BC7543">
        <w:rPr>
          <w:lang w:val="en-CA"/>
        </w:rPr>
        <w:t xml:space="preserve"> (see </w:t>
      </w:r>
      <w:hyperlink r:id="rId20" w:history="1">
        <w:r w:rsidRPr="00BC7543">
          <w:rPr>
            <w:rStyle w:val="Hyperlink"/>
            <w:lang w:val="en-CA"/>
          </w:rPr>
          <w:t>https://www.itu.int/web/pp-18/en/speech/132</w:t>
        </w:r>
      </w:hyperlink>
      <w:r w:rsidRPr="00BC7543">
        <w:rPr>
          <w:lang w:val="en-CA"/>
        </w:rPr>
        <w:t>)</w:t>
      </w:r>
      <w:r w:rsidR="00864A93" w:rsidRPr="00BC7543">
        <w:rPr>
          <w:lang w:val="en-CA"/>
        </w:rPr>
        <w:t>;</w:t>
      </w:r>
    </w:p>
    <w:p w:rsidR="00864A93" w:rsidRPr="00FE4A49" w:rsidRDefault="00864A93" w:rsidP="00983CDF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ind w:left="709" w:hanging="709"/>
        <w:contextualSpacing w:val="0"/>
        <w:textAlignment w:val="auto"/>
        <w:rPr>
          <w:lang w:val="en-CA"/>
        </w:rPr>
      </w:pPr>
      <w:proofErr w:type="spellStart"/>
      <w:r w:rsidRPr="00FE4A49">
        <w:rPr>
          <w:lang w:val="en-CA"/>
        </w:rPr>
        <w:t>Ms</w:t>
      </w:r>
      <w:proofErr w:type="spellEnd"/>
      <w:r w:rsidRPr="00FE4A49">
        <w:rPr>
          <w:lang w:val="en-CA"/>
        </w:rPr>
        <w:t xml:space="preserve"> Blanca Noemi COTO ESTRADA, </w:t>
      </w:r>
      <w:r>
        <w:rPr>
          <w:lang w:val="en-CA"/>
        </w:rPr>
        <w:t xml:space="preserve">General </w:t>
      </w:r>
      <w:r w:rsidRPr="00FE4A49">
        <w:rPr>
          <w:lang w:val="en-CA"/>
        </w:rPr>
        <w:t>Superintendent of Electricity, General Superintendence of Electricity and Telecommunications (El Salvador)</w:t>
      </w:r>
      <w:r w:rsidR="008831B4">
        <w:rPr>
          <w:lang w:val="en-CA"/>
        </w:rPr>
        <w:t xml:space="preserve"> (see </w:t>
      </w:r>
      <w:hyperlink r:id="rId21" w:history="1">
        <w:r w:rsidR="008831B4">
          <w:rPr>
            <w:rStyle w:val="Hyperlink"/>
          </w:rPr>
          <w:t>https://www.itu.int/web/pp-18/en/speech/130</w:t>
        </w:r>
      </w:hyperlink>
      <w:r w:rsidR="008831B4">
        <w:rPr>
          <w:rStyle w:val="Hyperlink"/>
        </w:rPr>
        <w:t>)</w:t>
      </w:r>
      <w:r w:rsidRPr="00FE4A49">
        <w:rPr>
          <w:lang w:val="en-CA"/>
        </w:rPr>
        <w:t>;</w:t>
      </w:r>
    </w:p>
    <w:p w:rsidR="00864A93" w:rsidRPr="00FE4A49" w:rsidRDefault="00BC7543" w:rsidP="00BC7543">
      <w:pPr>
        <w:ind w:left="567" w:hanging="567"/>
        <w:rPr>
          <w:lang w:val="en-CA"/>
        </w:rPr>
      </w:pPr>
      <w:r>
        <w:rPr>
          <w:lang w:val="en-CA"/>
        </w:rPr>
        <w:t>-</w:t>
      </w:r>
      <w:r>
        <w:rPr>
          <w:lang w:val="en-CA"/>
        </w:rPr>
        <w:tab/>
      </w:r>
      <w:r w:rsidR="00864A93" w:rsidRPr="00FE4A49">
        <w:rPr>
          <w:lang w:val="en-CA"/>
        </w:rPr>
        <w:t>Mr Nicholas Harry DAUSI, Minister</w:t>
      </w:r>
      <w:r w:rsidR="00864A93">
        <w:rPr>
          <w:lang w:val="en-CA"/>
        </w:rPr>
        <w:t>, Ministry</w:t>
      </w:r>
      <w:r w:rsidR="00864A93" w:rsidRPr="00FE4A49">
        <w:rPr>
          <w:lang w:val="en-CA"/>
        </w:rPr>
        <w:t xml:space="preserve"> of Information and Communications Technology (Malawi)</w:t>
      </w:r>
      <w:r>
        <w:rPr>
          <w:lang w:val="en-CA"/>
        </w:rPr>
        <w:t xml:space="preserve"> (see </w:t>
      </w:r>
      <w:hyperlink r:id="rId22" w:history="1">
        <w:r w:rsidRPr="00F2429A">
          <w:rPr>
            <w:rStyle w:val="Hyperlink"/>
            <w:lang w:val="en-CA"/>
          </w:rPr>
          <w:t>https://www.itu.int/web/pp-18/en/speech/156</w:t>
        </w:r>
      </w:hyperlink>
      <w:r>
        <w:rPr>
          <w:lang w:val="en-CA"/>
        </w:rPr>
        <w:t>)</w:t>
      </w:r>
      <w:r w:rsidR="00864A93">
        <w:rPr>
          <w:lang w:val="en-CA"/>
        </w:rPr>
        <w:t>.</w:t>
      </w:r>
    </w:p>
    <w:p w:rsidR="00864A93" w:rsidRDefault="00864A93" w:rsidP="00864A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360" w:after="120"/>
        <w:textAlignment w:val="auto"/>
        <w:rPr>
          <w:b/>
          <w:sz w:val="26"/>
          <w:szCs w:val="26"/>
          <w:lang w:val="en-CA"/>
        </w:rPr>
      </w:pPr>
      <w:r w:rsidRPr="00864A93">
        <w:rPr>
          <w:b/>
          <w:sz w:val="26"/>
          <w:szCs w:val="26"/>
          <w:lang w:val="en-CA"/>
        </w:rPr>
        <w:t>3</w:t>
      </w:r>
      <w:r w:rsidRPr="00864A93">
        <w:rPr>
          <w:b/>
          <w:sz w:val="26"/>
          <w:szCs w:val="26"/>
          <w:lang w:val="en-CA"/>
        </w:rPr>
        <w:tab/>
        <w:t xml:space="preserve">Member States’ contributory units (Document </w:t>
      </w:r>
      <w:hyperlink r:id="rId23" w:history="1">
        <w:r w:rsidRPr="00750643">
          <w:rPr>
            <w:rStyle w:val="Hyperlink"/>
            <w:b/>
            <w:sz w:val="26"/>
            <w:szCs w:val="26"/>
            <w:lang w:val="en-CA"/>
          </w:rPr>
          <w:t>INF/7</w:t>
        </w:r>
      </w:hyperlink>
      <w:r w:rsidRPr="00864A93">
        <w:rPr>
          <w:b/>
          <w:sz w:val="26"/>
          <w:szCs w:val="26"/>
          <w:lang w:val="en-CA"/>
        </w:rPr>
        <w:t>)</w:t>
      </w:r>
    </w:p>
    <w:p w:rsidR="00864A93" w:rsidRPr="0083253C" w:rsidRDefault="00864A93" w:rsidP="00864A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bCs/>
          <w:lang w:val="en-CA"/>
        </w:rPr>
      </w:pPr>
      <w:r>
        <w:rPr>
          <w:bCs/>
          <w:lang w:val="en-CA"/>
        </w:rPr>
        <w:t>3.1</w:t>
      </w:r>
      <w:r>
        <w:rPr>
          <w:bCs/>
          <w:lang w:val="en-CA"/>
        </w:rPr>
        <w:tab/>
        <w:t xml:space="preserve">The </w:t>
      </w:r>
      <w:r>
        <w:rPr>
          <w:b/>
          <w:lang w:val="en-CA"/>
        </w:rPr>
        <w:t>Chairman</w:t>
      </w:r>
      <w:r>
        <w:rPr>
          <w:bCs/>
          <w:lang w:val="en-CA"/>
        </w:rPr>
        <w:t xml:space="preserve"> announced that, as agreed at the first plenary meeting, the </w:t>
      </w:r>
      <w:r w:rsidRPr="00421E28">
        <w:rPr>
          <w:bCs/>
          <w:lang w:val="en-CA"/>
        </w:rPr>
        <w:t>list of contributory units prior to and following PP</w:t>
      </w:r>
      <w:r>
        <w:rPr>
          <w:bCs/>
          <w:lang w:val="en-CA"/>
        </w:rPr>
        <w:t>-</w:t>
      </w:r>
      <w:r w:rsidRPr="00421E28">
        <w:rPr>
          <w:bCs/>
          <w:lang w:val="en-CA"/>
        </w:rPr>
        <w:t>18</w:t>
      </w:r>
      <w:r>
        <w:rPr>
          <w:bCs/>
          <w:lang w:val="en-CA"/>
        </w:rPr>
        <w:t xml:space="preserve"> had been made available in Document INF/7.</w:t>
      </w:r>
    </w:p>
    <w:p w:rsidR="00864A93" w:rsidRPr="00FE4A49" w:rsidRDefault="00864A93" w:rsidP="00864A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b/>
          <w:lang w:val="en-CA"/>
        </w:rPr>
      </w:pPr>
      <w:r w:rsidRPr="00FE4A49">
        <w:rPr>
          <w:b/>
          <w:lang w:val="en-CA"/>
        </w:rPr>
        <w:t>The meeting rose at 1245 hours.</w:t>
      </w:r>
    </w:p>
    <w:p w:rsidR="00864A93" w:rsidRPr="00FE4A49" w:rsidRDefault="00864A93" w:rsidP="00864A9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snapToGrid w:val="0"/>
        <w:spacing w:before="600"/>
        <w:textAlignment w:val="auto"/>
        <w:rPr>
          <w:lang w:val="en-CA"/>
        </w:rPr>
      </w:pPr>
      <w:r w:rsidRPr="00FE4A49">
        <w:rPr>
          <w:lang w:val="en-CA"/>
        </w:rPr>
        <w:t>The Secretary-General:</w:t>
      </w:r>
      <w:r w:rsidRPr="00FE4A49">
        <w:rPr>
          <w:lang w:val="en-CA"/>
        </w:rPr>
        <w:tab/>
        <w:t>The Chairman:</w:t>
      </w:r>
    </w:p>
    <w:p w:rsidR="0008540E" w:rsidRPr="00864A93" w:rsidRDefault="00864A93" w:rsidP="00864A9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snapToGrid w:val="0"/>
        <w:spacing w:before="0"/>
        <w:textAlignment w:val="auto"/>
        <w:rPr>
          <w:lang w:val="en-CA"/>
        </w:rPr>
      </w:pPr>
      <w:r w:rsidRPr="00FE4A49">
        <w:rPr>
          <w:lang w:val="en-CA"/>
        </w:rPr>
        <w:t>H. ZHAO</w:t>
      </w:r>
      <w:r w:rsidRPr="00FE4A49">
        <w:rPr>
          <w:lang w:val="en-CA"/>
        </w:rPr>
        <w:tab/>
        <w:t>M. ALMESMAR</w:t>
      </w:r>
    </w:p>
    <w:sectPr w:rsidR="0008540E" w:rsidRPr="00864A93" w:rsidSect="00361097">
      <w:headerReference w:type="default" r:id="rId24"/>
      <w:footerReference w:type="default" r:id="rId25"/>
      <w:footerReference w:type="first" r:id="rId26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BC2" w:rsidRDefault="00F94BC2">
      <w:r>
        <w:separator/>
      </w:r>
    </w:p>
  </w:endnote>
  <w:endnote w:type="continuationSeparator" w:id="0">
    <w:p w:rsidR="00F94BC2" w:rsidRDefault="00F9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63" w:rsidRDefault="007E7B63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  <w:p w:rsidR="00A516BB" w:rsidRDefault="00A516BB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BC2" w:rsidRDefault="00F94BC2">
      <w:r>
        <w:t>____________________</w:t>
      </w:r>
    </w:p>
  </w:footnote>
  <w:footnote w:type="continuationSeparator" w:id="0">
    <w:p w:rsidR="00F94BC2" w:rsidRDefault="00F94BC2">
      <w:r>
        <w:continuationSeparator/>
      </w:r>
    </w:p>
  </w:footnote>
  <w:footnote w:id="1">
    <w:p w:rsidR="00750643" w:rsidRPr="00714325" w:rsidRDefault="00750643" w:rsidP="00864A93">
      <w:pPr>
        <w:pStyle w:val="FootnoteText"/>
        <w:rPr>
          <w:lang w:val="en-US"/>
        </w:rPr>
      </w:pPr>
      <w:r>
        <w:rPr>
          <w:rStyle w:val="FootnoteReference"/>
        </w:rPr>
        <w:t>1</w:t>
      </w:r>
      <w:r>
        <w:t xml:space="preserve"> </w:t>
      </w:r>
      <w:r>
        <w:tab/>
      </w:r>
      <w:r w:rsidRPr="00750643">
        <w:rPr>
          <w:sz w:val="20"/>
          <w:lang w:val="en-US"/>
        </w:rPr>
        <w:t>The texts of general policy statements submitted to the secretariat may be consulted at</w:t>
      </w:r>
      <w:r w:rsidRPr="00750643">
        <w:rPr>
          <w:sz w:val="20"/>
        </w:rPr>
        <w:t xml:space="preserve"> </w:t>
      </w:r>
      <w:hyperlink r:id="rId1" w:history="1">
        <w:r w:rsidRPr="00750643">
          <w:rPr>
            <w:rStyle w:val="Hyperlink"/>
            <w:sz w:val="20"/>
          </w:rPr>
          <w:t>https://www.itu.int/web/pp-18/en/policy-statement</w:t>
        </w:r>
      </w:hyperlink>
      <w:r w:rsidRPr="00750643">
        <w:rPr>
          <w:rStyle w:val="Hyperlink"/>
          <w:color w:val="auto"/>
          <w:sz w:val="20"/>
          <w:u w:val="non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8831B4">
      <w:rPr>
        <w:noProof/>
      </w:rPr>
      <w:t>4</w:t>
    </w:r>
    <w:r>
      <w:fldChar w:fldCharType="end"/>
    </w:r>
  </w:p>
  <w:p w:rsidR="00CE1B90" w:rsidRDefault="00CE1B90" w:rsidP="00E26429">
    <w:pPr>
      <w:pStyle w:val="Header"/>
    </w:pPr>
    <w:r>
      <w:t>PP1</w:t>
    </w:r>
    <w:r w:rsidR="004F7925">
      <w:t>8</w:t>
    </w:r>
    <w:r w:rsidR="008376C9">
      <w:t>/99</w:t>
    </w:r>
    <w:r w:rsidR="00E26429"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2785A"/>
    <w:multiLevelType w:val="hybridMultilevel"/>
    <w:tmpl w:val="42BA4AC8"/>
    <w:lvl w:ilvl="0" w:tplc="BBB8101C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322D6B"/>
    <w:multiLevelType w:val="multilevel"/>
    <w:tmpl w:val="1D06C2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41924"/>
    <w:rsid w:val="000507C1"/>
    <w:rsid w:val="00053B97"/>
    <w:rsid w:val="00082EB9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2F28"/>
    <w:rsid w:val="00146057"/>
    <w:rsid w:val="0016633C"/>
    <w:rsid w:val="00171990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15F12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56C0"/>
    <w:rsid w:val="002E77F4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FFB"/>
    <w:rsid w:val="003A7FB6"/>
    <w:rsid w:val="003B3751"/>
    <w:rsid w:val="003F0763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797"/>
    <w:rsid w:val="004B0C10"/>
    <w:rsid w:val="004C19D7"/>
    <w:rsid w:val="004C297B"/>
    <w:rsid w:val="004C73C9"/>
    <w:rsid w:val="004E01FA"/>
    <w:rsid w:val="004E6764"/>
    <w:rsid w:val="004F041D"/>
    <w:rsid w:val="004F1C55"/>
    <w:rsid w:val="004F7925"/>
    <w:rsid w:val="00504FE5"/>
    <w:rsid w:val="00507348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27A4"/>
    <w:rsid w:val="00596B48"/>
    <w:rsid w:val="005B10E8"/>
    <w:rsid w:val="005B5026"/>
    <w:rsid w:val="005B661F"/>
    <w:rsid w:val="005C3315"/>
    <w:rsid w:val="005E1CC3"/>
    <w:rsid w:val="005F05C8"/>
    <w:rsid w:val="00604079"/>
    <w:rsid w:val="00617BE4"/>
    <w:rsid w:val="00620233"/>
    <w:rsid w:val="006404B0"/>
    <w:rsid w:val="0066499C"/>
    <w:rsid w:val="00676E68"/>
    <w:rsid w:val="006A7108"/>
    <w:rsid w:val="006B2035"/>
    <w:rsid w:val="006B40DA"/>
    <w:rsid w:val="006C5D5D"/>
    <w:rsid w:val="006E215D"/>
    <w:rsid w:val="006E57C8"/>
    <w:rsid w:val="006E70E1"/>
    <w:rsid w:val="006F565E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643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7B8B"/>
    <w:rsid w:val="00794795"/>
    <w:rsid w:val="007949EA"/>
    <w:rsid w:val="00796849"/>
    <w:rsid w:val="00796DAE"/>
    <w:rsid w:val="007A59C3"/>
    <w:rsid w:val="007B0E06"/>
    <w:rsid w:val="007B30FC"/>
    <w:rsid w:val="007C3643"/>
    <w:rsid w:val="007E00D2"/>
    <w:rsid w:val="007E2AD4"/>
    <w:rsid w:val="007E3469"/>
    <w:rsid w:val="007E7B63"/>
    <w:rsid w:val="00810AD6"/>
    <w:rsid w:val="0082780C"/>
    <w:rsid w:val="008333C7"/>
    <w:rsid w:val="00833E0F"/>
    <w:rsid w:val="008376C9"/>
    <w:rsid w:val="008404FD"/>
    <w:rsid w:val="00841AB4"/>
    <w:rsid w:val="00846DBA"/>
    <w:rsid w:val="00850AEF"/>
    <w:rsid w:val="00855DAB"/>
    <w:rsid w:val="00860C6A"/>
    <w:rsid w:val="00862891"/>
    <w:rsid w:val="00864A93"/>
    <w:rsid w:val="00875048"/>
    <w:rsid w:val="00875BE1"/>
    <w:rsid w:val="00877715"/>
    <w:rsid w:val="008831B4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8F3E5A"/>
    <w:rsid w:val="00900D5B"/>
    <w:rsid w:val="009236FE"/>
    <w:rsid w:val="00940E00"/>
    <w:rsid w:val="00945D4B"/>
    <w:rsid w:val="00950E0F"/>
    <w:rsid w:val="009609D9"/>
    <w:rsid w:val="0096150D"/>
    <w:rsid w:val="009630FA"/>
    <w:rsid w:val="00967103"/>
    <w:rsid w:val="00967670"/>
    <w:rsid w:val="00970996"/>
    <w:rsid w:val="009800CC"/>
    <w:rsid w:val="00983CDF"/>
    <w:rsid w:val="009A078E"/>
    <w:rsid w:val="009A2B30"/>
    <w:rsid w:val="009A4211"/>
    <w:rsid w:val="009A47A2"/>
    <w:rsid w:val="009E425E"/>
    <w:rsid w:val="009E4322"/>
    <w:rsid w:val="009F4384"/>
    <w:rsid w:val="009F442D"/>
    <w:rsid w:val="009F50DA"/>
    <w:rsid w:val="00A06D56"/>
    <w:rsid w:val="00A314A2"/>
    <w:rsid w:val="00A516BB"/>
    <w:rsid w:val="00A619C5"/>
    <w:rsid w:val="00A808E1"/>
    <w:rsid w:val="00A8262F"/>
    <w:rsid w:val="00A84B32"/>
    <w:rsid w:val="00A84B3A"/>
    <w:rsid w:val="00A93B71"/>
    <w:rsid w:val="00AB0B32"/>
    <w:rsid w:val="00AB2D04"/>
    <w:rsid w:val="00AB5C39"/>
    <w:rsid w:val="00AB75A9"/>
    <w:rsid w:val="00AD1C5C"/>
    <w:rsid w:val="00AD566F"/>
    <w:rsid w:val="00B156F9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543"/>
    <w:rsid w:val="00BC7DE8"/>
    <w:rsid w:val="00BE0966"/>
    <w:rsid w:val="00BF43BA"/>
    <w:rsid w:val="00BF5722"/>
    <w:rsid w:val="00BF6268"/>
    <w:rsid w:val="00BF720B"/>
    <w:rsid w:val="00C04511"/>
    <w:rsid w:val="00C112A3"/>
    <w:rsid w:val="00C16846"/>
    <w:rsid w:val="00C34851"/>
    <w:rsid w:val="00C42A5B"/>
    <w:rsid w:val="00C56038"/>
    <w:rsid w:val="00C6729F"/>
    <w:rsid w:val="00C72664"/>
    <w:rsid w:val="00C86F24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D07696"/>
    <w:rsid w:val="00D11956"/>
    <w:rsid w:val="00D15A98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10A17"/>
    <w:rsid w:val="00E13427"/>
    <w:rsid w:val="00E1374D"/>
    <w:rsid w:val="00E20134"/>
    <w:rsid w:val="00E24CB2"/>
    <w:rsid w:val="00E26429"/>
    <w:rsid w:val="00E31D1C"/>
    <w:rsid w:val="00E32981"/>
    <w:rsid w:val="00E34312"/>
    <w:rsid w:val="00E3536D"/>
    <w:rsid w:val="00E44456"/>
    <w:rsid w:val="00E553B9"/>
    <w:rsid w:val="00E56E57"/>
    <w:rsid w:val="00E6599B"/>
    <w:rsid w:val="00E726DE"/>
    <w:rsid w:val="00E844D5"/>
    <w:rsid w:val="00E86536"/>
    <w:rsid w:val="00E871C2"/>
    <w:rsid w:val="00EA1BAA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4B1A"/>
    <w:rsid w:val="00F47316"/>
    <w:rsid w:val="00F55DA5"/>
    <w:rsid w:val="00F94BC2"/>
    <w:rsid w:val="00F95ABE"/>
    <w:rsid w:val="00F9756D"/>
    <w:rsid w:val="00FB5F12"/>
    <w:rsid w:val="00FD417F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paragraph" w:styleId="ListParagraph">
    <w:name w:val="List Paragraph"/>
    <w:basedOn w:val="Normal"/>
    <w:uiPriority w:val="34"/>
    <w:qFormat/>
    <w:rsid w:val="00864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tu.int/md/S18-PP-INF-0007/en" TargetMode="External"/><Relationship Id="rId18" Type="http://schemas.openxmlformats.org/officeDocument/2006/relationships/hyperlink" Target="https://www.itu.int/web/pp-18/en/page/215-other-speeches" TargetMode="External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hyperlink" Target="https://www.itu.int/web/pp-18/en/speech/13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itu.int/md/S18-PP-C-0086/en" TargetMode="External"/><Relationship Id="rId17" Type="http://schemas.openxmlformats.org/officeDocument/2006/relationships/hyperlink" Target="https://www.itu.int/web/pp-18/en/page/215-other-speeches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yperlink" Target="https://www.itu.int/md/S18-PP-C-0086/en" TargetMode="External"/><Relationship Id="rId20" Type="http://schemas.openxmlformats.org/officeDocument/2006/relationships/hyperlink" Target="https://www.itu.int/web/pp-18/en/speech/132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md/S18-PP-C-0078/en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itu.int/md/S18-PP-C-0078/en" TargetMode="External"/><Relationship Id="rId23" Type="http://schemas.openxmlformats.org/officeDocument/2006/relationships/hyperlink" Target="https://www.itu.int/md/S18-PP-INF-0007/e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tu.int/md/S18-PP-C-0075/en" TargetMode="External"/><Relationship Id="rId19" Type="http://schemas.openxmlformats.org/officeDocument/2006/relationships/hyperlink" Target="https://www.itu.int/web/pp-18/en/speech/124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itu.int/md/S18-PP-C-0075/en" TargetMode="External"/><Relationship Id="rId22" Type="http://schemas.openxmlformats.org/officeDocument/2006/relationships/hyperlink" Target="https://www.itu.int/web/pp-18/en/speech/156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web/pp-18/en/policy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60F00-9F77-458C-8CBC-9F468685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1009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Proposals for the work of the conference</vt:lpstr>
    </vt:vector>
  </TitlesOfParts>
  <Manager/>
  <Company/>
  <LinksUpToDate>false</LinksUpToDate>
  <CharactersWithSpaces>7572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sixth Plenary meeting</dc:title>
  <dc:subject>Plenipotentiary Conference (PP-18)</dc:subject>
  <dc:creator/>
  <cp:keywords>PP-18, Plenipotentiary</cp:keywords>
  <cp:lastModifiedBy/>
  <cp:revision>1</cp:revision>
  <dcterms:created xsi:type="dcterms:W3CDTF">2018-11-11T19:49:00Z</dcterms:created>
  <dcterms:modified xsi:type="dcterms:W3CDTF">2018-11-12T08:10:00Z</dcterms:modified>
  <cp:category>Conference document</cp:category>
</cp:coreProperties>
</file>