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A16ED" w:rsidTr="00E26429">
        <w:trPr>
          <w:cantSplit/>
        </w:trPr>
        <w:tc>
          <w:tcPr>
            <w:tcW w:w="6629" w:type="dxa"/>
            <w:vAlign w:val="center"/>
          </w:tcPr>
          <w:p w:rsidR="001A16ED" w:rsidRPr="00F04067" w:rsidRDefault="001A16ED" w:rsidP="00E26429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 w:rsidR="004F7925">
              <w:rPr>
                <w:rFonts w:cs="Times"/>
                <w:b/>
                <w:position w:val="6"/>
                <w:sz w:val="30"/>
                <w:szCs w:val="30"/>
              </w:rPr>
              <w:t>8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 w:rsidR="004F7925">
              <w:rPr>
                <w:b/>
                <w:bCs/>
                <w:position w:val="6"/>
                <w:szCs w:val="24"/>
              </w:rPr>
              <w:t>Dubai</w:t>
            </w:r>
            <w:r w:rsidRPr="00936F04">
              <w:rPr>
                <w:b/>
                <w:bCs/>
                <w:position w:val="6"/>
                <w:szCs w:val="24"/>
              </w:rPr>
              <w:t xml:space="preserve">, </w:t>
            </w:r>
            <w:r w:rsidR="004F7925">
              <w:rPr>
                <w:b/>
                <w:bCs/>
                <w:position w:val="6"/>
                <w:szCs w:val="24"/>
              </w:rPr>
              <w:t>29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 xml:space="preserve">– </w:t>
            </w:r>
            <w:r w:rsidR="004F7925">
              <w:rPr>
                <w:b/>
                <w:bCs/>
                <w:position w:val="6"/>
                <w:szCs w:val="24"/>
              </w:rPr>
              <w:t>16</w:t>
            </w:r>
            <w:r>
              <w:rPr>
                <w:b/>
                <w:bCs/>
                <w:position w:val="6"/>
                <w:szCs w:val="24"/>
              </w:rPr>
              <w:t xml:space="preserve"> November 201</w:t>
            </w:r>
            <w:r w:rsidR="004F7925">
              <w:rPr>
                <w:b/>
                <w:bCs/>
                <w:position w:val="6"/>
                <w:szCs w:val="24"/>
              </w:rPr>
              <w:t>8</w:t>
            </w:r>
          </w:p>
        </w:tc>
        <w:tc>
          <w:tcPr>
            <w:tcW w:w="3402" w:type="dxa"/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49456A9F" wp14:editId="07183A52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:rsidTr="00AB2D04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1A16ED" w:rsidRPr="00C324A8" w:rsidTr="00AB2D04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A16ED" w:rsidRPr="00D96B4B" w:rsidRDefault="001A16ED" w:rsidP="003740BC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D96B4B" w:rsidRDefault="00E26429" w:rsidP="002E77F4">
            <w:pPr>
              <w:pStyle w:val="Committee"/>
              <w:spacing w:after="0"/>
            </w:pPr>
            <w:bookmarkStart w:id="3" w:name="dnum" w:colFirst="1" w:colLast="1"/>
            <w:bookmarkStart w:id="4" w:name="dmeeting" w:colFirst="0" w:colLast="0"/>
            <w:bookmarkEnd w:id="2"/>
            <w:r>
              <w:t>PLENARY MEETING</w:t>
            </w:r>
          </w:p>
        </w:tc>
        <w:tc>
          <w:tcPr>
            <w:tcW w:w="3402" w:type="dxa"/>
          </w:tcPr>
          <w:p w:rsidR="001A16ED" w:rsidRPr="00F44B1A" w:rsidRDefault="00070CC9" w:rsidP="003740BC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Document 93</w:t>
            </w:r>
            <w:r w:rsidR="00E26429">
              <w:rPr>
                <w:rFonts w:cstheme="minorHAnsi"/>
                <w:b/>
                <w:szCs w:val="24"/>
              </w:rPr>
              <w:t>-E</w:t>
            </w: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841AB4" w:rsidRDefault="001A16ED" w:rsidP="003740BC">
            <w:pPr>
              <w:tabs>
                <w:tab w:val="left" w:pos="851"/>
              </w:tabs>
              <w:spacing w:before="0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:rsidR="001A16ED" w:rsidRPr="00D96B4B" w:rsidRDefault="007D2EFB" w:rsidP="003740BC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5 November </w:t>
            </w:r>
            <w:r w:rsidR="00E26429">
              <w:rPr>
                <w:rFonts w:cstheme="minorHAnsi"/>
                <w:b/>
                <w:szCs w:val="24"/>
              </w:rPr>
              <w:t xml:space="preserve"> 2018</w:t>
            </w:r>
          </w:p>
        </w:tc>
      </w:tr>
      <w:tr w:rsidR="001A16ED" w:rsidRPr="00C324A8" w:rsidTr="00AB2D04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A16ED" w:rsidRPr="00D96B4B" w:rsidRDefault="001A16ED" w:rsidP="003740BC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:rsidR="001A16ED" w:rsidRPr="00D96B4B" w:rsidRDefault="00E26429" w:rsidP="003740BC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Original: English</w:t>
            </w:r>
          </w:p>
        </w:tc>
      </w:tr>
      <w:tr w:rsidR="001A16ED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A16ED" w:rsidRPr="00D96B4B" w:rsidRDefault="001A16ED" w:rsidP="006A046E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1A16ED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C01349" w:rsidRPr="00537BD5" w:rsidRDefault="00C01349" w:rsidP="00C01349">
            <w:pPr>
              <w:pStyle w:val="Title1"/>
              <w:spacing w:before="720"/>
            </w:pPr>
            <w:r w:rsidRPr="00537BD5">
              <w:t>minutes</w:t>
            </w:r>
          </w:p>
          <w:p w:rsidR="00C01349" w:rsidRPr="00537BD5" w:rsidRDefault="00C01349" w:rsidP="00C01349">
            <w:pPr>
              <w:pStyle w:val="Title1"/>
            </w:pPr>
            <w:r w:rsidRPr="00537BD5">
              <w:t>OF THE</w:t>
            </w:r>
          </w:p>
          <w:p w:rsidR="001A16ED" w:rsidRDefault="00C01349" w:rsidP="00C01349">
            <w:pPr>
              <w:pStyle w:val="Title1"/>
            </w:pPr>
            <w:r>
              <w:t>OPENING CEREMONY</w:t>
            </w:r>
          </w:p>
        </w:tc>
      </w:tr>
      <w:tr w:rsidR="001A16ED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A16ED" w:rsidRPr="00C01349" w:rsidRDefault="00C01349" w:rsidP="00C01349">
            <w:pPr>
              <w:pStyle w:val="Agendaitem"/>
              <w:rPr>
                <w:sz w:val="24"/>
                <w:szCs w:val="24"/>
              </w:rPr>
            </w:pPr>
            <w:proofErr w:type="spellStart"/>
            <w:r w:rsidRPr="00C01349">
              <w:rPr>
                <w:sz w:val="24"/>
                <w:szCs w:val="24"/>
              </w:rPr>
              <w:t>Monday</w:t>
            </w:r>
            <w:proofErr w:type="spellEnd"/>
            <w:r w:rsidRPr="00C01349">
              <w:rPr>
                <w:sz w:val="24"/>
                <w:szCs w:val="24"/>
              </w:rPr>
              <w:t xml:space="preserve">, 29 </w:t>
            </w:r>
            <w:proofErr w:type="spellStart"/>
            <w:r w:rsidRPr="00C01349">
              <w:rPr>
                <w:sz w:val="24"/>
                <w:szCs w:val="24"/>
              </w:rPr>
              <w:t>October</w:t>
            </w:r>
            <w:proofErr w:type="spellEnd"/>
            <w:r w:rsidRPr="00C01349">
              <w:rPr>
                <w:sz w:val="24"/>
                <w:szCs w:val="24"/>
              </w:rPr>
              <w:t xml:space="preserve"> 2018, at 1200 </w:t>
            </w:r>
            <w:proofErr w:type="spellStart"/>
            <w:r w:rsidRPr="00C01349">
              <w:rPr>
                <w:sz w:val="24"/>
                <w:szCs w:val="24"/>
              </w:rPr>
              <w:t>hours</w:t>
            </w:r>
            <w:proofErr w:type="spellEnd"/>
          </w:p>
        </w:tc>
      </w:tr>
      <w:bookmarkEnd w:id="7"/>
      <w:bookmarkEnd w:id="8"/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7164"/>
        <w:gridCol w:w="2333"/>
      </w:tblGrid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pStyle w:val="toc0"/>
            </w:pPr>
          </w:p>
        </w:tc>
        <w:tc>
          <w:tcPr>
            <w:tcW w:w="7164" w:type="dxa"/>
          </w:tcPr>
          <w:p w:rsidR="00C01349" w:rsidRPr="00537BD5" w:rsidRDefault="00C01349" w:rsidP="00EF7451">
            <w:pPr>
              <w:pStyle w:val="toc0"/>
            </w:pPr>
            <w:r w:rsidRPr="00537BD5">
              <w:t>Subjects discussed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pStyle w:val="toc0"/>
              <w:jc w:val="center"/>
            </w:pPr>
            <w:r w:rsidRPr="00537BD5">
              <w:t>Documents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 w:rsidRPr="00537BD5">
              <w:t>1</w:t>
            </w:r>
          </w:p>
        </w:tc>
        <w:tc>
          <w:tcPr>
            <w:tcW w:w="7164" w:type="dxa"/>
          </w:tcPr>
          <w:p w:rsidR="00C01349" w:rsidRPr="00537BD5" w:rsidRDefault="00C01349" w:rsidP="00EF7451">
            <w:r w:rsidRPr="00B50DE1">
              <w:t>Address by the Chairman of the Telecommunications Regulatory Authority of the United Arab Emirates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 w:rsidRPr="00537BD5">
              <w:t>2</w:t>
            </w:r>
          </w:p>
        </w:tc>
        <w:tc>
          <w:tcPr>
            <w:tcW w:w="7164" w:type="dxa"/>
          </w:tcPr>
          <w:p w:rsidR="00C01349" w:rsidRPr="00537BD5" w:rsidRDefault="00C01349" w:rsidP="00EF7451">
            <w:r w:rsidRPr="00B50DE1">
              <w:t>Message from the United Nations Secretary-General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>
              <w:t>3</w:t>
            </w:r>
          </w:p>
        </w:tc>
        <w:tc>
          <w:tcPr>
            <w:tcW w:w="7164" w:type="dxa"/>
          </w:tcPr>
          <w:p w:rsidR="00C01349" w:rsidRPr="00B50DE1" w:rsidRDefault="00C01349" w:rsidP="00EF7451">
            <w:r w:rsidRPr="00C829F8">
              <w:t>Address by the ITU Secretary-General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>
              <w:t>4</w:t>
            </w:r>
          </w:p>
        </w:tc>
        <w:tc>
          <w:tcPr>
            <w:tcW w:w="7164" w:type="dxa"/>
          </w:tcPr>
          <w:p w:rsidR="00C01349" w:rsidRPr="00537BD5" w:rsidRDefault="00C01349" w:rsidP="00EF7451">
            <w:r>
              <w:t>Screening of a v</w:t>
            </w:r>
            <w:r w:rsidRPr="00B50DE1">
              <w:t>ideo on the role of information and communication technology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>
              <w:t>5</w:t>
            </w:r>
          </w:p>
        </w:tc>
        <w:tc>
          <w:tcPr>
            <w:tcW w:w="7164" w:type="dxa"/>
          </w:tcPr>
          <w:p w:rsidR="00C01349" w:rsidRPr="00537BD5" w:rsidRDefault="00C01349" w:rsidP="00EF7451">
            <w:r w:rsidRPr="00B50DE1">
              <w:t xml:space="preserve">Address by </w:t>
            </w:r>
            <w:r>
              <w:t xml:space="preserve">the </w:t>
            </w:r>
            <w:r w:rsidRPr="00B50DE1">
              <w:t>Director General of the Telecommunications Regulatory Authority of the United Arab Emirates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  <w:tr w:rsidR="00C01349" w:rsidRPr="00537BD5" w:rsidTr="00EF7451">
        <w:tc>
          <w:tcPr>
            <w:tcW w:w="534" w:type="dxa"/>
          </w:tcPr>
          <w:p w:rsidR="00C01349" w:rsidRPr="00537BD5" w:rsidRDefault="00C01349" w:rsidP="00EF7451">
            <w:pPr>
              <w:ind w:left="567" w:hanging="567"/>
            </w:pPr>
            <w:r>
              <w:t>6</w:t>
            </w:r>
          </w:p>
        </w:tc>
        <w:tc>
          <w:tcPr>
            <w:tcW w:w="7164" w:type="dxa"/>
          </w:tcPr>
          <w:p w:rsidR="00C01349" w:rsidRPr="00537BD5" w:rsidRDefault="00C01349" w:rsidP="00EF7451">
            <w:r w:rsidRPr="00C829F8">
              <w:t>Exchange of commemorative gifts</w:t>
            </w:r>
          </w:p>
        </w:tc>
        <w:tc>
          <w:tcPr>
            <w:tcW w:w="2333" w:type="dxa"/>
          </w:tcPr>
          <w:p w:rsidR="00C01349" w:rsidRPr="00537BD5" w:rsidRDefault="00C01349" w:rsidP="00EF7451">
            <w:pPr>
              <w:jc w:val="center"/>
            </w:pPr>
            <w:r>
              <w:t>–</w:t>
            </w:r>
          </w:p>
        </w:tc>
      </w:tr>
    </w:tbl>
    <w:p w:rsidR="001A16ED" w:rsidRDefault="001A16ED" w:rsidP="00AB2D04">
      <w:r>
        <w:br w:type="page"/>
      </w:r>
    </w:p>
    <w:p w:rsidR="00070CC9" w:rsidRPr="00070CC9" w:rsidRDefault="00070CC9" w:rsidP="00070CC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  <w:rPr>
          <w:b w:val="0"/>
          <w:bCs/>
          <w:sz w:val="24"/>
          <w:szCs w:val="24"/>
        </w:rPr>
      </w:pPr>
    </w:p>
    <w:p w:rsidR="00C01349" w:rsidRPr="00B50DE1" w:rsidRDefault="00C01349" w:rsidP="00070CC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Pr="00B50DE1">
        <w:rPr>
          <w:sz w:val="24"/>
          <w:szCs w:val="24"/>
        </w:rPr>
        <w:t>Address by the Chairman of the Telecommunications Regulatory Authority of the United Arab Emirates</w:t>
      </w:r>
    </w:p>
    <w:p w:rsidR="00C01349" w:rsidRPr="00537BD5" w:rsidRDefault="00C01349" w:rsidP="00E0685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1.1</w:t>
      </w:r>
      <w:r>
        <w:tab/>
        <w:t>The</w:t>
      </w:r>
      <w:r w:rsidRPr="0019374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Chairman of the Telecommunications Regulatory Authority of the United Arab Emirates</w:t>
      </w:r>
      <w:r>
        <w:rPr>
          <w:szCs w:val="24"/>
        </w:rPr>
        <w:t>, opening the conference,</w:t>
      </w:r>
      <w:r w:rsidRPr="00537BD5">
        <w:t xml:space="preserve"> delivered the address </w:t>
      </w:r>
      <w:r>
        <w:t xml:space="preserve">available at </w:t>
      </w:r>
      <w:hyperlink r:id="rId8" w:history="1">
        <w:r w:rsidR="00E0685B" w:rsidRPr="002E7FD6">
          <w:rPr>
            <w:rStyle w:val="Hyperlink"/>
          </w:rPr>
          <w:t>https://www.itu.int/web/pp-18/en/s</w:t>
        </w:r>
        <w:r w:rsidR="00E0685B" w:rsidRPr="002E7FD6">
          <w:rPr>
            <w:rStyle w:val="Hyperlink"/>
          </w:rPr>
          <w:t>p</w:t>
        </w:r>
        <w:r w:rsidR="00E0685B" w:rsidRPr="002E7FD6">
          <w:rPr>
            <w:rStyle w:val="Hyperlink"/>
          </w:rPr>
          <w:t>eech/183</w:t>
        </w:r>
      </w:hyperlink>
      <w:r w:rsidRPr="00537BD5">
        <w:t>.</w:t>
      </w:r>
    </w:p>
    <w:p w:rsidR="00C01349" w:rsidRPr="00151400" w:rsidRDefault="00C01349" w:rsidP="00C0134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>M</w:t>
      </w:r>
      <w:r w:rsidRPr="00193744">
        <w:rPr>
          <w:sz w:val="24"/>
          <w:szCs w:val="24"/>
        </w:rPr>
        <w:t>essage from the United Nations Secretary-General</w:t>
      </w:r>
    </w:p>
    <w:p w:rsidR="00C01349" w:rsidRPr="00537BD5" w:rsidRDefault="00C01349" w:rsidP="00E0685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rPr>
          <w:szCs w:val="24"/>
        </w:rPr>
        <w:t>2.1</w:t>
      </w:r>
      <w:r>
        <w:rPr>
          <w:szCs w:val="24"/>
        </w:rPr>
        <w:tab/>
        <w:t>T</w:t>
      </w:r>
      <w:r w:rsidRPr="00193744">
        <w:rPr>
          <w:szCs w:val="24"/>
        </w:rPr>
        <w:t xml:space="preserve">he </w:t>
      </w:r>
      <w:r w:rsidRPr="00193744">
        <w:rPr>
          <w:b/>
          <w:bCs/>
          <w:szCs w:val="24"/>
        </w:rPr>
        <w:t>United Nations Secretary-General</w:t>
      </w:r>
      <w:r w:rsidRPr="00537BD5">
        <w:t xml:space="preserve"> </w:t>
      </w:r>
      <w:r>
        <w:t xml:space="preserve">addressed the conference by video message available at </w:t>
      </w:r>
      <w:hyperlink r:id="rId9" w:history="1">
        <w:r w:rsidR="00E0685B" w:rsidRPr="002E7FD6">
          <w:rPr>
            <w:rStyle w:val="Hyperlink"/>
          </w:rPr>
          <w:t>https://www.itu.int/web/pp-18/en/speech/153</w:t>
        </w:r>
      </w:hyperlink>
      <w:r>
        <w:t>.</w:t>
      </w:r>
    </w:p>
    <w:p w:rsidR="00C01349" w:rsidRPr="00151400" w:rsidRDefault="00C01349" w:rsidP="00C0134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  <w:t>A</w:t>
      </w:r>
      <w:r w:rsidRPr="00193744">
        <w:rPr>
          <w:sz w:val="24"/>
          <w:szCs w:val="24"/>
        </w:rPr>
        <w:t>ddress by the ITU Secretary-General</w:t>
      </w:r>
    </w:p>
    <w:p w:rsidR="00C01349" w:rsidRDefault="00C01349" w:rsidP="00E0685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3.1</w:t>
      </w:r>
      <w:r>
        <w:tab/>
      </w:r>
      <w:r w:rsidRPr="00537BD5">
        <w:t xml:space="preserve">The </w:t>
      </w:r>
      <w:r>
        <w:rPr>
          <w:b/>
          <w:szCs w:val="24"/>
        </w:rPr>
        <w:t>ITU Secretary-General</w:t>
      </w:r>
      <w:r w:rsidRPr="00537BD5">
        <w:t xml:space="preserve"> delivered the address </w:t>
      </w:r>
      <w:r>
        <w:t xml:space="preserve">available at </w:t>
      </w:r>
      <w:hyperlink r:id="rId10" w:history="1">
        <w:r w:rsidR="00E0685B" w:rsidRPr="002E7FD6">
          <w:rPr>
            <w:rStyle w:val="Hyperlink"/>
          </w:rPr>
          <w:t>https://www.itu.int/web/pp-18/en/speech/182</w:t>
        </w:r>
      </w:hyperlink>
      <w:r w:rsidRPr="00537BD5">
        <w:t>.</w:t>
      </w:r>
      <w:r>
        <w:t xml:space="preserve"> </w:t>
      </w:r>
      <w:bookmarkStart w:id="9" w:name="_GoBack"/>
      <w:bookmarkEnd w:id="9"/>
    </w:p>
    <w:p w:rsidR="00C01349" w:rsidRDefault="00C01349" w:rsidP="00C0134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ab/>
        <w:t>Screening of a video on the role of information and communication technology</w:t>
      </w:r>
    </w:p>
    <w:p w:rsidR="00C01349" w:rsidRPr="009A5794" w:rsidRDefault="00C01349" w:rsidP="00C013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4.1</w:t>
      </w:r>
      <w:r>
        <w:tab/>
      </w:r>
      <w:r w:rsidRPr="00537BD5">
        <w:t xml:space="preserve">The </w:t>
      </w:r>
      <w:r>
        <w:t>meeting viewed a video on the role of information and communication technology in the United Arab Emirates and its importance to development in the pursuit of happiness.</w:t>
      </w:r>
    </w:p>
    <w:p w:rsidR="00C01349" w:rsidRPr="00151400" w:rsidRDefault="00C01349" w:rsidP="00C0134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ab/>
      </w:r>
      <w:r w:rsidRPr="00193744">
        <w:rPr>
          <w:bCs/>
          <w:sz w:val="24"/>
          <w:szCs w:val="24"/>
        </w:rPr>
        <w:t>Address by</w:t>
      </w:r>
      <w:r>
        <w:rPr>
          <w:bCs/>
          <w:sz w:val="24"/>
          <w:szCs w:val="24"/>
        </w:rPr>
        <w:t xml:space="preserve"> the</w:t>
      </w:r>
      <w:r w:rsidRPr="0019374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Director General of the </w:t>
      </w:r>
      <w:r w:rsidRPr="006E3732">
        <w:rPr>
          <w:bCs/>
          <w:sz w:val="24"/>
          <w:szCs w:val="24"/>
        </w:rPr>
        <w:t>Telecommunications Regulatory Authority of the United Arab Emirates</w:t>
      </w:r>
    </w:p>
    <w:p w:rsidR="00C01349" w:rsidRPr="00537BD5" w:rsidRDefault="00C01349" w:rsidP="00C013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5.1</w:t>
      </w:r>
      <w:r>
        <w:tab/>
      </w:r>
      <w:r w:rsidRPr="00537BD5">
        <w:t xml:space="preserve">The </w:t>
      </w:r>
      <w:r w:rsidRPr="009A5794">
        <w:rPr>
          <w:b/>
          <w:szCs w:val="24"/>
        </w:rPr>
        <w:t>Director General of the Telecommunications Regulatory Authority of the United Arab Emirates</w:t>
      </w:r>
      <w:r>
        <w:rPr>
          <w:bCs/>
          <w:szCs w:val="24"/>
        </w:rPr>
        <w:t>, spe</w:t>
      </w:r>
      <w:r w:rsidRPr="00096023">
        <w:rPr>
          <w:bCs/>
          <w:szCs w:val="24"/>
        </w:rPr>
        <w:t>aking also as Chairman of the Board of Directors of the Mohammed Bin Rashid Space Centre,</w:t>
      </w:r>
      <w:r>
        <w:rPr>
          <w:b/>
          <w:szCs w:val="24"/>
        </w:rPr>
        <w:t xml:space="preserve"> </w:t>
      </w:r>
      <w:r>
        <w:t xml:space="preserve">addressed the meeting by video, presenting the Space Centre's successful launch that day of the locally made </w:t>
      </w:r>
      <w:proofErr w:type="spellStart"/>
      <w:r>
        <w:t>KhalifaSat</w:t>
      </w:r>
      <w:proofErr w:type="spellEnd"/>
      <w:r>
        <w:t>.</w:t>
      </w:r>
    </w:p>
    <w:p w:rsidR="00C01349" w:rsidRPr="00151400" w:rsidRDefault="00C01349" w:rsidP="00C01349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36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  <w:t>Exchange</w:t>
      </w:r>
      <w:r w:rsidRPr="006F26B7">
        <w:rPr>
          <w:sz w:val="24"/>
          <w:szCs w:val="24"/>
        </w:rPr>
        <w:t xml:space="preserve"> of commemorative </w:t>
      </w:r>
      <w:r>
        <w:rPr>
          <w:sz w:val="24"/>
          <w:szCs w:val="24"/>
        </w:rPr>
        <w:t>gifts</w:t>
      </w:r>
    </w:p>
    <w:p w:rsidR="00C01349" w:rsidRDefault="00C01349" w:rsidP="00C013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>6.1</w:t>
      </w:r>
      <w:r>
        <w:tab/>
      </w:r>
      <w:r w:rsidRPr="00537BD5">
        <w:t xml:space="preserve">The </w:t>
      </w:r>
      <w:r w:rsidRPr="008F5B31">
        <w:rPr>
          <w:bCs/>
          <w:szCs w:val="24"/>
        </w:rPr>
        <w:t>Chairman of the Telecommunications Regulatory Authority</w:t>
      </w:r>
      <w:r w:rsidRPr="008F5B31">
        <w:t xml:space="preserve"> of the United Arab </w:t>
      </w:r>
      <w:r w:rsidRPr="00C01349">
        <w:rPr>
          <w:spacing w:val="-2"/>
        </w:rPr>
        <w:t xml:space="preserve">Emirates </w:t>
      </w:r>
      <w:r w:rsidRPr="00C01349">
        <w:rPr>
          <w:spacing w:val="-4"/>
        </w:rPr>
        <w:t xml:space="preserve">and the </w:t>
      </w:r>
      <w:r w:rsidRPr="00C01349">
        <w:rPr>
          <w:bCs/>
          <w:spacing w:val="-4"/>
        </w:rPr>
        <w:t>ITU Secretary-General</w:t>
      </w:r>
      <w:r w:rsidRPr="00C01349">
        <w:rPr>
          <w:spacing w:val="-4"/>
        </w:rPr>
        <w:t xml:space="preserve"> exchanged gifts to commemorate the 2018 Plenipotentiary Conference.</w:t>
      </w:r>
      <w:r>
        <w:t xml:space="preserve"> The Secretary-General presented the Chairman of the Telecommunications Regulatory Authority with the ITU Gold Medal and certificate.</w:t>
      </w:r>
    </w:p>
    <w:p w:rsidR="00C01349" w:rsidRPr="00537BD5" w:rsidRDefault="00C01349" w:rsidP="00C013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b/>
        </w:rPr>
      </w:pPr>
      <w:r w:rsidRPr="00537BD5">
        <w:rPr>
          <w:b/>
        </w:rPr>
        <w:t xml:space="preserve">The meeting rose </w:t>
      </w:r>
      <w:r w:rsidRPr="00B50DE1">
        <w:rPr>
          <w:b/>
        </w:rPr>
        <w:t>at 1235</w:t>
      </w:r>
      <w:r w:rsidRPr="00537BD5">
        <w:rPr>
          <w:b/>
        </w:rPr>
        <w:t xml:space="preserve"> hours.</w:t>
      </w:r>
    </w:p>
    <w:p w:rsidR="00C01349" w:rsidRDefault="00C01349" w:rsidP="00C01349">
      <w:pPr>
        <w:pStyle w:val="Normalpv"/>
        <w:tabs>
          <w:tab w:val="clear" w:pos="794"/>
          <w:tab w:val="clear" w:pos="1191"/>
          <w:tab w:val="clear" w:pos="1588"/>
          <w:tab w:val="clear" w:pos="1985"/>
          <w:tab w:val="left" w:pos="6663"/>
        </w:tabs>
        <w:snapToGrid w:val="0"/>
        <w:spacing w:before="600"/>
      </w:pPr>
      <w:r>
        <w:t>The Secretary-General:</w:t>
      </w:r>
      <w:r>
        <w:tab/>
        <w:t>The Chairman:</w:t>
      </w:r>
    </w:p>
    <w:p w:rsidR="0008540E" w:rsidRPr="0008540E" w:rsidRDefault="00C01349" w:rsidP="00C01349">
      <w:pPr>
        <w:pStyle w:val="Normalpv"/>
        <w:tabs>
          <w:tab w:val="clear" w:pos="794"/>
          <w:tab w:val="clear" w:pos="1191"/>
          <w:tab w:val="clear" w:pos="1588"/>
          <w:tab w:val="clear" w:pos="1985"/>
          <w:tab w:val="left" w:pos="6663"/>
        </w:tabs>
        <w:snapToGrid w:val="0"/>
        <w:spacing w:before="0" w:after="240"/>
      </w:pPr>
      <w:r>
        <w:t>H. ZHAO</w:t>
      </w:r>
      <w:r>
        <w:tab/>
        <w:t>M. ALMESMAR</w:t>
      </w:r>
    </w:p>
    <w:sectPr w:rsidR="0008540E" w:rsidRPr="0008540E" w:rsidSect="00361097">
      <w:headerReference w:type="default" r:id="rId11"/>
      <w:footerReference w:type="default" r:id="rId12"/>
      <w:footerReference w:type="first" r:id="rId1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C2" w:rsidRDefault="00F94BC2">
      <w:r>
        <w:separator/>
      </w:r>
    </w:p>
  </w:endnote>
  <w:endnote w:type="continuationSeparator" w:id="0">
    <w:p w:rsidR="00F94BC2" w:rsidRDefault="00F9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B63" w:rsidRDefault="007E7B63" w:rsidP="00855DAB">
    <w:pPr>
      <w:pStyle w:val="Footer"/>
      <w:tabs>
        <w:tab w:val="clear" w:pos="5954"/>
        <w:tab w:val="clear" w:pos="9639"/>
        <w:tab w:val="left" w:pos="7655"/>
        <w:tab w:val="right" w:pos="949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C0B" w:rsidRDefault="00AB2D04" w:rsidP="00AB2D0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A516BB" w:rsidRPr="00A516BB" w:rsidRDefault="00A516BB" w:rsidP="00AB2D04">
    <w:pPr>
      <w:pStyle w:val="firstfooter0"/>
      <w:spacing w:before="0" w:beforeAutospacing="0" w:after="0" w:afterAutospacing="0"/>
      <w:jc w:val="center"/>
      <w:rPr>
        <w:rFonts w:asciiTheme="minorHAnsi" w:hAnsiTheme="minorHAnsi"/>
        <w:sz w:val="16"/>
        <w:szCs w:val="16"/>
        <w:lang w:val="en-GB"/>
      </w:rPr>
    </w:pPr>
  </w:p>
  <w:p w:rsidR="00A516BB" w:rsidRDefault="00A516BB" w:rsidP="00855DAB">
    <w:pPr>
      <w:pStyle w:val="Footer"/>
      <w:tabs>
        <w:tab w:val="clear" w:pos="5954"/>
        <w:tab w:val="clear" w:pos="9639"/>
        <w:tab w:val="left" w:pos="7655"/>
        <w:tab w:val="right" w:pos="949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C2" w:rsidRDefault="00F94BC2">
      <w:r>
        <w:t>____________________</w:t>
      </w:r>
    </w:p>
  </w:footnote>
  <w:footnote w:type="continuationSeparator" w:id="0">
    <w:p w:rsidR="00F94BC2" w:rsidRDefault="00F9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C1" w:rsidRDefault="000507C1" w:rsidP="00CE1B90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E0685B">
      <w:rPr>
        <w:noProof/>
      </w:rPr>
      <w:t>2</w:t>
    </w:r>
    <w:r>
      <w:fldChar w:fldCharType="end"/>
    </w:r>
  </w:p>
  <w:p w:rsidR="00CE1B90" w:rsidRDefault="00CE1B90" w:rsidP="00E26429">
    <w:pPr>
      <w:pStyle w:val="Header"/>
    </w:pPr>
    <w:r>
      <w:t>PP1</w:t>
    </w:r>
    <w:r w:rsidR="004F7925">
      <w:t>8</w:t>
    </w:r>
    <w:r w:rsidR="00070CC9">
      <w:t>/93</w:t>
    </w:r>
    <w:r w:rsidR="00E26429"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32708"/>
    <w:rsid w:val="00041924"/>
    <w:rsid w:val="000507C1"/>
    <w:rsid w:val="00053B97"/>
    <w:rsid w:val="00070CC9"/>
    <w:rsid w:val="00082EB9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2F28"/>
    <w:rsid w:val="00146057"/>
    <w:rsid w:val="0016633C"/>
    <w:rsid w:val="00171990"/>
    <w:rsid w:val="00195B70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115E0"/>
    <w:rsid w:val="00215F12"/>
    <w:rsid w:val="00232B31"/>
    <w:rsid w:val="00235A3B"/>
    <w:rsid w:val="00243BE4"/>
    <w:rsid w:val="00257188"/>
    <w:rsid w:val="002578B4"/>
    <w:rsid w:val="00267D12"/>
    <w:rsid w:val="00281792"/>
    <w:rsid w:val="0028799E"/>
    <w:rsid w:val="002962A8"/>
    <w:rsid w:val="002A56C0"/>
    <w:rsid w:val="002E77F4"/>
    <w:rsid w:val="002F36B9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61B1A"/>
    <w:rsid w:val="00373A0D"/>
    <w:rsid w:val="003740BC"/>
    <w:rsid w:val="00375076"/>
    <w:rsid w:val="00375BBA"/>
    <w:rsid w:val="003826EA"/>
    <w:rsid w:val="00395CE4"/>
    <w:rsid w:val="003A32AD"/>
    <w:rsid w:val="003A3938"/>
    <w:rsid w:val="003A4E67"/>
    <w:rsid w:val="003A5FFB"/>
    <w:rsid w:val="003A7FB6"/>
    <w:rsid w:val="003B3751"/>
    <w:rsid w:val="003F0763"/>
    <w:rsid w:val="003F5771"/>
    <w:rsid w:val="004014B0"/>
    <w:rsid w:val="004059B0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797"/>
    <w:rsid w:val="004B0C10"/>
    <w:rsid w:val="004C19D7"/>
    <w:rsid w:val="004C297B"/>
    <w:rsid w:val="004C73C9"/>
    <w:rsid w:val="004E01FA"/>
    <w:rsid w:val="004E6764"/>
    <w:rsid w:val="004F041D"/>
    <w:rsid w:val="004F1C55"/>
    <w:rsid w:val="004F7925"/>
    <w:rsid w:val="00504FE5"/>
    <w:rsid w:val="00507348"/>
    <w:rsid w:val="00522C97"/>
    <w:rsid w:val="005356FD"/>
    <w:rsid w:val="00547D75"/>
    <w:rsid w:val="00551C8B"/>
    <w:rsid w:val="00554E24"/>
    <w:rsid w:val="00555A0F"/>
    <w:rsid w:val="00567130"/>
    <w:rsid w:val="0057034B"/>
    <w:rsid w:val="00581E8F"/>
    <w:rsid w:val="00586A98"/>
    <w:rsid w:val="005927A4"/>
    <w:rsid w:val="00596B48"/>
    <w:rsid w:val="005B10E8"/>
    <w:rsid w:val="005B5026"/>
    <w:rsid w:val="005B661F"/>
    <w:rsid w:val="005C3315"/>
    <w:rsid w:val="005E1CC3"/>
    <w:rsid w:val="005F05C8"/>
    <w:rsid w:val="00604079"/>
    <w:rsid w:val="00617BE4"/>
    <w:rsid w:val="00620233"/>
    <w:rsid w:val="006404B0"/>
    <w:rsid w:val="0066499C"/>
    <w:rsid w:val="00676E68"/>
    <w:rsid w:val="006A7108"/>
    <w:rsid w:val="006B2035"/>
    <w:rsid w:val="006B40DA"/>
    <w:rsid w:val="006C5D5D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4C0B"/>
    <w:rsid w:val="00755067"/>
    <w:rsid w:val="007561B6"/>
    <w:rsid w:val="007648ED"/>
    <w:rsid w:val="007649DA"/>
    <w:rsid w:val="00765553"/>
    <w:rsid w:val="00777B8B"/>
    <w:rsid w:val="00794795"/>
    <w:rsid w:val="007949EA"/>
    <w:rsid w:val="00796849"/>
    <w:rsid w:val="00796DAE"/>
    <w:rsid w:val="007A59C3"/>
    <w:rsid w:val="007B0E06"/>
    <w:rsid w:val="007B30FC"/>
    <w:rsid w:val="007C3643"/>
    <w:rsid w:val="007D2EFB"/>
    <w:rsid w:val="007E00D2"/>
    <w:rsid w:val="007E2AD4"/>
    <w:rsid w:val="007E3469"/>
    <w:rsid w:val="007E7B63"/>
    <w:rsid w:val="00810AD6"/>
    <w:rsid w:val="0082780C"/>
    <w:rsid w:val="008333C7"/>
    <w:rsid w:val="00833E0F"/>
    <w:rsid w:val="008404FD"/>
    <w:rsid w:val="00841AB4"/>
    <w:rsid w:val="00846DBA"/>
    <w:rsid w:val="00850AEF"/>
    <w:rsid w:val="00855DAB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236FE"/>
    <w:rsid w:val="00940E00"/>
    <w:rsid w:val="00945D4B"/>
    <w:rsid w:val="00950E0F"/>
    <w:rsid w:val="0096150D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314A2"/>
    <w:rsid w:val="00A516BB"/>
    <w:rsid w:val="00A619C5"/>
    <w:rsid w:val="00A808E1"/>
    <w:rsid w:val="00A8262F"/>
    <w:rsid w:val="00A84B32"/>
    <w:rsid w:val="00A84B3A"/>
    <w:rsid w:val="00A93B71"/>
    <w:rsid w:val="00AB0B32"/>
    <w:rsid w:val="00AB2D04"/>
    <w:rsid w:val="00AB5C39"/>
    <w:rsid w:val="00AB75A9"/>
    <w:rsid w:val="00AD1C5C"/>
    <w:rsid w:val="00AD566F"/>
    <w:rsid w:val="00B156F9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C01349"/>
    <w:rsid w:val="00C04511"/>
    <w:rsid w:val="00C112A3"/>
    <w:rsid w:val="00C16846"/>
    <w:rsid w:val="00C34851"/>
    <w:rsid w:val="00C42A5B"/>
    <w:rsid w:val="00C56038"/>
    <w:rsid w:val="00C6729F"/>
    <w:rsid w:val="00C72664"/>
    <w:rsid w:val="00C86F24"/>
    <w:rsid w:val="00CA38C9"/>
    <w:rsid w:val="00CB4984"/>
    <w:rsid w:val="00CB5DD7"/>
    <w:rsid w:val="00CB7795"/>
    <w:rsid w:val="00CB77D5"/>
    <w:rsid w:val="00CC14F0"/>
    <w:rsid w:val="00CE1B90"/>
    <w:rsid w:val="00CE3B0F"/>
    <w:rsid w:val="00CE40BB"/>
    <w:rsid w:val="00CF1C71"/>
    <w:rsid w:val="00CF510F"/>
    <w:rsid w:val="00D07696"/>
    <w:rsid w:val="00D11956"/>
    <w:rsid w:val="00D15A98"/>
    <w:rsid w:val="00D500DC"/>
    <w:rsid w:val="00D54B39"/>
    <w:rsid w:val="00D64FF3"/>
    <w:rsid w:val="00D657A2"/>
    <w:rsid w:val="00D760C8"/>
    <w:rsid w:val="00D83FFD"/>
    <w:rsid w:val="00D8451F"/>
    <w:rsid w:val="00D8617D"/>
    <w:rsid w:val="00D92563"/>
    <w:rsid w:val="00DC7C10"/>
    <w:rsid w:val="00DD26B1"/>
    <w:rsid w:val="00DD5177"/>
    <w:rsid w:val="00DE16B8"/>
    <w:rsid w:val="00DE20DF"/>
    <w:rsid w:val="00DE4CC2"/>
    <w:rsid w:val="00DF23FC"/>
    <w:rsid w:val="00DF39CD"/>
    <w:rsid w:val="00DF3BBE"/>
    <w:rsid w:val="00E0094D"/>
    <w:rsid w:val="00E0685B"/>
    <w:rsid w:val="00E10A17"/>
    <w:rsid w:val="00E13427"/>
    <w:rsid w:val="00E1374D"/>
    <w:rsid w:val="00E20134"/>
    <w:rsid w:val="00E24CB2"/>
    <w:rsid w:val="00E26429"/>
    <w:rsid w:val="00E31D1C"/>
    <w:rsid w:val="00E32981"/>
    <w:rsid w:val="00E34312"/>
    <w:rsid w:val="00E3536D"/>
    <w:rsid w:val="00E44456"/>
    <w:rsid w:val="00E553B9"/>
    <w:rsid w:val="00E56E57"/>
    <w:rsid w:val="00E6599B"/>
    <w:rsid w:val="00E726DE"/>
    <w:rsid w:val="00E844D5"/>
    <w:rsid w:val="00E86536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342E4"/>
    <w:rsid w:val="00F35330"/>
    <w:rsid w:val="00F41C91"/>
    <w:rsid w:val="00F433A4"/>
    <w:rsid w:val="00F4421A"/>
    <w:rsid w:val="00F44B1A"/>
    <w:rsid w:val="00F47316"/>
    <w:rsid w:val="00F55DA5"/>
    <w:rsid w:val="00F94BC2"/>
    <w:rsid w:val="00F95ABE"/>
    <w:rsid w:val="00F9756D"/>
    <w:rsid w:val="00FB5F12"/>
    <w:rsid w:val="00FD417F"/>
    <w:rsid w:val="00FD7255"/>
    <w:rsid w:val="00FD7B1D"/>
    <w:rsid w:val="00FE1E22"/>
    <w:rsid w:val="00FF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3A4E67"/>
    <w:pPr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title"/>
    <w:next w:val="Normalaftertitle"/>
    <w:qFormat/>
    <w:rsid w:val="00142F28"/>
  </w:style>
  <w:style w:type="paragraph" w:customStyle="1" w:styleId="DecNo">
    <w:name w:val="Dec_No"/>
    <w:basedOn w:val="ResNo"/>
    <w:next w:val="Dectitle"/>
    <w:qFormat/>
    <w:rsid w:val="00142F28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CB7795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3A4E67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paragraph" w:customStyle="1" w:styleId="VolumeTitle">
    <w:name w:val="VolumeTitle"/>
    <w:basedOn w:val="Normal"/>
    <w:next w:val="Normal"/>
    <w:rsid w:val="00B156F9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215F12"/>
  </w:style>
  <w:style w:type="paragraph" w:customStyle="1" w:styleId="OP">
    <w:name w:val="OP"/>
    <w:basedOn w:val="Normal"/>
    <w:next w:val="Normal"/>
    <w:qFormat/>
    <w:rsid w:val="00FF04D6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</w:rPr>
  </w:style>
  <w:style w:type="paragraph" w:customStyle="1" w:styleId="OPtitle">
    <w:name w:val="OP_title"/>
    <w:basedOn w:val="Normal"/>
    <w:next w:val="Normalaftertitle"/>
    <w:qFormat/>
    <w:rsid w:val="00FF04D6"/>
    <w:pPr>
      <w:jc w:val="center"/>
    </w:pPr>
    <w:rPr>
      <w:b/>
      <w:bCs/>
    </w:rPr>
  </w:style>
  <w:style w:type="paragraph" w:customStyle="1" w:styleId="StyleCommitteeAfter0ptLinespacingsingle">
    <w:name w:val="Style Committee + After:  0 pt Line spacing:  single"/>
    <w:basedOn w:val="Committee"/>
    <w:rsid w:val="00841AB4"/>
    <w:pPr>
      <w:framePr w:wrap="around" w:hAnchor="text"/>
      <w:spacing w:after="0" w:line="240" w:lineRule="auto"/>
    </w:pPr>
    <w:rPr>
      <w:rFonts w:eastAsia="Times New Roman" w:cs="Times New Roman"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C01349"/>
    <w:rPr>
      <w:rFonts w:ascii="Calibri" w:hAnsi="Calibri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web/pp-18/en/speech/18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web/pp-18/en/speech/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web/pp-18/en/speech/1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Proposals for the work of the conference</vt:lpstr>
    </vt:vector>
  </TitlesOfParts>
  <Manager/>
  <Company/>
  <LinksUpToDate>false</LinksUpToDate>
  <CharactersWithSpaces>2635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Opening Ceremony</dc:title>
  <dc:subject>Plenipotentiary Conference (PP-18)</dc:subject>
  <dc:creator/>
  <cp:keywords>PP-18, Plenipotentiary</cp:keywords>
  <cp:lastModifiedBy/>
  <cp:revision>1</cp:revision>
  <dcterms:created xsi:type="dcterms:W3CDTF">2018-11-05T17:03:00Z</dcterms:created>
  <dcterms:modified xsi:type="dcterms:W3CDTF">2018-11-11T19:04:00Z</dcterms:modified>
  <cp:category>Conference document</cp:category>
</cp:coreProperties>
</file>