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5F3E4B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5F3E4B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5F3E4B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5F3E4B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5F3E4B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5F3E4B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5A1C35" w:rsidTr="00682B62">
        <w:trPr>
          <w:cantSplit/>
        </w:trPr>
        <w:tc>
          <w:tcPr>
            <w:tcW w:w="6911" w:type="dxa"/>
          </w:tcPr>
          <w:p w:rsidR="00255FA1" w:rsidRPr="005A1C35" w:rsidRDefault="00F83A81" w:rsidP="005F3E4B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5A1C35">
              <w:rPr>
                <w:lang w:val="es-ES"/>
              </w:rPr>
              <w:t>COM</w:t>
            </w:r>
            <w:r w:rsidR="005A1C35" w:rsidRPr="005A1C35">
              <w:rPr>
                <w:lang w:val="es-ES"/>
              </w:rPr>
              <w:t>ISIÓN</w:t>
            </w:r>
            <w:r w:rsidRPr="005A1C35">
              <w:rPr>
                <w:lang w:val="es-ES"/>
              </w:rPr>
              <w:t xml:space="preserve"> 3</w:t>
            </w:r>
          </w:p>
        </w:tc>
        <w:tc>
          <w:tcPr>
            <w:tcW w:w="3120" w:type="dxa"/>
          </w:tcPr>
          <w:p w:rsidR="00255FA1" w:rsidRPr="005A1C35" w:rsidRDefault="00F83A81" w:rsidP="005F3E4B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5A1C35">
              <w:rPr>
                <w:rFonts w:cstheme="minorHAnsi"/>
                <w:b/>
                <w:szCs w:val="24"/>
                <w:lang w:val="es-ES"/>
              </w:rPr>
              <w:t>Documento 74</w:t>
            </w:r>
            <w:r w:rsidR="00006EAE" w:rsidRPr="005A1C35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5A1C35" w:rsidTr="00682B62">
        <w:trPr>
          <w:cantSplit/>
        </w:trPr>
        <w:tc>
          <w:tcPr>
            <w:tcW w:w="6911" w:type="dxa"/>
          </w:tcPr>
          <w:p w:rsidR="00255FA1" w:rsidRPr="005A1C35" w:rsidRDefault="00255FA1" w:rsidP="005F3E4B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5A1C35" w:rsidRDefault="00F83A81" w:rsidP="005F3E4B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5A1C35">
              <w:rPr>
                <w:rStyle w:val="PageNumber"/>
                <w:b/>
                <w:szCs w:val="24"/>
                <w:lang w:val="es-ES"/>
              </w:rPr>
              <w:t>18</w:t>
            </w:r>
            <w:r w:rsidR="00006EAE" w:rsidRPr="005A1C35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5A1C35">
              <w:rPr>
                <w:rStyle w:val="PageNumber"/>
                <w:b/>
                <w:szCs w:val="24"/>
                <w:lang w:val="es-ES"/>
              </w:rPr>
              <w:t>octubre</w:t>
            </w:r>
            <w:r w:rsidR="00006EAE" w:rsidRPr="005A1C35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5A1C35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5A1C35" w:rsidTr="00682B62">
        <w:trPr>
          <w:cantSplit/>
        </w:trPr>
        <w:tc>
          <w:tcPr>
            <w:tcW w:w="6911" w:type="dxa"/>
          </w:tcPr>
          <w:p w:rsidR="00255FA1" w:rsidRPr="005A1C35" w:rsidRDefault="00255FA1" w:rsidP="005F3E4B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5A1C35" w:rsidRDefault="00006EAE" w:rsidP="005F3E4B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5A1C35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5A1C35" w:rsidTr="00682B62">
        <w:trPr>
          <w:cantSplit/>
        </w:trPr>
        <w:tc>
          <w:tcPr>
            <w:tcW w:w="10031" w:type="dxa"/>
            <w:gridSpan w:val="2"/>
          </w:tcPr>
          <w:p w:rsidR="00255FA1" w:rsidRPr="005A1C35" w:rsidRDefault="00255FA1" w:rsidP="005F3E4B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F83A81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5444E3" w:rsidP="005F3E4B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>Nota del Secretario General</w:t>
            </w:r>
          </w:p>
        </w:tc>
      </w:tr>
      <w:tr w:rsidR="00255FA1" w:rsidRPr="00F83A81" w:rsidTr="00682B62">
        <w:trPr>
          <w:cantSplit/>
        </w:trPr>
        <w:tc>
          <w:tcPr>
            <w:tcW w:w="10031" w:type="dxa"/>
            <w:gridSpan w:val="2"/>
          </w:tcPr>
          <w:p w:rsidR="00255FA1" w:rsidRPr="005A1C35" w:rsidRDefault="005A1C35" w:rsidP="005F3E4B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5A1C35">
              <w:rPr>
                <w:lang w:val="es-ES"/>
              </w:rPr>
              <w:t xml:space="preserve">estado financiero de la </w:t>
            </w:r>
            <w:r>
              <w:rPr>
                <w:lang w:val="es-ES"/>
              </w:rPr>
              <w:t>Conferencia de Plenipotenciarios</w:t>
            </w:r>
            <w:r w:rsidR="00F83A81" w:rsidRPr="005A1C35">
              <w:rPr>
                <w:lang w:val="es-ES"/>
              </w:rPr>
              <w:t xml:space="preserve"> (PP-18)</w:t>
            </w:r>
            <w:r w:rsidR="00F83A81" w:rsidRPr="005A1C35">
              <w:rPr>
                <w:lang w:val="es-ES"/>
              </w:rPr>
              <w:br/>
            </w:r>
            <w:r>
              <w:rPr>
                <w:lang w:val="es-ES"/>
              </w:rPr>
              <w:t>al</w:t>
            </w:r>
            <w:r w:rsidR="00F83A81" w:rsidRPr="005A1C35">
              <w:rPr>
                <w:lang w:val="es-ES"/>
              </w:rPr>
              <w:t xml:space="preserve"> 17 </w:t>
            </w:r>
            <w:r>
              <w:rPr>
                <w:lang w:val="es-ES"/>
              </w:rPr>
              <w:t>de octubre de</w:t>
            </w:r>
            <w:r w:rsidR="00F83A81" w:rsidRPr="005A1C35">
              <w:rPr>
                <w:lang w:val="es-ES"/>
              </w:rPr>
              <w:t xml:space="preserve"> 2018</w:t>
            </w:r>
          </w:p>
        </w:tc>
      </w:tr>
      <w:tr w:rsidR="00255FA1" w:rsidRPr="00F83A81" w:rsidTr="00682B62">
        <w:trPr>
          <w:cantSplit/>
        </w:trPr>
        <w:tc>
          <w:tcPr>
            <w:tcW w:w="10031" w:type="dxa"/>
            <w:gridSpan w:val="2"/>
          </w:tcPr>
          <w:p w:rsidR="00255FA1" w:rsidRPr="008019B6" w:rsidRDefault="00255FA1" w:rsidP="005F3E4B">
            <w:pPr>
              <w:pStyle w:val="Title2"/>
            </w:pPr>
            <w:bookmarkStart w:id="6" w:name="dtitle2" w:colFirst="0" w:colLast="0"/>
            <w:bookmarkEnd w:id="5"/>
          </w:p>
        </w:tc>
      </w:tr>
      <w:bookmarkEnd w:id="6"/>
    </w:tbl>
    <w:p w:rsidR="002B2D2B" w:rsidRDefault="002B2D2B" w:rsidP="002B2D2B">
      <w:pPr>
        <w:rPr>
          <w:lang w:val="es-ES"/>
        </w:rPr>
      </w:pPr>
    </w:p>
    <w:p w:rsidR="002B2D2B" w:rsidRDefault="002B2D2B" w:rsidP="002B2D2B">
      <w:pPr>
        <w:rPr>
          <w:lang w:val="es-ES"/>
        </w:rPr>
      </w:pPr>
    </w:p>
    <w:p w:rsidR="00F83A81" w:rsidRDefault="005A1C35" w:rsidP="002B2D2B">
      <w:pPr>
        <w:rPr>
          <w:lang w:val="es-ES"/>
        </w:rPr>
      </w:pPr>
      <w:r w:rsidRPr="005A1C35">
        <w:rPr>
          <w:lang w:val="es-ES"/>
        </w:rPr>
        <w:t xml:space="preserve">Tengo el honor de someter al examen de la Comisión de Control del Presupuesto el estado financiero de la </w:t>
      </w:r>
      <w:r>
        <w:rPr>
          <w:lang w:val="es-ES"/>
        </w:rPr>
        <w:t>Conferencia de Plenipotenciarios</w:t>
      </w:r>
      <w:r w:rsidR="00F83A81" w:rsidRPr="005A1C35">
        <w:rPr>
          <w:lang w:val="es-ES"/>
        </w:rPr>
        <w:t xml:space="preserve"> (PP-18) </w:t>
      </w:r>
      <w:r>
        <w:rPr>
          <w:lang w:val="es-ES"/>
        </w:rPr>
        <w:t>al</w:t>
      </w:r>
      <w:r w:rsidR="00F83A81" w:rsidRPr="005A1C35">
        <w:rPr>
          <w:lang w:val="es-ES"/>
        </w:rPr>
        <w:t xml:space="preserve"> 17 </w:t>
      </w:r>
      <w:r>
        <w:rPr>
          <w:lang w:val="es-ES"/>
        </w:rPr>
        <w:t>de octubre de</w:t>
      </w:r>
      <w:r w:rsidR="00F83A81" w:rsidRPr="005A1C35">
        <w:rPr>
          <w:lang w:val="es-ES"/>
        </w:rPr>
        <w:t xml:space="preserve"> 2018.</w:t>
      </w:r>
    </w:p>
    <w:p w:rsidR="002B2D2B" w:rsidRDefault="002B2D2B" w:rsidP="002B2D2B">
      <w:pPr>
        <w:rPr>
          <w:lang w:val="es-ES"/>
        </w:rPr>
      </w:pPr>
    </w:p>
    <w:p w:rsidR="00DB25FF" w:rsidRPr="005A1C35" w:rsidRDefault="00DB25FF" w:rsidP="002B2D2B">
      <w:pPr>
        <w:rPr>
          <w:lang w:val="es-ES"/>
        </w:rPr>
      </w:pPr>
    </w:p>
    <w:p w:rsidR="00F83A81" w:rsidRPr="005A1C35" w:rsidRDefault="00F83A81" w:rsidP="005F3E4B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0" w:firstLine="0"/>
        <w:jc w:val="center"/>
        <w:rPr>
          <w:rFonts w:asciiTheme="minorHAnsi" w:hAnsiTheme="minorHAnsi"/>
          <w:b w:val="0"/>
          <w:bCs/>
          <w:szCs w:val="24"/>
          <w:lang w:val="es-ES"/>
        </w:rPr>
      </w:pPr>
      <w:r w:rsidRPr="005A1C35">
        <w:rPr>
          <w:rFonts w:asciiTheme="minorHAnsi" w:hAnsiTheme="minorHAnsi"/>
          <w:b w:val="0"/>
          <w:bCs/>
          <w:szCs w:val="24"/>
          <w:lang w:val="es-ES"/>
        </w:rPr>
        <w:tab/>
      </w:r>
      <w:proofErr w:type="spellStart"/>
      <w:r w:rsidRPr="005A1C35">
        <w:rPr>
          <w:rFonts w:asciiTheme="minorHAnsi" w:hAnsiTheme="minorHAnsi"/>
          <w:b w:val="0"/>
          <w:bCs/>
          <w:szCs w:val="24"/>
          <w:lang w:val="es-ES"/>
        </w:rPr>
        <w:t>Houlin</w:t>
      </w:r>
      <w:proofErr w:type="spellEnd"/>
      <w:r w:rsidRPr="005A1C35">
        <w:rPr>
          <w:rFonts w:asciiTheme="minorHAnsi" w:hAnsiTheme="minorHAnsi"/>
          <w:b w:val="0"/>
          <w:bCs/>
          <w:szCs w:val="24"/>
          <w:lang w:val="es-ES"/>
        </w:rPr>
        <w:t xml:space="preserve"> </w:t>
      </w:r>
      <w:r w:rsidR="00371AAD" w:rsidRPr="005A1C35">
        <w:rPr>
          <w:rFonts w:asciiTheme="minorHAnsi" w:hAnsiTheme="minorHAnsi"/>
          <w:b w:val="0"/>
          <w:bCs/>
          <w:szCs w:val="24"/>
          <w:lang w:val="es-ES"/>
        </w:rPr>
        <w:t>ZHAO</w:t>
      </w:r>
      <w:bookmarkStart w:id="7" w:name="_GoBack"/>
      <w:bookmarkEnd w:id="7"/>
    </w:p>
    <w:p w:rsidR="00F83A81" w:rsidRDefault="00F83A81" w:rsidP="005F3E4B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  <w:lang w:val="es-ES"/>
        </w:rPr>
      </w:pPr>
      <w:r w:rsidRPr="005A1C35">
        <w:rPr>
          <w:rFonts w:asciiTheme="minorHAnsi" w:hAnsiTheme="minorHAnsi"/>
          <w:b w:val="0"/>
          <w:bCs/>
          <w:szCs w:val="24"/>
          <w:lang w:val="es-ES"/>
        </w:rPr>
        <w:tab/>
        <w:t>Secretar</w:t>
      </w:r>
      <w:r w:rsidR="005A1C35">
        <w:rPr>
          <w:rFonts w:asciiTheme="minorHAnsi" w:hAnsiTheme="minorHAnsi"/>
          <w:b w:val="0"/>
          <w:bCs/>
          <w:szCs w:val="24"/>
          <w:lang w:val="es-ES"/>
        </w:rPr>
        <w:t xml:space="preserve">io </w:t>
      </w:r>
      <w:r w:rsidRPr="005A1C35">
        <w:rPr>
          <w:rFonts w:asciiTheme="minorHAnsi" w:hAnsiTheme="minorHAnsi"/>
          <w:b w:val="0"/>
          <w:bCs/>
          <w:szCs w:val="24"/>
          <w:lang w:val="es-ES"/>
        </w:rPr>
        <w:t>General</w:t>
      </w:r>
    </w:p>
    <w:p w:rsidR="002B2D2B" w:rsidRPr="002B2D2B" w:rsidRDefault="002B2D2B" w:rsidP="002B2D2B">
      <w:pPr>
        <w:rPr>
          <w:lang w:val="es-ES"/>
        </w:rPr>
      </w:pPr>
    </w:p>
    <w:p w:rsidR="00872163" w:rsidRPr="00371AAD" w:rsidRDefault="00872163" w:rsidP="005F3E4B">
      <w:pPr>
        <w:pStyle w:val="AnnexNo"/>
        <w:spacing w:before="120"/>
        <w:rPr>
          <w:caps w:val="0"/>
          <w:sz w:val="24"/>
          <w:lang w:val="es-ES"/>
        </w:rPr>
      </w:pPr>
    </w:p>
    <w:p w:rsidR="00872163" w:rsidRDefault="00872163" w:rsidP="005F3E4B">
      <w:pPr>
        <w:pStyle w:val="AnnexNo"/>
        <w:spacing w:before="120"/>
        <w:sectPr w:rsidR="00872163" w:rsidSect="00F83A81">
          <w:footerReference w:type="default" r:id="rId7"/>
          <w:headerReference w:type="firs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F83A81" w:rsidRDefault="005444E3" w:rsidP="00AC1031">
      <w:pPr>
        <w:pStyle w:val="AnnexNo"/>
        <w:spacing w:before="0"/>
      </w:pPr>
      <w:r>
        <w:lastRenderedPageBreak/>
        <w:t>AN</w:t>
      </w:r>
      <w:r w:rsidR="00F83A81" w:rsidRPr="00E13D1C">
        <w:t>EX</w:t>
      </w:r>
      <w:r>
        <w:t>o</w:t>
      </w:r>
    </w:p>
    <w:p w:rsidR="00DB25FF" w:rsidRPr="00DB25FF" w:rsidRDefault="00DB25FF" w:rsidP="00AC1031">
      <w:pPr>
        <w:pStyle w:val="Annexref"/>
        <w:spacing w:before="20"/>
      </w:pPr>
      <w:r w:rsidRPr="005A1C35">
        <w:rPr>
          <w:rFonts w:asciiTheme="minorHAnsi" w:hAnsiTheme="minorHAnsi"/>
          <w:b/>
          <w:bCs/>
          <w:szCs w:val="28"/>
          <w:lang w:val="es-ES" w:eastAsia="en-GB"/>
        </w:rPr>
        <w:t>Estado financiero de la PP-18 al 17 de octubre de 2018</w:t>
      </w:r>
    </w:p>
    <w:tbl>
      <w:tblPr>
        <w:tblW w:w="13242" w:type="dxa"/>
        <w:jc w:val="center"/>
        <w:tblLook w:val="04A0" w:firstRow="1" w:lastRow="0" w:firstColumn="1" w:lastColumn="0" w:noHBand="0" w:noVBand="1"/>
      </w:tblPr>
      <w:tblGrid>
        <w:gridCol w:w="5194"/>
        <w:gridCol w:w="2029"/>
        <w:gridCol w:w="1960"/>
        <w:gridCol w:w="2295"/>
        <w:gridCol w:w="1764"/>
      </w:tblGrid>
      <w:tr w:rsidR="00F83A81" w:rsidRPr="005A1C35" w:rsidTr="00DB25FF">
        <w:trPr>
          <w:trHeight w:val="300"/>
          <w:jc w:val="center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es-ES" w:eastAsia="en-GB"/>
              </w:rPr>
            </w:pPr>
          </w:p>
        </w:tc>
        <w:tc>
          <w:tcPr>
            <w:tcW w:w="8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3A81" w:rsidRPr="005A1C35" w:rsidRDefault="00F83A81" w:rsidP="00FA13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val="es-ES" w:eastAsia="en-GB"/>
              </w:rPr>
              <w:t>CHF(000)</w:t>
            </w:r>
          </w:p>
        </w:tc>
      </w:tr>
      <w:tr w:rsidR="00F83A81" w:rsidRPr="005A1C35" w:rsidTr="00FA1380">
        <w:trPr>
          <w:trHeight w:val="150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pStyle w:val="Tablehead"/>
              <w:rPr>
                <w:lang w:val="es-ES" w:eastAsia="en-GB"/>
              </w:rPr>
            </w:pPr>
            <w:r w:rsidRPr="005A1C35">
              <w:rPr>
                <w:lang w:val="es-ES" w:eastAsia="en-GB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A81" w:rsidRPr="005A1C35" w:rsidRDefault="00872163" w:rsidP="00DB25FF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Presupuesto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="00F83A81" w:rsidRPr="005A1C35">
              <w:rPr>
                <w:bCs/>
                <w:szCs w:val="22"/>
                <w:lang w:val="es-ES" w:eastAsia="en-GB"/>
              </w:rPr>
              <w:t>2018-2019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1" w:rsidRPr="005A1C35" w:rsidRDefault="00872163" w:rsidP="00DB25FF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Gastos y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Pr="005A1C35">
              <w:rPr>
                <w:bCs/>
                <w:szCs w:val="22"/>
                <w:lang w:val="es-ES" w:eastAsia="en-GB"/>
              </w:rPr>
              <w:t>obligaciones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Pr="005A1C35">
              <w:rPr>
                <w:bCs/>
                <w:szCs w:val="22"/>
                <w:lang w:val="es-ES" w:eastAsia="en-GB"/>
              </w:rPr>
              <w:t>efectivas a</w:t>
            </w:r>
            <w:r w:rsidRPr="005A1C35">
              <w:rPr>
                <w:bCs/>
                <w:szCs w:val="22"/>
                <w:lang w:val="es-ES" w:eastAsia="en-GB"/>
              </w:rPr>
              <w:br/>
              <w:t>17 de octubre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Pr="005A1C35">
              <w:rPr>
                <w:bCs/>
                <w:szCs w:val="22"/>
                <w:lang w:val="es-ES" w:eastAsia="en-GB"/>
              </w:rPr>
              <w:t>de</w:t>
            </w:r>
            <w:r w:rsidR="00F83A81" w:rsidRPr="005A1C35">
              <w:rPr>
                <w:bCs/>
                <w:szCs w:val="22"/>
                <w:lang w:val="es-ES" w:eastAsia="en-GB"/>
              </w:rPr>
              <w:t xml:space="preserve"> 2018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1" w:rsidRPr="005A1C35" w:rsidRDefault="00872163" w:rsidP="00DB25FF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Gastos totales previstos hasta el final de la Conferencia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1" w:rsidRPr="005A1C35" w:rsidRDefault="00872163" w:rsidP="00DB25FF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Balance previsto</w:t>
            </w:r>
          </w:p>
        </w:tc>
      </w:tr>
      <w:tr w:rsidR="005444E3" w:rsidRPr="005A1C35" w:rsidTr="00002EB1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E76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Gastos de personal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628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83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Otros gastos de personal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11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Viajes en misión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22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Servicios por contrata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71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14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Arriendo y mantenimiento de instalaciones y equipos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Material y suministro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-2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Adquisición de instalaciones y equipos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10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Servicios públicos e internos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Varios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</w:tr>
      <w:tr w:rsidR="00F83A81" w:rsidRPr="00371AAD" w:rsidTr="00371AAD">
        <w:trPr>
          <w:trHeight w:val="113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371AAD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F83A81" w:rsidRPr="005A1C35" w:rsidTr="00DB25FF">
        <w:trPr>
          <w:trHeight w:val="60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Sub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total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741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603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138</w:t>
            </w:r>
          </w:p>
        </w:tc>
      </w:tr>
      <w:tr w:rsidR="005444E3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highlight w:val="yellow"/>
                <w:lang w:val="es-ES" w:eastAsia="en-GB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Traducciones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428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530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58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Mecanografía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191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210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Reprogr</w:t>
            </w:r>
            <w:r w:rsidR="00872163"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afía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6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Documentació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n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632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774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66</w:t>
            </w:r>
          </w:p>
        </w:tc>
      </w:tr>
      <w:tr w:rsidR="00F83A81" w:rsidRPr="005A1C35" w:rsidTr="00002EB1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</w:tr>
      <w:tr w:rsidR="00F83A81" w:rsidRPr="005A1C35" w:rsidTr="00C33F37">
        <w:trPr>
          <w:trHeight w:val="285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F83A81" w:rsidP="005F3E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TOTAL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2 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373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377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DB2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204</w:t>
            </w:r>
          </w:p>
        </w:tc>
      </w:tr>
    </w:tbl>
    <w:p w:rsidR="002760DC" w:rsidRPr="00371AAD" w:rsidRDefault="002760DC" w:rsidP="00002EB1">
      <w:pPr>
        <w:pStyle w:val="Reasons"/>
        <w:spacing w:before="0"/>
        <w:rPr>
          <w:sz w:val="16"/>
          <w:szCs w:val="16"/>
          <w:lang w:val="es-ES"/>
        </w:rPr>
      </w:pPr>
    </w:p>
    <w:p w:rsidR="00255FA1" w:rsidRPr="005A1C35" w:rsidRDefault="002760DC" w:rsidP="00002EB1">
      <w:pPr>
        <w:spacing w:before="0"/>
        <w:jc w:val="center"/>
        <w:rPr>
          <w:rStyle w:val="PageNumber"/>
          <w:lang w:val="es-ES"/>
        </w:rPr>
      </w:pPr>
      <w:r w:rsidRPr="005A1C35">
        <w:rPr>
          <w:lang w:val="es-ES"/>
        </w:rPr>
        <w:t>______________</w:t>
      </w:r>
    </w:p>
    <w:sectPr w:rsidR="00255FA1" w:rsidRPr="005A1C35" w:rsidSect="002760DC">
      <w:footerReference w:type="default" r:id="rId10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81" w:rsidRDefault="00F83A81">
      <w:r>
        <w:separator/>
      </w:r>
    </w:p>
  </w:endnote>
  <w:endnote w:type="continuationSeparator" w:id="0">
    <w:p w:rsidR="00F83A81" w:rsidRDefault="00F8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DC" w:rsidRPr="000C4167" w:rsidRDefault="002760DC" w:rsidP="002760DC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A63A9" w:rsidRPr="002760DC" w:rsidRDefault="004A63A9" w:rsidP="002760D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371AAD" w:rsidRDefault="008019B6" w:rsidP="008019B6">
    <w:pPr>
      <w:pStyle w:val="Footer"/>
      <w:rPr>
        <w:color w:val="D9D9D9" w:themeColor="background1" w:themeShade="D9"/>
        <w:lang w:val="en-US"/>
      </w:rPr>
    </w:pPr>
    <w:r w:rsidRPr="00371AAD">
      <w:rPr>
        <w:color w:val="D9D9D9" w:themeColor="background1" w:themeShade="D9"/>
        <w:lang w:val="en-US"/>
      </w:rPr>
      <w:fldChar w:fldCharType="begin"/>
    </w:r>
    <w:r w:rsidRPr="00371AAD">
      <w:rPr>
        <w:color w:val="D9D9D9" w:themeColor="background1" w:themeShade="D9"/>
        <w:lang w:val="en-US"/>
      </w:rPr>
      <w:instrText xml:space="preserve"> FILENAME \p  \* MERGEFORMAT </w:instrText>
    </w:r>
    <w:r w:rsidRPr="00371AAD">
      <w:rPr>
        <w:color w:val="D9D9D9" w:themeColor="background1" w:themeShade="D9"/>
        <w:lang w:val="en-US"/>
      </w:rPr>
      <w:fldChar w:fldCharType="separate"/>
    </w:r>
    <w:r w:rsidR="00DB25FF" w:rsidRPr="00371AAD">
      <w:rPr>
        <w:color w:val="D9D9D9" w:themeColor="background1" w:themeShade="D9"/>
        <w:lang w:val="en-US"/>
      </w:rPr>
      <w:t>P:\ESP\SG\CONF-SG\PP18\000\074S.docx</w:t>
    </w:r>
    <w:r w:rsidRPr="00371AAD">
      <w:rPr>
        <w:color w:val="D9D9D9" w:themeColor="background1" w:themeShade="D9"/>
        <w:lang w:val="en-US"/>
      </w:rPr>
      <w:fldChar w:fldCharType="end"/>
    </w:r>
    <w:r w:rsidRPr="00371AAD">
      <w:rPr>
        <w:color w:val="D9D9D9" w:themeColor="background1" w:themeShade="D9"/>
        <w:lang w:val="en-US"/>
      </w:rPr>
      <w:t xml:space="preserve"> (445416)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DC" w:rsidRPr="002760DC" w:rsidRDefault="002760DC" w:rsidP="002760DC">
    <w:pPr>
      <w:pStyle w:val="Footer"/>
      <w:rPr>
        <w:lang w:val="en-US"/>
      </w:rPr>
    </w:pPr>
    <w:r>
      <w:fldChar w:fldCharType="begin"/>
    </w:r>
    <w:r w:rsidRPr="002760DC">
      <w:rPr>
        <w:lang w:val="en-US"/>
      </w:rPr>
      <w:instrText xml:space="preserve"> FILENAME \p  \* MERGEFORMAT </w:instrText>
    </w:r>
    <w:r>
      <w:fldChar w:fldCharType="separate"/>
    </w:r>
    <w:r w:rsidR="00DB25FF">
      <w:rPr>
        <w:lang w:val="en-US"/>
      </w:rPr>
      <w:t>P:\ESP\SG\CONF-SG\PP18\000\074S.docx</w:t>
    </w:r>
    <w:r>
      <w:fldChar w:fldCharType="end"/>
    </w:r>
    <w:r>
      <w:rPr>
        <w:lang w:val="en-US"/>
      </w:rPr>
      <w:t xml:space="preserve"> (445416</w:t>
    </w:r>
    <w:r w:rsidRPr="002760DC">
      <w:rPr>
        <w:lang w:val="en-US"/>
      </w:rPr>
      <w:t>)</w:t>
    </w:r>
    <w:r>
      <w:rPr>
        <w:lang w:val="en-US"/>
      </w:rPr>
      <w:tab/>
    </w:r>
    <w:r>
      <w:rPr>
        <w:lang w:val="en-US"/>
      </w:rPr>
      <w:tab/>
      <w:t>jgm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81" w:rsidRDefault="00F83A81">
      <w:r>
        <w:t>____________________</w:t>
      </w:r>
    </w:p>
  </w:footnote>
  <w:footnote w:type="continuationSeparator" w:id="0">
    <w:p w:rsidR="00F83A81" w:rsidRDefault="00F8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516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75F8" w:rsidRDefault="008C75F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5F8" w:rsidRDefault="008C75F8">
    <w:pPr>
      <w:pStyle w:val="Header"/>
      <w:rPr>
        <w:rStyle w:val="PageNumber"/>
        <w:rFonts w:asciiTheme="minorHAnsi" w:hAnsiTheme="minorHAnsi"/>
      </w:rPr>
    </w:pPr>
    <w:r w:rsidRPr="00732512">
      <w:rPr>
        <w:rStyle w:val="PageNumber"/>
        <w:rFonts w:asciiTheme="minorHAnsi" w:hAnsiTheme="minorHAnsi"/>
      </w:rPr>
      <w:t>PP1</w:t>
    </w:r>
    <w:r>
      <w:rPr>
        <w:rStyle w:val="PageNumber"/>
        <w:rFonts w:asciiTheme="minorHAnsi" w:hAnsiTheme="minorHAnsi"/>
      </w:rPr>
      <w:t>8</w:t>
    </w:r>
    <w:r w:rsidRPr="00732512">
      <w:rPr>
        <w:rStyle w:val="PageNumber"/>
        <w:rFonts w:asciiTheme="minorHAnsi" w:hAnsiTheme="minorHAnsi"/>
      </w:rPr>
      <w:t>/</w:t>
    </w:r>
    <w:r>
      <w:rPr>
        <w:rStyle w:val="PageNumber"/>
        <w:rFonts w:asciiTheme="minorHAnsi" w:hAnsiTheme="minorHAnsi"/>
      </w:rPr>
      <w:t>74</w:t>
    </w:r>
    <w:r w:rsidRPr="00732512">
      <w:rPr>
        <w:rStyle w:val="PageNumber"/>
        <w:rFonts w:asciiTheme="minorHAnsi" w:hAnsiTheme="minorHAnsi"/>
      </w:rPr>
      <w:t>-</w:t>
    </w:r>
    <w:r>
      <w:rPr>
        <w:rStyle w:val="PageNumber"/>
        <w:rFonts w:asciiTheme="minorHAnsi" w:hAnsiTheme="minorHAnsi"/>
      </w:rPr>
      <w:t>S</w:t>
    </w:r>
  </w:p>
  <w:p w:rsidR="00371AAD" w:rsidRDefault="00371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81"/>
    <w:rsid w:val="0000188C"/>
    <w:rsid w:val="00002EB1"/>
    <w:rsid w:val="00006EAE"/>
    <w:rsid w:val="000863AB"/>
    <w:rsid w:val="000A1523"/>
    <w:rsid w:val="000B1752"/>
    <w:rsid w:val="0010546D"/>
    <w:rsid w:val="00135F93"/>
    <w:rsid w:val="001632E3"/>
    <w:rsid w:val="001729A9"/>
    <w:rsid w:val="001B6E76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64E2D"/>
    <w:rsid w:val="002760DC"/>
    <w:rsid w:val="002B2D2B"/>
    <w:rsid w:val="002C6527"/>
    <w:rsid w:val="002E44FC"/>
    <w:rsid w:val="003707E5"/>
    <w:rsid w:val="00371AAD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44E3"/>
    <w:rsid w:val="005470E8"/>
    <w:rsid w:val="00550FCF"/>
    <w:rsid w:val="00556958"/>
    <w:rsid w:val="00565F7F"/>
    <w:rsid w:val="00567ED5"/>
    <w:rsid w:val="005A1C35"/>
    <w:rsid w:val="005D1164"/>
    <w:rsid w:val="005D6488"/>
    <w:rsid w:val="005F3E4B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F6EBC"/>
    <w:rsid w:val="008019B6"/>
    <w:rsid w:val="00872163"/>
    <w:rsid w:val="00882773"/>
    <w:rsid w:val="008B4706"/>
    <w:rsid w:val="008B6676"/>
    <w:rsid w:val="008C75F8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203BD"/>
    <w:rsid w:val="00A70E95"/>
    <w:rsid w:val="00AA1F73"/>
    <w:rsid w:val="00AB34CA"/>
    <w:rsid w:val="00AC1031"/>
    <w:rsid w:val="00AD400E"/>
    <w:rsid w:val="00AF0DC5"/>
    <w:rsid w:val="00B501AB"/>
    <w:rsid w:val="00B73978"/>
    <w:rsid w:val="00B77C4D"/>
    <w:rsid w:val="00BB13FE"/>
    <w:rsid w:val="00BC7EE2"/>
    <w:rsid w:val="00BF5475"/>
    <w:rsid w:val="00C33F37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B25FF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83A81"/>
    <w:rsid w:val="00FA1380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8FB23FD-63CC-4D1A-8AEE-5E9A2F1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4</TotalTime>
  <Pages>2</Pages>
  <Words>218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Marin Matas, Juan Gabriel</dc:creator>
  <cp:keywords/>
  <dc:description/>
  <cp:lastModifiedBy>Brouard, Ricarda</cp:lastModifiedBy>
  <cp:revision>2</cp:revision>
  <cp:lastPrinted>2018-10-18T14:51:00Z</cp:lastPrinted>
  <dcterms:created xsi:type="dcterms:W3CDTF">2018-10-25T05:38:00Z</dcterms:created>
  <dcterms:modified xsi:type="dcterms:W3CDTF">2018-10-25T05:38:00Z</dcterms:modified>
  <cp:category>Conference document</cp:category>
</cp:coreProperties>
</file>