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0B3EB4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4C5591">
              <w:rPr>
                <w:rFonts w:hint="cs"/>
                <w:b/>
                <w:bCs/>
                <w:rtl/>
                <w:lang w:bidi="ar-EG"/>
              </w:rPr>
              <w:t xml:space="preserve">اللجنة </w:t>
            </w:r>
            <w:r w:rsidRPr="004C5591">
              <w:rPr>
                <w:b/>
                <w:bCs/>
                <w:lang w:bidi="ar-EG"/>
              </w:rPr>
              <w:t>3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0B3EB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B3EB4">
              <w:rPr>
                <w:b/>
                <w:bCs/>
                <w:lang w:val="en-GB" w:bidi="ar-SY"/>
              </w:rPr>
              <w:t>74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0B3EB4" w:rsidP="000B3EB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0B3EB4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C16AEE" w:rsidP="003132DF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البيان المالي لمؤتمر المندوبين المفوضين </w:t>
            </w:r>
            <w:r>
              <w:rPr>
                <w:lang w:bidi="ar-SY"/>
              </w:rPr>
              <w:t>(PP-18)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في </w:t>
            </w:r>
            <w:r>
              <w:rPr>
                <w:lang w:bidi="ar-SY"/>
              </w:rPr>
              <w:t>17</w:t>
            </w:r>
            <w:r>
              <w:rPr>
                <w:rFonts w:hint="cs"/>
                <w:rtl/>
                <w:lang w:bidi="ar-SY"/>
              </w:rPr>
              <w:t xml:space="preserve"> أكتوبر </w:t>
            </w:r>
            <w:r>
              <w:rPr>
                <w:lang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Default="00C16AEE" w:rsidP="004F6A10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يُشرفني أن أقدم في هذه الوثيقة البيان المالي لمؤتمر المندوبين المفوضين </w:t>
      </w:r>
      <w:r>
        <w:rPr>
          <w:lang w:bidi="ar-SY"/>
        </w:rPr>
        <w:t>(PP-18)</w:t>
      </w:r>
      <w:r>
        <w:rPr>
          <w:rFonts w:hint="cs"/>
          <w:rtl/>
          <w:lang w:bidi="ar-SY"/>
        </w:rPr>
        <w:t xml:space="preserve"> في </w:t>
      </w:r>
      <w:r>
        <w:rPr>
          <w:lang w:bidi="ar-SY"/>
        </w:rPr>
        <w:t>17</w:t>
      </w:r>
      <w:r>
        <w:rPr>
          <w:rFonts w:hint="cs"/>
          <w:rtl/>
          <w:lang w:bidi="ar-SY"/>
        </w:rPr>
        <w:t xml:space="preserve"> أكتوبر </w:t>
      </w:r>
      <w:r>
        <w:rPr>
          <w:lang w:bidi="ar-SY"/>
        </w:rPr>
        <w:t>2018</w:t>
      </w:r>
      <w:r>
        <w:rPr>
          <w:rFonts w:hint="cs"/>
          <w:rtl/>
          <w:lang w:bidi="ar-SY"/>
        </w:rPr>
        <w:t xml:space="preserve"> لكي تنظر فيه لجنة مراقبة الميزانية.</w:t>
      </w:r>
    </w:p>
    <w:p w:rsidR="000B3EB4" w:rsidRDefault="000B3EB4" w:rsidP="00A81F42">
      <w:pPr>
        <w:spacing w:before="1440"/>
        <w:ind w:left="4820"/>
        <w:jc w:val="center"/>
        <w:rPr>
          <w:rtl/>
        </w:rPr>
      </w:pPr>
      <w:r>
        <w:rPr>
          <w:rFonts w:hint="cs"/>
          <w:rtl/>
        </w:rPr>
        <w:t>هولين جاو</w:t>
      </w:r>
      <w:r w:rsidR="00A81F42">
        <w:rPr>
          <w:rtl/>
        </w:rPr>
        <w:br/>
      </w:r>
      <w:r>
        <w:rPr>
          <w:rFonts w:hint="cs"/>
          <w:rtl/>
        </w:rPr>
        <w:t>الأمين العام</w:t>
      </w:r>
    </w:p>
    <w:p w:rsidR="00C16AEE" w:rsidRDefault="00C16AEE" w:rsidP="000B3EB4">
      <w:pPr>
        <w:rPr>
          <w:rtl/>
        </w:rPr>
      </w:pPr>
    </w:p>
    <w:p w:rsidR="00C16AEE" w:rsidRDefault="00C16AEE" w:rsidP="000B3EB4">
      <w:pPr>
        <w:rPr>
          <w:rtl/>
        </w:rPr>
      </w:pPr>
    </w:p>
    <w:p w:rsidR="00C16AEE" w:rsidRDefault="00C16AEE" w:rsidP="000B3EB4">
      <w:pPr>
        <w:rPr>
          <w:rtl/>
        </w:rPr>
      </w:pPr>
    </w:p>
    <w:p w:rsidR="00C16AEE" w:rsidRDefault="00C16AEE" w:rsidP="000B3EB4">
      <w:pPr>
        <w:rPr>
          <w:rtl/>
        </w:rPr>
      </w:pPr>
    </w:p>
    <w:p w:rsidR="00C16AEE" w:rsidRDefault="00C16AEE" w:rsidP="000B3EB4">
      <w:pPr>
        <w:rPr>
          <w:rtl/>
        </w:rPr>
      </w:pPr>
    </w:p>
    <w:p w:rsidR="00C16AEE" w:rsidRDefault="00C16AEE" w:rsidP="000B3EB4">
      <w:pPr>
        <w:rPr>
          <w:rtl/>
        </w:rPr>
      </w:pPr>
    </w:p>
    <w:p w:rsidR="00C16AEE" w:rsidRDefault="00C16AEE" w:rsidP="000B3EB4">
      <w:pPr>
        <w:rPr>
          <w:rtl/>
        </w:rPr>
      </w:pPr>
    </w:p>
    <w:p w:rsidR="000B3EB4" w:rsidRDefault="000B3EB4" w:rsidP="000B3EB4">
      <w:pPr>
        <w:rPr>
          <w:rtl/>
          <w:lang w:bidi="ar-EG"/>
        </w:rPr>
      </w:pPr>
      <w:r w:rsidRPr="00C16AEE">
        <w:rPr>
          <w:rFonts w:hint="cs"/>
          <w:b/>
          <w:bCs/>
          <w:rtl/>
        </w:rPr>
        <w:t>الملحق</w:t>
      </w:r>
      <w:r w:rsidR="00C16AEE">
        <w:rPr>
          <w:rFonts w:hint="cs"/>
          <w:b/>
          <w:bCs/>
          <w:rtl/>
        </w:rPr>
        <w:t>ات</w:t>
      </w:r>
      <w:r w:rsidRPr="00C16AEE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>
        <w:t>1</w:t>
      </w:r>
    </w:p>
    <w:p w:rsidR="007B3021" w:rsidRDefault="007B3021" w:rsidP="000B3EB4">
      <w:pPr>
        <w:rPr>
          <w:rtl/>
          <w:lang w:bidi="ar-EG"/>
        </w:rPr>
      </w:pPr>
    </w:p>
    <w:p w:rsidR="007B3021" w:rsidRDefault="007B3021" w:rsidP="000B3EB4">
      <w:pPr>
        <w:rPr>
          <w:rtl/>
          <w:lang w:bidi="ar-EG"/>
        </w:rPr>
        <w:sectPr w:rsidR="007B3021" w:rsidSect="001100B7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0B3EB4" w:rsidRDefault="000B3EB4" w:rsidP="00AC6510">
      <w:pPr>
        <w:pStyle w:val="AnnexNo"/>
        <w:spacing w:before="0"/>
      </w:pPr>
      <w:r>
        <w:rPr>
          <w:rFonts w:hint="cs"/>
          <w:rtl/>
        </w:rPr>
        <w:lastRenderedPageBreak/>
        <w:t>الملحق</w:t>
      </w:r>
    </w:p>
    <w:p w:rsidR="000B3EB4" w:rsidRDefault="00C16AEE" w:rsidP="00AC6510">
      <w:pPr>
        <w:pStyle w:val="Annextitle"/>
        <w:spacing w:after="120"/>
      </w:pPr>
      <w:r>
        <w:rPr>
          <w:rFonts w:hint="cs"/>
          <w:rtl/>
        </w:rPr>
        <w:t xml:space="preserve">بيان النفقات لمؤتمر المندوبين المفوضين لعام </w:t>
      </w:r>
      <w:r>
        <w:t>2018</w:t>
      </w:r>
      <w:r>
        <w:rPr>
          <w:rFonts w:hint="cs"/>
          <w:rtl/>
        </w:rPr>
        <w:t xml:space="preserve">، في </w:t>
      </w:r>
      <w:r>
        <w:t>17</w:t>
      </w:r>
      <w:r>
        <w:rPr>
          <w:rFonts w:hint="cs"/>
          <w:rtl/>
        </w:rPr>
        <w:t xml:space="preserve"> أكتوبر </w:t>
      </w:r>
      <w:r>
        <w:t>2018</w:t>
      </w:r>
    </w:p>
    <w:tbl>
      <w:tblPr>
        <w:bidiVisual/>
        <w:tblW w:w="11199" w:type="dxa"/>
        <w:jc w:val="center"/>
        <w:tblLook w:val="04A0" w:firstRow="1" w:lastRow="0" w:firstColumn="1" w:lastColumn="0" w:noHBand="0" w:noVBand="1"/>
      </w:tblPr>
      <w:tblGrid>
        <w:gridCol w:w="5387"/>
        <w:gridCol w:w="1276"/>
        <w:gridCol w:w="1747"/>
        <w:gridCol w:w="1486"/>
        <w:gridCol w:w="1303"/>
      </w:tblGrid>
      <w:tr w:rsidR="009E687D" w:rsidRPr="00A3767A" w:rsidTr="009E687D">
        <w:trPr>
          <w:trHeight w:val="30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7D" w:rsidRPr="00A3767A" w:rsidRDefault="009E687D" w:rsidP="00AC6510">
            <w:pPr>
              <w:spacing w:before="40" w:after="40" w:line="230" w:lineRule="exact"/>
              <w:rPr>
                <w:position w:val="2"/>
                <w:lang w:eastAsia="en-GB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center"/>
              <w:rPr>
                <w:i/>
                <w:iCs/>
                <w:color w:val="000000"/>
                <w:position w:val="2"/>
                <w:sz w:val="26"/>
                <w:szCs w:val="26"/>
                <w:lang w:eastAsia="en-GB"/>
              </w:rPr>
            </w:pPr>
            <w:r w:rsidRPr="00AC6510">
              <w:rPr>
                <w:rFonts w:hint="cs"/>
                <w:i/>
                <w:iCs/>
                <w:color w:val="000000"/>
                <w:position w:val="2"/>
                <w:sz w:val="26"/>
                <w:szCs w:val="26"/>
                <w:rtl/>
                <w:lang w:eastAsia="en-GB"/>
              </w:rPr>
              <w:t>بآلاف الفرنكات السويسرية</w:t>
            </w:r>
          </w:p>
        </w:tc>
      </w:tr>
      <w:tr w:rsidR="009E687D" w:rsidRPr="00A3767A" w:rsidTr="00AC6510">
        <w:trPr>
          <w:trHeight w:val="781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AC6510">
              <w:rPr>
                <w:b/>
                <w:bCs/>
                <w:position w:val="2"/>
                <w:sz w:val="20"/>
                <w:szCs w:val="26"/>
                <w:rtl/>
              </w:rPr>
              <w:t>ميزانية</w:t>
            </w:r>
          </w:p>
          <w:p w:rsidR="009E687D" w:rsidRPr="00AC6510" w:rsidRDefault="009E687D" w:rsidP="00AC6510">
            <w:pPr>
              <w:spacing w:before="40" w:after="40" w:line="230" w:lineRule="exact"/>
              <w:jc w:val="center"/>
              <w:rPr>
                <w:b/>
                <w:bCs/>
                <w:color w:val="000000"/>
                <w:position w:val="2"/>
                <w:sz w:val="20"/>
                <w:szCs w:val="26"/>
                <w:highlight w:val="cyan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201</w:t>
            </w:r>
            <w:r w:rsidR="00A3767A"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9</w:t>
            </w: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-201</w:t>
            </w:r>
            <w:r w:rsidR="00A3767A"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7D" w:rsidRPr="00BE4809" w:rsidRDefault="00A3767A" w:rsidP="00F7535F">
            <w:pPr>
              <w:spacing w:before="40" w:after="40" w:line="230" w:lineRule="exact"/>
              <w:jc w:val="center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BE4809">
              <w:rPr>
                <w:rFonts w:eastAsia="Arial Unicode MS"/>
                <w:b/>
                <w:bCs/>
                <w:position w:val="2"/>
                <w:sz w:val="20"/>
                <w:szCs w:val="26"/>
                <w:rtl/>
              </w:rPr>
              <w:t xml:space="preserve">النفقات </w:t>
            </w:r>
            <w:r w:rsidRPr="00BE4809">
              <w:rPr>
                <w:rFonts w:eastAsia="Arial Unicode MS" w:hint="cs"/>
                <w:b/>
                <w:bCs/>
                <w:position w:val="2"/>
                <w:sz w:val="20"/>
                <w:szCs w:val="26"/>
                <w:rtl/>
              </w:rPr>
              <w:t>الفعلية</w:t>
            </w:r>
            <w:r w:rsidR="00B24595">
              <w:rPr>
                <w:rFonts w:eastAsia="Arial Unicode MS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BE4809">
              <w:rPr>
                <w:rFonts w:eastAsia="Arial Unicode MS" w:hint="cs"/>
                <w:b/>
                <w:bCs/>
                <w:position w:val="2"/>
                <w:sz w:val="20"/>
                <w:szCs w:val="26"/>
                <w:rtl/>
              </w:rPr>
              <w:t xml:space="preserve">والالتزامات </w:t>
            </w:r>
            <w:r w:rsidR="00C16AEE" w:rsidRPr="00BE4809">
              <w:rPr>
                <w:rFonts w:eastAsia="Arial Unicode MS" w:hint="cs"/>
                <w:b/>
                <w:bCs/>
                <w:position w:val="2"/>
                <w:sz w:val="20"/>
                <w:szCs w:val="26"/>
                <w:rtl/>
                <w:lang w:bidi="ar-SY"/>
              </w:rPr>
              <w:t>في</w:t>
            </w:r>
            <w:r w:rsidR="00F7535F">
              <w:rPr>
                <w:rFonts w:eastAsia="Arial Unicode MS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BE4809">
              <w:rPr>
                <w:rFonts w:eastAsia="Arial Unicode MS"/>
                <w:b/>
                <w:bCs/>
                <w:position w:val="2"/>
                <w:sz w:val="20"/>
                <w:szCs w:val="26"/>
              </w:rPr>
              <w:t>17</w:t>
            </w:r>
            <w:r w:rsidR="00C16AEE" w:rsidRPr="00BE4809">
              <w:rPr>
                <w:rFonts w:eastAsia="Arial Unicode MS" w:hint="eastAsia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BE4809">
              <w:rPr>
                <w:rFonts w:eastAsia="Arial Unicode MS" w:hint="cs"/>
                <w:b/>
                <w:bCs/>
                <w:position w:val="2"/>
                <w:sz w:val="20"/>
                <w:szCs w:val="26"/>
                <w:rtl/>
              </w:rPr>
              <w:t xml:space="preserve">أكتوبر </w:t>
            </w:r>
            <w:r w:rsidRPr="00BE4809">
              <w:rPr>
                <w:rFonts w:eastAsia="Arial Unicode MS"/>
                <w:b/>
                <w:bCs/>
                <w:position w:val="2"/>
                <w:sz w:val="20"/>
                <w:szCs w:val="26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7D" w:rsidRPr="00AC6510" w:rsidRDefault="00A3767A" w:rsidP="00AC6510">
            <w:pPr>
              <w:spacing w:before="40" w:after="40" w:line="230" w:lineRule="exact"/>
              <w:jc w:val="center"/>
              <w:rPr>
                <w:b/>
                <w:bCs/>
                <w:color w:val="000000"/>
                <w:position w:val="2"/>
                <w:sz w:val="20"/>
                <w:szCs w:val="26"/>
                <w:highlight w:val="cyan"/>
                <w:lang w:eastAsia="en-GB"/>
              </w:rPr>
            </w:pPr>
            <w:r w:rsidRPr="00AC6510">
              <w:rPr>
                <w:rFonts w:eastAsia="Arial Unicode MS" w:hint="cs"/>
                <w:b/>
                <w:bCs/>
                <w:position w:val="2"/>
                <w:sz w:val="20"/>
                <w:szCs w:val="26"/>
                <w:rtl/>
              </w:rPr>
              <w:t xml:space="preserve">النفقات المتوقعة </w:t>
            </w:r>
            <w:r w:rsidRPr="00AC6510">
              <w:rPr>
                <w:rFonts w:eastAsia="Arial Unicode MS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AC6510">
              <w:rPr>
                <w:rFonts w:eastAsia="Arial Unicode MS" w:hint="cs"/>
                <w:b/>
                <w:bCs/>
                <w:position w:val="2"/>
                <w:sz w:val="20"/>
                <w:szCs w:val="26"/>
                <w:rtl/>
              </w:rPr>
              <w:t>حتى نهاية المؤتمر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7D" w:rsidRPr="00AC6510" w:rsidRDefault="00A3767A" w:rsidP="00AC6510">
            <w:pPr>
              <w:spacing w:before="40" w:after="40" w:line="230" w:lineRule="exact"/>
              <w:jc w:val="center"/>
              <w:rPr>
                <w:b/>
                <w:bCs/>
                <w:color w:val="000000"/>
                <w:position w:val="2"/>
                <w:sz w:val="20"/>
                <w:szCs w:val="26"/>
                <w:highlight w:val="yellow"/>
                <w:lang w:eastAsia="en-GB"/>
              </w:rPr>
            </w:pPr>
            <w:r w:rsidRPr="00AC6510">
              <w:rPr>
                <w:rFonts w:hint="cs"/>
                <w:b/>
                <w:bCs/>
                <w:color w:val="000000"/>
                <w:position w:val="2"/>
                <w:sz w:val="20"/>
                <w:szCs w:val="26"/>
                <w:rtl/>
                <w:lang w:eastAsia="en-GB" w:bidi="ar-EG"/>
              </w:rPr>
              <w:t>الرصيد المتوقع</w:t>
            </w:r>
          </w:p>
        </w:tc>
      </w:tr>
      <w:tr w:rsidR="009E687D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rtl/>
                <w:lang w:val="en-US"/>
              </w:rPr>
            </w:pPr>
            <w:r w:rsidRPr="00AC6510">
              <w:rPr>
                <w:spacing w:val="-2"/>
                <w:position w:val="2"/>
                <w:rtl/>
                <w:lang w:val="en-US"/>
              </w:rPr>
              <w:t>التكاليف الخاصة بالموظفين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1 131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628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420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83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6"/>
                <w:position w:val="2"/>
                <w:lang w:val="en-US"/>
              </w:rPr>
            </w:pPr>
            <w:r w:rsidRPr="00AC6510">
              <w:rPr>
                <w:spacing w:val="-6"/>
                <w:position w:val="2"/>
                <w:rtl/>
                <w:lang w:val="en-US"/>
              </w:rPr>
              <w:t>التكاليف الأخرى الخاصة بالموظفين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11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rtl/>
                <w:lang w:val="en-US"/>
              </w:rPr>
            </w:pPr>
            <w:r w:rsidRPr="00AC6510">
              <w:rPr>
                <w:spacing w:val="-2"/>
                <w:position w:val="2"/>
                <w:rtl/>
                <w:lang w:val="en-US"/>
              </w:rPr>
              <w:t>السفر في مهام رسمية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80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22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rtl/>
                <w:lang w:val="en-US"/>
              </w:rPr>
            </w:pPr>
            <w:r w:rsidRPr="00AC6510">
              <w:rPr>
                <w:spacing w:val="-2"/>
                <w:position w:val="2"/>
                <w:rtl/>
                <w:lang w:val="en-US"/>
              </w:rPr>
              <w:t>الخدمات التعاقدية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205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14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rtl/>
                <w:lang w:val="en-US"/>
              </w:rPr>
            </w:pPr>
            <w:r w:rsidRPr="00AC6510">
              <w:rPr>
                <w:spacing w:val="-2"/>
                <w:position w:val="2"/>
                <w:rtl/>
                <w:lang w:val="en-US"/>
              </w:rPr>
              <w:t xml:space="preserve">استئجار وصيانة </w:t>
            </w:r>
            <w:r w:rsidRPr="00AC6510">
              <w:rPr>
                <w:rFonts w:eastAsia="Arial Unicode MS" w:hint="cs"/>
                <w:spacing w:val="-2"/>
                <w:position w:val="2"/>
                <w:rtl/>
                <w:lang w:val="en-US"/>
              </w:rPr>
              <w:t>الأماكن والمعدات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lang w:val="en-US"/>
              </w:rPr>
            </w:pPr>
            <w:r w:rsidRPr="00AC6510">
              <w:rPr>
                <w:spacing w:val="-2"/>
                <w:position w:val="2"/>
                <w:rtl/>
                <w:lang w:val="en-US"/>
              </w:rPr>
              <w:t>المواد واللوازم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2</w:t>
            </w:r>
            <w:r w:rsidR="00C54666"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-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lang w:val="en-US"/>
              </w:rPr>
            </w:pPr>
            <w:r w:rsidRPr="00AC6510">
              <w:rPr>
                <w:spacing w:val="-2"/>
                <w:position w:val="2"/>
                <w:rtl/>
                <w:lang w:val="en-US"/>
              </w:rPr>
              <w:t>حيازة الأماكن</w:t>
            </w:r>
            <w:r w:rsidR="00C16AEE" w:rsidRPr="00AC6510">
              <w:rPr>
                <w:rFonts w:hint="cs"/>
                <w:spacing w:val="-2"/>
                <w:position w:val="2"/>
                <w:rtl/>
                <w:lang w:val="en-US"/>
              </w:rPr>
              <w:t xml:space="preserve"> والأثاث</w:t>
            </w:r>
            <w:r w:rsidRPr="00AC6510">
              <w:rPr>
                <w:spacing w:val="-2"/>
                <w:position w:val="2"/>
                <w:rtl/>
                <w:lang w:val="en-US"/>
              </w:rPr>
              <w:t xml:space="preserve"> </w:t>
            </w:r>
            <w:r w:rsidRPr="00AC6510">
              <w:rPr>
                <w:rFonts w:eastAsia="Arial Unicode MS" w:hint="cs"/>
                <w:spacing w:val="-2"/>
                <w:position w:val="2"/>
                <w:rtl/>
                <w:lang w:val="en-US"/>
              </w:rPr>
              <w:t>والمعدات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n-GB" w:bidi="ar-EG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10</w:t>
            </w:r>
          </w:p>
        </w:tc>
      </w:tr>
      <w:tr w:rsidR="00A3767A" w:rsidRPr="00A3767A" w:rsidTr="00AC6510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lang w:val="en-US"/>
              </w:rPr>
            </w:pPr>
            <w:r w:rsidRPr="00AC6510">
              <w:rPr>
                <w:rFonts w:hint="cs"/>
                <w:spacing w:val="-2"/>
                <w:position w:val="2"/>
                <w:rtl/>
                <w:lang w:val="en-US"/>
              </w:rPr>
              <w:t xml:space="preserve">مرافق </w:t>
            </w:r>
            <w:r w:rsidRPr="00AC6510">
              <w:rPr>
                <w:spacing w:val="-2"/>
                <w:position w:val="2"/>
                <w:rtl/>
                <w:lang w:val="en-US"/>
              </w:rPr>
              <w:t>الخدمات العامة والداخلية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</w:tr>
      <w:tr w:rsidR="00A3767A" w:rsidRPr="00A3767A" w:rsidTr="00AC6510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</w:rPr>
            </w:pPr>
            <w:r w:rsidRPr="00AC6510">
              <w:rPr>
                <w:spacing w:val="-2"/>
                <w:position w:val="2"/>
                <w:rtl/>
              </w:rPr>
              <w:t>متفرقات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0</w:t>
            </w:r>
          </w:p>
        </w:tc>
      </w:tr>
      <w:tr w:rsidR="009E687D" w:rsidRPr="00A3767A" w:rsidTr="00AC6510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</w:tr>
      <w:tr w:rsidR="009E687D" w:rsidRPr="00A3767A" w:rsidTr="00AC6510">
        <w:trPr>
          <w:trHeight w:val="6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A3767A" w:rsidP="00AC6510">
            <w:pPr>
              <w:spacing w:before="40" w:after="40" w:line="230" w:lineRule="exact"/>
              <w:rPr>
                <w:b/>
                <w:bCs/>
                <w:color w:val="000000"/>
                <w:position w:val="2"/>
                <w:sz w:val="20"/>
                <w:szCs w:val="26"/>
                <w:highlight w:val="yellow"/>
                <w:rtl/>
                <w:lang w:eastAsia="en-GB" w:bidi="ar-EG"/>
              </w:rPr>
            </w:pPr>
            <w:r w:rsidRPr="00AC6510">
              <w:rPr>
                <w:rFonts w:hint="cs"/>
                <w:b/>
                <w:bCs/>
                <w:spacing w:val="-2"/>
                <w:position w:val="2"/>
                <w:sz w:val="20"/>
                <w:szCs w:val="26"/>
                <w:rtl/>
              </w:rPr>
              <w:t>المجموع الفرعي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1</w:t>
            </w:r>
            <w:r w:rsidR="00A3767A"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480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741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603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138</w:t>
            </w:r>
          </w:p>
        </w:tc>
      </w:tr>
      <w:tr w:rsidR="009E687D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rPr>
                <w:color w:val="000000"/>
                <w:position w:val="2"/>
                <w:sz w:val="20"/>
                <w:szCs w:val="26"/>
                <w:highlight w:val="yellow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n-GB" w:bidi="ar-EG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rtl/>
                <w:lang w:val="en-US"/>
              </w:rPr>
            </w:pPr>
            <w:r w:rsidRPr="00AC6510">
              <w:rPr>
                <w:spacing w:val="-2"/>
                <w:position w:val="2"/>
                <w:rtl/>
                <w:lang w:val="en-US"/>
              </w:rPr>
              <w:t>الترجمة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1 016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428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530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58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rtl/>
                <w:lang w:val="en-US"/>
              </w:rPr>
            </w:pPr>
            <w:r w:rsidRPr="00AC6510">
              <w:rPr>
                <w:spacing w:val="-2"/>
                <w:position w:val="2"/>
                <w:rtl/>
                <w:lang w:val="en-US"/>
              </w:rPr>
              <w:t>النسخ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403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191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2</w:t>
            </w:r>
          </w:p>
        </w:tc>
      </w:tr>
      <w:tr w:rsidR="00A3767A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pStyle w:val="Tabletext"/>
              <w:spacing w:before="40" w:after="40" w:line="230" w:lineRule="exact"/>
              <w:ind w:left="57"/>
              <w:rPr>
                <w:rFonts w:eastAsia="Arial Unicode MS"/>
                <w:spacing w:val="-2"/>
                <w:position w:val="2"/>
                <w:rtl/>
                <w:lang w:val="en-US"/>
              </w:rPr>
            </w:pPr>
            <w:r w:rsidRPr="00AC6510">
              <w:rPr>
                <w:spacing w:val="-2"/>
                <w:position w:val="2"/>
                <w:rtl/>
                <w:lang w:val="en-US"/>
              </w:rPr>
              <w:t>الاستنساخ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54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14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34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767A" w:rsidRPr="00AC6510" w:rsidRDefault="00A3767A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6</w:t>
            </w:r>
          </w:p>
        </w:tc>
      </w:tr>
      <w:tr w:rsidR="009E687D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A3767A" w:rsidP="00AC6510">
            <w:pPr>
              <w:spacing w:before="40" w:after="40" w:line="230" w:lineRule="exact"/>
              <w:rPr>
                <w:b/>
                <w:bCs/>
                <w:color w:val="000000"/>
                <w:position w:val="2"/>
                <w:sz w:val="20"/>
                <w:szCs w:val="26"/>
                <w:highlight w:val="yellow"/>
                <w:lang w:eastAsia="en-GB"/>
              </w:rPr>
            </w:pPr>
            <w:r w:rsidRPr="00AC6510">
              <w:rPr>
                <w:rFonts w:hint="cs"/>
                <w:b/>
                <w:bCs/>
                <w:spacing w:val="-2"/>
                <w:position w:val="2"/>
                <w:sz w:val="20"/>
                <w:szCs w:val="26"/>
                <w:rtl/>
              </w:rPr>
              <w:t>الوثائق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1</w:t>
            </w:r>
            <w:r w:rsidR="00A3767A"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473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632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774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66</w:t>
            </w:r>
          </w:p>
        </w:tc>
      </w:tr>
      <w:tr w:rsidR="009E687D" w:rsidRPr="00A3767A" w:rsidTr="009E687D">
        <w:trPr>
          <w:trHeight w:val="3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</w:p>
        </w:tc>
      </w:tr>
      <w:tr w:rsidR="009E687D" w:rsidRPr="00A3767A" w:rsidTr="009E687D">
        <w:trPr>
          <w:trHeight w:val="285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A3767A" w:rsidP="00AC6510">
            <w:pPr>
              <w:spacing w:before="40" w:after="40" w:line="230" w:lineRule="exact"/>
              <w:rPr>
                <w:b/>
                <w:bCs/>
                <w:color w:val="000000"/>
                <w:position w:val="2"/>
                <w:sz w:val="20"/>
                <w:szCs w:val="26"/>
                <w:highlight w:val="yellow"/>
                <w:lang w:eastAsia="en-GB"/>
              </w:rPr>
            </w:pPr>
            <w:r w:rsidRPr="00AC6510">
              <w:rPr>
                <w:b/>
                <w:bCs/>
                <w:spacing w:val="-2"/>
                <w:position w:val="2"/>
                <w:sz w:val="20"/>
                <w:szCs w:val="26"/>
                <w:rtl/>
              </w:rPr>
              <w:t>المجموع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2</w:t>
            </w:r>
            <w:r w:rsidR="00A3767A"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953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1</w:t>
            </w:r>
            <w:r w:rsidR="00A3767A"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373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1</w:t>
            </w:r>
            <w:r w:rsidR="00A3767A"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 </w:t>
            </w: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377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87D" w:rsidRPr="00AC6510" w:rsidRDefault="009E687D" w:rsidP="00AC6510">
            <w:pPr>
              <w:spacing w:before="40" w:after="40" w:line="230" w:lineRule="exact"/>
              <w:jc w:val="left"/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</w:pPr>
            <w:r w:rsidRPr="00AC6510">
              <w:rPr>
                <w:b/>
                <w:bCs/>
                <w:color w:val="000000"/>
                <w:position w:val="2"/>
                <w:sz w:val="20"/>
                <w:szCs w:val="26"/>
                <w:lang w:eastAsia="en-GB"/>
              </w:rPr>
              <w:t>204</w:t>
            </w:r>
          </w:p>
        </w:tc>
      </w:tr>
    </w:tbl>
    <w:p w:rsidR="001100B7" w:rsidRPr="00706D7A" w:rsidRDefault="00B86CA4" w:rsidP="00AC6510">
      <w:pPr>
        <w:jc w:val="center"/>
        <w:rPr>
          <w:rtl/>
          <w:lang w:bidi="ar-SY"/>
        </w:rPr>
      </w:pPr>
      <w:bookmarkStart w:id="1" w:name="_GoBack"/>
      <w:bookmarkEnd w:id="1"/>
      <w:r>
        <w:rPr>
          <w:rFonts w:hint="cs"/>
          <w:rtl/>
          <w:lang w:bidi="ar-SY"/>
        </w:rPr>
        <w:t>___________</w:t>
      </w:r>
    </w:p>
    <w:sectPr w:rsidR="001100B7" w:rsidRPr="00706D7A" w:rsidSect="000B3EB4">
      <w:footerReference w:type="default" r:id="rId12"/>
      <w:headerReference w:type="first" r:id="rId13"/>
      <w:footerReference w:type="first" r:id="rId14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8C" w:rsidRDefault="00BC7E8C" w:rsidP="001100B7">
      <w:pPr>
        <w:spacing w:before="0" w:line="240" w:lineRule="auto"/>
      </w:pPr>
      <w:r>
        <w:separator/>
      </w:r>
    </w:p>
  </w:endnote>
  <w:endnote w:type="continuationSeparator" w:id="0">
    <w:p w:rsidR="00BC7E8C" w:rsidRDefault="00BC7E8C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0B3EB4" w:rsidRDefault="001100B7" w:rsidP="000B3EB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0B3EB4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0B3EB4">
      <w:rPr>
        <w:rFonts w:ascii="Calibri" w:hAnsi="Calibri" w:cs="Calibri"/>
        <w:noProof/>
        <w:sz w:val="16"/>
        <w:szCs w:val="16"/>
        <w:lang w:val="en-GB"/>
      </w:rPr>
      <w:t>P:\TRAD\A\SG\CONF-SG\PP18\000\074A (Montage).docx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 w:rsidRPr="000B3EB4">
      <w:rPr>
        <w:rFonts w:ascii="Calibri" w:hAnsi="Calibri" w:cs="Calibri"/>
        <w:sz w:val="16"/>
        <w:szCs w:val="16"/>
        <w:lang w:val="en-GB"/>
      </w:rPr>
      <w:t>   </w:t>
    </w:r>
    <w:r w:rsidRPr="000B3EB4">
      <w:rPr>
        <w:rFonts w:ascii="Calibri" w:hAnsi="Calibri" w:cs="Calibri"/>
        <w:sz w:val="16"/>
        <w:szCs w:val="16"/>
        <w:lang w:val="en-GB"/>
      </w:rPr>
      <w:t>(</w:t>
    </w:r>
    <w:r w:rsidR="000B3EB4" w:rsidRPr="000B3EB4">
      <w:rPr>
        <w:rFonts w:ascii="Calibri" w:hAnsi="Calibri" w:cs="Calibri"/>
        <w:sz w:val="16"/>
        <w:szCs w:val="16"/>
        <w:lang w:val="en-GB"/>
      </w:rPr>
      <w:t>445416</w:t>
    </w:r>
    <w:r w:rsidRPr="000B3EB4">
      <w:rPr>
        <w:rFonts w:ascii="Calibri" w:hAnsi="Calibri" w:cs="Calibri"/>
        <w:sz w:val="16"/>
        <w:szCs w:val="16"/>
        <w:lang w:val="en-GB"/>
      </w:rPr>
      <w:t>)</w:t>
    </w:r>
    <w:r w:rsidRPr="000B3EB4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57D97">
      <w:rPr>
        <w:rFonts w:ascii="Calibri" w:hAnsi="Calibri" w:cs="Calibri"/>
        <w:noProof/>
        <w:sz w:val="16"/>
        <w:szCs w:val="16"/>
      </w:rPr>
      <w:t>21.10.18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0B3EB4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0B3EB4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0B3EB4">
      <w:rPr>
        <w:rFonts w:ascii="Calibri" w:hAnsi="Calibri" w:cs="Calibri"/>
        <w:sz w:val="22"/>
        <w:szCs w:val="22"/>
        <w:lang w:val="en-GB"/>
      </w:rPr>
      <w:t xml:space="preserve"> </w:t>
    </w:r>
    <w:r w:rsidRPr="000B3EB4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0B3EB4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F9" w:rsidRPr="000B3EB4" w:rsidRDefault="00660BF9" w:rsidP="00660BF9">
    <w:pPr>
      <w:pStyle w:val="Footer"/>
      <w:tabs>
        <w:tab w:val="clear" w:pos="4153"/>
        <w:tab w:val="clear" w:pos="8306"/>
        <w:tab w:val="center" w:pos="7088"/>
        <w:tab w:val="right" w:pos="14175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0B3EB4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  <w:lang w:val="en-GB"/>
      </w:rPr>
      <w:t>P:\TRAD\A\SG\CONF-SG\PP18\000\074A (Montage).docx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0B3EB4">
      <w:rPr>
        <w:rFonts w:ascii="Calibri" w:hAnsi="Calibri" w:cs="Calibri"/>
        <w:sz w:val="16"/>
        <w:szCs w:val="16"/>
        <w:lang w:val="en-GB"/>
      </w:rPr>
      <w:t>   (445416)</w:t>
    </w:r>
    <w:r w:rsidRPr="000B3EB4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57D97">
      <w:rPr>
        <w:rFonts w:ascii="Calibri" w:hAnsi="Calibri" w:cs="Calibri"/>
        <w:noProof/>
        <w:sz w:val="16"/>
        <w:szCs w:val="16"/>
      </w:rPr>
      <w:t>21.10.18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0B3EB4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B4" w:rsidRPr="00657D97" w:rsidRDefault="000B3EB4" w:rsidP="004824E6">
    <w:pPr>
      <w:pStyle w:val="Footer"/>
      <w:tabs>
        <w:tab w:val="clear" w:pos="4153"/>
        <w:tab w:val="clear" w:pos="8306"/>
        <w:tab w:val="center" w:pos="7938"/>
        <w:tab w:val="right" w:pos="14175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en-GB"/>
      </w:rPr>
    </w:pPr>
    <w:r w:rsidRPr="00657D97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657D97">
      <w:rPr>
        <w:rFonts w:ascii="Calibri" w:hAnsi="Calibri" w:cs="Calibri"/>
        <w:color w:val="D9D9D9" w:themeColor="background1" w:themeShade="D9"/>
        <w:sz w:val="16"/>
        <w:szCs w:val="16"/>
        <w:lang w:val="en-GB"/>
      </w:rPr>
      <w:instrText xml:space="preserve"> FILENAME \p \* MERGEFORMAT </w:instrText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4824E6" w:rsidRPr="00657D97">
      <w:rPr>
        <w:rFonts w:ascii="Calibri" w:hAnsi="Calibri" w:cs="Calibri"/>
        <w:noProof/>
        <w:color w:val="D9D9D9" w:themeColor="background1" w:themeShade="D9"/>
        <w:sz w:val="16"/>
        <w:szCs w:val="16"/>
        <w:lang w:val="en-GB"/>
      </w:rPr>
      <w:t>P:\ARA\SG\CONF-SG\PP18\000\074A.docx</w:t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657D97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>   (445416)</w:t>
    </w:r>
    <w:r w:rsidRPr="00657D97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instrText xml:space="preserve"> savedate \@ dd.MM.yy </w:instrText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657D97" w:rsidRPr="00657D97">
      <w:rPr>
        <w:rFonts w:ascii="Calibri" w:hAnsi="Calibri" w:cs="Calibri"/>
        <w:noProof/>
        <w:color w:val="D9D9D9" w:themeColor="background1" w:themeShade="D9"/>
        <w:sz w:val="16"/>
        <w:szCs w:val="16"/>
      </w:rPr>
      <w:t>21.10.18</w:t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657D97">
      <w:rPr>
        <w:rFonts w:ascii="Calibri" w:hAnsi="Calibri" w:cs="Calibri"/>
        <w:color w:val="D9D9D9" w:themeColor="background1" w:themeShade="D9"/>
        <w:sz w:val="16"/>
        <w:szCs w:val="16"/>
        <w:lang w:val="en-GB"/>
      </w:rPr>
      <w:tab/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instrText xml:space="preserve"> printdate \@ dd.MM.yy </w:instrText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4824E6" w:rsidRPr="00657D97">
      <w:rPr>
        <w:rFonts w:ascii="Calibri" w:hAnsi="Calibri" w:cs="Calibri"/>
        <w:noProof/>
        <w:color w:val="D9D9D9" w:themeColor="background1" w:themeShade="D9"/>
        <w:sz w:val="16"/>
        <w:szCs w:val="16"/>
      </w:rPr>
      <w:t>00.00.00</w:t>
    </w:r>
    <w:r w:rsidRPr="00657D97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8C" w:rsidRDefault="00BC7E8C" w:rsidP="001100B7">
      <w:pPr>
        <w:spacing w:before="0" w:line="240" w:lineRule="auto"/>
      </w:pPr>
      <w:r>
        <w:separator/>
      </w:r>
    </w:p>
  </w:footnote>
  <w:footnote w:type="continuationSeparator" w:id="0">
    <w:p w:rsidR="00BC7E8C" w:rsidRDefault="00BC7E8C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0B3EB4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4824E6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0B3EB4">
      <w:rPr>
        <w:rFonts w:cs="Calibri"/>
        <w:sz w:val="20"/>
        <w:szCs w:val="20"/>
        <w:lang w:val="en-GB"/>
      </w:rPr>
      <w:t>74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B4" w:rsidRPr="000B3EB4" w:rsidRDefault="000B3EB4" w:rsidP="000B3EB4">
    <w:pPr>
      <w:pStyle w:val="Header"/>
      <w:bidi w:val="0"/>
      <w:spacing w:before="120" w:after="240"/>
      <w:jc w:val="center"/>
      <w:rPr>
        <w:rFonts w:cs="Calibri"/>
        <w:sz w:val="20"/>
        <w:szCs w:val="20"/>
        <w:rtl/>
        <w:lang w:val="en-GB" w:bidi="ar-EG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657D97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74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C"/>
    <w:rsid w:val="00002571"/>
    <w:rsid w:val="00090574"/>
    <w:rsid w:val="000A0A0E"/>
    <w:rsid w:val="000B3EB4"/>
    <w:rsid w:val="001100B7"/>
    <w:rsid w:val="0023283D"/>
    <w:rsid w:val="002978F4"/>
    <w:rsid w:val="002B028D"/>
    <w:rsid w:val="002E6541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824E6"/>
    <w:rsid w:val="004C5591"/>
    <w:rsid w:val="004F6A10"/>
    <w:rsid w:val="00501E0E"/>
    <w:rsid w:val="0055516A"/>
    <w:rsid w:val="00561A38"/>
    <w:rsid w:val="005855A4"/>
    <w:rsid w:val="00657D97"/>
    <w:rsid w:val="00660BF9"/>
    <w:rsid w:val="006F63F7"/>
    <w:rsid w:val="00706D7A"/>
    <w:rsid w:val="007304F9"/>
    <w:rsid w:val="007B3021"/>
    <w:rsid w:val="0080260C"/>
    <w:rsid w:val="00803F08"/>
    <w:rsid w:val="00807EB3"/>
    <w:rsid w:val="008235CD"/>
    <w:rsid w:val="008513CB"/>
    <w:rsid w:val="00922E43"/>
    <w:rsid w:val="00924EA7"/>
    <w:rsid w:val="00982B28"/>
    <w:rsid w:val="009945AD"/>
    <w:rsid w:val="009E687D"/>
    <w:rsid w:val="00A3767A"/>
    <w:rsid w:val="00A81F42"/>
    <w:rsid w:val="00A97F94"/>
    <w:rsid w:val="00AC6510"/>
    <w:rsid w:val="00B24595"/>
    <w:rsid w:val="00B86CA4"/>
    <w:rsid w:val="00BC4430"/>
    <w:rsid w:val="00BC7E8C"/>
    <w:rsid w:val="00BE4809"/>
    <w:rsid w:val="00BE5A22"/>
    <w:rsid w:val="00C16AEE"/>
    <w:rsid w:val="00C54666"/>
    <w:rsid w:val="00C674FE"/>
    <w:rsid w:val="00C75633"/>
    <w:rsid w:val="00CE2EE1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F105FD"/>
    <w:rsid w:val="00F405C8"/>
    <w:rsid w:val="00F7535F"/>
    <w:rsid w:val="00F84366"/>
    <w:rsid w:val="00F85089"/>
    <w:rsid w:val="00FA2773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73681DD-31A1-4AFB-8EC3-621E4F29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Tabletext">
    <w:name w:val="Table_text"/>
    <w:basedOn w:val="Normal"/>
    <w:qFormat/>
    <w:rsid w:val="00A3767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eastAsia="Times New Roman"/>
      <w:sz w:val="20"/>
      <w:szCs w:val="2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C97E-5831-47A6-AD7B-6D70D74A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Brouard, Ricarda</cp:lastModifiedBy>
  <cp:revision>2</cp:revision>
  <dcterms:created xsi:type="dcterms:W3CDTF">2018-10-25T05:42:00Z</dcterms:created>
  <dcterms:modified xsi:type="dcterms:W3CDTF">2018-10-25T05:42:00Z</dcterms:modified>
</cp:coreProperties>
</file>