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A778EF" w:rsidRPr="00666EAA" w14:paraId="0640DBB0" w14:textId="77777777" w:rsidTr="00AB2D04">
        <w:trPr>
          <w:cantSplit/>
        </w:trPr>
        <w:tc>
          <w:tcPr>
            <w:tcW w:w="6629" w:type="dxa"/>
          </w:tcPr>
          <w:p w14:paraId="27B2B988" w14:textId="77777777" w:rsidR="001A16ED" w:rsidRPr="00666EAA" w:rsidRDefault="001A16ED" w:rsidP="004F7925">
            <w:pPr>
              <w:spacing w:before="240" w:after="48" w:line="240" w:lineRule="atLeast"/>
              <w:rPr>
                <w:rFonts w:cstheme="minorHAnsi"/>
                <w:b/>
                <w:bCs/>
                <w:position w:val="6"/>
                <w:sz w:val="28"/>
                <w:szCs w:val="28"/>
              </w:rPr>
            </w:pPr>
            <w:bookmarkStart w:id="0" w:name="dpp"/>
            <w:bookmarkEnd w:id="0"/>
            <w:r w:rsidRPr="00666EAA">
              <w:rPr>
                <w:rFonts w:cs="Times"/>
                <w:b/>
                <w:position w:val="6"/>
                <w:sz w:val="30"/>
                <w:szCs w:val="30"/>
              </w:rPr>
              <w:t>Plenipotentiary Conference (PP-1</w:t>
            </w:r>
            <w:r w:rsidR="004F7925" w:rsidRPr="00666EAA">
              <w:rPr>
                <w:rFonts w:cs="Times"/>
                <w:b/>
                <w:position w:val="6"/>
                <w:sz w:val="30"/>
                <w:szCs w:val="30"/>
              </w:rPr>
              <w:t>8</w:t>
            </w:r>
            <w:r w:rsidRPr="00666EAA">
              <w:rPr>
                <w:rFonts w:cs="Times"/>
                <w:b/>
                <w:position w:val="6"/>
                <w:sz w:val="30"/>
                <w:szCs w:val="30"/>
              </w:rPr>
              <w:t>)</w:t>
            </w:r>
            <w:r w:rsidRPr="00666EAA">
              <w:rPr>
                <w:rFonts w:cs="Times"/>
                <w:b/>
                <w:position w:val="6"/>
                <w:sz w:val="26"/>
                <w:szCs w:val="26"/>
              </w:rPr>
              <w:br/>
            </w:r>
            <w:r w:rsidR="004F7925" w:rsidRPr="00666EAA">
              <w:rPr>
                <w:b/>
                <w:bCs/>
                <w:position w:val="6"/>
                <w:szCs w:val="24"/>
              </w:rPr>
              <w:t>Dubai</w:t>
            </w:r>
            <w:r w:rsidRPr="00666EAA">
              <w:rPr>
                <w:b/>
                <w:bCs/>
                <w:position w:val="6"/>
                <w:szCs w:val="24"/>
              </w:rPr>
              <w:t xml:space="preserve">, </w:t>
            </w:r>
            <w:r w:rsidR="004F7925" w:rsidRPr="00666EAA">
              <w:rPr>
                <w:b/>
                <w:bCs/>
                <w:position w:val="6"/>
                <w:szCs w:val="24"/>
              </w:rPr>
              <w:t>29</w:t>
            </w:r>
            <w:r w:rsidRPr="00666EAA">
              <w:rPr>
                <w:b/>
                <w:bCs/>
                <w:position w:val="6"/>
                <w:szCs w:val="24"/>
              </w:rPr>
              <w:t xml:space="preserve"> October – </w:t>
            </w:r>
            <w:r w:rsidR="004F7925" w:rsidRPr="00666EAA">
              <w:rPr>
                <w:b/>
                <w:bCs/>
                <w:position w:val="6"/>
                <w:szCs w:val="24"/>
              </w:rPr>
              <w:t>16</w:t>
            </w:r>
            <w:r w:rsidRPr="00666EAA">
              <w:rPr>
                <w:b/>
                <w:bCs/>
                <w:position w:val="6"/>
                <w:szCs w:val="24"/>
              </w:rPr>
              <w:t xml:space="preserve"> November 201</w:t>
            </w:r>
            <w:r w:rsidR="004F7925" w:rsidRPr="00666EAA">
              <w:rPr>
                <w:b/>
                <w:bCs/>
                <w:position w:val="6"/>
                <w:szCs w:val="24"/>
              </w:rPr>
              <w:t>8</w:t>
            </w:r>
          </w:p>
        </w:tc>
        <w:tc>
          <w:tcPr>
            <w:tcW w:w="3402" w:type="dxa"/>
          </w:tcPr>
          <w:p w14:paraId="0E84586C" w14:textId="77777777" w:rsidR="001A16ED" w:rsidRPr="00666EAA" w:rsidRDefault="001A16ED" w:rsidP="006A046E">
            <w:pPr>
              <w:spacing w:line="240" w:lineRule="atLeast"/>
              <w:rPr>
                <w:rFonts w:cstheme="minorHAnsi"/>
              </w:rPr>
            </w:pPr>
            <w:bookmarkStart w:id="1" w:name="ditulogo"/>
            <w:bookmarkEnd w:id="1"/>
            <w:r w:rsidRPr="00666EAA">
              <w:rPr>
                <w:rFonts w:cstheme="minorHAnsi"/>
                <w:noProof/>
                <w:lang w:eastAsia="zh-CN"/>
              </w:rPr>
              <w:drawing>
                <wp:inline distT="0" distB="0" distL="0" distR="0" wp14:anchorId="707958C3" wp14:editId="7A4F2281">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778EF" w:rsidRPr="00666EAA" w14:paraId="1731C3CB" w14:textId="77777777" w:rsidTr="00AB2D04">
        <w:trPr>
          <w:cantSplit/>
        </w:trPr>
        <w:tc>
          <w:tcPr>
            <w:tcW w:w="6629" w:type="dxa"/>
            <w:tcBorders>
              <w:bottom w:val="single" w:sz="12" w:space="0" w:color="auto"/>
            </w:tcBorders>
          </w:tcPr>
          <w:p w14:paraId="0138A81D" w14:textId="77777777" w:rsidR="001A16ED" w:rsidRPr="00666EAA"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5960459" w14:textId="77777777" w:rsidR="001A16ED" w:rsidRPr="00666EAA" w:rsidRDefault="001A16ED" w:rsidP="003740BC">
            <w:pPr>
              <w:spacing w:before="0"/>
              <w:rPr>
                <w:rFonts w:cstheme="minorHAnsi"/>
                <w:szCs w:val="24"/>
              </w:rPr>
            </w:pPr>
          </w:p>
        </w:tc>
      </w:tr>
      <w:tr w:rsidR="00A778EF" w:rsidRPr="00666EAA" w14:paraId="271A233B" w14:textId="77777777" w:rsidTr="00AB2D04">
        <w:trPr>
          <w:cantSplit/>
        </w:trPr>
        <w:tc>
          <w:tcPr>
            <w:tcW w:w="6629" w:type="dxa"/>
            <w:tcBorders>
              <w:top w:val="single" w:sz="12" w:space="0" w:color="auto"/>
            </w:tcBorders>
          </w:tcPr>
          <w:p w14:paraId="6B3112B1" w14:textId="77777777" w:rsidR="001A16ED" w:rsidRPr="00666EAA" w:rsidRDefault="001A16ED" w:rsidP="003740BC">
            <w:pPr>
              <w:spacing w:before="0"/>
              <w:rPr>
                <w:rFonts w:cstheme="minorHAnsi"/>
                <w:b/>
                <w:smallCaps/>
                <w:sz w:val="20"/>
              </w:rPr>
            </w:pPr>
          </w:p>
        </w:tc>
        <w:tc>
          <w:tcPr>
            <w:tcW w:w="3402" w:type="dxa"/>
            <w:tcBorders>
              <w:top w:val="single" w:sz="12" w:space="0" w:color="auto"/>
            </w:tcBorders>
          </w:tcPr>
          <w:p w14:paraId="54A7093C" w14:textId="77777777" w:rsidR="001A16ED" w:rsidRPr="00666EAA" w:rsidRDefault="001A16ED" w:rsidP="003740BC">
            <w:pPr>
              <w:spacing w:before="0"/>
              <w:rPr>
                <w:rFonts w:cstheme="minorHAnsi"/>
                <w:sz w:val="20"/>
              </w:rPr>
            </w:pPr>
          </w:p>
        </w:tc>
      </w:tr>
      <w:tr w:rsidR="00A778EF" w:rsidRPr="00666EAA" w14:paraId="60A3B4A0" w14:textId="77777777" w:rsidTr="00AB2D04">
        <w:trPr>
          <w:cantSplit/>
          <w:trHeight w:val="23"/>
        </w:trPr>
        <w:tc>
          <w:tcPr>
            <w:tcW w:w="6629" w:type="dxa"/>
            <w:shd w:val="clear" w:color="auto" w:fill="auto"/>
          </w:tcPr>
          <w:p w14:paraId="30C65F82" w14:textId="77777777" w:rsidR="001A16ED" w:rsidRPr="00666EAA" w:rsidRDefault="00E844D5" w:rsidP="002E77F4">
            <w:pPr>
              <w:pStyle w:val="Committee"/>
              <w:spacing w:after="0"/>
              <w:rPr>
                <w:lang w:val="en-GB"/>
              </w:rPr>
            </w:pPr>
            <w:bookmarkStart w:id="3" w:name="dnum" w:colFirst="1" w:colLast="1"/>
            <w:bookmarkStart w:id="4" w:name="dmeeting" w:colFirst="0" w:colLast="0"/>
            <w:bookmarkEnd w:id="2"/>
            <w:r w:rsidRPr="00666EAA">
              <w:rPr>
                <w:lang w:val="en-GB"/>
              </w:rPr>
              <w:t>PLENARY MEETING</w:t>
            </w:r>
          </w:p>
        </w:tc>
        <w:tc>
          <w:tcPr>
            <w:tcW w:w="3402" w:type="dxa"/>
          </w:tcPr>
          <w:p w14:paraId="454AC63C" w14:textId="77777777" w:rsidR="001A16ED" w:rsidRPr="00666EAA" w:rsidRDefault="001A16ED" w:rsidP="003740BC">
            <w:pPr>
              <w:tabs>
                <w:tab w:val="left" w:pos="851"/>
              </w:tabs>
              <w:spacing w:before="0"/>
              <w:rPr>
                <w:rFonts w:cstheme="minorHAnsi"/>
                <w:b/>
                <w:szCs w:val="24"/>
              </w:rPr>
            </w:pPr>
            <w:r w:rsidRPr="00666EAA">
              <w:rPr>
                <w:rFonts w:cstheme="minorHAnsi"/>
                <w:b/>
                <w:szCs w:val="24"/>
              </w:rPr>
              <w:t>Document 68</w:t>
            </w:r>
            <w:r w:rsidR="00F44B1A" w:rsidRPr="00666EAA">
              <w:rPr>
                <w:rFonts w:cstheme="minorHAnsi"/>
                <w:b/>
                <w:szCs w:val="24"/>
              </w:rPr>
              <w:t>-E</w:t>
            </w:r>
          </w:p>
        </w:tc>
      </w:tr>
      <w:tr w:rsidR="00A778EF" w:rsidRPr="00666EAA" w14:paraId="487551C2" w14:textId="77777777" w:rsidTr="00AB2D04">
        <w:trPr>
          <w:cantSplit/>
          <w:trHeight w:val="23"/>
        </w:trPr>
        <w:tc>
          <w:tcPr>
            <w:tcW w:w="6629" w:type="dxa"/>
            <w:shd w:val="clear" w:color="auto" w:fill="auto"/>
          </w:tcPr>
          <w:p w14:paraId="03554D3F" w14:textId="77777777" w:rsidR="001A16ED" w:rsidRPr="00666EAA"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A812BAC" w14:textId="77777777" w:rsidR="001A16ED" w:rsidRPr="00666EAA" w:rsidRDefault="001A16ED" w:rsidP="003740BC">
            <w:pPr>
              <w:spacing w:before="0"/>
              <w:rPr>
                <w:rFonts w:cstheme="minorHAnsi"/>
                <w:szCs w:val="24"/>
              </w:rPr>
            </w:pPr>
            <w:r w:rsidRPr="00666EAA">
              <w:rPr>
                <w:rFonts w:cstheme="minorHAnsi"/>
                <w:b/>
                <w:szCs w:val="24"/>
              </w:rPr>
              <w:t>12 October 2018</w:t>
            </w:r>
          </w:p>
        </w:tc>
      </w:tr>
      <w:tr w:rsidR="00A778EF" w:rsidRPr="00666EAA" w14:paraId="591F5E89" w14:textId="77777777" w:rsidTr="00AB2D04">
        <w:trPr>
          <w:cantSplit/>
          <w:trHeight w:val="23"/>
        </w:trPr>
        <w:tc>
          <w:tcPr>
            <w:tcW w:w="6629" w:type="dxa"/>
            <w:shd w:val="clear" w:color="auto" w:fill="auto"/>
          </w:tcPr>
          <w:p w14:paraId="57CE5C03" w14:textId="77777777" w:rsidR="001A16ED" w:rsidRPr="00666EAA"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22ACC572" w14:textId="77777777" w:rsidR="001A16ED" w:rsidRPr="00666EAA" w:rsidRDefault="001A16ED" w:rsidP="003740BC">
            <w:pPr>
              <w:tabs>
                <w:tab w:val="left" w:pos="993"/>
              </w:tabs>
              <w:spacing w:before="0"/>
              <w:rPr>
                <w:rFonts w:cstheme="minorHAnsi"/>
                <w:b/>
                <w:szCs w:val="24"/>
              </w:rPr>
            </w:pPr>
            <w:r w:rsidRPr="00666EAA">
              <w:rPr>
                <w:rFonts w:cstheme="minorHAnsi"/>
                <w:b/>
                <w:szCs w:val="24"/>
              </w:rPr>
              <w:t>Original: Spanish</w:t>
            </w:r>
          </w:p>
        </w:tc>
      </w:tr>
      <w:tr w:rsidR="00A778EF" w:rsidRPr="00666EAA" w14:paraId="2EF91A1D" w14:textId="77777777" w:rsidTr="006A046E">
        <w:trPr>
          <w:cantSplit/>
          <w:trHeight w:val="23"/>
        </w:trPr>
        <w:tc>
          <w:tcPr>
            <w:tcW w:w="10031" w:type="dxa"/>
            <w:gridSpan w:val="2"/>
            <w:shd w:val="clear" w:color="auto" w:fill="auto"/>
          </w:tcPr>
          <w:p w14:paraId="237A897C" w14:textId="77777777" w:rsidR="001A16ED" w:rsidRPr="00666EAA" w:rsidRDefault="001A16ED" w:rsidP="006A046E">
            <w:pPr>
              <w:tabs>
                <w:tab w:val="left" w:pos="993"/>
              </w:tabs>
              <w:rPr>
                <w:rFonts w:ascii="Verdana" w:hAnsi="Verdana"/>
                <w:b/>
                <w:szCs w:val="24"/>
              </w:rPr>
            </w:pPr>
          </w:p>
        </w:tc>
      </w:tr>
      <w:tr w:rsidR="00A778EF" w:rsidRPr="00666EAA" w14:paraId="298B96B8" w14:textId="77777777" w:rsidTr="006A046E">
        <w:trPr>
          <w:cantSplit/>
          <w:trHeight w:val="23"/>
        </w:trPr>
        <w:tc>
          <w:tcPr>
            <w:tcW w:w="10031" w:type="dxa"/>
            <w:gridSpan w:val="2"/>
            <w:shd w:val="clear" w:color="auto" w:fill="auto"/>
          </w:tcPr>
          <w:p w14:paraId="256B89A0" w14:textId="557947CD" w:rsidR="001A16ED" w:rsidRPr="00666EAA" w:rsidRDefault="00596CF2" w:rsidP="006A046E">
            <w:pPr>
              <w:pStyle w:val="Source"/>
            </w:pPr>
            <w:r>
              <w:t>Argentine Republic/Costa Rica/Dominican Republic</w:t>
            </w:r>
          </w:p>
        </w:tc>
      </w:tr>
      <w:tr w:rsidR="00A778EF" w:rsidRPr="00666EAA" w14:paraId="0B669917" w14:textId="77777777" w:rsidTr="006A046E">
        <w:trPr>
          <w:cantSplit/>
          <w:trHeight w:val="23"/>
        </w:trPr>
        <w:tc>
          <w:tcPr>
            <w:tcW w:w="10031" w:type="dxa"/>
            <w:gridSpan w:val="2"/>
            <w:shd w:val="clear" w:color="auto" w:fill="auto"/>
          </w:tcPr>
          <w:p w14:paraId="6B21D148" w14:textId="77777777" w:rsidR="001A16ED" w:rsidRPr="00666EAA" w:rsidRDefault="001A16ED" w:rsidP="006A046E">
            <w:pPr>
              <w:pStyle w:val="Title1"/>
            </w:pPr>
            <w:r w:rsidRPr="00666EAA">
              <w:t>Proposals for the work of the conference</w:t>
            </w:r>
          </w:p>
        </w:tc>
      </w:tr>
      <w:tr w:rsidR="00A778EF" w:rsidRPr="00666EAA" w14:paraId="31613427" w14:textId="77777777" w:rsidTr="006A046E">
        <w:trPr>
          <w:cantSplit/>
          <w:trHeight w:val="23"/>
        </w:trPr>
        <w:tc>
          <w:tcPr>
            <w:tcW w:w="10031" w:type="dxa"/>
            <w:gridSpan w:val="2"/>
            <w:shd w:val="clear" w:color="auto" w:fill="auto"/>
          </w:tcPr>
          <w:p w14:paraId="7A0BCA6A" w14:textId="77777777" w:rsidR="001A16ED" w:rsidRPr="00666EAA" w:rsidRDefault="001A16ED" w:rsidP="006A046E">
            <w:pPr>
              <w:pStyle w:val="Title2"/>
            </w:pPr>
          </w:p>
        </w:tc>
      </w:tr>
      <w:tr w:rsidR="00A778EF" w:rsidRPr="00666EAA" w14:paraId="4E0202AB" w14:textId="77777777" w:rsidTr="006A046E">
        <w:trPr>
          <w:cantSplit/>
          <w:trHeight w:val="23"/>
        </w:trPr>
        <w:tc>
          <w:tcPr>
            <w:tcW w:w="10031" w:type="dxa"/>
            <w:gridSpan w:val="2"/>
            <w:shd w:val="clear" w:color="auto" w:fill="auto"/>
          </w:tcPr>
          <w:p w14:paraId="791A8884" w14:textId="77777777" w:rsidR="0020041D" w:rsidRPr="00666EAA" w:rsidRDefault="0020041D" w:rsidP="0020041D">
            <w:pPr>
              <w:tabs>
                <w:tab w:val="clear" w:pos="567"/>
                <w:tab w:val="clear" w:pos="1134"/>
                <w:tab w:val="clear" w:pos="1701"/>
                <w:tab w:val="clear" w:pos="2268"/>
                <w:tab w:val="clear" w:pos="2835"/>
              </w:tabs>
              <w:overflowPunct/>
              <w:autoSpaceDE/>
              <w:autoSpaceDN/>
              <w:adjustRightInd/>
              <w:spacing w:before="0"/>
              <w:textAlignment w:val="auto"/>
              <w:rPr>
                <w:rFonts w:eastAsia="Calibri"/>
                <w:b/>
                <w:bCs/>
                <w:sz w:val="28"/>
                <w:szCs w:val="28"/>
              </w:rPr>
            </w:pPr>
            <w:r w:rsidRPr="00666EAA">
              <w:rPr>
                <w:rFonts w:eastAsia="Calibri"/>
                <w:b/>
                <w:bCs/>
                <w:sz w:val="28"/>
                <w:szCs w:val="28"/>
              </w:rPr>
              <w:t>Purpose</w:t>
            </w:r>
          </w:p>
          <w:p w14:paraId="09F433AE" w14:textId="77777777" w:rsidR="0020041D" w:rsidRPr="00666EAA" w:rsidRDefault="0020041D" w:rsidP="0020041D">
            <w:pPr>
              <w:jc w:val="both"/>
              <w:rPr>
                <w:rFonts w:eastAsia="Calibri"/>
                <w:szCs w:val="24"/>
              </w:rPr>
            </w:pPr>
            <w:bookmarkStart w:id="9" w:name="lt_pId012"/>
          </w:p>
          <w:p w14:paraId="786F5A46" w14:textId="29D6C20F" w:rsidR="0020041D" w:rsidRPr="00666EAA" w:rsidRDefault="0054022A" w:rsidP="0054022A">
            <w:pPr>
              <w:jc w:val="both"/>
              <w:rPr>
                <w:rFonts w:eastAsia="Calibri"/>
                <w:szCs w:val="24"/>
              </w:rPr>
            </w:pPr>
            <w:r>
              <w:rPr>
                <w:rFonts w:eastAsia="Calibri"/>
                <w:szCs w:val="24"/>
              </w:rPr>
              <w:t>The</w:t>
            </w:r>
            <w:r w:rsidR="00640F4A" w:rsidRPr="00666EAA">
              <w:rPr>
                <w:rFonts w:eastAsia="Calibri"/>
                <w:szCs w:val="24"/>
              </w:rPr>
              <w:t xml:space="preserve"> objective of </w:t>
            </w:r>
            <w:r w:rsidR="0006728C" w:rsidRPr="00666EAA">
              <w:rPr>
                <w:rFonts w:eastAsia="Calibri"/>
                <w:szCs w:val="24"/>
              </w:rPr>
              <w:t xml:space="preserve">the signatory </w:t>
            </w:r>
            <w:r>
              <w:rPr>
                <w:rFonts w:eastAsia="Calibri"/>
                <w:szCs w:val="24"/>
              </w:rPr>
              <w:t>a</w:t>
            </w:r>
            <w:r w:rsidR="00583A2B" w:rsidRPr="00666EAA">
              <w:rPr>
                <w:rFonts w:eastAsia="Calibri"/>
                <w:szCs w:val="24"/>
              </w:rPr>
              <w:t>dministrations</w:t>
            </w:r>
            <w:r w:rsidR="0006728C" w:rsidRPr="00666EAA">
              <w:rPr>
                <w:rFonts w:eastAsia="Calibri"/>
                <w:szCs w:val="24"/>
              </w:rPr>
              <w:t xml:space="preserve"> is </w:t>
            </w:r>
            <w:r w:rsidR="004169EE" w:rsidRPr="00666EAA">
              <w:rPr>
                <w:rFonts w:eastAsia="Calibri"/>
                <w:szCs w:val="24"/>
              </w:rPr>
              <w:t xml:space="preserve">to </w:t>
            </w:r>
            <w:r w:rsidR="00E72A89">
              <w:rPr>
                <w:rFonts w:eastAsia="Calibri"/>
                <w:szCs w:val="24"/>
              </w:rPr>
              <w:t>transform</w:t>
            </w:r>
            <w:r w:rsidR="00640F4A" w:rsidRPr="00666EAA">
              <w:rPr>
                <w:rFonts w:eastAsia="Calibri"/>
                <w:szCs w:val="24"/>
              </w:rPr>
              <w:t xml:space="preserve"> IT</w:t>
            </w:r>
            <w:r w:rsidR="00583A2B" w:rsidRPr="00666EAA">
              <w:rPr>
                <w:rFonts w:eastAsia="Calibri"/>
                <w:szCs w:val="24"/>
              </w:rPr>
              <w:t>U</w:t>
            </w:r>
            <w:r w:rsidR="00881D3C" w:rsidRPr="00666EAA">
              <w:rPr>
                <w:rFonts w:eastAsia="Calibri"/>
                <w:szCs w:val="24"/>
              </w:rPr>
              <w:t xml:space="preserve"> into</w:t>
            </w:r>
            <w:r w:rsidR="00583A2B" w:rsidRPr="00666EAA">
              <w:rPr>
                <w:rFonts w:eastAsia="Calibri"/>
                <w:szCs w:val="24"/>
              </w:rPr>
              <w:t xml:space="preserve"> a leading organization </w:t>
            </w:r>
            <w:r w:rsidR="004169EE" w:rsidRPr="00666EAA">
              <w:rPr>
                <w:rFonts w:eastAsia="Calibri"/>
                <w:szCs w:val="24"/>
              </w:rPr>
              <w:t>in</w:t>
            </w:r>
            <w:r w:rsidR="00640F4A" w:rsidRPr="00666EAA">
              <w:rPr>
                <w:rFonts w:eastAsia="Calibri"/>
                <w:szCs w:val="24"/>
              </w:rPr>
              <w:t xml:space="preserve"> the defence of gender equality and a pioneer in </w:t>
            </w:r>
            <w:r w:rsidR="00965962" w:rsidRPr="00666EAA">
              <w:rPr>
                <w:rFonts w:eastAsia="Calibri"/>
                <w:szCs w:val="24"/>
              </w:rPr>
              <w:t>ensuring</w:t>
            </w:r>
            <w:r w:rsidR="00881D3C" w:rsidRPr="00666EAA">
              <w:rPr>
                <w:rFonts w:eastAsia="Calibri"/>
                <w:szCs w:val="24"/>
              </w:rPr>
              <w:t xml:space="preserve"> that</w:t>
            </w:r>
            <w:r w:rsidR="00666EAA" w:rsidRPr="00666EAA">
              <w:rPr>
                <w:rFonts w:eastAsia="Calibri"/>
                <w:szCs w:val="24"/>
              </w:rPr>
              <w:t xml:space="preserve"> women hold positions among its</w:t>
            </w:r>
            <w:r w:rsidR="00640F4A" w:rsidRPr="00666EAA">
              <w:rPr>
                <w:rFonts w:eastAsia="Calibri"/>
                <w:szCs w:val="24"/>
              </w:rPr>
              <w:t xml:space="preserve"> elected officials.</w:t>
            </w:r>
            <w:bookmarkEnd w:id="9"/>
          </w:p>
          <w:p w14:paraId="62E714E1" w14:textId="4D852E79" w:rsidR="0006728C" w:rsidRPr="00666EAA" w:rsidRDefault="0006728C" w:rsidP="0020041D">
            <w:pPr>
              <w:jc w:val="both"/>
              <w:rPr>
                <w:rFonts w:eastAsia="Calibri"/>
                <w:szCs w:val="24"/>
              </w:rPr>
            </w:pPr>
            <w:bookmarkStart w:id="10" w:name="lt_pId013"/>
            <w:r w:rsidRPr="00666EAA">
              <w:rPr>
                <w:rFonts w:eastAsia="Calibri"/>
                <w:szCs w:val="24"/>
              </w:rPr>
              <w:t xml:space="preserve">We </w:t>
            </w:r>
            <w:r w:rsidR="004169EE" w:rsidRPr="00666EAA">
              <w:rPr>
                <w:rFonts w:eastAsia="Calibri"/>
                <w:szCs w:val="24"/>
              </w:rPr>
              <w:t>understand</w:t>
            </w:r>
            <w:r w:rsidRPr="00666EAA">
              <w:rPr>
                <w:rFonts w:eastAsia="Calibri"/>
                <w:szCs w:val="24"/>
              </w:rPr>
              <w:t xml:space="preserve"> that the inclusion of measures to </w:t>
            </w:r>
            <w:r w:rsidR="004169EE" w:rsidRPr="00666EAA">
              <w:rPr>
                <w:rFonts w:eastAsia="Calibri"/>
                <w:szCs w:val="24"/>
              </w:rPr>
              <w:t>enhance</w:t>
            </w:r>
            <w:r w:rsidR="00881D3C" w:rsidRPr="00666EAA">
              <w:rPr>
                <w:rFonts w:eastAsia="Calibri"/>
                <w:szCs w:val="24"/>
              </w:rPr>
              <w:t xml:space="preserve"> women’s representation comes in</w:t>
            </w:r>
            <w:r w:rsidR="004169EE" w:rsidRPr="00666EAA">
              <w:rPr>
                <w:rFonts w:eastAsia="Calibri"/>
                <w:szCs w:val="24"/>
              </w:rPr>
              <w:t xml:space="preserve"> response</w:t>
            </w:r>
            <w:r w:rsidRPr="00666EAA">
              <w:rPr>
                <w:rFonts w:eastAsia="Calibri"/>
                <w:szCs w:val="24"/>
              </w:rPr>
              <w:t xml:space="preserve"> to the slow or almost non-existent </w:t>
            </w:r>
            <w:r w:rsidR="004169EE" w:rsidRPr="00666EAA">
              <w:rPr>
                <w:rFonts w:eastAsia="Calibri"/>
                <w:szCs w:val="24"/>
              </w:rPr>
              <w:t>increase in</w:t>
            </w:r>
            <w:r w:rsidRPr="00666EAA">
              <w:rPr>
                <w:rFonts w:eastAsia="Calibri"/>
                <w:szCs w:val="24"/>
              </w:rPr>
              <w:t xml:space="preserve"> </w:t>
            </w:r>
            <w:r w:rsidR="00036417" w:rsidRPr="00666EAA">
              <w:rPr>
                <w:rFonts w:eastAsia="Calibri"/>
                <w:szCs w:val="24"/>
              </w:rPr>
              <w:t xml:space="preserve">the </w:t>
            </w:r>
            <w:r w:rsidR="00881D3C" w:rsidRPr="00666EAA">
              <w:rPr>
                <w:rFonts w:eastAsia="Calibri"/>
                <w:szCs w:val="24"/>
              </w:rPr>
              <w:t xml:space="preserve">numbers of </w:t>
            </w:r>
            <w:r w:rsidRPr="00666EAA">
              <w:rPr>
                <w:rFonts w:eastAsia="Calibri"/>
                <w:szCs w:val="24"/>
              </w:rPr>
              <w:t xml:space="preserve">women in senior management and elected </w:t>
            </w:r>
            <w:r w:rsidR="00877D98" w:rsidRPr="00666EAA">
              <w:rPr>
                <w:rFonts w:eastAsia="Calibri"/>
                <w:szCs w:val="24"/>
              </w:rPr>
              <w:t>positions</w:t>
            </w:r>
            <w:r w:rsidRPr="00666EAA">
              <w:rPr>
                <w:rFonts w:eastAsia="Calibri"/>
                <w:szCs w:val="24"/>
              </w:rPr>
              <w:t xml:space="preserve">. </w:t>
            </w:r>
          </w:p>
          <w:bookmarkEnd w:id="10"/>
          <w:p w14:paraId="20C8A9A2" w14:textId="697DB07B" w:rsidR="00877D98" w:rsidRPr="00666EAA" w:rsidRDefault="00877D98" w:rsidP="0020041D">
            <w:pPr>
              <w:jc w:val="both"/>
              <w:rPr>
                <w:rFonts w:eastAsia="Calibri"/>
                <w:szCs w:val="24"/>
              </w:rPr>
            </w:pPr>
            <w:r w:rsidRPr="00666EAA">
              <w:rPr>
                <w:rFonts w:eastAsia="Calibri"/>
                <w:szCs w:val="24"/>
              </w:rPr>
              <w:t xml:space="preserve">The </w:t>
            </w:r>
            <w:r w:rsidR="00583A2B" w:rsidRPr="00666EAA">
              <w:rPr>
                <w:rFonts w:eastAsia="Calibri"/>
                <w:szCs w:val="24"/>
              </w:rPr>
              <w:t>need to</w:t>
            </w:r>
            <w:r w:rsidRPr="00666EAA">
              <w:rPr>
                <w:rFonts w:eastAsia="Calibri"/>
                <w:szCs w:val="24"/>
              </w:rPr>
              <w:t xml:space="preserve"> chang</w:t>
            </w:r>
            <w:r w:rsidR="00583A2B" w:rsidRPr="00666EAA">
              <w:rPr>
                <w:rFonts w:eastAsia="Calibri"/>
                <w:szCs w:val="24"/>
              </w:rPr>
              <w:t>e</w:t>
            </w:r>
            <w:r w:rsidRPr="00666EAA">
              <w:rPr>
                <w:rFonts w:eastAsia="Calibri"/>
                <w:szCs w:val="24"/>
              </w:rPr>
              <w:t xml:space="preserve"> the </w:t>
            </w:r>
            <w:r w:rsidR="00583A2B" w:rsidRPr="00666EAA">
              <w:rPr>
                <w:rFonts w:eastAsia="Calibri"/>
                <w:szCs w:val="24"/>
              </w:rPr>
              <w:t>way</w:t>
            </w:r>
            <w:r w:rsidRPr="00666EAA">
              <w:rPr>
                <w:rFonts w:eastAsia="Calibri"/>
                <w:szCs w:val="24"/>
              </w:rPr>
              <w:t xml:space="preserve"> the election </w:t>
            </w:r>
            <w:r w:rsidR="00583A2B" w:rsidRPr="00666EAA">
              <w:rPr>
                <w:rFonts w:eastAsia="Calibri"/>
                <w:szCs w:val="24"/>
              </w:rPr>
              <w:t>processes are structured</w:t>
            </w:r>
            <w:r w:rsidRPr="00666EAA">
              <w:rPr>
                <w:rFonts w:eastAsia="Calibri"/>
                <w:szCs w:val="24"/>
              </w:rPr>
              <w:t xml:space="preserve"> is </w:t>
            </w:r>
            <w:r w:rsidR="00583A2B" w:rsidRPr="00666EAA">
              <w:rPr>
                <w:rFonts w:eastAsia="Calibri"/>
                <w:szCs w:val="24"/>
              </w:rPr>
              <w:t>aimed at</w:t>
            </w:r>
            <w:r w:rsidRPr="00666EAA">
              <w:rPr>
                <w:rFonts w:eastAsia="Calibri"/>
                <w:szCs w:val="24"/>
              </w:rPr>
              <w:t xml:space="preserve"> ensur</w:t>
            </w:r>
            <w:r w:rsidR="00583A2B" w:rsidRPr="00666EAA">
              <w:rPr>
                <w:rFonts w:eastAsia="Calibri"/>
                <w:szCs w:val="24"/>
              </w:rPr>
              <w:t>ing</w:t>
            </w:r>
            <w:r w:rsidRPr="00666EAA">
              <w:rPr>
                <w:rFonts w:eastAsia="Calibri"/>
                <w:szCs w:val="24"/>
              </w:rPr>
              <w:t xml:space="preserve"> such equality in practice. </w:t>
            </w:r>
          </w:p>
          <w:p w14:paraId="6F20DDBC" w14:textId="5FC5865A" w:rsidR="00877D98" w:rsidRPr="00666EAA" w:rsidRDefault="00877D98" w:rsidP="0054022A">
            <w:pPr>
              <w:jc w:val="both"/>
              <w:rPr>
                <w:rFonts w:eastAsia="Calibri"/>
                <w:szCs w:val="24"/>
              </w:rPr>
            </w:pPr>
            <w:r w:rsidRPr="00666EAA">
              <w:rPr>
                <w:rFonts w:eastAsia="Calibri"/>
                <w:szCs w:val="24"/>
              </w:rPr>
              <w:t>The intention</w:t>
            </w:r>
            <w:r w:rsidR="00965962" w:rsidRPr="00666EAA">
              <w:rPr>
                <w:rFonts w:eastAsia="Calibri"/>
                <w:szCs w:val="24"/>
              </w:rPr>
              <w:t xml:space="preserve"> to</w:t>
            </w:r>
            <w:r w:rsidRPr="00666EAA">
              <w:rPr>
                <w:rFonts w:eastAsia="Calibri"/>
                <w:szCs w:val="24"/>
              </w:rPr>
              <w:t xml:space="preserve"> </w:t>
            </w:r>
            <w:r w:rsidR="00965962" w:rsidRPr="00666EAA">
              <w:rPr>
                <w:rFonts w:eastAsia="Calibri"/>
                <w:szCs w:val="24"/>
              </w:rPr>
              <w:t>explore</w:t>
            </w:r>
            <w:r w:rsidRPr="00666EAA">
              <w:rPr>
                <w:rFonts w:eastAsia="Calibri"/>
                <w:szCs w:val="24"/>
              </w:rPr>
              <w:t xml:space="preserve"> alternatives, such as quota systems, is based on the concept of </w:t>
            </w:r>
            <w:r w:rsidR="00965962" w:rsidRPr="00666EAA">
              <w:rPr>
                <w:rFonts w:eastAsia="Calibri"/>
                <w:szCs w:val="24"/>
              </w:rPr>
              <w:t>equity,</w:t>
            </w:r>
            <w:r w:rsidRPr="00666EAA">
              <w:rPr>
                <w:rFonts w:eastAsia="Calibri"/>
                <w:szCs w:val="24"/>
              </w:rPr>
              <w:t xml:space="preserve"> </w:t>
            </w:r>
            <w:r w:rsidR="00965962" w:rsidRPr="00666EAA">
              <w:rPr>
                <w:rFonts w:eastAsia="Calibri"/>
                <w:szCs w:val="24"/>
              </w:rPr>
              <w:t>which sets out</w:t>
            </w:r>
            <w:r w:rsidRPr="00666EAA">
              <w:rPr>
                <w:rFonts w:eastAsia="Calibri"/>
                <w:szCs w:val="24"/>
              </w:rPr>
              <w:t xml:space="preserve"> a different </w:t>
            </w:r>
            <w:r w:rsidR="00640F4A" w:rsidRPr="00666EAA">
              <w:rPr>
                <w:rFonts w:eastAsia="Calibri"/>
                <w:szCs w:val="24"/>
              </w:rPr>
              <w:t>treatment of</w:t>
            </w:r>
            <w:r w:rsidRPr="00666EAA">
              <w:rPr>
                <w:rFonts w:eastAsia="Calibri"/>
                <w:szCs w:val="24"/>
              </w:rPr>
              <w:t xml:space="preserve"> inequalities</w:t>
            </w:r>
            <w:r w:rsidR="00640F4A" w:rsidRPr="00666EAA">
              <w:rPr>
                <w:rFonts w:eastAsia="Calibri"/>
                <w:szCs w:val="24"/>
              </w:rPr>
              <w:t xml:space="preserve"> to</w:t>
            </w:r>
            <w:r w:rsidRPr="00666EAA">
              <w:rPr>
                <w:rFonts w:eastAsia="Calibri"/>
                <w:szCs w:val="24"/>
              </w:rPr>
              <w:t xml:space="preserve"> </w:t>
            </w:r>
            <w:r w:rsidR="00965962" w:rsidRPr="00666EAA">
              <w:rPr>
                <w:rFonts w:eastAsia="Calibri"/>
                <w:szCs w:val="24"/>
              </w:rPr>
              <w:t>ensure</w:t>
            </w:r>
            <w:r w:rsidRPr="00666EAA">
              <w:rPr>
                <w:rFonts w:eastAsia="Calibri"/>
                <w:szCs w:val="24"/>
              </w:rPr>
              <w:t xml:space="preserve"> equality. </w:t>
            </w:r>
            <w:r w:rsidR="00640F4A" w:rsidRPr="00666EAA">
              <w:rPr>
                <w:rFonts w:eastAsia="Calibri"/>
                <w:szCs w:val="24"/>
              </w:rPr>
              <w:t xml:space="preserve">It has been </w:t>
            </w:r>
            <w:r w:rsidR="0054022A">
              <w:rPr>
                <w:rFonts w:eastAsia="Calibri"/>
                <w:szCs w:val="24"/>
              </w:rPr>
              <w:t>asserted</w:t>
            </w:r>
            <w:r w:rsidR="00640F4A" w:rsidRPr="00666EAA">
              <w:rPr>
                <w:rFonts w:eastAsia="Calibri"/>
                <w:szCs w:val="24"/>
              </w:rPr>
              <w:t xml:space="preserve"> that the </w:t>
            </w:r>
            <w:r w:rsidR="0054022A">
              <w:rPr>
                <w:rFonts w:eastAsia="Calibri"/>
                <w:szCs w:val="24"/>
              </w:rPr>
              <w:t>balanced</w:t>
            </w:r>
            <w:r w:rsidR="00640F4A" w:rsidRPr="00666EAA">
              <w:rPr>
                <w:rFonts w:eastAsia="Calibri"/>
                <w:szCs w:val="24"/>
              </w:rPr>
              <w:t xml:space="preserve"> participation of men and women in decision-making can generate different ideas, values and behaviours</w:t>
            </w:r>
            <w:r w:rsidR="00881D3C" w:rsidRPr="00666EAA">
              <w:rPr>
                <w:rFonts w:eastAsia="Calibri"/>
                <w:szCs w:val="24"/>
              </w:rPr>
              <w:t>,</w:t>
            </w:r>
            <w:r w:rsidR="00640F4A" w:rsidRPr="00666EAA">
              <w:rPr>
                <w:rFonts w:eastAsia="Calibri"/>
                <w:szCs w:val="24"/>
              </w:rPr>
              <w:t xml:space="preserve"> leading to a fairer and more balanced world for both women and men. </w:t>
            </w:r>
          </w:p>
          <w:p w14:paraId="7BCEF7B6" w14:textId="6707FDB7" w:rsidR="001A16ED" w:rsidRPr="00666EAA" w:rsidRDefault="00965962" w:rsidP="00067906">
            <w:pPr>
              <w:jc w:val="both"/>
            </w:pPr>
            <w:r w:rsidRPr="00666EAA">
              <w:rPr>
                <w:rFonts w:eastAsia="Calibri"/>
                <w:szCs w:val="24"/>
              </w:rPr>
              <w:t xml:space="preserve">It is proposed that the </w:t>
            </w:r>
            <w:r w:rsidR="00640F4A" w:rsidRPr="00666EAA">
              <w:rPr>
                <w:rFonts w:eastAsia="Calibri"/>
                <w:szCs w:val="24"/>
              </w:rPr>
              <w:t xml:space="preserve">subject be </w:t>
            </w:r>
            <w:r w:rsidR="0054022A">
              <w:rPr>
                <w:rFonts w:eastAsia="Calibri"/>
                <w:szCs w:val="24"/>
              </w:rPr>
              <w:t>studied</w:t>
            </w:r>
            <w:r w:rsidR="00640F4A" w:rsidRPr="00666EAA">
              <w:rPr>
                <w:rFonts w:eastAsia="Calibri"/>
                <w:szCs w:val="24"/>
              </w:rPr>
              <w:t xml:space="preserve"> within the framework of the Council so that it may determine how best </w:t>
            </w:r>
            <w:r w:rsidRPr="00666EAA">
              <w:rPr>
                <w:rFonts w:eastAsia="Calibri"/>
                <w:szCs w:val="24"/>
              </w:rPr>
              <w:t>to give effect to the r</w:t>
            </w:r>
            <w:r w:rsidR="00640F4A" w:rsidRPr="00666EAA">
              <w:rPr>
                <w:rFonts w:eastAsia="Calibri"/>
                <w:szCs w:val="24"/>
              </w:rPr>
              <w:t xml:space="preserve">esolution. </w:t>
            </w:r>
          </w:p>
        </w:tc>
      </w:tr>
      <w:bookmarkEnd w:id="7"/>
      <w:bookmarkEnd w:id="8"/>
    </w:tbl>
    <w:p w14:paraId="3E2D41BF" w14:textId="77777777" w:rsidR="001A16ED" w:rsidRPr="00666EAA" w:rsidRDefault="001A16ED" w:rsidP="00AB2D04"/>
    <w:p w14:paraId="69401E3E" w14:textId="77777777" w:rsidR="001A16ED" w:rsidRPr="00666EAA" w:rsidRDefault="001A16ED" w:rsidP="00AB2D04">
      <w:r w:rsidRPr="00666EAA">
        <w:br w:type="page"/>
      </w:r>
    </w:p>
    <w:p w14:paraId="6DFB67AE" w14:textId="77777777" w:rsidR="00596CF2" w:rsidRDefault="00596CF2" w:rsidP="00596CF2">
      <w:pPr>
        <w:pStyle w:val="Proposal"/>
      </w:pPr>
      <w:r>
        <w:lastRenderedPageBreak/>
        <w:t>ADD</w:t>
      </w:r>
      <w:r>
        <w:tab/>
        <w:t>ARG/CTR/DOM/68/1</w:t>
      </w:r>
    </w:p>
    <w:p w14:paraId="13F9D566" w14:textId="77777777" w:rsidR="00596CF2" w:rsidRDefault="00596CF2" w:rsidP="00596CF2">
      <w:pPr>
        <w:pStyle w:val="ResNo"/>
      </w:pPr>
      <w:r>
        <w:t>Draft New Resolution [ARG/CTR/DOM-1]</w:t>
      </w:r>
    </w:p>
    <w:p w14:paraId="7011CE88" w14:textId="666261EB" w:rsidR="0018255C" w:rsidRPr="00666EAA" w:rsidRDefault="00F41E6B" w:rsidP="00EB5E21">
      <w:pPr>
        <w:pStyle w:val="Restitle"/>
      </w:pPr>
      <w:r w:rsidRPr="00666EAA">
        <w:t>G</w:t>
      </w:r>
      <w:r w:rsidR="004B6863" w:rsidRPr="00666EAA">
        <w:t xml:space="preserve">ender </w:t>
      </w:r>
      <w:r w:rsidRPr="00666EAA">
        <w:t>mainstreaming</w:t>
      </w:r>
      <w:r w:rsidR="004B6863" w:rsidRPr="00666EAA">
        <w:t xml:space="preserve"> in </w:t>
      </w:r>
      <w:r w:rsidR="00EB5E21">
        <w:t xml:space="preserve">the </w:t>
      </w:r>
      <w:r w:rsidR="004B6863" w:rsidRPr="00666EAA">
        <w:t>election</w:t>
      </w:r>
      <w:r w:rsidR="00EB5E21">
        <w:t xml:space="preserve"> of</w:t>
      </w:r>
      <w:r w:rsidR="004B6863" w:rsidRPr="00666EAA">
        <w:t xml:space="preserve"> ITU officials</w:t>
      </w:r>
    </w:p>
    <w:p w14:paraId="3AF2A483" w14:textId="77777777" w:rsidR="0018255C" w:rsidRPr="00666EAA" w:rsidRDefault="004B6863" w:rsidP="004B6863">
      <w:pPr>
        <w:pStyle w:val="Normalaftertitle"/>
      </w:pPr>
      <w:r w:rsidRPr="00666EAA">
        <w:t>The Plenipotentiary Conference of the International Telecommunication Union (Dubai, 2018),</w:t>
      </w:r>
    </w:p>
    <w:p w14:paraId="099E0CE3" w14:textId="77777777" w:rsidR="004B6863" w:rsidRPr="00666EAA" w:rsidRDefault="004B6863" w:rsidP="007F54F7">
      <w:pPr>
        <w:pStyle w:val="Call"/>
        <w:rPr>
          <w:rFonts w:eastAsia="Calibri"/>
        </w:rPr>
      </w:pPr>
      <w:r w:rsidRPr="00666EAA">
        <w:tab/>
        <w:t>recalling</w:t>
      </w:r>
      <w:bookmarkStart w:id="11" w:name="lt_pId023"/>
    </w:p>
    <w:p w14:paraId="0F610508" w14:textId="237C9F20" w:rsidR="00855F3E" w:rsidRPr="00666EAA" w:rsidRDefault="004B6863" w:rsidP="00EB5E21">
      <w:pPr>
        <w:rPr>
          <w:rFonts w:eastAsia="Calibri"/>
        </w:rPr>
      </w:pPr>
      <w:bookmarkStart w:id="12" w:name="lt_pId024"/>
      <w:bookmarkEnd w:id="11"/>
      <w:r w:rsidRPr="00666EAA">
        <w:rPr>
          <w:rFonts w:eastAsia="Calibri"/>
          <w:i/>
          <w:iCs/>
        </w:rPr>
        <w:t>a)</w:t>
      </w:r>
      <w:bookmarkEnd w:id="12"/>
      <w:r w:rsidRPr="00666EAA">
        <w:rPr>
          <w:rFonts w:eastAsia="Calibri"/>
        </w:rPr>
        <w:tab/>
      </w:r>
      <w:bookmarkStart w:id="13" w:name="lt_pId025"/>
      <w:r w:rsidR="00855F3E" w:rsidRPr="00666EAA">
        <w:rPr>
          <w:rFonts w:eastAsia="Calibri"/>
        </w:rPr>
        <w:t xml:space="preserve">United Nations’ Sustainable Development Goal </w:t>
      </w:r>
      <w:r w:rsidR="00EB5E21">
        <w:rPr>
          <w:rFonts w:eastAsia="Calibri"/>
        </w:rPr>
        <w:t xml:space="preserve">5 </w:t>
      </w:r>
      <w:r w:rsidR="00855F3E" w:rsidRPr="00666EAA">
        <w:rPr>
          <w:rFonts w:eastAsia="Calibri"/>
        </w:rPr>
        <w:t>on gender equality, the targets of which include ensuring women’s full and effective participation</w:t>
      </w:r>
      <w:r w:rsidR="00DD15DC" w:rsidRPr="00666EAA">
        <w:rPr>
          <w:rFonts w:eastAsia="Calibri"/>
        </w:rPr>
        <w:t xml:space="preserve"> and equal opportunities for</w:t>
      </w:r>
      <w:r w:rsidR="00855F3E" w:rsidRPr="00666EAA">
        <w:rPr>
          <w:rFonts w:eastAsia="Calibri"/>
        </w:rPr>
        <w:t xml:space="preserve"> leadership at all </w:t>
      </w:r>
      <w:r w:rsidR="00EB5E21">
        <w:rPr>
          <w:rFonts w:eastAsia="Calibri"/>
        </w:rPr>
        <w:t>levels of d</w:t>
      </w:r>
      <w:r w:rsidR="00DD15DC" w:rsidRPr="00666EAA">
        <w:rPr>
          <w:rFonts w:eastAsia="Calibri"/>
        </w:rPr>
        <w:t>ecisio</w:t>
      </w:r>
      <w:r w:rsidR="00855F3E" w:rsidRPr="00666EAA">
        <w:rPr>
          <w:rFonts w:eastAsia="Calibri"/>
        </w:rPr>
        <w:t xml:space="preserve">n-making </w:t>
      </w:r>
      <w:r w:rsidR="00EB5E21">
        <w:rPr>
          <w:rFonts w:eastAsia="Calibri"/>
        </w:rPr>
        <w:t xml:space="preserve">in </w:t>
      </w:r>
      <w:r w:rsidR="00855F3E" w:rsidRPr="00666EAA">
        <w:rPr>
          <w:rFonts w:eastAsia="Calibri"/>
        </w:rPr>
        <w:t>polit</w:t>
      </w:r>
      <w:r w:rsidR="00067906">
        <w:rPr>
          <w:rFonts w:eastAsia="Calibri"/>
        </w:rPr>
        <w:t>ical, economic and public life;</w:t>
      </w:r>
    </w:p>
    <w:p w14:paraId="71D8D1DA" w14:textId="0C934CF3" w:rsidR="00855F3E" w:rsidRPr="00666EAA" w:rsidRDefault="004B6863" w:rsidP="00EB5E21">
      <w:pPr>
        <w:rPr>
          <w:rFonts w:eastAsia="Calibri"/>
        </w:rPr>
      </w:pPr>
      <w:bookmarkStart w:id="14" w:name="lt_pId026"/>
      <w:bookmarkEnd w:id="13"/>
      <w:r w:rsidRPr="00666EAA">
        <w:rPr>
          <w:rFonts w:eastAsia="Calibri"/>
          <w:i/>
          <w:iCs/>
        </w:rPr>
        <w:t>b)</w:t>
      </w:r>
      <w:bookmarkEnd w:id="14"/>
      <w:r w:rsidRPr="00666EAA">
        <w:rPr>
          <w:rFonts w:eastAsia="Calibri"/>
        </w:rPr>
        <w:tab/>
      </w:r>
      <w:bookmarkStart w:id="15" w:name="lt_pId027"/>
      <w:r w:rsidR="00855F3E" w:rsidRPr="00666EAA">
        <w:rPr>
          <w:rFonts w:eastAsia="Calibri"/>
        </w:rPr>
        <w:t>the Beijing Declaration and Platform for Action</w:t>
      </w:r>
      <w:r w:rsidR="00F41E6B" w:rsidRPr="00666EAA">
        <w:rPr>
          <w:rFonts w:eastAsia="Calibri"/>
        </w:rPr>
        <w:t xml:space="preserve">, which call on governments to </w:t>
      </w:r>
      <w:r w:rsidR="00EB5E21">
        <w:rPr>
          <w:rFonts w:eastAsia="Calibri"/>
        </w:rPr>
        <w:t>aim at</w:t>
      </w:r>
      <w:r w:rsidR="00855F3E" w:rsidRPr="00666EAA">
        <w:rPr>
          <w:rFonts w:eastAsia="Calibri"/>
        </w:rPr>
        <w:t xml:space="preserve"> gender balance in the lists of national candidates nominated for election or appointment to United Nations bodies, specialized agencies and other autonomous organizations of the United Nations system, particularly for posts at the senior level</w:t>
      </w:r>
      <w:r w:rsidR="00F41E6B" w:rsidRPr="00666EAA">
        <w:rPr>
          <w:rFonts w:eastAsia="Calibri"/>
        </w:rPr>
        <w:t>;</w:t>
      </w:r>
    </w:p>
    <w:p w14:paraId="25342319" w14:textId="09FBCF90" w:rsidR="00F41E6B" w:rsidRPr="00666EAA" w:rsidRDefault="004B6863" w:rsidP="004B6863">
      <w:pPr>
        <w:rPr>
          <w:rFonts w:eastAsia="Calibri"/>
        </w:rPr>
      </w:pPr>
      <w:bookmarkStart w:id="16" w:name="lt_pId028"/>
      <w:bookmarkEnd w:id="15"/>
      <w:r w:rsidRPr="00666EAA">
        <w:rPr>
          <w:rFonts w:eastAsia="Calibri"/>
          <w:i/>
          <w:iCs/>
        </w:rPr>
        <w:t>c)</w:t>
      </w:r>
      <w:bookmarkEnd w:id="16"/>
      <w:r w:rsidRPr="00666EAA">
        <w:rPr>
          <w:rFonts w:eastAsia="Calibri"/>
        </w:rPr>
        <w:tab/>
      </w:r>
      <w:bookmarkStart w:id="17" w:name="lt_pId029"/>
      <w:r w:rsidR="00881D3C" w:rsidRPr="00666EAA">
        <w:rPr>
          <w:rFonts w:eastAsia="Calibri"/>
        </w:rPr>
        <w:t>Resolution 7</w:t>
      </w:r>
      <w:r w:rsidR="00F41E6B" w:rsidRPr="00666EAA">
        <w:rPr>
          <w:rFonts w:eastAsia="Calibri"/>
        </w:rPr>
        <w:t>0 (Rev. Busan, 2014) of the Plenipotentiary Conference</w:t>
      </w:r>
      <w:r w:rsidR="00EB5E21">
        <w:rPr>
          <w:rFonts w:eastAsia="Calibri"/>
        </w:rPr>
        <w:t>,</w:t>
      </w:r>
      <w:r w:rsidR="00F41E6B" w:rsidRPr="00666EAA">
        <w:rPr>
          <w:rFonts w:eastAsia="Calibri"/>
        </w:rPr>
        <w:t xml:space="preserve"> on mainstreaming a gender perspective in ITU and promotion of gender equality and the empowerment of women through information and communication technologies;</w:t>
      </w:r>
    </w:p>
    <w:p w14:paraId="4DAB13AE" w14:textId="27639BE8" w:rsidR="004B6863" w:rsidRPr="00666EAA" w:rsidRDefault="004B6863" w:rsidP="005E2FEF">
      <w:pPr>
        <w:rPr>
          <w:rFonts w:eastAsia="Calibri"/>
        </w:rPr>
      </w:pPr>
      <w:bookmarkStart w:id="18" w:name="lt_pId031"/>
      <w:bookmarkEnd w:id="17"/>
      <w:r w:rsidRPr="00666EAA">
        <w:rPr>
          <w:rFonts w:eastAsia="Calibri"/>
          <w:i/>
          <w:iCs/>
        </w:rPr>
        <w:t>d)</w:t>
      </w:r>
      <w:bookmarkEnd w:id="18"/>
      <w:r w:rsidRPr="00666EAA">
        <w:rPr>
          <w:rFonts w:eastAsia="Calibri"/>
        </w:rPr>
        <w:tab/>
      </w:r>
      <w:bookmarkStart w:id="19" w:name="lt_pId032"/>
      <w:r w:rsidR="00F41E6B" w:rsidRPr="00666EAA">
        <w:rPr>
          <w:rFonts w:eastAsia="Calibri"/>
        </w:rPr>
        <w:t>the United Nations system-wide Action Plan on gender equality and the empowerment of women (UN-SWAP</w:t>
      </w:r>
      <w:r w:rsidR="0042215C" w:rsidRPr="00666EAA">
        <w:rPr>
          <w:rFonts w:eastAsia="Calibri"/>
        </w:rPr>
        <w:t>),</w:t>
      </w:r>
      <w:r w:rsidR="00F41E6B" w:rsidRPr="00666EAA">
        <w:rPr>
          <w:rFonts w:eastAsia="Calibri"/>
        </w:rPr>
        <w:t xml:space="preserve"> which </w:t>
      </w:r>
      <w:r w:rsidR="005E2FEF">
        <w:rPr>
          <w:rFonts w:eastAsia="Calibri"/>
        </w:rPr>
        <w:t>for the first time assi</w:t>
      </w:r>
      <w:r w:rsidR="0042215C" w:rsidRPr="00666EAA">
        <w:rPr>
          <w:rFonts w:eastAsia="Calibri"/>
        </w:rPr>
        <w:t xml:space="preserve">gns </w:t>
      </w:r>
      <w:r w:rsidR="00B60EA6" w:rsidRPr="00666EAA">
        <w:rPr>
          <w:rFonts w:eastAsia="Calibri"/>
        </w:rPr>
        <w:t xml:space="preserve">common </w:t>
      </w:r>
      <w:r w:rsidR="005E2FEF">
        <w:rPr>
          <w:rFonts w:eastAsia="Calibri"/>
        </w:rPr>
        <w:t>performance</w:t>
      </w:r>
      <w:r w:rsidR="00B60EA6" w:rsidRPr="00666EAA">
        <w:rPr>
          <w:rFonts w:eastAsia="Calibri"/>
        </w:rPr>
        <w:t xml:space="preserve"> standar</w:t>
      </w:r>
      <w:r w:rsidR="0042215C" w:rsidRPr="00666EAA">
        <w:rPr>
          <w:rFonts w:eastAsia="Calibri"/>
        </w:rPr>
        <w:t xml:space="preserve">ds </w:t>
      </w:r>
      <w:r w:rsidR="005E2FEF">
        <w:rPr>
          <w:rFonts w:eastAsia="Calibri"/>
        </w:rPr>
        <w:t>for the gender-related</w:t>
      </w:r>
      <w:r w:rsidR="0042215C" w:rsidRPr="00666EAA">
        <w:rPr>
          <w:rFonts w:eastAsia="Calibri"/>
        </w:rPr>
        <w:t xml:space="preserve"> work </w:t>
      </w:r>
      <w:r w:rsidR="005E2FEF">
        <w:rPr>
          <w:rFonts w:eastAsia="Calibri"/>
        </w:rPr>
        <w:t xml:space="preserve">of </w:t>
      </w:r>
      <w:r w:rsidR="00B60EA6" w:rsidRPr="00666EAA">
        <w:rPr>
          <w:rFonts w:eastAsia="Calibri"/>
        </w:rPr>
        <w:t xml:space="preserve">all United Nations entities; </w:t>
      </w:r>
      <w:bookmarkEnd w:id="19"/>
    </w:p>
    <w:p w14:paraId="360179A7" w14:textId="0FCCE83B" w:rsidR="004B6863" w:rsidRPr="00666EAA" w:rsidRDefault="004B6863" w:rsidP="0054022A">
      <w:pPr>
        <w:rPr>
          <w:rFonts w:eastAsia="Calibri"/>
        </w:rPr>
      </w:pPr>
      <w:bookmarkStart w:id="20" w:name="lt_pId033"/>
      <w:r w:rsidRPr="00666EAA">
        <w:rPr>
          <w:rFonts w:eastAsia="Calibri"/>
          <w:i/>
          <w:iCs/>
        </w:rPr>
        <w:t>e)</w:t>
      </w:r>
      <w:bookmarkEnd w:id="20"/>
      <w:r w:rsidRPr="00666EAA">
        <w:rPr>
          <w:rFonts w:eastAsia="Calibri"/>
        </w:rPr>
        <w:tab/>
      </w:r>
      <w:bookmarkStart w:id="21" w:name="lt_pId034"/>
      <w:r w:rsidR="00B60EA6" w:rsidRPr="00666EAA">
        <w:rPr>
          <w:rFonts w:eastAsia="Calibri"/>
        </w:rPr>
        <w:t>the Gender Equality and Mainstreaming Policy (GEM)</w:t>
      </w:r>
      <w:r w:rsidR="0042215C" w:rsidRPr="00666EAA">
        <w:rPr>
          <w:rFonts w:eastAsia="Calibri"/>
        </w:rPr>
        <w:t>,</w:t>
      </w:r>
      <w:r w:rsidR="00B60EA6" w:rsidRPr="00666EAA">
        <w:rPr>
          <w:rFonts w:eastAsia="Calibri"/>
        </w:rPr>
        <w:t xml:space="preserve"> which provides a tool to ensure that gender equality </w:t>
      </w:r>
      <w:r w:rsidR="0042215C" w:rsidRPr="00666EAA">
        <w:rPr>
          <w:rFonts w:eastAsia="Calibri"/>
        </w:rPr>
        <w:t>remains</w:t>
      </w:r>
      <w:r w:rsidR="00176ACE" w:rsidRPr="00666EAA">
        <w:rPr>
          <w:rFonts w:eastAsia="Calibri"/>
        </w:rPr>
        <w:t xml:space="preserve"> a </w:t>
      </w:r>
      <w:r w:rsidR="0054022A">
        <w:rPr>
          <w:rFonts w:eastAsia="Calibri"/>
        </w:rPr>
        <w:t>core</w:t>
      </w:r>
      <w:r w:rsidR="00176ACE" w:rsidRPr="00666EAA">
        <w:rPr>
          <w:rFonts w:eastAsia="Calibri"/>
        </w:rPr>
        <w:t xml:space="preserve"> consideration in ITU</w:t>
      </w:r>
      <w:r w:rsidR="0054022A">
        <w:rPr>
          <w:rFonts w:eastAsia="Calibri"/>
        </w:rPr>
        <w:t>’s</w:t>
      </w:r>
      <w:r w:rsidR="00176ACE" w:rsidRPr="00666EAA">
        <w:rPr>
          <w:rFonts w:eastAsia="Calibri"/>
        </w:rPr>
        <w:t xml:space="preserve"> strategic programmes</w:t>
      </w:r>
      <w:r w:rsidR="0042215C" w:rsidRPr="00666EAA">
        <w:rPr>
          <w:rFonts w:eastAsia="Calibri"/>
        </w:rPr>
        <w:t>, plans and activities</w:t>
      </w:r>
      <w:r w:rsidR="00176ACE" w:rsidRPr="00666EAA">
        <w:rPr>
          <w:rFonts w:eastAsia="Calibri"/>
        </w:rPr>
        <w:t xml:space="preserve">; </w:t>
      </w:r>
      <w:bookmarkEnd w:id="21"/>
    </w:p>
    <w:p w14:paraId="71A4CB9D" w14:textId="02E456E8" w:rsidR="00176ACE" w:rsidRPr="00666EAA" w:rsidRDefault="004B6863" w:rsidP="0054022A">
      <w:pPr>
        <w:rPr>
          <w:rFonts w:eastAsia="Calibri"/>
        </w:rPr>
      </w:pPr>
      <w:bookmarkStart w:id="22" w:name="lt_pId035"/>
      <w:r w:rsidRPr="00666EAA">
        <w:rPr>
          <w:i/>
          <w:iCs/>
        </w:rPr>
        <w:t>f)</w:t>
      </w:r>
      <w:bookmarkEnd w:id="22"/>
      <w:r w:rsidRPr="00666EAA">
        <w:tab/>
      </w:r>
      <w:bookmarkStart w:id="23" w:name="lt_pId036"/>
      <w:r w:rsidR="00176ACE" w:rsidRPr="00666EAA">
        <w:rPr>
          <w:rFonts w:eastAsia="Calibri"/>
        </w:rPr>
        <w:t xml:space="preserve">the </w:t>
      </w:r>
      <w:r w:rsidR="00E72A89" w:rsidRPr="00E72A89">
        <w:rPr>
          <w:rFonts w:eastAsia="Calibri"/>
        </w:rPr>
        <w:t>Convention on the Elimination of All Forms of Discrimination against Women</w:t>
      </w:r>
      <w:r w:rsidR="00E72A89">
        <w:rPr>
          <w:rFonts w:eastAsia="Calibri"/>
        </w:rPr>
        <w:t xml:space="preserve">, which </w:t>
      </w:r>
      <w:r w:rsidR="00176ACE" w:rsidRPr="00666EAA">
        <w:rPr>
          <w:rFonts w:eastAsia="Calibri"/>
        </w:rPr>
        <w:t>requires the United Nations to take appropriate measures to ensure the full development and advancement of women,</w:t>
      </w:r>
      <w:r w:rsidR="008E7825" w:rsidRPr="00666EAA">
        <w:rPr>
          <w:rFonts w:eastAsia="Calibri"/>
        </w:rPr>
        <w:t xml:space="preserve"> including </w:t>
      </w:r>
      <w:r w:rsidR="0054022A">
        <w:rPr>
          <w:rFonts w:eastAsia="Calibri"/>
        </w:rPr>
        <w:t xml:space="preserve">the adoption of </w:t>
      </w:r>
      <w:r w:rsidR="00176ACE" w:rsidRPr="00666EAA">
        <w:rPr>
          <w:rFonts w:eastAsia="Calibri"/>
        </w:rPr>
        <w:t xml:space="preserve">temporary special measures aimed at accelerating de facto equality between men and women </w:t>
      </w:r>
      <w:r w:rsidR="008E7825" w:rsidRPr="00666EAA">
        <w:rPr>
          <w:rFonts w:eastAsia="Calibri"/>
        </w:rPr>
        <w:t xml:space="preserve">which </w:t>
      </w:r>
      <w:r w:rsidR="00176ACE" w:rsidRPr="00666EAA">
        <w:rPr>
          <w:rFonts w:eastAsia="Calibri"/>
        </w:rPr>
        <w:t xml:space="preserve">shall not be considered discrimination as defined in the Convention, emphasizing that this does not </w:t>
      </w:r>
      <w:r w:rsidR="0042215C" w:rsidRPr="00666EAA">
        <w:rPr>
          <w:rFonts w:eastAsia="Calibri"/>
        </w:rPr>
        <w:t>imply</w:t>
      </w:r>
      <w:r w:rsidR="00176ACE" w:rsidRPr="00666EAA">
        <w:rPr>
          <w:rFonts w:eastAsia="Calibri"/>
        </w:rPr>
        <w:t xml:space="preserve"> the maintenance of unequal standards, </w:t>
      </w:r>
      <w:r w:rsidR="0054022A">
        <w:rPr>
          <w:rFonts w:eastAsia="Calibri"/>
        </w:rPr>
        <w:t xml:space="preserve">but that </w:t>
      </w:r>
      <w:r w:rsidR="00176ACE" w:rsidRPr="00666EAA">
        <w:rPr>
          <w:rFonts w:eastAsia="Calibri"/>
        </w:rPr>
        <w:t>such measures shall be discontinued when the objectives of equality of opportunity and treatment have been achieved</w:t>
      </w:r>
      <w:r w:rsidR="00B80ABE">
        <w:rPr>
          <w:rFonts w:eastAsia="Calibri"/>
        </w:rPr>
        <w:t>;</w:t>
      </w:r>
    </w:p>
    <w:p w14:paraId="34055C1E" w14:textId="5FC7A769" w:rsidR="008E7825" w:rsidRPr="00666EAA" w:rsidRDefault="004B6863" w:rsidP="004B6863">
      <w:pPr>
        <w:rPr>
          <w:rFonts w:eastAsia="Calibri"/>
        </w:rPr>
      </w:pPr>
      <w:bookmarkStart w:id="24" w:name="lt_pId037"/>
      <w:bookmarkEnd w:id="23"/>
      <w:r w:rsidRPr="00666EAA">
        <w:rPr>
          <w:rFonts w:eastAsia="Calibri"/>
          <w:i/>
          <w:iCs/>
        </w:rPr>
        <w:t>g)</w:t>
      </w:r>
      <w:bookmarkEnd w:id="24"/>
      <w:r w:rsidRPr="00666EAA">
        <w:rPr>
          <w:rFonts w:eastAsia="Calibri"/>
        </w:rPr>
        <w:tab/>
      </w:r>
      <w:bookmarkStart w:id="25" w:name="lt_pId038"/>
      <w:r w:rsidR="008E7825" w:rsidRPr="00666EAA">
        <w:rPr>
          <w:rFonts w:eastAsia="Calibri"/>
        </w:rPr>
        <w:t xml:space="preserve">the </w:t>
      </w:r>
      <w:r w:rsidR="00E72A89">
        <w:rPr>
          <w:rFonts w:eastAsia="Calibri"/>
        </w:rPr>
        <w:t xml:space="preserve">2017 </w:t>
      </w:r>
      <w:r w:rsidR="008E7825" w:rsidRPr="00666EAA">
        <w:rPr>
          <w:rFonts w:eastAsia="Calibri"/>
        </w:rPr>
        <w:t>United Nations System-wide Strategy on Gender Parity, which recommends that the Executive Office of the Secretary-General develop a consolidated modern executive search function for s</w:t>
      </w:r>
      <w:r w:rsidR="00E72A89">
        <w:rPr>
          <w:rFonts w:eastAsia="Calibri"/>
        </w:rPr>
        <w:t>enior appointments across the United Nations</w:t>
      </w:r>
      <w:r w:rsidR="008E7825" w:rsidRPr="00666EAA">
        <w:rPr>
          <w:rFonts w:eastAsia="Calibri"/>
        </w:rPr>
        <w:t xml:space="preserve"> system for the purposes of developing and maintaining a senior talent inventory of eligible women</w:t>
      </w:r>
      <w:r w:rsidR="00724474" w:rsidRPr="00666EAA">
        <w:rPr>
          <w:rFonts w:eastAsia="Calibri"/>
        </w:rPr>
        <w:t>;</w:t>
      </w:r>
    </w:p>
    <w:p w14:paraId="71FB371C" w14:textId="57588095" w:rsidR="00724474" w:rsidRPr="00666EAA" w:rsidRDefault="004B6863" w:rsidP="004B6863">
      <w:pPr>
        <w:rPr>
          <w:rFonts w:eastAsia="Calibri"/>
        </w:rPr>
      </w:pPr>
      <w:bookmarkStart w:id="26" w:name="lt_pId039"/>
      <w:bookmarkEnd w:id="25"/>
      <w:r w:rsidRPr="00666EAA">
        <w:rPr>
          <w:rFonts w:eastAsia="Calibri"/>
          <w:i/>
          <w:iCs/>
        </w:rPr>
        <w:t>h)</w:t>
      </w:r>
      <w:bookmarkEnd w:id="26"/>
      <w:r w:rsidRPr="00666EAA">
        <w:rPr>
          <w:rFonts w:eastAsia="Calibri"/>
        </w:rPr>
        <w:tab/>
      </w:r>
      <w:bookmarkStart w:id="27" w:name="lt_pId040"/>
      <w:r w:rsidR="00724474" w:rsidRPr="00666EAA">
        <w:rPr>
          <w:rFonts w:eastAsia="Calibri"/>
        </w:rPr>
        <w:t xml:space="preserve">ITU’s </w:t>
      </w:r>
      <w:r w:rsidR="0042215C" w:rsidRPr="00666EAA">
        <w:rPr>
          <w:rFonts w:eastAsia="Calibri"/>
        </w:rPr>
        <w:t xml:space="preserve">2018 Gender Parity Strategy, </w:t>
      </w:r>
      <w:r w:rsidR="00724474" w:rsidRPr="00666EAA">
        <w:rPr>
          <w:rFonts w:eastAsia="Calibri"/>
        </w:rPr>
        <w:t xml:space="preserve">which aims </w:t>
      </w:r>
      <w:r w:rsidR="00724474" w:rsidRPr="00666EAA">
        <w:t xml:space="preserve">to maximize all opportunities to improve ITU’s gender balance across all levels of staff; </w:t>
      </w:r>
    </w:p>
    <w:bookmarkEnd w:id="27"/>
    <w:p w14:paraId="51861A49" w14:textId="6AA26E41" w:rsidR="00724474" w:rsidRPr="00666EAA" w:rsidRDefault="00724474" w:rsidP="0054022A">
      <w:pPr>
        <w:rPr>
          <w:rFonts w:eastAsia="Calibri"/>
          <w:i/>
          <w:iCs/>
        </w:rPr>
      </w:pPr>
      <w:r w:rsidRPr="00666EAA">
        <w:rPr>
          <w:rFonts w:eastAsia="Calibri"/>
          <w:i/>
          <w:iCs/>
        </w:rPr>
        <w:t>i)</w:t>
      </w:r>
      <w:r w:rsidR="0054022A">
        <w:rPr>
          <w:rFonts w:eastAsia="Calibri"/>
          <w:i/>
          <w:iCs/>
        </w:rPr>
        <w:tab/>
      </w:r>
      <w:r w:rsidR="0054022A" w:rsidRPr="0054022A">
        <w:rPr>
          <w:rFonts w:eastAsia="Calibri"/>
        </w:rPr>
        <w:t>paragraph</w:t>
      </w:r>
      <w:r w:rsidRPr="00666EAA">
        <w:rPr>
          <w:rFonts w:eastAsia="Calibri"/>
          <w:iCs/>
        </w:rPr>
        <w:t xml:space="preserve"> 61 of</w:t>
      </w:r>
      <w:r w:rsidRPr="00666EAA">
        <w:t xml:space="preserve"> ITU’s Human Resources Strategic Plan, </w:t>
      </w:r>
      <w:r w:rsidR="0054022A">
        <w:t xml:space="preserve">Document </w:t>
      </w:r>
      <w:r w:rsidRPr="00666EAA">
        <w:t>CO9/56, which assigns the Secretary-General with the</w:t>
      </w:r>
      <w:r w:rsidRPr="00666EAA">
        <w:rPr>
          <w:rFonts w:eastAsia="Calibri"/>
          <w:iCs/>
        </w:rPr>
        <w:t xml:space="preserve"> </w:t>
      </w:r>
      <w:r w:rsidRPr="00666EAA">
        <w:rPr>
          <w:szCs w:val="22"/>
        </w:rPr>
        <w:t>responsibility for achieving geographical and gender balance</w:t>
      </w:r>
      <w:r w:rsidR="00E72A89">
        <w:rPr>
          <w:szCs w:val="22"/>
        </w:rPr>
        <w:t>,</w:t>
      </w:r>
    </w:p>
    <w:p w14:paraId="0AA7BBE7" w14:textId="725F60D9" w:rsidR="002B16C9" w:rsidRPr="00666EAA" w:rsidRDefault="005F161C" w:rsidP="007F54F7">
      <w:pPr>
        <w:pStyle w:val="Call"/>
        <w:rPr>
          <w:rFonts w:eastAsia="Calibri"/>
        </w:rPr>
      </w:pPr>
      <w:r w:rsidRPr="00666EAA">
        <w:rPr>
          <w:rFonts w:eastAsia="Calibri"/>
        </w:rPr>
        <w:lastRenderedPageBreak/>
        <w:t>c</w:t>
      </w:r>
      <w:r w:rsidR="002B16C9" w:rsidRPr="00666EAA">
        <w:rPr>
          <w:rFonts w:eastAsia="Calibri"/>
        </w:rPr>
        <w:t>onsidering</w:t>
      </w:r>
    </w:p>
    <w:p w14:paraId="5BFD8782" w14:textId="39713506" w:rsidR="002B16C9" w:rsidRPr="00666EAA" w:rsidRDefault="00724474" w:rsidP="00724474">
      <w:pPr>
        <w:rPr>
          <w:rFonts w:eastAsia="Calibri"/>
        </w:rPr>
      </w:pPr>
      <w:bookmarkStart w:id="28" w:name="lt_pId044"/>
      <w:r w:rsidRPr="00666EAA">
        <w:rPr>
          <w:rFonts w:eastAsia="Calibri"/>
          <w:i/>
          <w:iCs/>
        </w:rPr>
        <w:t>a)</w:t>
      </w:r>
      <w:bookmarkEnd w:id="28"/>
      <w:r w:rsidRPr="00666EAA">
        <w:rPr>
          <w:rFonts w:eastAsia="Calibri"/>
        </w:rPr>
        <w:tab/>
      </w:r>
      <w:bookmarkStart w:id="29" w:name="lt_pId045"/>
      <w:r w:rsidR="002B16C9" w:rsidRPr="00666EAA">
        <w:rPr>
          <w:rFonts w:eastAsia="Calibri"/>
        </w:rPr>
        <w:t xml:space="preserve">that the United Nations has shown that the meaningful inclusion of women in decision-making increases efficiency and productivity, brings new perspectives and solutions to the table, releases greater resources, and strengthens efforts in all areas of work; </w:t>
      </w:r>
    </w:p>
    <w:p w14:paraId="1606F4E2" w14:textId="2762D588" w:rsidR="002B16C9" w:rsidRPr="00666EAA" w:rsidRDefault="00724474" w:rsidP="005E2FEF">
      <w:pPr>
        <w:rPr>
          <w:rFonts w:eastAsia="Calibri"/>
        </w:rPr>
      </w:pPr>
      <w:bookmarkStart w:id="30" w:name="lt_pId046"/>
      <w:bookmarkEnd w:id="29"/>
      <w:r w:rsidRPr="00666EAA">
        <w:rPr>
          <w:rFonts w:eastAsia="Calibri"/>
          <w:i/>
          <w:iCs/>
        </w:rPr>
        <w:t>b)</w:t>
      </w:r>
      <w:bookmarkEnd w:id="30"/>
      <w:r w:rsidRPr="00666EAA">
        <w:rPr>
          <w:rFonts w:eastAsia="Calibri"/>
        </w:rPr>
        <w:tab/>
      </w:r>
      <w:bookmarkStart w:id="31" w:name="lt_pId047"/>
      <w:r w:rsidR="000B3669" w:rsidRPr="00666EAA">
        <w:rPr>
          <w:rFonts w:eastAsia="Calibri"/>
        </w:rPr>
        <w:t xml:space="preserve">that the United Nations Secretary-General formally presented the System-wide Strategy on Gender Parity in September 2017 and made a commitment to reach parity at the senior leadership level, including the </w:t>
      </w:r>
      <w:r w:rsidR="005E2FEF">
        <w:t>u</w:t>
      </w:r>
      <w:r w:rsidR="000B3669" w:rsidRPr="00666EAA">
        <w:t>nder-</w:t>
      </w:r>
      <w:r w:rsidR="005E2FEF">
        <w:t>s</w:t>
      </w:r>
      <w:r w:rsidR="000B3669" w:rsidRPr="00666EAA">
        <w:t>ecretaries-</w:t>
      </w:r>
      <w:r w:rsidR="005E2FEF">
        <w:t>g</w:t>
      </w:r>
      <w:r w:rsidR="000B3669" w:rsidRPr="00666EAA">
        <w:t>eneral,</w:t>
      </w:r>
      <w:r w:rsidR="000B3669" w:rsidRPr="00666EAA">
        <w:rPr>
          <w:rFonts w:eastAsia="Calibri"/>
        </w:rPr>
        <w:t xml:space="preserve"> </w:t>
      </w:r>
      <w:r w:rsidR="005E2FEF">
        <w:rPr>
          <w:rFonts w:eastAsia="Calibri"/>
        </w:rPr>
        <w:t>a</w:t>
      </w:r>
      <w:r w:rsidR="000B3669" w:rsidRPr="00666EAA">
        <w:t xml:space="preserve">ssistant </w:t>
      </w:r>
      <w:r w:rsidR="005E2FEF">
        <w:t>s</w:t>
      </w:r>
      <w:r w:rsidR="000B3669" w:rsidRPr="00666EAA">
        <w:t>ecretaries-</w:t>
      </w:r>
      <w:r w:rsidR="005E2FEF">
        <w:t>g</w:t>
      </w:r>
      <w:r w:rsidR="000B3669" w:rsidRPr="00666EAA">
        <w:t xml:space="preserve">eneral, representatives and </w:t>
      </w:r>
      <w:r w:rsidR="005E2FEF">
        <w:t>s</w:t>
      </w:r>
      <w:r w:rsidR="000B3669" w:rsidRPr="00666EAA">
        <w:t xml:space="preserve">pecial </w:t>
      </w:r>
      <w:r w:rsidR="005E2FEF">
        <w:t>e</w:t>
      </w:r>
      <w:r w:rsidR="000B3669" w:rsidRPr="00666EAA">
        <w:t xml:space="preserve">nvoys, by the end of 2021, and parity across the </w:t>
      </w:r>
      <w:r w:rsidR="00E72A89">
        <w:t>Organization “well before 2030”;</w:t>
      </w:r>
    </w:p>
    <w:p w14:paraId="66585F4A" w14:textId="3BCFE452" w:rsidR="009B5DE3" w:rsidRPr="00666EAA" w:rsidRDefault="00724474" w:rsidP="005E2FEF">
      <w:bookmarkStart w:id="32" w:name="lt_pId048"/>
      <w:bookmarkEnd w:id="31"/>
      <w:r w:rsidRPr="00666EAA">
        <w:rPr>
          <w:i/>
          <w:iCs/>
        </w:rPr>
        <w:t>c)</w:t>
      </w:r>
      <w:bookmarkEnd w:id="32"/>
      <w:r w:rsidRPr="00666EAA">
        <w:tab/>
      </w:r>
      <w:bookmarkStart w:id="33" w:name="lt_pId049"/>
      <w:r w:rsidR="009B5DE3" w:rsidRPr="00666EAA">
        <w:t xml:space="preserve">that the Organization </w:t>
      </w:r>
      <w:r w:rsidR="000814AF" w:rsidRPr="00666EAA">
        <w:t xml:space="preserve">should be modernized and its institutional culture changed so that the United Nations may access and exploit its </w:t>
      </w:r>
      <w:r w:rsidR="005E2FEF">
        <w:t xml:space="preserve">full </w:t>
      </w:r>
      <w:r w:rsidR="000814AF" w:rsidRPr="00666EAA">
        <w:t xml:space="preserve">potential; </w:t>
      </w:r>
    </w:p>
    <w:p w14:paraId="01E02814" w14:textId="02F89970" w:rsidR="000814AF" w:rsidRPr="00666EAA" w:rsidRDefault="00724474" w:rsidP="00724474">
      <w:pPr>
        <w:rPr>
          <w:rFonts w:eastAsia="Calibri"/>
        </w:rPr>
      </w:pPr>
      <w:bookmarkStart w:id="34" w:name="lt_pId050"/>
      <w:bookmarkEnd w:id="33"/>
      <w:r w:rsidRPr="00666EAA">
        <w:rPr>
          <w:rFonts w:eastAsia="Calibri"/>
          <w:i/>
          <w:iCs/>
        </w:rPr>
        <w:t>d)</w:t>
      </w:r>
      <w:bookmarkEnd w:id="34"/>
      <w:r w:rsidRPr="00666EAA">
        <w:rPr>
          <w:rFonts w:eastAsia="Calibri"/>
        </w:rPr>
        <w:tab/>
      </w:r>
      <w:bookmarkStart w:id="35" w:name="lt_pId051"/>
      <w:r w:rsidR="00644DA5" w:rsidRPr="00666EAA">
        <w:rPr>
          <w:rFonts w:eastAsia="Calibri"/>
        </w:rPr>
        <w:t>that parity is fundamental to the credibility of the Organization as a model of behaviour;</w:t>
      </w:r>
    </w:p>
    <w:p w14:paraId="1D688875" w14:textId="1656EDF6" w:rsidR="00644DA5" w:rsidRPr="00666EAA" w:rsidRDefault="00724474" w:rsidP="00724474">
      <w:pPr>
        <w:rPr>
          <w:rFonts w:eastAsia="Calibri"/>
        </w:rPr>
      </w:pPr>
      <w:bookmarkStart w:id="36" w:name="lt_pId052"/>
      <w:bookmarkEnd w:id="35"/>
      <w:r w:rsidRPr="00666EAA">
        <w:rPr>
          <w:rFonts w:eastAsia="Calibri"/>
          <w:i/>
          <w:iCs/>
        </w:rPr>
        <w:t>e)</w:t>
      </w:r>
      <w:bookmarkEnd w:id="36"/>
      <w:r w:rsidRPr="00666EAA">
        <w:rPr>
          <w:rFonts w:eastAsia="Calibri"/>
        </w:rPr>
        <w:tab/>
      </w:r>
      <w:bookmarkStart w:id="37" w:name="lt_pId053"/>
      <w:r w:rsidR="00644DA5" w:rsidRPr="00666EAA">
        <w:rPr>
          <w:rFonts w:eastAsia="Calibri"/>
        </w:rPr>
        <w:t>that an under-representation of women in ITU can be noted in the essential</w:t>
      </w:r>
      <w:r w:rsidR="00DD15DC" w:rsidRPr="00666EAA">
        <w:rPr>
          <w:rFonts w:eastAsia="Calibri"/>
        </w:rPr>
        <w:t xml:space="preserve"> and high- visibility</w:t>
      </w:r>
      <w:r w:rsidR="00644DA5" w:rsidRPr="00666EAA">
        <w:rPr>
          <w:rFonts w:eastAsia="Calibri"/>
        </w:rPr>
        <w:t xml:space="preserve"> categories, such as leadership and senior management posts; </w:t>
      </w:r>
    </w:p>
    <w:p w14:paraId="25F956EA" w14:textId="542D2D1F" w:rsidR="00644DA5" w:rsidRPr="00666EAA" w:rsidRDefault="00724474" w:rsidP="00724474">
      <w:pPr>
        <w:rPr>
          <w:rFonts w:eastAsia="Calibri"/>
        </w:rPr>
      </w:pPr>
      <w:bookmarkStart w:id="38" w:name="lt_pId054"/>
      <w:bookmarkEnd w:id="37"/>
      <w:r w:rsidRPr="00666EAA">
        <w:rPr>
          <w:rFonts w:eastAsia="Calibri"/>
          <w:i/>
          <w:iCs/>
        </w:rPr>
        <w:t>f)</w:t>
      </w:r>
      <w:bookmarkEnd w:id="38"/>
      <w:r w:rsidRPr="00666EAA">
        <w:rPr>
          <w:rFonts w:eastAsia="Calibri"/>
        </w:rPr>
        <w:tab/>
      </w:r>
      <w:bookmarkStart w:id="39" w:name="lt_pId055"/>
      <w:r w:rsidR="00DD15DC" w:rsidRPr="00666EAA">
        <w:rPr>
          <w:rFonts w:eastAsia="Calibri"/>
        </w:rPr>
        <w:t>that throughout its 150-year</w:t>
      </w:r>
      <w:r w:rsidR="0042215C" w:rsidRPr="00666EAA">
        <w:rPr>
          <w:rFonts w:eastAsia="Calibri"/>
        </w:rPr>
        <w:t xml:space="preserve"> history, </w:t>
      </w:r>
      <w:r w:rsidR="009836C2" w:rsidRPr="00666EAA">
        <w:rPr>
          <w:rFonts w:eastAsia="Calibri"/>
        </w:rPr>
        <w:t>ITU has never had a woman as an elected o</w:t>
      </w:r>
      <w:r w:rsidR="00DD15DC" w:rsidRPr="00666EAA">
        <w:rPr>
          <w:rFonts w:eastAsia="Calibri"/>
        </w:rPr>
        <w:t>f</w:t>
      </w:r>
      <w:r w:rsidR="009836C2" w:rsidRPr="00666EAA">
        <w:rPr>
          <w:rFonts w:eastAsia="Calibri"/>
        </w:rPr>
        <w:t xml:space="preserve">ficial; </w:t>
      </w:r>
    </w:p>
    <w:p w14:paraId="4D7C51C2" w14:textId="3038976D" w:rsidR="009836C2" w:rsidRPr="00666EAA" w:rsidRDefault="00724474" w:rsidP="00724474">
      <w:pPr>
        <w:rPr>
          <w:rFonts w:eastAsia="Calibri"/>
        </w:rPr>
      </w:pPr>
      <w:bookmarkStart w:id="40" w:name="lt_pId056"/>
      <w:bookmarkEnd w:id="39"/>
      <w:r w:rsidRPr="00666EAA">
        <w:rPr>
          <w:rFonts w:eastAsia="Calibri"/>
          <w:i/>
          <w:iCs/>
        </w:rPr>
        <w:t>g)</w:t>
      </w:r>
      <w:bookmarkEnd w:id="40"/>
      <w:r w:rsidRPr="00666EAA">
        <w:rPr>
          <w:rFonts w:eastAsia="Calibri"/>
        </w:rPr>
        <w:tab/>
      </w:r>
      <w:bookmarkStart w:id="41" w:name="lt_pId057"/>
      <w:r w:rsidR="009836C2" w:rsidRPr="00666EAA">
        <w:rPr>
          <w:rFonts w:eastAsia="Calibri"/>
        </w:rPr>
        <w:t>that in order to change this situation</w:t>
      </w:r>
      <w:r w:rsidR="005E2FEF">
        <w:rPr>
          <w:rFonts w:eastAsia="Calibri"/>
        </w:rPr>
        <w:t>,</w:t>
      </w:r>
      <w:r w:rsidR="009836C2" w:rsidRPr="00666EAA">
        <w:rPr>
          <w:rFonts w:eastAsia="Calibri"/>
        </w:rPr>
        <w:t xml:space="preserve"> decisions </w:t>
      </w:r>
      <w:r w:rsidR="008B615F" w:rsidRPr="00666EAA">
        <w:rPr>
          <w:rFonts w:eastAsia="Calibri"/>
        </w:rPr>
        <w:t>are required for</w:t>
      </w:r>
      <w:r w:rsidR="009836C2" w:rsidRPr="00666EAA">
        <w:rPr>
          <w:rFonts w:eastAsia="Calibri"/>
        </w:rPr>
        <w:t xml:space="preserve"> positive action that produce a tan</w:t>
      </w:r>
      <w:r w:rsidR="00067906">
        <w:rPr>
          <w:rFonts w:eastAsia="Calibri"/>
        </w:rPr>
        <w:t>gible result in the short term,</w:t>
      </w:r>
    </w:p>
    <w:p w14:paraId="00576222" w14:textId="5409D18A" w:rsidR="009836C2" w:rsidRPr="00666EAA" w:rsidRDefault="005E2FEF" w:rsidP="007F54F7">
      <w:pPr>
        <w:pStyle w:val="Call"/>
        <w:rPr>
          <w:rFonts w:eastAsia="Calibri"/>
        </w:rPr>
      </w:pPr>
      <w:bookmarkStart w:id="42" w:name="lt_pId058"/>
      <w:bookmarkEnd w:id="41"/>
      <w:r>
        <w:rPr>
          <w:rFonts w:eastAsia="Calibri"/>
        </w:rPr>
        <w:t>recognizing</w:t>
      </w:r>
    </w:p>
    <w:p w14:paraId="44031FAF" w14:textId="6DB88A51" w:rsidR="008B615F" w:rsidRPr="00666EAA" w:rsidRDefault="00724474" w:rsidP="005E2FEF">
      <w:pPr>
        <w:rPr>
          <w:rFonts w:eastAsia="Calibri"/>
        </w:rPr>
      </w:pPr>
      <w:bookmarkStart w:id="43" w:name="lt_pId059"/>
      <w:bookmarkEnd w:id="42"/>
      <w:r w:rsidRPr="00666EAA">
        <w:rPr>
          <w:rFonts w:eastAsia="Calibri"/>
          <w:i/>
          <w:iCs/>
        </w:rPr>
        <w:t>a)</w:t>
      </w:r>
      <w:bookmarkEnd w:id="43"/>
      <w:r w:rsidRPr="00666EAA">
        <w:rPr>
          <w:rFonts w:eastAsia="Calibri"/>
        </w:rPr>
        <w:tab/>
      </w:r>
      <w:bookmarkStart w:id="44" w:name="lt_pId060"/>
      <w:r w:rsidR="008B615F" w:rsidRPr="00666EAA">
        <w:rPr>
          <w:rFonts w:eastAsia="Calibri"/>
        </w:rPr>
        <w:t xml:space="preserve">that </w:t>
      </w:r>
      <w:r w:rsidR="005E2FEF">
        <w:rPr>
          <w:rFonts w:eastAsia="Calibri"/>
        </w:rPr>
        <w:t xml:space="preserve">the </w:t>
      </w:r>
      <w:r w:rsidR="008B615F" w:rsidRPr="00666EAA">
        <w:rPr>
          <w:rFonts w:asciiTheme="minorHAnsi" w:hAnsiTheme="minorHAnsi" w:cstheme="minorHAnsi"/>
          <w:szCs w:val="24"/>
        </w:rPr>
        <w:t>ITU Secretary-General is an “International Gender Champion” and has made public commitments towards gender equality;</w:t>
      </w:r>
    </w:p>
    <w:p w14:paraId="3C90835F" w14:textId="0BC8018E" w:rsidR="008B615F" w:rsidRPr="00666EAA" w:rsidRDefault="00724474" w:rsidP="005E2FEF">
      <w:pPr>
        <w:rPr>
          <w:rFonts w:eastAsia="Calibri"/>
        </w:rPr>
      </w:pPr>
      <w:bookmarkStart w:id="45" w:name="lt_pId061"/>
      <w:bookmarkEnd w:id="44"/>
      <w:r w:rsidRPr="00666EAA">
        <w:rPr>
          <w:rFonts w:eastAsia="Calibri"/>
          <w:i/>
          <w:iCs/>
        </w:rPr>
        <w:t>b)</w:t>
      </w:r>
      <w:bookmarkEnd w:id="45"/>
      <w:r w:rsidRPr="00666EAA">
        <w:rPr>
          <w:rFonts w:eastAsia="Calibri"/>
        </w:rPr>
        <w:tab/>
      </w:r>
      <w:bookmarkStart w:id="46" w:name="lt_pId062"/>
      <w:r w:rsidR="008B615F" w:rsidRPr="00666EAA">
        <w:rPr>
          <w:rFonts w:asciiTheme="minorHAnsi" w:hAnsiTheme="minorHAnsi" w:cstheme="minorHAnsi"/>
          <w:szCs w:val="24"/>
        </w:rPr>
        <w:t xml:space="preserve">that </w:t>
      </w:r>
      <w:r w:rsidR="005E2FEF">
        <w:rPr>
          <w:rFonts w:asciiTheme="minorHAnsi" w:hAnsiTheme="minorHAnsi" w:cstheme="minorHAnsi"/>
          <w:szCs w:val="24"/>
        </w:rPr>
        <w:t>the</w:t>
      </w:r>
      <w:r w:rsidR="008B615F" w:rsidRPr="00666EAA">
        <w:rPr>
          <w:rFonts w:asciiTheme="minorHAnsi" w:hAnsiTheme="minorHAnsi" w:cstheme="minorHAnsi"/>
          <w:szCs w:val="24"/>
        </w:rPr>
        <w:t xml:space="preserve"> elected officials and directors have been encouraged to make their own public gender equality and parity commitments and make specific, concrete and ambitious commitments to enhance those within their divisions;</w:t>
      </w:r>
    </w:p>
    <w:p w14:paraId="5929267A" w14:textId="163980C2" w:rsidR="008B615F" w:rsidRPr="00666EAA" w:rsidRDefault="00724474" w:rsidP="00724474">
      <w:pPr>
        <w:rPr>
          <w:rFonts w:eastAsia="Calibri"/>
        </w:rPr>
      </w:pPr>
      <w:bookmarkStart w:id="47" w:name="lt_pId063"/>
      <w:bookmarkEnd w:id="46"/>
      <w:r w:rsidRPr="00666EAA">
        <w:rPr>
          <w:rFonts w:eastAsia="Calibri"/>
          <w:i/>
          <w:iCs/>
        </w:rPr>
        <w:t>c)</w:t>
      </w:r>
      <w:bookmarkEnd w:id="47"/>
      <w:r w:rsidRPr="00666EAA">
        <w:rPr>
          <w:rFonts w:eastAsia="Calibri"/>
        </w:rPr>
        <w:tab/>
      </w:r>
      <w:bookmarkStart w:id="48" w:name="lt_pId064"/>
      <w:r w:rsidR="008B615F" w:rsidRPr="00666EAA">
        <w:rPr>
          <w:rFonts w:eastAsia="Calibri"/>
        </w:rPr>
        <w:t xml:space="preserve">that several actions have been adopted within ITU to increase the number of women in </w:t>
      </w:r>
      <w:r w:rsidR="00816CCE" w:rsidRPr="00666EAA">
        <w:rPr>
          <w:rFonts w:eastAsia="Calibri"/>
        </w:rPr>
        <w:t>posts</w:t>
      </w:r>
      <w:r w:rsidR="008B615F" w:rsidRPr="00666EAA">
        <w:rPr>
          <w:rFonts w:eastAsia="Calibri"/>
        </w:rPr>
        <w:t xml:space="preserve"> and on delegatio</w:t>
      </w:r>
      <w:r w:rsidR="007971A9" w:rsidRPr="00666EAA">
        <w:rPr>
          <w:rFonts w:eastAsia="Calibri"/>
        </w:rPr>
        <w:t>ns representing Member States and</w:t>
      </w:r>
      <w:r w:rsidR="008B615F" w:rsidRPr="00666EAA">
        <w:rPr>
          <w:rFonts w:eastAsia="Calibri"/>
        </w:rPr>
        <w:t xml:space="preserve"> Ass</w:t>
      </w:r>
      <w:r w:rsidR="00067906">
        <w:rPr>
          <w:rFonts w:eastAsia="Calibri"/>
        </w:rPr>
        <w:t>ociates;</w:t>
      </w:r>
    </w:p>
    <w:p w14:paraId="177C16E7" w14:textId="13F2CF83" w:rsidR="00816CCE" w:rsidRPr="00666EAA" w:rsidRDefault="00724474" w:rsidP="005E2FEF">
      <w:pPr>
        <w:rPr>
          <w:rFonts w:eastAsia="Calibri"/>
        </w:rPr>
      </w:pPr>
      <w:bookmarkStart w:id="49" w:name="lt_pId065"/>
      <w:bookmarkEnd w:id="48"/>
      <w:r w:rsidRPr="00666EAA">
        <w:rPr>
          <w:rFonts w:eastAsia="Calibri"/>
          <w:i/>
          <w:iCs/>
        </w:rPr>
        <w:t>d)</w:t>
      </w:r>
      <w:bookmarkEnd w:id="49"/>
      <w:r w:rsidRPr="00666EAA">
        <w:rPr>
          <w:rFonts w:eastAsia="Calibri"/>
        </w:rPr>
        <w:tab/>
      </w:r>
      <w:bookmarkStart w:id="50" w:name="lt_pId066"/>
      <w:r w:rsidR="00816CCE" w:rsidRPr="00666EAA">
        <w:rPr>
          <w:rFonts w:eastAsia="Calibri"/>
        </w:rPr>
        <w:t xml:space="preserve">that having women in </w:t>
      </w:r>
      <w:r w:rsidR="00FF088B" w:rsidRPr="00666EAA">
        <w:rPr>
          <w:rFonts w:eastAsia="Calibri"/>
        </w:rPr>
        <w:t>decisio</w:t>
      </w:r>
      <w:r w:rsidR="00816CCE" w:rsidRPr="00666EAA">
        <w:rPr>
          <w:rFonts w:eastAsia="Calibri"/>
        </w:rPr>
        <w:t xml:space="preserve">n-making posts </w:t>
      </w:r>
      <w:r w:rsidR="00DD15DC" w:rsidRPr="00666EAA">
        <w:rPr>
          <w:rFonts w:eastAsia="Calibri"/>
        </w:rPr>
        <w:t>is</w:t>
      </w:r>
      <w:r w:rsidR="00816CCE" w:rsidRPr="00666EAA">
        <w:rPr>
          <w:rFonts w:eastAsia="Calibri"/>
        </w:rPr>
        <w:t xml:space="preserve"> an incentive for women’s participation and also serves </w:t>
      </w:r>
      <w:r w:rsidR="00E72A89">
        <w:rPr>
          <w:rFonts w:eastAsia="Calibri"/>
        </w:rPr>
        <w:t xml:space="preserve">as a mechanism </w:t>
      </w:r>
      <w:r w:rsidR="00816CCE" w:rsidRPr="00666EAA">
        <w:rPr>
          <w:rFonts w:eastAsia="Calibri"/>
        </w:rPr>
        <w:t xml:space="preserve">to </w:t>
      </w:r>
      <w:r w:rsidR="00FF088B" w:rsidRPr="00666EAA">
        <w:rPr>
          <w:rFonts w:eastAsia="Calibri"/>
        </w:rPr>
        <w:t xml:space="preserve">promote </w:t>
      </w:r>
      <w:r w:rsidR="00DD15DC" w:rsidRPr="00666EAA">
        <w:rPr>
          <w:rFonts w:eastAsia="Calibri"/>
        </w:rPr>
        <w:t xml:space="preserve">women’s vocations in </w:t>
      </w:r>
      <w:r w:rsidR="00FF088B" w:rsidRPr="00666EAA">
        <w:rPr>
          <w:rFonts w:eastAsia="Calibri"/>
        </w:rPr>
        <w:t>scien</w:t>
      </w:r>
      <w:r w:rsidR="00E72A89">
        <w:rPr>
          <w:rFonts w:eastAsia="Calibri"/>
        </w:rPr>
        <w:t>ce</w:t>
      </w:r>
      <w:r w:rsidR="00FF088B" w:rsidRPr="00666EAA">
        <w:rPr>
          <w:rFonts w:eastAsia="Calibri"/>
        </w:rPr>
        <w:t xml:space="preserve"> and technolog</w:t>
      </w:r>
      <w:r w:rsidR="00E72A89">
        <w:rPr>
          <w:rFonts w:eastAsia="Calibri"/>
        </w:rPr>
        <w:t>y</w:t>
      </w:r>
      <w:r w:rsidR="00816CCE" w:rsidRPr="00666EAA">
        <w:rPr>
          <w:rFonts w:eastAsia="Calibri"/>
        </w:rPr>
        <w:t xml:space="preserve"> </w:t>
      </w:r>
      <w:r w:rsidR="00FF088B" w:rsidRPr="00666EAA">
        <w:rPr>
          <w:rFonts w:eastAsia="Calibri"/>
        </w:rPr>
        <w:t xml:space="preserve">from an early age; </w:t>
      </w:r>
    </w:p>
    <w:p w14:paraId="20D30188" w14:textId="5B1C3A8E" w:rsidR="00FF088B" w:rsidRPr="00666EAA" w:rsidRDefault="00724474" w:rsidP="005E2FEF">
      <w:pPr>
        <w:rPr>
          <w:rFonts w:eastAsia="Calibri"/>
        </w:rPr>
      </w:pPr>
      <w:bookmarkStart w:id="51" w:name="lt_pId067"/>
      <w:bookmarkEnd w:id="50"/>
      <w:r w:rsidRPr="00666EAA">
        <w:rPr>
          <w:rFonts w:eastAsia="Calibri"/>
          <w:i/>
          <w:iCs/>
        </w:rPr>
        <w:t>e)</w:t>
      </w:r>
      <w:bookmarkEnd w:id="51"/>
      <w:r w:rsidRPr="00666EAA">
        <w:rPr>
          <w:rFonts w:eastAsia="Calibri"/>
        </w:rPr>
        <w:tab/>
      </w:r>
      <w:bookmarkStart w:id="52" w:name="lt_pId068"/>
      <w:r w:rsidR="007971A9" w:rsidRPr="00666EAA">
        <w:rPr>
          <w:rFonts w:eastAsia="Calibri"/>
        </w:rPr>
        <w:t xml:space="preserve">that actions remain </w:t>
      </w:r>
      <w:r w:rsidR="00847F40" w:rsidRPr="00666EAA">
        <w:rPr>
          <w:rFonts w:eastAsia="Calibri"/>
        </w:rPr>
        <w:t xml:space="preserve">to be taken regarding women’s representation in elected </w:t>
      </w:r>
      <w:r w:rsidR="005E2FEF">
        <w:rPr>
          <w:rFonts w:eastAsia="Calibri"/>
        </w:rPr>
        <w:t>positions</w:t>
      </w:r>
      <w:r w:rsidR="00847F40" w:rsidRPr="00666EAA">
        <w:rPr>
          <w:rFonts w:eastAsia="Calibri"/>
        </w:rPr>
        <w:t>,</w:t>
      </w:r>
    </w:p>
    <w:bookmarkEnd w:id="52"/>
    <w:p w14:paraId="01AC9DA4" w14:textId="2323D1EF" w:rsidR="00724474" w:rsidRPr="00666EAA" w:rsidRDefault="00847F40" w:rsidP="007F54F7">
      <w:pPr>
        <w:pStyle w:val="Call"/>
        <w:rPr>
          <w:rFonts w:eastAsia="Calibri"/>
        </w:rPr>
      </w:pPr>
      <w:r w:rsidRPr="00666EAA">
        <w:rPr>
          <w:rFonts w:eastAsia="Calibri"/>
        </w:rPr>
        <w:t>taking into account</w:t>
      </w:r>
    </w:p>
    <w:p w14:paraId="56284F14" w14:textId="24755A15" w:rsidR="00724474" w:rsidRPr="00666EAA" w:rsidRDefault="00724474" w:rsidP="007F54F7">
      <w:pPr>
        <w:rPr>
          <w:rFonts w:eastAsia="Calibri"/>
        </w:rPr>
      </w:pPr>
      <w:bookmarkStart w:id="53" w:name="lt_pId070"/>
      <w:r w:rsidRPr="00666EAA">
        <w:rPr>
          <w:rFonts w:eastAsia="Calibri"/>
          <w:i/>
          <w:iCs/>
        </w:rPr>
        <w:t>a)</w:t>
      </w:r>
      <w:bookmarkEnd w:id="53"/>
      <w:r w:rsidRPr="00666EAA">
        <w:rPr>
          <w:rFonts w:eastAsia="Calibri"/>
        </w:rPr>
        <w:tab/>
      </w:r>
      <w:bookmarkStart w:id="54" w:name="lt_pId071"/>
      <w:r w:rsidR="007971A9" w:rsidRPr="00666EAA">
        <w:rPr>
          <w:rFonts w:eastAsia="Calibri"/>
        </w:rPr>
        <w:t xml:space="preserve">that the adoption of </w:t>
      </w:r>
      <w:r w:rsidR="00847F40" w:rsidRPr="00666EAA">
        <w:rPr>
          <w:rFonts w:eastAsia="Calibri"/>
        </w:rPr>
        <w:t>quota system</w:t>
      </w:r>
      <w:r w:rsidR="007971A9" w:rsidRPr="00666EAA">
        <w:rPr>
          <w:rFonts w:eastAsia="Calibri"/>
        </w:rPr>
        <w:t>s</w:t>
      </w:r>
      <w:r w:rsidR="00847F40" w:rsidRPr="00666EAA">
        <w:rPr>
          <w:rFonts w:eastAsia="Calibri"/>
        </w:rPr>
        <w:t xml:space="preserve"> to guarantee women’s participation has achieved very satisfactory and specific results </w:t>
      </w:r>
      <w:r w:rsidR="007F0B6E">
        <w:rPr>
          <w:rFonts w:eastAsia="Calibri"/>
        </w:rPr>
        <w:t>for</w:t>
      </w:r>
      <w:r w:rsidR="00847F40" w:rsidRPr="00666EAA">
        <w:rPr>
          <w:rFonts w:eastAsia="Calibri"/>
        </w:rPr>
        <w:t xml:space="preserve"> the inclusion of women in political life;</w:t>
      </w:r>
      <w:bookmarkEnd w:id="54"/>
      <w:r w:rsidRPr="00666EAA">
        <w:rPr>
          <w:rFonts w:eastAsia="Calibri"/>
        </w:rPr>
        <w:t xml:space="preserve"> </w:t>
      </w:r>
    </w:p>
    <w:p w14:paraId="697464EC" w14:textId="6BF83A1F" w:rsidR="00847F40" w:rsidRPr="007F6B6D" w:rsidRDefault="00724474" w:rsidP="005E2FEF">
      <w:bookmarkStart w:id="55" w:name="lt_pId072"/>
      <w:r w:rsidRPr="00666EAA">
        <w:rPr>
          <w:i/>
          <w:iCs/>
        </w:rPr>
        <w:t>b)</w:t>
      </w:r>
      <w:bookmarkEnd w:id="55"/>
      <w:r w:rsidRPr="00666EAA">
        <w:tab/>
      </w:r>
      <w:r w:rsidR="007D12D5" w:rsidRPr="00666EAA">
        <w:t xml:space="preserve">that the establishment of criteria on quotas for women’s representation should not be </w:t>
      </w:r>
      <w:r w:rsidR="005F161C" w:rsidRPr="00666EAA">
        <w:t>considered</w:t>
      </w:r>
      <w:r w:rsidR="007D12D5" w:rsidRPr="00666EAA">
        <w:t xml:space="preserve"> </w:t>
      </w:r>
      <w:r w:rsidR="00E72A89">
        <w:t>as contrary to</w:t>
      </w:r>
      <w:r w:rsidR="007D12D5" w:rsidRPr="00666EAA">
        <w:t xml:space="preserve"> people’s merits or qualities but rather as an innovative and pioneering pol</w:t>
      </w:r>
      <w:r w:rsidR="005F161C" w:rsidRPr="00666EAA">
        <w:t>icy to reduce gender disparity</w:t>
      </w:r>
      <w:r w:rsidR="007D12D5" w:rsidRPr="00666EAA">
        <w:t xml:space="preserve"> </w:t>
      </w:r>
      <w:r w:rsidR="007D12D5" w:rsidRPr="007F6B6D">
        <w:t xml:space="preserve">and the </w:t>
      </w:r>
      <w:r w:rsidR="005F161C" w:rsidRPr="007F6B6D">
        <w:t>non</w:t>
      </w:r>
      <w:r w:rsidR="007D12D5" w:rsidRPr="007F6B6D">
        <w:t xml:space="preserve">-representation of women in elected </w:t>
      </w:r>
      <w:r w:rsidR="005E2FEF">
        <w:t>positions</w:t>
      </w:r>
      <w:r w:rsidR="007D12D5" w:rsidRPr="007F6B6D">
        <w:t xml:space="preserve">; </w:t>
      </w:r>
    </w:p>
    <w:p w14:paraId="638E55B3" w14:textId="370D5E88" w:rsidR="00847F40" w:rsidRPr="00666EAA" w:rsidRDefault="00847F40" w:rsidP="007F54F7">
      <w:bookmarkStart w:id="56" w:name="lt_pId074"/>
      <w:r w:rsidRPr="007F6B6D">
        <w:rPr>
          <w:i/>
          <w:iCs/>
        </w:rPr>
        <w:t>c)</w:t>
      </w:r>
      <w:bookmarkEnd w:id="56"/>
      <w:r w:rsidRPr="007F6B6D">
        <w:tab/>
      </w:r>
      <w:bookmarkStart w:id="57" w:name="lt_pId075"/>
      <w:r w:rsidR="00054DE8" w:rsidRPr="007F6B6D">
        <w:t xml:space="preserve">that the adoption of corrective </w:t>
      </w:r>
      <w:r w:rsidR="00666EAA" w:rsidRPr="007F6B6D">
        <w:t>measures</w:t>
      </w:r>
      <w:r w:rsidR="00054DE8" w:rsidRPr="007F6B6D">
        <w:t xml:space="preserve"> intended to increase candidatures</w:t>
      </w:r>
      <w:r w:rsidR="00E72A89">
        <w:t xml:space="preserve"> from women</w:t>
      </w:r>
      <w:r w:rsidR="00054DE8" w:rsidRPr="007F6B6D">
        <w:t xml:space="preserve"> seeks to eliminate existing discrimination, remedy</w:t>
      </w:r>
      <w:r w:rsidR="00054DE8" w:rsidRPr="00666EAA">
        <w:t xml:space="preserve"> the past and </w:t>
      </w:r>
      <w:r w:rsidR="005E2FEF">
        <w:t>provide for</w:t>
      </w:r>
      <w:r w:rsidR="00054DE8" w:rsidRPr="00666EAA">
        <w:t xml:space="preserve"> the future, ensuring that both women and men have equal opportunities to compete for ITU decision-making posts;</w:t>
      </w:r>
      <w:bookmarkEnd w:id="57"/>
    </w:p>
    <w:p w14:paraId="0CAD41E8" w14:textId="2A9C332A" w:rsidR="00054DE8" w:rsidRPr="00666EAA" w:rsidRDefault="00847F40" w:rsidP="00847F40">
      <w:bookmarkStart w:id="58" w:name="lt_pId076"/>
      <w:r w:rsidRPr="00666EAA">
        <w:rPr>
          <w:i/>
          <w:iCs/>
        </w:rPr>
        <w:t>d)</w:t>
      </w:r>
      <w:bookmarkEnd w:id="58"/>
      <w:r w:rsidRPr="00666EAA">
        <w:tab/>
      </w:r>
      <w:bookmarkStart w:id="59" w:name="lt_pId077"/>
      <w:r w:rsidR="00054DE8" w:rsidRPr="00666EAA">
        <w:t xml:space="preserve">that the establishment of strategies to prevent </w:t>
      </w:r>
      <w:r w:rsidR="00390F9F" w:rsidRPr="00666EAA">
        <w:t xml:space="preserve">unintended gender-based </w:t>
      </w:r>
      <w:r w:rsidR="00054DE8" w:rsidRPr="00666EAA">
        <w:t xml:space="preserve">discrimination </w:t>
      </w:r>
      <w:r w:rsidR="00390F9F" w:rsidRPr="00666EAA">
        <w:t xml:space="preserve">in election </w:t>
      </w:r>
      <w:r w:rsidR="00DD15DC" w:rsidRPr="00666EAA">
        <w:t>processes</w:t>
      </w:r>
      <w:r w:rsidR="00390F9F" w:rsidRPr="00666EAA">
        <w:t xml:space="preserve"> contributes to the achievement of parity </w:t>
      </w:r>
      <w:r w:rsidR="005F161C" w:rsidRPr="00666EAA">
        <w:t>targets</w:t>
      </w:r>
      <w:r w:rsidR="00390F9F" w:rsidRPr="00666EAA">
        <w:t>,</w:t>
      </w:r>
    </w:p>
    <w:bookmarkEnd w:id="59"/>
    <w:p w14:paraId="0C023160" w14:textId="34AA15AF" w:rsidR="00847F40" w:rsidRPr="00666EAA" w:rsidRDefault="00390F9F" w:rsidP="007F54F7">
      <w:pPr>
        <w:pStyle w:val="Call"/>
        <w:rPr>
          <w:rFonts w:eastAsia="Calibri"/>
        </w:rPr>
      </w:pPr>
      <w:r w:rsidRPr="00666EAA">
        <w:rPr>
          <w:rFonts w:eastAsia="Calibri"/>
        </w:rPr>
        <w:lastRenderedPageBreak/>
        <w:t>resolves</w:t>
      </w:r>
    </w:p>
    <w:p w14:paraId="4B2CF7CE" w14:textId="545DE533" w:rsidR="00847F40" w:rsidRPr="00666EAA" w:rsidRDefault="00390F9F" w:rsidP="005E2FEF">
      <w:pPr>
        <w:rPr>
          <w:rFonts w:eastAsia="Calibri"/>
        </w:rPr>
      </w:pPr>
      <w:bookmarkStart w:id="60" w:name="lt_pId079"/>
      <w:r w:rsidRPr="00666EAA">
        <w:rPr>
          <w:rFonts w:eastAsia="Calibri"/>
        </w:rPr>
        <w:t xml:space="preserve">that it should be guaranteed that at least one of the five officials </w:t>
      </w:r>
      <w:r w:rsidR="005F161C" w:rsidRPr="00666EAA">
        <w:rPr>
          <w:rFonts w:eastAsia="Calibri"/>
        </w:rPr>
        <w:t xml:space="preserve">elected </w:t>
      </w:r>
      <w:r w:rsidRPr="00666EAA">
        <w:rPr>
          <w:rFonts w:eastAsia="Calibri"/>
        </w:rPr>
        <w:t xml:space="preserve">during the </w:t>
      </w:r>
      <w:r w:rsidR="005E2FEF">
        <w:rPr>
          <w:rFonts w:eastAsia="Calibri"/>
        </w:rPr>
        <w:t>p</w:t>
      </w:r>
      <w:r w:rsidRPr="00666EAA">
        <w:rPr>
          <w:rFonts w:eastAsia="Calibri"/>
        </w:rPr>
        <w:t xml:space="preserve">lenipotentiary </w:t>
      </w:r>
      <w:r w:rsidR="005E2FEF">
        <w:rPr>
          <w:rFonts w:eastAsia="Calibri"/>
        </w:rPr>
        <w:t>c</w:t>
      </w:r>
      <w:r w:rsidR="00485D23">
        <w:rPr>
          <w:rFonts w:eastAsia="Calibri"/>
        </w:rPr>
        <w:t>onference shall be a woma</w:t>
      </w:r>
      <w:r w:rsidRPr="00666EAA">
        <w:rPr>
          <w:rFonts w:eastAsia="Calibri"/>
        </w:rPr>
        <w:t>n,</w:t>
      </w:r>
      <w:bookmarkEnd w:id="60"/>
    </w:p>
    <w:p w14:paraId="172B8210" w14:textId="0EF954BF" w:rsidR="00847F40" w:rsidRPr="00666EAA" w:rsidRDefault="00390F9F" w:rsidP="007F54F7">
      <w:pPr>
        <w:pStyle w:val="Call"/>
        <w:rPr>
          <w:rFonts w:eastAsia="Calibri"/>
        </w:rPr>
      </w:pPr>
      <w:r w:rsidRPr="00666EAA">
        <w:rPr>
          <w:rFonts w:eastAsia="Calibri"/>
        </w:rPr>
        <w:t>instructs the Council</w:t>
      </w:r>
    </w:p>
    <w:p w14:paraId="7B296CB0" w14:textId="47146079" w:rsidR="00847F40" w:rsidRPr="00666EAA" w:rsidRDefault="00847F40" w:rsidP="007F54F7">
      <w:pPr>
        <w:rPr>
          <w:rFonts w:eastAsia="Calibri"/>
        </w:rPr>
      </w:pPr>
      <w:r w:rsidRPr="00666EAA">
        <w:rPr>
          <w:rFonts w:eastAsia="Calibri"/>
        </w:rPr>
        <w:t>1</w:t>
      </w:r>
      <w:r w:rsidRPr="00666EAA">
        <w:rPr>
          <w:rFonts w:eastAsia="Calibri"/>
        </w:rPr>
        <w:tab/>
      </w:r>
      <w:bookmarkStart w:id="61" w:name="lt_pId082"/>
      <w:r w:rsidR="00390F9F" w:rsidRPr="00666EAA">
        <w:rPr>
          <w:rFonts w:eastAsia="Calibri"/>
        </w:rPr>
        <w:t xml:space="preserve">to </w:t>
      </w:r>
      <w:r w:rsidR="005E2FEF">
        <w:rPr>
          <w:rFonts w:eastAsia="Calibri"/>
        </w:rPr>
        <w:t>study</w:t>
      </w:r>
      <w:r w:rsidR="00390F9F" w:rsidRPr="00666EAA">
        <w:rPr>
          <w:rFonts w:eastAsia="Calibri"/>
        </w:rPr>
        <w:t xml:space="preserve"> alternatives and mechanisms </w:t>
      </w:r>
      <w:r w:rsidR="00697E19" w:rsidRPr="00666EAA">
        <w:rPr>
          <w:rFonts w:eastAsia="Calibri"/>
        </w:rPr>
        <w:t>to</w:t>
      </w:r>
      <w:r w:rsidR="00036417" w:rsidRPr="00666EAA">
        <w:rPr>
          <w:rFonts w:eastAsia="Calibri"/>
        </w:rPr>
        <w:t>wards</w:t>
      </w:r>
      <w:r w:rsidR="00697E19" w:rsidRPr="00666EAA">
        <w:rPr>
          <w:rFonts w:eastAsia="Calibri"/>
        </w:rPr>
        <w:t xml:space="preserve"> guarantee</w:t>
      </w:r>
      <w:r w:rsidR="00036417" w:rsidRPr="00666EAA">
        <w:rPr>
          <w:rFonts w:eastAsia="Calibri"/>
        </w:rPr>
        <w:t>ing</w:t>
      </w:r>
      <w:r w:rsidR="00697E19" w:rsidRPr="00666EAA">
        <w:rPr>
          <w:rFonts w:eastAsia="Calibri"/>
        </w:rPr>
        <w:t xml:space="preserve"> the outcome of the present recommendation, such as a quota system;</w:t>
      </w:r>
      <w:bookmarkEnd w:id="61"/>
    </w:p>
    <w:p w14:paraId="7F3B83B6" w14:textId="1B294998" w:rsidR="00847F40" w:rsidRPr="00666EAA" w:rsidRDefault="00847F40" w:rsidP="005E2FEF">
      <w:pPr>
        <w:rPr>
          <w:rFonts w:eastAsia="Calibri"/>
        </w:rPr>
      </w:pPr>
      <w:r w:rsidRPr="00666EAA">
        <w:rPr>
          <w:rFonts w:eastAsia="Calibri"/>
        </w:rPr>
        <w:t>2</w:t>
      </w:r>
      <w:r w:rsidRPr="00666EAA">
        <w:rPr>
          <w:rFonts w:eastAsia="Calibri"/>
        </w:rPr>
        <w:tab/>
      </w:r>
      <w:bookmarkStart w:id="62" w:name="lt_pId084"/>
      <w:r w:rsidR="00697E19" w:rsidRPr="00666EAA">
        <w:rPr>
          <w:rFonts w:eastAsia="Calibri"/>
        </w:rPr>
        <w:t xml:space="preserve">to </w:t>
      </w:r>
      <w:r w:rsidR="00DD15DC" w:rsidRPr="00666EAA">
        <w:rPr>
          <w:rFonts w:eastAsia="Calibri"/>
        </w:rPr>
        <w:t>conduct</w:t>
      </w:r>
      <w:r w:rsidR="002258E8" w:rsidRPr="00666EAA">
        <w:rPr>
          <w:rFonts w:eastAsia="Calibri"/>
        </w:rPr>
        <w:t xml:space="preserve"> </w:t>
      </w:r>
      <w:r w:rsidR="00697E19" w:rsidRPr="00666EAA">
        <w:rPr>
          <w:rFonts w:eastAsia="Calibri"/>
        </w:rPr>
        <w:t xml:space="preserve">the work </w:t>
      </w:r>
      <w:r w:rsidR="002258E8" w:rsidRPr="00666EAA">
        <w:rPr>
          <w:rFonts w:eastAsia="Calibri"/>
        </w:rPr>
        <w:t xml:space="preserve">necessary for amending </w:t>
      </w:r>
      <w:r w:rsidR="00371D42" w:rsidRPr="00666EAA">
        <w:rPr>
          <w:rFonts w:eastAsia="Calibri"/>
        </w:rPr>
        <w:t xml:space="preserve">the specific rules of procedure for the election </w:t>
      </w:r>
      <w:r w:rsidR="00067906">
        <w:rPr>
          <w:rFonts w:eastAsia="Calibri"/>
        </w:rPr>
        <w:t xml:space="preserve">of the Secretary-General, the </w:t>
      </w:r>
      <w:r w:rsidR="002258E8" w:rsidRPr="00666EAA">
        <w:rPr>
          <w:rFonts w:eastAsia="Calibri"/>
        </w:rPr>
        <w:t xml:space="preserve">Deputy Secretary-General and the Directors of the Bureaux of the Sectors for the implementation of this resolution and to present a report to the 2022 </w:t>
      </w:r>
      <w:r w:rsidR="005E2FEF">
        <w:rPr>
          <w:rFonts w:eastAsia="Calibri"/>
        </w:rPr>
        <w:t>p</w:t>
      </w:r>
      <w:r w:rsidR="002258E8" w:rsidRPr="00666EAA">
        <w:rPr>
          <w:rFonts w:eastAsia="Calibri"/>
        </w:rPr>
        <w:t xml:space="preserve">lenipotentiary </w:t>
      </w:r>
      <w:r w:rsidR="005E2FEF">
        <w:rPr>
          <w:rFonts w:eastAsia="Calibri"/>
        </w:rPr>
        <w:t>c</w:t>
      </w:r>
      <w:r w:rsidR="002258E8" w:rsidRPr="00666EAA">
        <w:rPr>
          <w:rFonts w:eastAsia="Calibri"/>
        </w:rPr>
        <w:t>onference,</w:t>
      </w:r>
      <w:bookmarkEnd w:id="62"/>
    </w:p>
    <w:p w14:paraId="2938CCFD" w14:textId="1DE65F0C" w:rsidR="00847F40" w:rsidRPr="00666EAA" w:rsidRDefault="002258E8" w:rsidP="007F54F7">
      <w:pPr>
        <w:pStyle w:val="Call"/>
        <w:rPr>
          <w:rFonts w:eastAsia="Calibri"/>
        </w:rPr>
      </w:pPr>
      <w:r w:rsidRPr="00666EAA">
        <w:rPr>
          <w:rFonts w:eastAsia="Calibri"/>
        </w:rPr>
        <w:t>encourages Member States</w:t>
      </w:r>
    </w:p>
    <w:p w14:paraId="031CC0BC" w14:textId="1527FEB0" w:rsidR="00847F40" w:rsidRDefault="002258E8" w:rsidP="005E2FEF">
      <w:pPr>
        <w:rPr>
          <w:rFonts w:eastAsia="Calibri"/>
        </w:rPr>
      </w:pPr>
      <w:bookmarkStart w:id="63" w:name="lt_pId086"/>
      <w:r w:rsidRPr="00666EAA">
        <w:rPr>
          <w:rFonts w:eastAsia="Calibri"/>
        </w:rPr>
        <w:t xml:space="preserve">to present </w:t>
      </w:r>
      <w:r w:rsidR="005E2FEF">
        <w:rPr>
          <w:rFonts w:eastAsia="Calibri"/>
        </w:rPr>
        <w:t>candidatures</w:t>
      </w:r>
      <w:r w:rsidRPr="00666EAA">
        <w:rPr>
          <w:rFonts w:eastAsia="Calibri"/>
        </w:rPr>
        <w:t xml:space="preserve"> from women for the posts of Secretary-General, the Deputy Secretary-General and </w:t>
      </w:r>
      <w:r w:rsidR="00583A2B" w:rsidRPr="00666EAA">
        <w:rPr>
          <w:rFonts w:eastAsia="Calibri"/>
        </w:rPr>
        <w:t xml:space="preserve">the Directors of </w:t>
      </w:r>
      <w:r w:rsidR="005E2FEF">
        <w:rPr>
          <w:rFonts w:eastAsia="Calibri"/>
        </w:rPr>
        <w:t>the</w:t>
      </w:r>
      <w:r w:rsidR="007F0B6E">
        <w:rPr>
          <w:rFonts w:eastAsia="Calibri"/>
        </w:rPr>
        <w:t xml:space="preserve"> Radiocommunication</w:t>
      </w:r>
      <w:r w:rsidR="00583A2B" w:rsidRPr="00666EAA">
        <w:rPr>
          <w:rFonts w:eastAsia="Calibri"/>
        </w:rPr>
        <w:t xml:space="preserve">, </w:t>
      </w:r>
      <w:r w:rsidR="007F0B6E">
        <w:rPr>
          <w:rFonts w:eastAsia="Calibri"/>
        </w:rPr>
        <w:t xml:space="preserve">Telecommunication </w:t>
      </w:r>
      <w:r w:rsidR="00583A2B" w:rsidRPr="00666EAA">
        <w:rPr>
          <w:rFonts w:eastAsia="Calibri"/>
        </w:rPr>
        <w:t>Standardization and Telecommunication Development</w:t>
      </w:r>
      <w:r w:rsidR="005E2FEF">
        <w:rPr>
          <w:rFonts w:eastAsia="Calibri"/>
        </w:rPr>
        <w:t xml:space="preserve"> Bureaux</w:t>
      </w:r>
      <w:r w:rsidR="00583A2B" w:rsidRPr="00666EAA">
        <w:rPr>
          <w:rFonts w:eastAsia="Calibri"/>
        </w:rPr>
        <w:t xml:space="preserve">. </w:t>
      </w:r>
      <w:bookmarkEnd w:id="63"/>
    </w:p>
    <w:p w14:paraId="52C35940" w14:textId="77777777" w:rsidR="00A12872" w:rsidRPr="00666EAA" w:rsidRDefault="00A12872" w:rsidP="006F2A8D">
      <w:pPr>
        <w:pStyle w:val="Reasons"/>
        <w:rPr>
          <w:rFonts w:eastAsia="Calibri"/>
        </w:rPr>
      </w:pPr>
    </w:p>
    <w:p w14:paraId="3882FDBB" w14:textId="77777777" w:rsidR="007F54F7" w:rsidRDefault="007F54F7" w:rsidP="007F54F7">
      <w:pPr>
        <w:jc w:val="center"/>
      </w:pPr>
      <w:r>
        <w:t>______________</w:t>
      </w:r>
    </w:p>
    <w:sectPr w:rsidR="007F54F7" w:rsidSect="00361097">
      <w:headerReference w:type="even" r:id="rId10"/>
      <w:headerReference w:type="default" r:id="rId11"/>
      <w:footerReference w:type="even"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83146" w14:textId="77777777" w:rsidR="00627DF4" w:rsidRDefault="00627DF4">
      <w:r>
        <w:separator/>
      </w:r>
    </w:p>
  </w:endnote>
  <w:endnote w:type="continuationSeparator" w:id="0">
    <w:p w14:paraId="6058E1A2" w14:textId="77777777" w:rsidR="00627DF4" w:rsidRDefault="006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37855" w14:textId="77777777" w:rsidR="00A8726F" w:rsidRDefault="00A87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1A993" w14:textId="2C6AF070" w:rsidR="007E7B63" w:rsidRPr="00A8726F" w:rsidRDefault="007E7B63" w:rsidP="00A8726F">
    <w:pPr>
      <w:pStyle w:val="Footer"/>
    </w:pPr>
    <w:bookmarkStart w:id="64" w:name="_GoBack"/>
    <w:bookmarkEnd w:id="6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056E" w14:textId="77777777"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E6B07A2"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D09F1" w14:textId="77777777" w:rsidR="00627DF4" w:rsidRDefault="00627DF4">
      <w:r>
        <w:t>____________________</w:t>
      </w:r>
    </w:p>
  </w:footnote>
  <w:footnote w:type="continuationSeparator" w:id="0">
    <w:p w14:paraId="4E70EADE" w14:textId="77777777" w:rsidR="00627DF4" w:rsidRDefault="00627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4C7DF" w14:textId="77777777" w:rsidR="00A8726F" w:rsidRDefault="00A87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1059D" w14:textId="11257EA7" w:rsidR="000507C1" w:rsidRDefault="000507C1" w:rsidP="00CE1B90">
    <w:pPr>
      <w:pStyle w:val="Header"/>
    </w:pPr>
    <w:r>
      <w:fldChar w:fldCharType="begin"/>
    </w:r>
    <w:r>
      <w:instrText xml:space="preserve"> PAGE   \* MERGEFORMAT </w:instrText>
    </w:r>
    <w:r>
      <w:fldChar w:fldCharType="separate"/>
    </w:r>
    <w:r w:rsidR="00A8726F">
      <w:rPr>
        <w:noProof/>
      </w:rPr>
      <w:t>2</w:t>
    </w:r>
    <w:r>
      <w:fldChar w:fldCharType="end"/>
    </w:r>
  </w:p>
  <w:p w14:paraId="64F125A9" w14:textId="77777777" w:rsidR="00CE1B90" w:rsidRDefault="00CE1B90" w:rsidP="004F7925">
    <w:pPr>
      <w:pStyle w:val="Header"/>
    </w:pPr>
    <w:r>
      <w:t>PP1</w:t>
    </w:r>
    <w:r w:rsidR="004F7925">
      <w:t>8</w:t>
    </w:r>
    <w:r>
      <w:t>/68-E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C5BD0" w14:textId="77777777" w:rsidR="00A8726F" w:rsidRDefault="00A87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36417"/>
    <w:rsid w:val="00041924"/>
    <w:rsid w:val="000507C1"/>
    <w:rsid w:val="00053B97"/>
    <w:rsid w:val="00054DE8"/>
    <w:rsid w:val="0006728C"/>
    <w:rsid w:val="00067906"/>
    <w:rsid w:val="00073C8C"/>
    <w:rsid w:val="000814AF"/>
    <w:rsid w:val="00082EB9"/>
    <w:rsid w:val="0008540E"/>
    <w:rsid w:val="00094B4F"/>
    <w:rsid w:val="000A1015"/>
    <w:rsid w:val="000B03F9"/>
    <w:rsid w:val="000B0A77"/>
    <w:rsid w:val="000B0D6C"/>
    <w:rsid w:val="000B3669"/>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76ACE"/>
    <w:rsid w:val="0018255C"/>
    <w:rsid w:val="00195B70"/>
    <w:rsid w:val="001A0EEB"/>
    <w:rsid w:val="001A16ED"/>
    <w:rsid w:val="001B18AB"/>
    <w:rsid w:val="001B70D1"/>
    <w:rsid w:val="001C3804"/>
    <w:rsid w:val="001C40A1"/>
    <w:rsid w:val="001C76F2"/>
    <w:rsid w:val="001D3322"/>
    <w:rsid w:val="001E01A5"/>
    <w:rsid w:val="001E18AB"/>
    <w:rsid w:val="001E1C8F"/>
    <w:rsid w:val="0020041D"/>
    <w:rsid w:val="002115E0"/>
    <w:rsid w:val="00215F12"/>
    <w:rsid w:val="002258E8"/>
    <w:rsid w:val="00232B31"/>
    <w:rsid w:val="00235A3B"/>
    <w:rsid w:val="00243BE4"/>
    <w:rsid w:val="00257188"/>
    <w:rsid w:val="002578B4"/>
    <w:rsid w:val="00267D12"/>
    <w:rsid w:val="00281792"/>
    <w:rsid w:val="0028799E"/>
    <w:rsid w:val="002962A8"/>
    <w:rsid w:val="002A56C0"/>
    <w:rsid w:val="002B16C9"/>
    <w:rsid w:val="002E77F4"/>
    <w:rsid w:val="002F36B9"/>
    <w:rsid w:val="002F5FA2"/>
    <w:rsid w:val="003126B0"/>
    <w:rsid w:val="00314127"/>
    <w:rsid w:val="00314C12"/>
    <w:rsid w:val="003261C3"/>
    <w:rsid w:val="003453DA"/>
    <w:rsid w:val="00357754"/>
    <w:rsid w:val="003578E4"/>
    <w:rsid w:val="00361097"/>
    <w:rsid w:val="00371D42"/>
    <w:rsid w:val="00373A0D"/>
    <w:rsid w:val="003740BC"/>
    <w:rsid w:val="00375076"/>
    <w:rsid w:val="00375BBA"/>
    <w:rsid w:val="0037720B"/>
    <w:rsid w:val="003826EA"/>
    <w:rsid w:val="00390F9F"/>
    <w:rsid w:val="00395CE4"/>
    <w:rsid w:val="003A32AD"/>
    <w:rsid w:val="003A3938"/>
    <w:rsid w:val="003A4E67"/>
    <w:rsid w:val="003A5FFB"/>
    <w:rsid w:val="003A7FB6"/>
    <w:rsid w:val="003B3751"/>
    <w:rsid w:val="003B3897"/>
    <w:rsid w:val="003F0763"/>
    <w:rsid w:val="003F4850"/>
    <w:rsid w:val="003F5771"/>
    <w:rsid w:val="004014B0"/>
    <w:rsid w:val="004059B0"/>
    <w:rsid w:val="004169EE"/>
    <w:rsid w:val="0042215C"/>
    <w:rsid w:val="00426AC1"/>
    <w:rsid w:val="004321DC"/>
    <w:rsid w:val="00435AA4"/>
    <w:rsid w:val="00435EA8"/>
    <w:rsid w:val="004360BB"/>
    <w:rsid w:val="0045533C"/>
    <w:rsid w:val="004606DA"/>
    <w:rsid w:val="00463092"/>
    <w:rsid w:val="004676C0"/>
    <w:rsid w:val="00473C47"/>
    <w:rsid w:val="00474E00"/>
    <w:rsid w:val="004835DB"/>
    <w:rsid w:val="00485D23"/>
    <w:rsid w:val="00491D2D"/>
    <w:rsid w:val="00494797"/>
    <w:rsid w:val="004B0C10"/>
    <w:rsid w:val="004B167B"/>
    <w:rsid w:val="004B6863"/>
    <w:rsid w:val="004C19D7"/>
    <w:rsid w:val="004C297B"/>
    <w:rsid w:val="004C73C9"/>
    <w:rsid w:val="004E01FA"/>
    <w:rsid w:val="004E6764"/>
    <w:rsid w:val="004F041D"/>
    <w:rsid w:val="004F1C55"/>
    <w:rsid w:val="004F7925"/>
    <w:rsid w:val="00504FE5"/>
    <w:rsid w:val="00507348"/>
    <w:rsid w:val="00522C97"/>
    <w:rsid w:val="005356FD"/>
    <w:rsid w:val="0054022A"/>
    <w:rsid w:val="00547D75"/>
    <w:rsid w:val="00551C8B"/>
    <w:rsid w:val="00554E24"/>
    <w:rsid w:val="00555A0F"/>
    <w:rsid w:val="00567130"/>
    <w:rsid w:val="0057034B"/>
    <w:rsid w:val="00581E8F"/>
    <w:rsid w:val="00583A2B"/>
    <w:rsid w:val="00586A98"/>
    <w:rsid w:val="005927A4"/>
    <w:rsid w:val="00596B48"/>
    <w:rsid w:val="00596CF2"/>
    <w:rsid w:val="005B10E8"/>
    <w:rsid w:val="005B5026"/>
    <w:rsid w:val="005B661F"/>
    <w:rsid w:val="005C3315"/>
    <w:rsid w:val="005E1CC3"/>
    <w:rsid w:val="005E2FEF"/>
    <w:rsid w:val="005F05C8"/>
    <w:rsid w:val="005F161C"/>
    <w:rsid w:val="005F78F2"/>
    <w:rsid w:val="00604079"/>
    <w:rsid w:val="00617BE4"/>
    <w:rsid w:val="00620233"/>
    <w:rsid w:val="006216DB"/>
    <w:rsid w:val="00627DF4"/>
    <w:rsid w:val="006404B0"/>
    <w:rsid w:val="00640F4A"/>
    <w:rsid w:val="00644DA5"/>
    <w:rsid w:val="0066499C"/>
    <w:rsid w:val="00666EAA"/>
    <w:rsid w:val="00674D43"/>
    <w:rsid w:val="00676E68"/>
    <w:rsid w:val="00697E19"/>
    <w:rsid w:val="006A7108"/>
    <w:rsid w:val="006B2035"/>
    <w:rsid w:val="006B40DA"/>
    <w:rsid w:val="006C5D5D"/>
    <w:rsid w:val="006E215D"/>
    <w:rsid w:val="006E57C8"/>
    <w:rsid w:val="006E70E1"/>
    <w:rsid w:val="006F2A8D"/>
    <w:rsid w:val="006F565E"/>
    <w:rsid w:val="00701ABB"/>
    <w:rsid w:val="00711035"/>
    <w:rsid w:val="007130ED"/>
    <w:rsid w:val="007140CF"/>
    <w:rsid w:val="0071582A"/>
    <w:rsid w:val="00722595"/>
    <w:rsid w:val="00724474"/>
    <w:rsid w:val="007329BE"/>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971A9"/>
    <w:rsid w:val="007A59C3"/>
    <w:rsid w:val="007B0E06"/>
    <w:rsid w:val="007B30FC"/>
    <w:rsid w:val="007B4F96"/>
    <w:rsid w:val="007C3643"/>
    <w:rsid w:val="007D12D5"/>
    <w:rsid w:val="007D4834"/>
    <w:rsid w:val="007E00D2"/>
    <w:rsid w:val="007E2AD4"/>
    <w:rsid w:val="007E3469"/>
    <w:rsid w:val="007E7B63"/>
    <w:rsid w:val="007F0B6E"/>
    <w:rsid w:val="007F54F7"/>
    <w:rsid w:val="007F6B6D"/>
    <w:rsid w:val="00810AD6"/>
    <w:rsid w:val="00816CCE"/>
    <w:rsid w:val="0082780C"/>
    <w:rsid w:val="008311D3"/>
    <w:rsid w:val="008333C7"/>
    <w:rsid w:val="00833E0F"/>
    <w:rsid w:val="008404FD"/>
    <w:rsid w:val="00841AB4"/>
    <w:rsid w:val="00846DBA"/>
    <w:rsid w:val="00847F40"/>
    <w:rsid w:val="00850AEF"/>
    <w:rsid w:val="00855DAB"/>
    <w:rsid w:val="00855F3E"/>
    <w:rsid w:val="00860C6A"/>
    <w:rsid w:val="00862891"/>
    <w:rsid w:val="00875048"/>
    <w:rsid w:val="00875BE1"/>
    <w:rsid w:val="00877715"/>
    <w:rsid w:val="00877D98"/>
    <w:rsid w:val="00881D3C"/>
    <w:rsid w:val="00895CE3"/>
    <w:rsid w:val="0089603F"/>
    <w:rsid w:val="008976C3"/>
    <w:rsid w:val="00897970"/>
    <w:rsid w:val="008A377D"/>
    <w:rsid w:val="008B5A71"/>
    <w:rsid w:val="008B615F"/>
    <w:rsid w:val="008D3BE2"/>
    <w:rsid w:val="008D4D98"/>
    <w:rsid w:val="008E2A7B"/>
    <w:rsid w:val="008E6E9B"/>
    <w:rsid w:val="008E7825"/>
    <w:rsid w:val="008F2C56"/>
    <w:rsid w:val="008F3C99"/>
    <w:rsid w:val="00900D5B"/>
    <w:rsid w:val="009236FE"/>
    <w:rsid w:val="00940E00"/>
    <w:rsid w:val="00945D4B"/>
    <w:rsid w:val="0094741F"/>
    <w:rsid w:val="00950E0F"/>
    <w:rsid w:val="0096150D"/>
    <w:rsid w:val="009630FA"/>
    <w:rsid w:val="00965962"/>
    <w:rsid w:val="00967103"/>
    <w:rsid w:val="00967670"/>
    <w:rsid w:val="00970996"/>
    <w:rsid w:val="009800CC"/>
    <w:rsid w:val="009836C2"/>
    <w:rsid w:val="009A078E"/>
    <w:rsid w:val="009A2B30"/>
    <w:rsid w:val="009A4211"/>
    <w:rsid w:val="009A47A2"/>
    <w:rsid w:val="009B5DE3"/>
    <w:rsid w:val="009E425E"/>
    <w:rsid w:val="009E4322"/>
    <w:rsid w:val="009F4384"/>
    <w:rsid w:val="009F442D"/>
    <w:rsid w:val="009F50DA"/>
    <w:rsid w:val="00A06D56"/>
    <w:rsid w:val="00A12872"/>
    <w:rsid w:val="00A314A2"/>
    <w:rsid w:val="00A516BB"/>
    <w:rsid w:val="00A619C5"/>
    <w:rsid w:val="00A778EF"/>
    <w:rsid w:val="00A808E1"/>
    <w:rsid w:val="00A8262F"/>
    <w:rsid w:val="00A84B32"/>
    <w:rsid w:val="00A84B3A"/>
    <w:rsid w:val="00A87124"/>
    <w:rsid w:val="00A8726F"/>
    <w:rsid w:val="00A93B71"/>
    <w:rsid w:val="00AB0B32"/>
    <w:rsid w:val="00AB2D04"/>
    <w:rsid w:val="00AB5C39"/>
    <w:rsid w:val="00AB75A9"/>
    <w:rsid w:val="00AD1C5C"/>
    <w:rsid w:val="00AD566F"/>
    <w:rsid w:val="00B06CF5"/>
    <w:rsid w:val="00B156F9"/>
    <w:rsid w:val="00B1733E"/>
    <w:rsid w:val="00B25A86"/>
    <w:rsid w:val="00B304B9"/>
    <w:rsid w:val="00B55E1A"/>
    <w:rsid w:val="00B57988"/>
    <w:rsid w:val="00B60EA6"/>
    <w:rsid w:val="00B62032"/>
    <w:rsid w:val="00B65F8C"/>
    <w:rsid w:val="00B7263B"/>
    <w:rsid w:val="00B73F47"/>
    <w:rsid w:val="00B7638A"/>
    <w:rsid w:val="00B80ABE"/>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15DC"/>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0609"/>
    <w:rsid w:val="00E54470"/>
    <w:rsid w:val="00E553B9"/>
    <w:rsid w:val="00E56E57"/>
    <w:rsid w:val="00E6599B"/>
    <w:rsid w:val="00E726DE"/>
    <w:rsid w:val="00E72A89"/>
    <w:rsid w:val="00E844D5"/>
    <w:rsid w:val="00E86536"/>
    <w:rsid w:val="00E871C2"/>
    <w:rsid w:val="00EA1BAA"/>
    <w:rsid w:val="00EB5E21"/>
    <w:rsid w:val="00ED401C"/>
    <w:rsid w:val="00EE333B"/>
    <w:rsid w:val="00EF2642"/>
    <w:rsid w:val="00EF3681"/>
    <w:rsid w:val="00F10790"/>
    <w:rsid w:val="00F10E7C"/>
    <w:rsid w:val="00F13C1E"/>
    <w:rsid w:val="00F16F17"/>
    <w:rsid w:val="00F20BC2"/>
    <w:rsid w:val="00F342E4"/>
    <w:rsid w:val="00F35330"/>
    <w:rsid w:val="00F41C91"/>
    <w:rsid w:val="00F41E6B"/>
    <w:rsid w:val="00F433A4"/>
    <w:rsid w:val="00F4421A"/>
    <w:rsid w:val="00F44B1A"/>
    <w:rsid w:val="00F47316"/>
    <w:rsid w:val="00F55DA5"/>
    <w:rsid w:val="00F6084E"/>
    <w:rsid w:val="00F94BC2"/>
    <w:rsid w:val="00F95ABE"/>
    <w:rsid w:val="00F9756D"/>
    <w:rsid w:val="00FB5F12"/>
    <w:rsid w:val="00FD417F"/>
    <w:rsid w:val="00FD7255"/>
    <w:rsid w:val="00FD7B1D"/>
    <w:rsid w:val="00FE1E22"/>
    <w:rsid w:val="00FF04D6"/>
    <w:rsid w:val="00FF0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7D9753"/>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CommentReference">
    <w:name w:val="annotation reference"/>
    <w:basedOn w:val="DefaultParagraphFont"/>
    <w:semiHidden/>
    <w:unhideWhenUsed/>
    <w:rsid w:val="00F41E6B"/>
    <w:rPr>
      <w:sz w:val="16"/>
      <w:szCs w:val="16"/>
    </w:rPr>
  </w:style>
  <w:style w:type="paragraph" w:styleId="CommentText">
    <w:name w:val="annotation text"/>
    <w:basedOn w:val="Normal"/>
    <w:link w:val="CommentTextChar"/>
    <w:semiHidden/>
    <w:unhideWhenUsed/>
    <w:rsid w:val="00F41E6B"/>
    <w:rPr>
      <w:sz w:val="20"/>
    </w:rPr>
  </w:style>
  <w:style w:type="character" w:customStyle="1" w:styleId="CommentTextChar">
    <w:name w:val="Comment Text Char"/>
    <w:basedOn w:val="DefaultParagraphFont"/>
    <w:link w:val="CommentText"/>
    <w:semiHidden/>
    <w:rsid w:val="00F41E6B"/>
    <w:rPr>
      <w:rFonts w:ascii="Calibri" w:hAnsi="Calibri"/>
      <w:lang w:val="en-GB" w:eastAsia="en-US"/>
    </w:rPr>
  </w:style>
  <w:style w:type="paragraph" w:styleId="CommentSubject">
    <w:name w:val="annotation subject"/>
    <w:basedOn w:val="CommentText"/>
    <w:next w:val="CommentText"/>
    <w:link w:val="CommentSubjectChar"/>
    <w:semiHidden/>
    <w:unhideWhenUsed/>
    <w:rsid w:val="00F41E6B"/>
    <w:rPr>
      <w:b/>
      <w:bCs/>
    </w:rPr>
  </w:style>
  <w:style w:type="character" w:customStyle="1" w:styleId="CommentSubjectChar">
    <w:name w:val="Comment Subject Char"/>
    <w:basedOn w:val="CommentTextChar"/>
    <w:link w:val="CommentSubject"/>
    <w:semiHidden/>
    <w:rsid w:val="00F41E6B"/>
    <w:rPr>
      <w:rFonts w:ascii="Calibri" w:hAnsi="Calibri"/>
      <w:b/>
      <w:bCs/>
      <w:lang w:val="en-GB" w:eastAsia="en-US"/>
    </w:rPr>
  </w:style>
  <w:style w:type="paragraph" w:styleId="ListParagraph">
    <w:name w:val="List Paragraph"/>
    <w:basedOn w:val="Normal"/>
    <w:uiPriority w:val="34"/>
    <w:qFormat/>
    <w:rsid w:val="00724474"/>
    <w:pPr>
      <w:ind w:left="720"/>
      <w:contextualSpacing/>
    </w:pPr>
  </w:style>
  <w:style w:type="paragraph" w:styleId="Revision">
    <w:name w:val="Revision"/>
    <w:hidden/>
    <w:uiPriority w:val="99"/>
    <w:semiHidden/>
    <w:rsid w:val="0054022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a3540e-a7e9-406c-9937-fa6a6d91ae84" targetNamespace="http://schemas.microsoft.com/office/2006/metadata/properties" ma:root="true" ma:fieldsID="d41af5c836d734370eb92e7ee5f83852" ns2:_="" ns3:_="">
    <xsd:import namespace="996b2e75-67fd-4955-a3b0-5ab9934cb50b"/>
    <xsd:import namespace="79a3540e-a7e9-406c-9937-fa6a6d91ae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a3540e-a7e9-406c-9937-fa6a6d91ae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9a3540e-a7e9-406c-9937-fa6a6d91ae84">DPM</DPM_x0020_Author>
    <DPM_x0020_File_x0020_name xmlns="79a3540e-a7e9-406c-9937-fa6a6d91ae84">S18-PP-C-0068!!MSW-E</DPM_x0020_File_x0020_name>
    <DPM_x0020_Version xmlns="79a3540e-a7e9-406c-9937-fa6a6d91ae84">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a3540e-a7e9-406c-9937-fa6a6d91a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79a3540e-a7e9-406c-9937-fa6a6d91ae84"/>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S18-PP-C-0068!!MSW-E</vt:lpstr>
    </vt:vector>
  </TitlesOfParts>
  <Manager/>
  <Company/>
  <LinksUpToDate>false</LinksUpToDate>
  <CharactersWithSpaces>7879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S18-PP-C-0068!!MSW-E</dc:title>
  <dc:subject>Plenipotentiary Conference (PP-18)</dc:subject>
  <dc:creator>Documents Proposals Manager (DPM)</dc:creator>
  <cp:keywords>DPM_v2018.10.12.1_prod</cp:keywords>
  <cp:lastModifiedBy>Mestrallet, Francoise</cp:lastModifiedBy>
  <cp:revision>10</cp:revision>
  <cp:lastPrinted>2018-10-17T12:45:00Z</cp:lastPrinted>
  <dcterms:created xsi:type="dcterms:W3CDTF">2018-10-17T09:14:00Z</dcterms:created>
  <dcterms:modified xsi:type="dcterms:W3CDTF">2018-10-18T09:07:00Z</dcterms:modified>
  <cp:category>Conference document</cp:category>
</cp:coreProperties>
</file>