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55FA1" w:rsidRPr="00511BE2" w:rsidTr="00682B62">
        <w:trPr>
          <w:cantSplit/>
        </w:trPr>
        <w:tc>
          <w:tcPr>
            <w:tcW w:w="6911" w:type="dxa"/>
          </w:tcPr>
          <w:p w:rsidR="00255FA1" w:rsidRPr="00511BE2" w:rsidRDefault="00255FA1" w:rsidP="006375E0">
            <w:pPr>
              <w:rPr>
                <w:b/>
                <w:bCs/>
                <w:szCs w:val="22"/>
              </w:rPr>
            </w:pPr>
            <w:bookmarkStart w:id="0" w:name="dbreak"/>
            <w:bookmarkStart w:id="1" w:name="dpp"/>
            <w:bookmarkEnd w:id="0"/>
            <w:bookmarkEnd w:id="1"/>
            <w:r w:rsidRPr="00511BE2">
              <w:rPr>
                <w:rStyle w:val="PageNumber"/>
                <w:rFonts w:cs="Times"/>
                <w:b/>
                <w:sz w:val="30"/>
                <w:szCs w:val="30"/>
              </w:rPr>
              <w:t>Conferencia de Plenipotenciarios (PP-1</w:t>
            </w:r>
            <w:r w:rsidR="00C43474" w:rsidRPr="00511BE2">
              <w:rPr>
                <w:rStyle w:val="PageNumber"/>
                <w:rFonts w:cs="Times"/>
                <w:b/>
                <w:sz w:val="30"/>
                <w:szCs w:val="30"/>
              </w:rPr>
              <w:t>8</w:t>
            </w:r>
            <w:r w:rsidRPr="00511BE2">
              <w:rPr>
                <w:rStyle w:val="PageNumber"/>
                <w:rFonts w:cs="Times"/>
                <w:b/>
                <w:sz w:val="30"/>
                <w:szCs w:val="30"/>
              </w:rPr>
              <w:t>)</w:t>
            </w:r>
            <w:r w:rsidRPr="00511BE2">
              <w:rPr>
                <w:rStyle w:val="PageNumber"/>
                <w:rFonts w:cs="Times"/>
                <w:sz w:val="26"/>
                <w:szCs w:val="26"/>
              </w:rPr>
              <w:br/>
            </w:r>
            <w:r w:rsidR="00C43474" w:rsidRPr="00511BE2">
              <w:rPr>
                <w:rStyle w:val="PageNumber"/>
                <w:b/>
                <w:bCs/>
                <w:szCs w:val="24"/>
              </w:rPr>
              <w:t>Dub</w:t>
            </w:r>
            <w:r w:rsidR="006375E0" w:rsidRPr="00511BE2">
              <w:rPr>
                <w:rStyle w:val="PageNumber"/>
                <w:b/>
                <w:bCs/>
                <w:szCs w:val="24"/>
              </w:rPr>
              <w:t>á</w:t>
            </w:r>
            <w:r w:rsidR="00C43474" w:rsidRPr="00511BE2">
              <w:rPr>
                <w:rStyle w:val="PageNumber"/>
                <w:b/>
                <w:bCs/>
                <w:szCs w:val="24"/>
              </w:rPr>
              <w:t>i</w:t>
            </w:r>
            <w:r w:rsidRPr="00511BE2">
              <w:rPr>
                <w:rStyle w:val="PageNumber"/>
                <w:b/>
                <w:bCs/>
                <w:szCs w:val="24"/>
              </w:rPr>
              <w:t>,</w:t>
            </w:r>
            <w:r w:rsidRPr="00511BE2">
              <w:rPr>
                <w:rStyle w:val="PageNumber"/>
                <w:b/>
                <w:szCs w:val="24"/>
              </w:rPr>
              <w:t xml:space="preserve"> 2</w:t>
            </w:r>
            <w:r w:rsidR="00C43474" w:rsidRPr="00511BE2">
              <w:rPr>
                <w:rStyle w:val="PageNumber"/>
                <w:b/>
                <w:szCs w:val="24"/>
              </w:rPr>
              <w:t>9</w:t>
            </w:r>
            <w:r w:rsidRPr="00511BE2">
              <w:rPr>
                <w:rStyle w:val="PageNumber"/>
                <w:b/>
                <w:szCs w:val="24"/>
              </w:rPr>
              <w:t xml:space="preserve"> de octubre </w:t>
            </w:r>
            <w:r w:rsidR="00491A25" w:rsidRPr="00511BE2">
              <w:rPr>
                <w:rStyle w:val="PageNumber"/>
                <w:b/>
                <w:szCs w:val="24"/>
              </w:rPr>
              <w:t>–</w:t>
            </w:r>
            <w:r w:rsidRPr="00511BE2">
              <w:rPr>
                <w:rStyle w:val="PageNumber"/>
                <w:b/>
                <w:szCs w:val="24"/>
              </w:rPr>
              <w:t xml:space="preserve"> </w:t>
            </w:r>
            <w:r w:rsidR="00C43474" w:rsidRPr="00511BE2">
              <w:rPr>
                <w:rStyle w:val="PageNumber"/>
                <w:b/>
                <w:szCs w:val="24"/>
              </w:rPr>
              <w:t>16</w:t>
            </w:r>
            <w:r w:rsidRPr="00511BE2">
              <w:rPr>
                <w:rStyle w:val="PageNumber"/>
                <w:b/>
                <w:szCs w:val="24"/>
              </w:rPr>
              <w:t xml:space="preserve"> de noviembre de 201</w:t>
            </w:r>
            <w:r w:rsidR="00C43474" w:rsidRPr="00511BE2">
              <w:rPr>
                <w:rStyle w:val="PageNumber"/>
                <w:b/>
                <w:szCs w:val="24"/>
              </w:rPr>
              <w:t>8</w:t>
            </w:r>
          </w:p>
        </w:tc>
        <w:tc>
          <w:tcPr>
            <w:tcW w:w="3120" w:type="dxa"/>
          </w:tcPr>
          <w:p w:rsidR="00255FA1" w:rsidRPr="00511BE2" w:rsidRDefault="00255FA1" w:rsidP="00682B62">
            <w:pPr>
              <w:spacing w:before="0" w:line="240" w:lineRule="atLeast"/>
              <w:rPr>
                <w:rFonts w:cstheme="minorHAnsi"/>
              </w:rPr>
            </w:pPr>
            <w:bookmarkStart w:id="2" w:name="ditulogo"/>
            <w:bookmarkEnd w:id="2"/>
            <w:r w:rsidRPr="00511BE2">
              <w:rPr>
                <w:rFonts w:cstheme="minorHAnsi"/>
                <w:b/>
                <w:bCs/>
                <w:noProof/>
                <w:szCs w:val="24"/>
                <w:lang w:val="en-GB" w:eastAsia="zh-CN"/>
              </w:rPr>
              <w:drawing>
                <wp:inline distT="0" distB="0" distL="0" distR="0" wp14:anchorId="0C1CE9CE" wp14:editId="4C423CC8">
                  <wp:extent cx="1771650" cy="695325"/>
                  <wp:effectExtent l="0" t="0" r="0" b="9525"/>
                  <wp:docPr id="3" name="Picture 3" descr="logo_S_" title="Logo 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255FA1" w:rsidRPr="00511BE2" w:rsidTr="00682B62">
        <w:trPr>
          <w:cantSplit/>
        </w:trPr>
        <w:tc>
          <w:tcPr>
            <w:tcW w:w="6911" w:type="dxa"/>
            <w:tcBorders>
              <w:bottom w:val="single" w:sz="12" w:space="0" w:color="auto"/>
            </w:tcBorders>
          </w:tcPr>
          <w:p w:rsidR="00255FA1" w:rsidRPr="00511BE2" w:rsidRDefault="00255FA1" w:rsidP="00682B62">
            <w:pPr>
              <w:spacing w:before="0" w:after="48" w:line="240" w:lineRule="atLeast"/>
              <w:rPr>
                <w:rFonts w:cstheme="minorHAnsi"/>
                <w:b/>
                <w:smallCaps/>
                <w:szCs w:val="24"/>
              </w:rPr>
            </w:pPr>
            <w:bookmarkStart w:id="3" w:name="dhead"/>
          </w:p>
        </w:tc>
        <w:tc>
          <w:tcPr>
            <w:tcW w:w="3120" w:type="dxa"/>
            <w:tcBorders>
              <w:bottom w:val="single" w:sz="12" w:space="0" w:color="auto"/>
            </w:tcBorders>
          </w:tcPr>
          <w:p w:rsidR="00255FA1" w:rsidRPr="00511BE2" w:rsidRDefault="00255FA1" w:rsidP="00930E84">
            <w:pPr>
              <w:spacing w:before="0" w:after="48" w:line="240" w:lineRule="atLeast"/>
              <w:rPr>
                <w:rFonts w:cstheme="minorHAnsi"/>
                <w:b/>
                <w:smallCaps/>
                <w:szCs w:val="24"/>
              </w:rPr>
            </w:pPr>
          </w:p>
        </w:tc>
      </w:tr>
      <w:tr w:rsidR="00255FA1" w:rsidRPr="00511BE2" w:rsidTr="00682B62">
        <w:trPr>
          <w:cantSplit/>
        </w:trPr>
        <w:tc>
          <w:tcPr>
            <w:tcW w:w="6911" w:type="dxa"/>
            <w:tcBorders>
              <w:top w:val="single" w:sz="12" w:space="0" w:color="auto"/>
            </w:tcBorders>
          </w:tcPr>
          <w:p w:rsidR="00255FA1" w:rsidRPr="00511BE2" w:rsidRDefault="00255FA1" w:rsidP="004F4BB1">
            <w:pPr>
              <w:spacing w:before="0"/>
              <w:ind w:firstLine="720"/>
              <w:rPr>
                <w:rFonts w:cstheme="minorHAnsi"/>
                <w:b/>
                <w:smallCaps/>
                <w:szCs w:val="24"/>
              </w:rPr>
            </w:pPr>
          </w:p>
        </w:tc>
        <w:tc>
          <w:tcPr>
            <w:tcW w:w="3120" w:type="dxa"/>
            <w:tcBorders>
              <w:top w:val="single" w:sz="12" w:space="0" w:color="auto"/>
            </w:tcBorders>
          </w:tcPr>
          <w:p w:rsidR="00255FA1" w:rsidRPr="00511BE2" w:rsidRDefault="00255FA1" w:rsidP="004F4BB1">
            <w:pPr>
              <w:spacing w:before="0"/>
              <w:rPr>
                <w:rFonts w:cstheme="minorHAnsi"/>
                <w:szCs w:val="24"/>
              </w:rPr>
            </w:pPr>
          </w:p>
        </w:tc>
      </w:tr>
      <w:tr w:rsidR="00255FA1" w:rsidRPr="00511BE2" w:rsidTr="00682B62">
        <w:trPr>
          <w:cantSplit/>
        </w:trPr>
        <w:tc>
          <w:tcPr>
            <w:tcW w:w="6911" w:type="dxa"/>
          </w:tcPr>
          <w:p w:rsidR="00255FA1" w:rsidRPr="00511BE2" w:rsidRDefault="00006EAE" w:rsidP="004F4BB1">
            <w:pPr>
              <w:pStyle w:val="Committee"/>
              <w:framePr w:hSpace="0" w:wrap="auto" w:hAnchor="text" w:yAlign="inline"/>
              <w:spacing w:after="0" w:line="240" w:lineRule="auto"/>
              <w:rPr>
                <w:lang w:val="es-ES_tradnl"/>
              </w:rPr>
            </w:pPr>
            <w:r w:rsidRPr="00511BE2">
              <w:rPr>
                <w:lang w:val="es-ES_tradnl"/>
              </w:rPr>
              <w:t>SESIÓN PLENARIA</w:t>
            </w:r>
          </w:p>
        </w:tc>
        <w:tc>
          <w:tcPr>
            <w:tcW w:w="3120" w:type="dxa"/>
          </w:tcPr>
          <w:p w:rsidR="00255FA1" w:rsidRPr="00511BE2" w:rsidRDefault="00006EAE" w:rsidP="00444CFA">
            <w:pPr>
              <w:spacing w:before="0"/>
              <w:rPr>
                <w:rFonts w:cstheme="minorHAnsi"/>
                <w:szCs w:val="24"/>
              </w:rPr>
            </w:pPr>
            <w:r w:rsidRPr="00511BE2">
              <w:rPr>
                <w:rFonts w:cstheme="minorHAnsi"/>
                <w:b/>
                <w:szCs w:val="24"/>
              </w:rPr>
              <w:t xml:space="preserve">Documento </w:t>
            </w:r>
            <w:r w:rsidR="00444CFA" w:rsidRPr="00511BE2">
              <w:rPr>
                <w:rFonts w:cstheme="minorHAnsi"/>
                <w:b/>
                <w:szCs w:val="24"/>
              </w:rPr>
              <w:t>63</w:t>
            </w:r>
            <w:r w:rsidRPr="00511BE2">
              <w:rPr>
                <w:rFonts w:cstheme="minorHAnsi"/>
                <w:b/>
                <w:szCs w:val="24"/>
              </w:rPr>
              <w:t>-S</w:t>
            </w:r>
          </w:p>
        </w:tc>
      </w:tr>
      <w:tr w:rsidR="00255FA1" w:rsidRPr="00511BE2" w:rsidTr="00682B62">
        <w:trPr>
          <w:cantSplit/>
        </w:trPr>
        <w:tc>
          <w:tcPr>
            <w:tcW w:w="6911" w:type="dxa"/>
          </w:tcPr>
          <w:p w:rsidR="00255FA1" w:rsidRPr="00511BE2" w:rsidRDefault="00255FA1" w:rsidP="004F4BB1">
            <w:pPr>
              <w:spacing w:before="0"/>
              <w:rPr>
                <w:rFonts w:cstheme="minorHAnsi"/>
                <w:b/>
                <w:szCs w:val="24"/>
              </w:rPr>
            </w:pPr>
          </w:p>
        </w:tc>
        <w:tc>
          <w:tcPr>
            <w:tcW w:w="3120" w:type="dxa"/>
          </w:tcPr>
          <w:p w:rsidR="00255FA1" w:rsidRPr="00511BE2" w:rsidRDefault="00444CFA" w:rsidP="00444CFA">
            <w:pPr>
              <w:spacing w:before="0"/>
              <w:rPr>
                <w:rFonts w:cstheme="minorHAnsi"/>
                <w:b/>
                <w:szCs w:val="24"/>
              </w:rPr>
            </w:pPr>
            <w:r w:rsidRPr="00511BE2">
              <w:rPr>
                <w:rStyle w:val="PageNumber"/>
                <w:b/>
                <w:szCs w:val="24"/>
              </w:rPr>
              <w:t>12</w:t>
            </w:r>
            <w:r w:rsidR="00006EAE" w:rsidRPr="00511BE2">
              <w:rPr>
                <w:rStyle w:val="PageNumber"/>
                <w:b/>
                <w:szCs w:val="24"/>
              </w:rPr>
              <w:t xml:space="preserve"> de </w:t>
            </w:r>
            <w:r w:rsidRPr="00511BE2">
              <w:rPr>
                <w:rStyle w:val="PageNumber"/>
                <w:b/>
                <w:szCs w:val="24"/>
              </w:rPr>
              <w:t>noviembre</w:t>
            </w:r>
            <w:r w:rsidR="00006EAE" w:rsidRPr="00511BE2">
              <w:rPr>
                <w:rStyle w:val="PageNumber"/>
                <w:b/>
                <w:szCs w:val="24"/>
              </w:rPr>
              <w:t xml:space="preserve"> </w:t>
            </w:r>
            <w:r w:rsidR="00006EAE" w:rsidRPr="00511BE2">
              <w:rPr>
                <w:rFonts w:cstheme="minorHAnsi"/>
                <w:b/>
                <w:szCs w:val="24"/>
              </w:rPr>
              <w:t>de 2018</w:t>
            </w:r>
          </w:p>
        </w:tc>
      </w:tr>
      <w:tr w:rsidR="00255FA1" w:rsidRPr="00511BE2" w:rsidTr="00682B62">
        <w:trPr>
          <w:cantSplit/>
        </w:trPr>
        <w:tc>
          <w:tcPr>
            <w:tcW w:w="6911" w:type="dxa"/>
          </w:tcPr>
          <w:p w:rsidR="00255FA1" w:rsidRPr="00511BE2" w:rsidRDefault="00255FA1" w:rsidP="004F4BB1">
            <w:pPr>
              <w:spacing w:before="0"/>
              <w:rPr>
                <w:rFonts w:cstheme="minorHAnsi"/>
                <w:b/>
                <w:smallCaps/>
                <w:szCs w:val="24"/>
              </w:rPr>
            </w:pPr>
          </w:p>
        </w:tc>
        <w:tc>
          <w:tcPr>
            <w:tcW w:w="3120" w:type="dxa"/>
          </w:tcPr>
          <w:p w:rsidR="00255FA1" w:rsidRPr="00511BE2" w:rsidRDefault="00006EAE" w:rsidP="004F4BB1">
            <w:pPr>
              <w:spacing w:before="0"/>
              <w:rPr>
                <w:rFonts w:cstheme="minorHAnsi"/>
                <w:b/>
                <w:szCs w:val="24"/>
              </w:rPr>
            </w:pPr>
            <w:r w:rsidRPr="00511BE2">
              <w:rPr>
                <w:rFonts w:cstheme="minorHAnsi"/>
                <w:b/>
                <w:szCs w:val="24"/>
              </w:rPr>
              <w:t>Original: inglés</w:t>
            </w:r>
            <w:r w:rsidR="00444CFA" w:rsidRPr="00511BE2">
              <w:rPr>
                <w:rFonts w:cstheme="minorHAnsi"/>
                <w:b/>
                <w:szCs w:val="24"/>
              </w:rPr>
              <w:t>/español</w:t>
            </w:r>
          </w:p>
        </w:tc>
      </w:tr>
      <w:tr w:rsidR="00255FA1" w:rsidRPr="00511BE2" w:rsidTr="00682B62">
        <w:trPr>
          <w:cantSplit/>
        </w:trPr>
        <w:tc>
          <w:tcPr>
            <w:tcW w:w="10031" w:type="dxa"/>
            <w:gridSpan w:val="2"/>
          </w:tcPr>
          <w:p w:rsidR="00255FA1" w:rsidRPr="00511BE2" w:rsidRDefault="00255FA1" w:rsidP="00682B62">
            <w:pPr>
              <w:spacing w:before="0" w:line="240" w:lineRule="atLeast"/>
              <w:rPr>
                <w:rFonts w:cstheme="minorHAnsi"/>
                <w:b/>
                <w:szCs w:val="24"/>
              </w:rPr>
            </w:pPr>
          </w:p>
        </w:tc>
      </w:tr>
      <w:tr w:rsidR="00255FA1" w:rsidRPr="00511BE2" w:rsidTr="00682B62">
        <w:trPr>
          <w:cantSplit/>
        </w:trPr>
        <w:tc>
          <w:tcPr>
            <w:tcW w:w="10031" w:type="dxa"/>
            <w:gridSpan w:val="2"/>
          </w:tcPr>
          <w:p w:rsidR="00255FA1" w:rsidRPr="00511BE2" w:rsidRDefault="002B6746" w:rsidP="00682B62">
            <w:pPr>
              <w:pStyle w:val="Source"/>
            </w:pPr>
            <w:bookmarkStart w:id="4" w:name="dsource" w:colFirst="0" w:colLast="0"/>
            <w:bookmarkEnd w:id="3"/>
            <w:r w:rsidRPr="00511BE2">
              <w:rPr>
                <w:rFonts w:asciiTheme="minorHAnsi" w:hAnsiTheme="minorHAnsi"/>
              </w:rPr>
              <w:t>Estados Miembros de la Comisión Interamericana de Telecomunicaciones (CITEL)</w:t>
            </w:r>
          </w:p>
        </w:tc>
      </w:tr>
      <w:tr w:rsidR="00255FA1" w:rsidRPr="00511BE2" w:rsidTr="00682B62">
        <w:trPr>
          <w:cantSplit/>
        </w:trPr>
        <w:tc>
          <w:tcPr>
            <w:tcW w:w="10031" w:type="dxa"/>
            <w:gridSpan w:val="2"/>
          </w:tcPr>
          <w:p w:rsidR="00255FA1" w:rsidRPr="00511BE2" w:rsidRDefault="002B6746" w:rsidP="00682B62">
            <w:pPr>
              <w:pStyle w:val="Title1"/>
            </w:pPr>
            <w:bookmarkStart w:id="5" w:name="dtitle1" w:colFirst="0" w:colLast="0"/>
            <w:bookmarkEnd w:id="4"/>
            <w:r w:rsidRPr="00511BE2">
              <w:rPr>
                <w:rFonts w:asciiTheme="minorHAnsi" w:hAnsiTheme="minorHAnsi"/>
              </w:rPr>
              <w:t>PROPUESTAS INTERAMERICANAS PARA EL TRABAJO DE LA CONFERENCIA</w:t>
            </w:r>
          </w:p>
        </w:tc>
      </w:tr>
      <w:tr w:rsidR="00255FA1" w:rsidRPr="00511BE2" w:rsidTr="00682B62">
        <w:trPr>
          <w:cantSplit/>
        </w:trPr>
        <w:tc>
          <w:tcPr>
            <w:tcW w:w="10031" w:type="dxa"/>
            <w:gridSpan w:val="2"/>
          </w:tcPr>
          <w:p w:rsidR="00255FA1" w:rsidRPr="00511BE2" w:rsidRDefault="00255FA1" w:rsidP="00D971D5">
            <w:pPr>
              <w:pStyle w:val="Title2"/>
              <w:spacing w:before="0"/>
            </w:pPr>
            <w:bookmarkStart w:id="6" w:name="dtitle2" w:colFirst="0" w:colLast="0"/>
            <w:bookmarkEnd w:id="5"/>
          </w:p>
        </w:tc>
      </w:tr>
    </w:tbl>
    <w:bookmarkEnd w:id="6"/>
    <w:p w:rsidR="002B6746" w:rsidRPr="00511BE2" w:rsidRDefault="00511BE2" w:rsidP="00511BE2">
      <w:pPr>
        <w:spacing w:before="360" w:after="240"/>
        <w:rPr>
          <w:szCs w:val="24"/>
        </w:rPr>
      </w:pPr>
      <w:r w:rsidRPr="00511BE2">
        <w:rPr>
          <w:szCs w:val="24"/>
        </w:rPr>
        <w:t>En el siguiente cuadro figura la lista de las propues</w:t>
      </w:r>
      <w:r w:rsidR="00D671FE">
        <w:rPr>
          <w:szCs w:val="24"/>
        </w:rPr>
        <w:t>tas interamericanas a la PP-18.</w:t>
      </w:r>
    </w:p>
    <w:p w:rsidR="002B6746" w:rsidRPr="00511BE2" w:rsidRDefault="002B6746" w:rsidP="00511BE2">
      <w:pPr>
        <w:spacing w:before="360" w:after="480"/>
        <w:rPr>
          <w:szCs w:val="24"/>
        </w:rPr>
      </w:pPr>
      <w:r w:rsidRPr="00511BE2">
        <w:rPr>
          <w:b/>
          <w:bCs/>
          <w:szCs w:val="24"/>
          <w:u w:val="single"/>
        </w:rPr>
        <w:t>List</w:t>
      </w:r>
      <w:r w:rsidR="00511BE2" w:rsidRPr="00511BE2">
        <w:rPr>
          <w:b/>
          <w:bCs/>
          <w:szCs w:val="24"/>
          <w:u w:val="single"/>
        </w:rPr>
        <w:t>a</w:t>
      </w:r>
      <w:r w:rsidRPr="00511BE2">
        <w:rPr>
          <w:b/>
          <w:bCs/>
          <w:szCs w:val="24"/>
          <w:u w:val="single"/>
        </w:rPr>
        <w:t xml:space="preserve"> </w:t>
      </w:r>
      <w:r w:rsidR="00511BE2" w:rsidRPr="00511BE2">
        <w:rPr>
          <w:b/>
          <w:bCs/>
          <w:szCs w:val="24"/>
          <w:u w:val="single"/>
        </w:rPr>
        <w:t>de</w:t>
      </w:r>
      <w:r w:rsidRPr="00511BE2">
        <w:rPr>
          <w:b/>
          <w:bCs/>
          <w:szCs w:val="24"/>
          <w:u w:val="single"/>
        </w:rPr>
        <w:t xml:space="preserve"> signat</w:t>
      </w:r>
      <w:r w:rsidR="00511BE2" w:rsidRPr="00511BE2">
        <w:rPr>
          <w:b/>
          <w:bCs/>
          <w:szCs w:val="24"/>
          <w:u w:val="single"/>
        </w:rPr>
        <w:t>ario</w:t>
      </w:r>
      <w:r w:rsidRPr="00511BE2">
        <w:rPr>
          <w:b/>
          <w:bCs/>
          <w:szCs w:val="24"/>
          <w:u w:val="single"/>
        </w:rPr>
        <w:t>s</w:t>
      </w:r>
      <w:r w:rsidRPr="00511BE2">
        <w:rPr>
          <w:szCs w:val="24"/>
        </w:rPr>
        <w:t xml:space="preserve">: </w:t>
      </w:r>
      <w:r w:rsidR="00511BE2" w:rsidRPr="00511BE2">
        <w:rPr>
          <w:szCs w:val="24"/>
        </w:rPr>
        <w:t xml:space="preserve">Por definición y salvo que se indique otra cosa, una propuesta interamericana  es una contribución presentada en nombre de los Estados Miembros de la UIT que son también Estados Miembros de la CITEL (puede consultarse la lista de Estados Miembros de la CITEL en la dirección </w:t>
      </w:r>
      <w:hyperlink r:id="rId8" w:history="1">
        <w:r w:rsidRPr="00511BE2">
          <w:rPr>
            <w:rStyle w:val="Hyperlink"/>
            <w:szCs w:val="24"/>
          </w:rPr>
          <w:t>http://www.oas.org/en/me</w:t>
        </w:r>
        <w:r w:rsidRPr="00511BE2">
          <w:rPr>
            <w:rStyle w:val="Hyperlink"/>
            <w:szCs w:val="24"/>
          </w:rPr>
          <w:t>m</w:t>
        </w:r>
        <w:r w:rsidRPr="00511BE2">
          <w:rPr>
            <w:rStyle w:val="Hyperlink"/>
            <w:szCs w:val="24"/>
          </w:rPr>
          <w:t>ber_states</w:t>
        </w:r>
        <w:r w:rsidRPr="00511BE2">
          <w:rPr>
            <w:rStyle w:val="Hyperlink"/>
            <w:szCs w:val="24"/>
          </w:rPr>
          <w:t>/</w:t>
        </w:r>
        <w:r w:rsidRPr="00511BE2">
          <w:rPr>
            <w:rStyle w:val="Hyperlink"/>
            <w:szCs w:val="24"/>
          </w:rPr>
          <w:t>default.asp</w:t>
        </w:r>
      </w:hyperlink>
      <w:r w:rsidRPr="00511BE2">
        <w:rPr>
          <w:szCs w:val="24"/>
        </w:rPr>
        <w:t>).</w:t>
      </w:r>
    </w:p>
    <w:tbl>
      <w:tblPr>
        <w:tblStyle w:val="TableGrid"/>
        <w:tblW w:w="10490" w:type="dxa"/>
        <w:tblInd w:w="-289" w:type="dxa"/>
        <w:tblLook w:val="04A0" w:firstRow="1" w:lastRow="0" w:firstColumn="1" w:lastColumn="0" w:noHBand="0" w:noVBand="1"/>
      </w:tblPr>
      <w:tblGrid>
        <w:gridCol w:w="1405"/>
        <w:gridCol w:w="864"/>
        <w:gridCol w:w="2977"/>
        <w:gridCol w:w="5244"/>
      </w:tblGrid>
      <w:tr w:rsidR="002B6746" w:rsidRPr="00511BE2" w:rsidTr="00671DC3">
        <w:trPr>
          <w:cantSplit/>
          <w:tblHeader/>
        </w:trPr>
        <w:tc>
          <w:tcPr>
            <w:tcW w:w="1405" w:type="dxa"/>
            <w:shd w:val="clear" w:color="auto" w:fill="D9D9D9" w:themeFill="background1" w:themeFillShade="D9"/>
            <w:hideMark/>
          </w:tcPr>
          <w:p w:rsidR="002B6746" w:rsidRPr="00511BE2" w:rsidRDefault="002B6746" w:rsidP="00511BE2">
            <w:pPr>
              <w:jc w:val="center"/>
              <w:rPr>
                <w:b/>
                <w:bCs/>
                <w:sz w:val="22"/>
                <w:szCs w:val="22"/>
              </w:rPr>
            </w:pPr>
            <w:r w:rsidRPr="00511BE2">
              <w:rPr>
                <w:b/>
                <w:bCs/>
                <w:sz w:val="22"/>
                <w:szCs w:val="22"/>
              </w:rPr>
              <w:t>Prop</w:t>
            </w:r>
            <w:r w:rsidR="00511BE2" w:rsidRPr="00511BE2">
              <w:rPr>
                <w:b/>
                <w:bCs/>
                <w:sz w:val="22"/>
                <w:szCs w:val="22"/>
              </w:rPr>
              <w:t>uesta</w:t>
            </w:r>
            <w:r w:rsidRPr="00511BE2">
              <w:rPr>
                <w:b/>
                <w:bCs/>
                <w:sz w:val="22"/>
                <w:szCs w:val="22"/>
              </w:rPr>
              <w:t xml:space="preserve"> </w:t>
            </w:r>
            <w:r w:rsidR="00B46818">
              <w:rPr>
                <w:b/>
                <w:bCs/>
                <w:sz w:val="22"/>
                <w:szCs w:val="22"/>
              </w:rPr>
              <w:t>Nº</w:t>
            </w:r>
          </w:p>
        </w:tc>
        <w:tc>
          <w:tcPr>
            <w:tcW w:w="864" w:type="dxa"/>
            <w:shd w:val="clear" w:color="auto" w:fill="D9D9D9" w:themeFill="background1" w:themeFillShade="D9"/>
            <w:hideMark/>
          </w:tcPr>
          <w:p w:rsidR="002B6746" w:rsidRPr="00511BE2" w:rsidRDefault="00511BE2" w:rsidP="00671DC3">
            <w:pPr>
              <w:jc w:val="center"/>
              <w:rPr>
                <w:b/>
                <w:bCs/>
                <w:sz w:val="22"/>
                <w:szCs w:val="22"/>
              </w:rPr>
            </w:pPr>
            <w:r w:rsidRPr="00511BE2">
              <w:rPr>
                <w:b/>
                <w:bCs/>
                <w:sz w:val="22"/>
                <w:szCs w:val="22"/>
              </w:rPr>
              <w:t>Acción</w:t>
            </w:r>
          </w:p>
        </w:tc>
        <w:tc>
          <w:tcPr>
            <w:tcW w:w="2977" w:type="dxa"/>
            <w:shd w:val="clear" w:color="auto" w:fill="D9D9D9" w:themeFill="background1" w:themeFillShade="D9"/>
            <w:hideMark/>
          </w:tcPr>
          <w:p w:rsidR="002B6746" w:rsidRPr="00511BE2" w:rsidRDefault="002B6746" w:rsidP="00671DC3">
            <w:pPr>
              <w:jc w:val="center"/>
              <w:rPr>
                <w:b/>
                <w:bCs/>
                <w:sz w:val="22"/>
                <w:szCs w:val="22"/>
              </w:rPr>
            </w:pPr>
            <w:r w:rsidRPr="00511BE2">
              <w:rPr>
                <w:b/>
                <w:bCs/>
                <w:sz w:val="22"/>
                <w:szCs w:val="22"/>
              </w:rPr>
              <w:t>Res/Dec</w:t>
            </w:r>
          </w:p>
        </w:tc>
        <w:tc>
          <w:tcPr>
            <w:tcW w:w="5244" w:type="dxa"/>
            <w:shd w:val="clear" w:color="auto" w:fill="D9D9D9" w:themeFill="background1" w:themeFillShade="D9"/>
            <w:hideMark/>
          </w:tcPr>
          <w:p w:rsidR="002B6746" w:rsidRPr="00511BE2" w:rsidRDefault="00511BE2" w:rsidP="00671DC3">
            <w:pPr>
              <w:jc w:val="center"/>
              <w:rPr>
                <w:b/>
                <w:bCs/>
                <w:sz w:val="22"/>
                <w:szCs w:val="22"/>
              </w:rPr>
            </w:pPr>
            <w:r w:rsidRPr="00511BE2">
              <w:rPr>
                <w:b/>
                <w:bCs/>
                <w:sz w:val="22"/>
                <w:szCs w:val="22"/>
              </w:rPr>
              <w:t>Tema</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w:t>
            </w:r>
          </w:p>
        </w:tc>
        <w:tc>
          <w:tcPr>
            <w:tcW w:w="864" w:type="dxa"/>
            <w:noWrap/>
            <w:hideMark/>
          </w:tcPr>
          <w:p w:rsidR="002B6746" w:rsidRPr="00511BE2" w:rsidRDefault="002B6746" w:rsidP="00671DC3">
            <w:pPr>
              <w:rPr>
                <w:sz w:val="22"/>
                <w:szCs w:val="22"/>
              </w:rPr>
            </w:pPr>
            <w:r w:rsidRPr="00511BE2">
              <w:rPr>
                <w:sz w:val="22"/>
                <w:szCs w:val="22"/>
              </w:rPr>
              <w:t>SUP</w:t>
            </w:r>
          </w:p>
        </w:tc>
        <w:tc>
          <w:tcPr>
            <w:tcW w:w="2977" w:type="dxa"/>
            <w:noWrap/>
            <w:hideMark/>
          </w:tcPr>
          <w:p w:rsidR="002B6746" w:rsidRPr="00511BE2" w:rsidRDefault="002B6746" w:rsidP="00671DC3">
            <w:pPr>
              <w:rPr>
                <w:sz w:val="22"/>
                <w:szCs w:val="22"/>
              </w:rPr>
            </w:pPr>
            <w:r w:rsidRPr="00511BE2">
              <w:rPr>
                <w:sz w:val="22"/>
                <w:szCs w:val="22"/>
              </w:rPr>
              <w:t xml:space="preserve">RESOLUCIÓN </w:t>
            </w:r>
            <w:r w:rsidRPr="00511BE2">
              <w:rPr>
                <w:rStyle w:val="href"/>
                <w:bCs/>
                <w:sz w:val="22"/>
                <w:szCs w:val="22"/>
              </w:rPr>
              <w:t>185</w:t>
            </w:r>
          </w:p>
        </w:tc>
        <w:tc>
          <w:tcPr>
            <w:tcW w:w="5244" w:type="dxa"/>
            <w:hideMark/>
          </w:tcPr>
          <w:p w:rsidR="002B6746" w:rsidRPr="00511BE2" w:rsidRDefault="002B6746" w:rsidP="00671DC3">
            <w:pPr>
              <w:rPr>
                <w:sz w:val="22"/>
                <w:szCs w:val="22"/>
              </w:rPr>
            </w:pPr>
            <w:bookmarkStart w:id="7" w:name="_Toc406754301"/>
            <w:r w:rsidRPr="00511BE2">
              <w:rPr>
                <w:sz w:val="22"/>
                <w:szCs w:val="22"/>
              </w:rPr>
              <w:t>Seguimiento mundial de vuelos de la aviación civil</w:t>
            </w:r>
            <w:bookmarkEnd w:id="7"/>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2B6746" w:rsidP="00671DC3">
            <w:pPr>
              <w:rPr>
                <w:sz w:val="22"/>
                <w:szCs w:val="22"/>
              </w:rPr>
            </w:pPr>
            <w:r w:rsidRPr="00511BE2">
              <w:rPr>
                <w:sz w:val="22"/>
                <w:szCs w:val="22"/>
              </w:rPr>
              <w:t xml:space="preserve">RESOLUCIÓN </w:t>
            </w:r>
            <w:r w:rsidRPr="00511BE2">
              <w:rPr>
                <w:rStyle w:val="href"/>
                <w:bCs/>
                <w:sz w:val="22"/>
                <w:szCs w:val="22"/>
              </w:rPr>
              <w:t>48</w:t>
            </w:r>
          </w:p>
        </w:tc>
        <w:tc>
          <w:tcPr>
            <w:tcW w:w="5244" w:type="dxa"/>
            <w:hideMark/>
          </w:tcPr>
          <w:p w:rsidR="002B6746" w:rsidRPr="00511BE2" w:rsidRDefault="002B6746" w:rsidP="00671DC3">
            <w:pPr>
              <w:rPr>
                <w:sz w:val="22"/>
                <w:szCs w:val="22"/>
              </w:rPr>
            </w:pPr>
            <w:bookmarkStart w:id="8" w:name="_Toc406754143"/>
            <w:r w:rsidRPr="00511BE2">
              <w:rPr>
                <w:sz w:val="22"/>
                <w:szCs w:val="22"/>
              </w:rPr>
              <w:t>Gestión y desarrollo de los recursos humanos</w:t>
            </w:r>
            <w:bookmarkEnd w:id="8"/>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2B6746" w:rsidP="00671DC3">
            <w:pPr>
              <w:rPr>
                <w:sz w:val="22"/>
                <w:szCs w:val="22"/>
              </w:rPr>
            </w:pPr>
            <w:r w:rsidRPr="00511BE2">
              <w:rPr>
                <w:sz w:val="22"/>
                <w:szCs w:val="22"/>
              </w:rPr>
              <w:t xml:space="preserve">RESOLUCIÓN </w:t>
            </w:r>
            <w:r w:rsidRPr="00511BE2">
              <w:rPr>
                <w:rStyle w:val="href"/>
                <w:bCs/>
                <w:sz w:val="22"/>
                <w:szCs w:val="22"/>
              </w:rPr>
              <w:t>188</w:t>
            </w:r>
          </w:p>
        </w:tc>
        <w:tc>
          <w:tcPr>
            <w:tcW w:w="5244" w:type="dxa"/>
            <w:hideMark/>
          </w:tcPr>
          <w:p w:rsidR="002B6746" w:rsidRPr="00511BE2" w:rsidRDefault="002B6746" w:rsidP="00671DC3">
            <w:pPr>
              <w:rPr>
                <w:sz w:val="22"/>
                <w:szCs w:val="22"/>
              </w:rPr>
            </w:pPr>
            <w:bookmarkStart w:id="9" w:name="_Toc406754307"/>
            <w:r w:rsidRPr="00511BE2">
              <w:rPr>
                <w:sz w:val="22"/>
                <w:szCs w:val="22"/>
              </w:rPr>
              <w:t>Lucha contra la falsificación de dispositivos de telecomunicaciones/tecnologías de la información y la comunicación</w:t>
            </w:r>
            <w:bookmarkEnd w:id="9"/>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2B6746" w:rsidP="00671DC3">
            <w:pPr>
              <w:rPr>
                <w:sz w:val="22"/>
                <w:szCs w:val="22"/>
              </w:rPr>
            </w:pPr>
            <w:r w:rsidRPr="00511BE2">
              <w:rPr>
                <w:sz w:val="22"/>
                <w:szCs w:val="22"/>
              </w:rPr>
              <w:t xml:space="preserve">RESOLUCIÓN </w:t>
            </w:r>
            <w:r w:rsidRPr="00511BE2">
              <w:rPr>
                <w:rStyle w:val="href"/>
                <w:sz w:val="22"/>
                <w:szCs w:val="22"/>
              </w:rPr>
              <w:t>165</w:t>
            </w:r>
          </w:p>
        </w:tc>
        <w:tc>
          <w:tcPr>
            <w:tcW w:w="5244" w:type="dxa"/>
            <w:hideMark/>
          </w:tcPr>
          <w:p w:rsidR="002B6746" w:rsidRPr="00511BE2" w:rsidRDefault="002B6746" w:rsidP="00671DC3">
            <w:pPr>
              <w:rPr>
                <w:sz w:val="22"/>
                <w:szCs w:val="22"/>
              </w:rPr>
            </w:pPr>
            <w:r w:rsidRPr="00511BE2">
              <w:rPr>
                <w:sz w:val="22"/>
                <w:szCs w:val="22"/>
              </w:rPr>
              <w:t>Plazos de presentación de propuestas y procedimientos para la inscripción de participantes en las conferencias y asambleas de la Unión</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IAP/63A1/5</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2B6746" w:rsidP="00671DC3">
            <w:pPr>
              <w:rPr>
                <w:sz w:val="22"/>
                <w:szCs w:val="22"/>
              </w:rPr>
            </w:pPr>
            <w:r w:rsidRPr="00511BE2">
              <w:rPr>
                <w:sz w:val="22"/>
                <w:szCs w:val="22"/>
              </w:rPr>
              <w:t xml:space="preserve">DECISIÓN </w:t>
            </w:r>
            <w:r w:rsidRPr="00511BE2">
              <w:rPr>
                <w:rStyle w:val="href"/>
                <w:sz w:val="22"/>
                <w:szCs w:val="22"/>
              </w:rPr>
              <w:t>11</w:t>
            </w:r>
          </w:p>
        </w:tc>
        <w:tc>
          <w:tcPr>
            <w:tcW w:w="5244" w:type="dxa"/>
            <w:hideMark/>
          </w:tcPr>
          <w:p w:rsidR="002B6746" w:rsidRPr="00511BE2" w:rsidRDefault="002B6746" w:rsidP="00671DC3">
            <w:pPr>
              <w:rPr>
                <w:sz w:val="22"/>
                <w:szCs w:val="22"/>
              </w:rPr>
            </w:pPr>
            <w:r w:rsidRPr="00511BE2">
              <w:rPr>
                <w:sz w:val="22"/>
                <w:szCs w:val="22"/>
              </w:rPr>
              <w:t>Creación y gestión de los grupos de trabajo del Consejo</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IAP/63A1/6</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2B6746" w:rsidP="00671DC3">
            <w:pPr>
              <w:rPr>
                <w:sz w:val="22"/>
                <w:szCs w:val="22"/>
              </w:rPr>
            </w:pPr>
            <w:r w:rsidRPr="00511BE2">
              <w:rPr>
                <w:sz w:val="22"/>
                <w:szCs w:val="22"/>
              </w:rPr>
              <w:t>Proyecto de nueva Decisión [IAP-1]</w:t>
            </w:r>
          </w:p>
        </w:tc>
        <w:tc>
          <w:tcPr>
            <w:tcW w:w="5244" w:type="dxa"/>
            <w:hideMark/>
          </w:tcPr>
          <w:p w:rsidR="002B6746" w:rsidRPr="00511BE2" w:rsidRDefault="002B6746" w:rsidP="00671DC3">
            <w:pPr>
              <w:rPr>
                <w:sz w:val="22"/>
                <w:szCs w:val="22"/>
              </w:rPr>
            </w:pPr>
            <w:r w:rsidRPr="00511BE2">
              <w:rPr>
                <w:sz w:val="22"/>
                <w:szCs w:val="22"/>
              </w:rPr>
              <w:t>Creación del Grupo de Trabajo de Consejo sobre Administración y Gestión</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IAP/63A1/7</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2B6746" w:rsidP="00671DC3">
            <w:pPr>
              <w:rPr>
                <w:sz w:val="22"/>
                <w:szCs w:val="22"/>
              </w:rPr>
            </w:pPr>
            <w:r w:rsidRPr="00511BE2">
              <w:rPr>
                <w:sz w:val="22"/>
                <w:szCs w:val="22"/>
              </w:rPr>
              <w:t>GR 178A</w:t>
            </w:r>
          </w:p>
        </w:tc>
        <w:tc>
          <w:tcPr>
            <w:tcW w:w="5244" w:type="dxa"/>
            <w:hideMark/>
          </w:tcPr>
          <w:p w:rsidR="002B6746" w:rsidRPr="00511BE2" w:rsidRDefault="002B6746" w:rsidP="00511BE2">
            <w:pPr>
              <w:rPr>
                <w:sz w:val="22"/>
                <w:szCs w:val="22"/>
              </w:rPr>
            </w:pPr>
            <w:r w:rsidRPr="00511BE2">
              <w:rPr>
                <w:sz w:val="22"/>
                <w:szCs w:val="22"/>
              </w:rPr>
              <w:t>Reglas aplicables a la elección del Secretario General</w:t>
            </w:r>
            <w:r w:rsidR="007A5C78">
              <w:rPr>
                <w:sz w:val="22"/>
                <w:szCs w:val="22"/>
              </w:rPr>
              <w:t xml:space="preserve"> </w:t>
            </w:r>
            <w:r w:rsidRPr="00511BE2">
              <w:rPr>
                <w:sz w:val="22"/>
                <w:szCs w:val="22"/>
              </w:rPr>
              <w:t>y los Directores de las Oficinas de los Sectores</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IAP/63A1/8</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2B6746" w:rsidP="00671DC3">
            <w:pPr>
              <w:rPr>
                <w:sz w:val="22"/>
                <w:szCs w:val="22"/>
              </w:rPr>
            </w:pPr>
            <w:r w:rsidRPr="00511BE2">
              <w:rPr>
                <w:sz w:val="22"/>
                <w:szCs w:val="22"/>
              </w:rPr>
              <w:t xml:space="preserve">RESOLUCIÓN </w:t>
            </w:r>
            <w:r w:rsidRPr="00511BE2">
              <w:rPr>
                <w:rStyle w:val="href"/>
                <w:bCs/>
                <w:sz w:val="22"/>
                <w:szCs w:val="22"/>
              </w:rPr>
              <w:t>146</w:t>
            </w:r>
          </w:p>
        </w:tc>
        <w:tc>
          <w:tcPr>
            <w:tcW w:w="5244" w:type="dxa"/>
            <w:hideMark/>
          </w:tcPr>
          <w:p w:rsidR="002B6746" w:rsidRPr="00511BE2" w:rsidRDefault="002B6746" w:rsidP="00671DC3">
            <w:pPr>
              <w:rPr>
                <w:sz w:val="22"/>
                <w:szCs w:val="22"/>
              </w:rPr>
            </w:pPr>
            <w:bookmarkStart w:id="10" w:name="_Toc406754250"/>
            <w:r w:rsidRPr="00511BE2">
              <w:rPr>
                <w:sz w:val="22"/>
                <w:szCs w:val="22"/>
              </w:rPr>
              <w:t>Examen periódico y revisión del Reglamento de las Telecomunicaciones Internacionales</w:t>
            </w:r>
            <w:bookmarkEnd w:id="10"/>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IAP/63A1/9</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2B6746" w:rsidP="00671DC3">
            <w:pPr>
              <w:rPr>
                <w:sz w:val="22"/>
                <w:szCs w:val="22"/>
              </w:rPr>
            </w:pPr>
            <w:r w:rsidRPr="00511BE2">
              <w:rPr>
                <w:sz w:val="22"/>
                <w:szCs w:val="22"/>
              </w:rPr>
              <w:t xml:space="preserve">RESOLUCIÓN </w:t>
            </w:r>
            <w:r w:rsidRPr="00511BE2">
              <w:rPr>
                <w:rStyle w:val="href"/>
                <w:sz w:val="22"/>
                <w:szCs w:val="22"/>
              </w:rPr>
              <w:t>66</w:t>
            </w:r>
          </w:p>
        </w:tc>
        <w:tc>
          <w:tcPr>
            <w:tcW w:w="5244" w:type="dxa"/>
            <w:hideMark/>
          </w:tcPr>
          <w:p w:rsidR="002B6746" w:rsidRPr="00511BE2" w:rsidRDefault="002B6746" w:rsidP="00671DC3">
            <w:pPr>
              <w:rPr>
                <w:sz w:val="22"/>
                <w:szCs w:val="22"/>
              </w:rPr>
            </w:pPr>
            <w:bookmarkStart w:id="11" w:name="_Toc37487552"/>
            <w:r w:rsidRPr="00511BE2">
              <w:rPr>
                <w:sz w:val="22"/>
                <w:szCs w:val="22"/>
              </w:rPr>
              <w:t>Documentos y publicaciones de la Unión</w:t>
            </w:r>
            <w:bookmarkEnd w:id="11"/>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IAP/63A1/10</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2B6746" w:rsidP="00671DC3">
            <w:pPr>
              <w:rPr>
                <w:sz w:val="22"/>
                <w:szCs w:val="22"/>
              </w:rPr>
            </w:pPr>
            <w:r w:rsidRPr="00511BE2">
              <w:rPr>
                <w:sz w:val="22"/>
                <w:szCs w:val="22"/>
              </w:rPr>
              <w:t xml:space="preserve">RESOLUCIÓN </w:t>
            </w:r>
            <w:r w:rsidRPr="00511BE2">
              <w:rPr>
                <w:rStyle w:val="href"/>
                <w:bCs/>
                <w:sz w:val="22"/>
                <w:szCs w:val="22"/>
              </w:rPr>
              <w:t>157</w:t>
            </w:r>
          </w:p>
        </w:tc>
        <w:tc>
          <w:tcPr>
            <w:tcW w:w="5244" w:type="dxa"/>
            <w:hideMark/>
          </w:tcPr>
          <w:p w:rsidR="002B6746" w:rsidRPr="00511BE2" w:rsidRDefault="002B6746" w:rsidP="00671DC3">
            <w:pPr>
              <w:rPr>
                <w:sz w:val="22"/>
                <w:szCs w:val="22"/>
              </w:rPr>
            </w:pPr>
            <w:bookmarkStart w:id="12" w:name="_Toc406754260"/>
            <w:r w:rsidRPr="00511BE2">
              <w:rPr>
                <w:sz w:val="22"/>
                <w:szCs w:val="22"/>
              </w:rPr>
              <w:t>Fortalecimiento de las funciones de ejecución de proyectos y de supervisión de proyectos en la UIT</w:t>
            </w:r>
            <w:bookmarkEnd w:id="12"/>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lastRenderedPageBreak/>
              <w:t>IAP/63A1/11</w:t>
            </w:r>
          </w:p>
        </w:tc>
        <w:tc>
          <w:tcPr>
            <w:tcW w:w="864" w:type="dxa"/>
            <w:noWrap/>
            <w:hideMark/>
          </w:tcPr>
          <w:p w:rsidR="002B6746" w:rsidRPr="00511BE2" w:rsidRDefault="002B6746" w:rsidP="00671DC3">
            <w:pPr>
              <w:rPr>
                <w:sz w:val="22"/>
                <w:szCs w:val="22"/>
              </w:rPr>
            </w:pPr>
            <w:r w:rsidRPr="00511BE2">
              <w:rPr>
                <w:sz w:val="22"/>
                <w:szCs w:val="22"/>
              </w:rPr>
              <w:t>SUP</w:t>
            </w:r>
          </w:p>
        </w:tc>
        <w:tc>
          <w:tcPr>
            <w:tcW w:w="2977" w:type="dxa"/>
            <w:noWrap/>
            <w:hideMark/>
          </w:tcPr>
          <w:p w:rsidR="002B6746" w:rsidRPr="00511BE2" w:rsidRDefault="00E468C6" w:rsidP="00671DC3">
            <w:pPr>
              <w:rPr>
                <w:sz w:val="22"/>
                <w:szCs w:val="22"/>
              </w:rPr>
            </w:pPr>
            <w:r w:rsidRPr="00511BE2">
              <w:rPr>
                <w:sz w:val="22"/>
                <w:szCs w:val="22"/>
              </w:rPr>
              <w:t xml:space="preserve">DECISIÓN </w:t>
            </w:r>
            <w:r w:rsidRPr="00511BE2">
              <w:rPr>
                <w:rStyle w:val="href"/>
                <w:sz w:val="22"/>
                <w:szCs w:val="22"/>
              </w:rPr>
              <w:t>13</w:t>
            </w:r>
          </w:p>
        </w:tc>
        <w:tc>
          <w:tcPr>
            <w:tcW w:w="5244" w:type="dxa"/>
            <w:hideMark/>
          </w:tcPr>
          <w:p w:rsidR="002B6746" w:rsidRPr="00511BE2" w:rsidRDefault="00E468C6" w:rsidP="000A1E3F">
            <w:pPr>
              <w:rPr>
                <w:sz w:val="22"/>
                <w:szCs w:val="22"/>
              </w:rPr>
            </w:pPr>
            <w:r w:rsidRPr="00511BE2">
              <w:rPr>
                <w:sz w:val="22"/>
                <w:szCs w:val="22"/>
              </w:rPr>
              <w:t>Mecanismo de supervisión de los programas</w:t>
            </w:r>
            <w:r w:rsidR="000A1E3F" w:rsidRPr="00511BE2">
              <w:rPr>
                <w:sz w:val="22"/>
                <w:szCs w:val="22"/>
              </w:rPr>
              <w:t xml:space="preserve"> </w:t>
            </w:r>
            <w:r w:rsidRPr="00511BE2">
              <w:rPr>
                <w:sz w:val="22"/>
                <w:szCs w:val="22"/>
              </w:rPr>
              <w:t>y proyectos de la UIT</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IAP/63A1/12</w:t>
            </w:r>
          </w:p>
        </w:tc>
        <w:tc>
          <w:tcPr>
            <w:tcW w:w="864" w:type="dxa"/>
            <w:noWrap/>
            <w:hideMark/>
          </w:tcPr>
          <w:p w:rsidR="002B6746" w:rsidRPr="00511BE2" w:rsidRDefault="002B6746" w:rsidP="00671DC3">
            <w:pPr>
              <w:rPr>
                <w:sz w:val="22"/>
                <w:szCs w:val="22"/>
              </w:rPr>
            </w:pPr>
            <w:r w:rsidRPr="00511BE2">
              <w:rPr>
                <w:sz w:val="22"/>
                <w:szCs w:val="22"/>
              </w:rPr>
              <w:t>SUP</w:t>
            </w:r>
          </w:p>
        </w:tc>
        <w:tc>
          <w:tcPr>
            <w:tcW w:w="2977" w:type="dxa"/>
            <w:noWrap/>
            <w:hideMark/>
          </w:tcPr>
          <w:p w:rsidR="002B6746" w:rsidRPr="00511BE2" w:rsidRDefault="00E468C6" w:rsidP="00671DC3">
            <w:pPr>
              <w:rPr>
                <w:sz w:val="22"/>
                <w:szCs w:val="22"/>
              </w:rPr>
            </w:pPr>
            <w:r w:rsidRPr="00511BE2">
              <w:rPr>
                <w:sz w:val="22"/>
                <w:szCs w:val="22"/>
                <w:lang w:bidi="th-TH"/>
              </w:rPr>
              <w:t xml:space="preserve">RESOLUCIÓN </w:t>
            </w:r>
            <w:r w:rsidRPr="00511BE2">
              <w:rPr>
                <w:rStyle w:val="href"/>
                <w:bCs/>
                <w:sz w:val="22"/>
                <w:szCs w:val="22"/>
              </w:rPr>
              <w:t>135</w:t>
            </w:r>
          </w:p>
        </w:tc>
        <w:tc>
          <w:tcPr>
            <w:tcW w:w="5244" w:type="dxa"/>
            <w:hideMark/>
          </w:tcPr>
          <w:p w:rsidR="002B6746" w:rsidRPr="00511BE2" w:rsidRDefault="00E468C6" w:rsidP="00D671FE">
            <w:pPr>
              <w:rPr>
                <w:sz w:val="22"/>
                <w:szCs w:val="22"/>
              </w:rPr>
            </w:pPr>
            <w:bookmarkStart w:id="13" w:name="_Toc406754238"/>
            <w:r w:rsidRPr="00511BE2">
              <w:rPr>
                <w:sz w:val="22"/>
                <w:szCs w:val="22"/>
              </w:rPr>
              <w:t>Función de la UIT en el desarrollo de las telecomunicaciones/tecnologías de la información y la comunicación, en la prestación de asistencia y asesoramiento técnicos a los países en desarrollo y en la realización de proyectos nacionales, regionales e interregionales pertinentes</w:t>
            </w:r>
            <w:bookmarkEnd w:id="13"/>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IAP/63A1/13</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F02D25" w:rsidP="00671DC3">
            <w:pPr>
              <w:rPr>
                <w:sz w:val="22"/>
                <w:szCs w:val="22"/>
              </w:rPr>
            </w:pPr>
            <w:r w:rsidRPr="00511BE2">
              <w:rPr>
                <w:sz w:val="22"/>
                <w:szCs w:val="22"/>
              </w:rPr>
              <w:t xml:space="preserve">RESOLUCIÓN </w:t>
            </w:r>
            <w:r w:rsidRPr="00511BE2">
              <w:rPr>
                <w:rStyle w:val="href"/>
                <w:bCs/>
                <w:sz w:val="22"/>
                <w:szCs w:val="22"/>
              </w:rPr>
              <w:t>203</w:t>
            </w:r>
          </w:p>
        </w:tc>
        <w:tc>
          <w:tcPr>
            <w:tcW w:w="5244" w:type="dxa"/>
            <w:hideMark/>
          </w:tcPr>
          <w:p w:rsidR="002B6746" w:rsidRPr="00511BE2" w:rsidRDefault="00F02D25" w:rsidP="00671DC3">
            <w:pPr>
              <w:rPr>
                <w:sz w:val="22"/>
                <w:szCs w:val="22"/>
              </w:rPr>
            </w:pPr>
            <w:bookmarkStart w:id="14" w:name="_Toc406754337"/>
            <w:r w:rsidRPr="00511BE2">
              <w:rPr>
                <w:sz w:val="22"/>
                <w:szCs w:val="22"/>
              </w:rPr>
              <w:t>Conectividad a redes de banda ancha</w:t>
            </w:r>
            <w:bookmarkEnd w:id="14"/>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IAP/63A1/14</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F02D25" w:rsidP="00671DC3">
            <w:pPr>
              <w:rPr>
                <w:sz w:val="22"/>
                <w:szCs w:val="22"/>
              </w:rPr>
            </w:pPr>
            <w:r w:rsidRPr="00511BE2">
              <w:rPr>
                <w:sz w:val="22"/>
                <w:szCs w:val="22"/>
              </w:rPr>
              <w:t>Proyecto de nueva Decisión</w:t>
            </w:r>
            <w:r w:rsidR="002B6746" w:rsidRPr="00511BE2">
              <w:rPr>
                <w:sz w:val="22"/>
                <w:szCs w:val="22"/>
              </w:rPr>
              <w:t xml:space="preserve"> [IAP-3]</w:t>
            </w:r>
          </w:p>
        </w:tc>
        <w:tc>
          <w:tcPr>
            <w:tcW w:w="5244" w:type="dxa"/>
            <w:hideMark/>
          </w:tcPr>
          <w:p w:rsidR="002B6746" w:rsidRPr="00511BE2" w:rsidRDefault="00F02D25" w:rsidP="00671DC3">
            <w:pPr>
              <w:rPr>
                <w:sz w:val="22"/>
                <w:szCs w:val="22"/>
              </w:rPr>
            </w:pPr>
            <w:r w:rsidRPr="00511BE2">
              <w:rPr>
                <w:sz w:val="22"/>
                <w:szCs w:val="22"/>
              </w:rPr>
              <w:t>La UIT rehúsa la función de autoridad supervisora del sistema de inscripción internacional para bienes de equipo espacial en virtud del Protocolo del Espacio</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IAP/63A1/15</w:t>
            </w:r>
          </w:p>
        </w:tc>
        <w:tc>
          <w:tcPr>
            <w:tcW w:w="864" w:type="dxa"/>
            <w:noWrap/>
            <w:hideMark/>
          </w:tcPr>
          <w:p w:rsidR="002B6746" w:rsidRPr="00511BE2" w:rsidRDefault="002B6746" w:rsidP="00671DC3">
            <w:pPr>
              <w:rPr>
                <w:sz w:val="22"/>
                <w:szCs w:val="22"/>
              </w:rPr>
            </w:pPr>
            <w:r w:rsidRPr="00511BE2">
              <w:rPr>
                <w:sz w:val="22"/>
                <w:szCs w:val="22"/>
              </w:rPr>
              <w:t>SUP</w:t>
            </w:r>
          </w:p>
        </w:tc>
        <w:tc>
          <w:tcPr>
            <w:tcW w:w="2977" w:type="dxa"/>
            <w:noWrap/>
            <w:hideMark/>
          </w:tcPr>
          <w:p w:rsidR="002B6746" w:rsidRPr="00511BE2" w:rsidRDefault="00F02D25" w:rsidP="00671DC3">
            <w:pPr>
              <w:rPr>
                <w:sz w:val="22"/>
                <w:szCs w:val="22"/>
              </w:rPr>
            </w:pPr>
            <w:r w:rsidRPr="00511BE2">
              <w:rPr>
                <w:sz w:val="22"/>
                <w:szCs w:val="22"/>
              </w:rPr>
              <w:t xml:space="preserve">RESOLUCIÓN </w:t>
            </w:r>
            <w:r w:rsidRPr="00511BE2">
              <w:rPr>
                <w:rStyle w:val="href"/>
                <w:sz w:val="22"/>
                <w:szCs w:val="22"/>
              </w:rPr>
              <w:t>89</w:t>
            </w:r>
          </w:p>
        </w:tc>
        <w:tc>
          <w:tcPr>
            <w:tcW w:w="5244" w:type="dxa"/>
            <w:hideMark/>
          </w:tcPr>
          <w:p w:rsidR="002B6746" w:rsidRPr="00511BE2" w:rsidRDefault="00F02D25" w:rsidP="00671DC3">
            <w:pPr>
              <w:rPr>
                <w:sz w:val="22"/>
                <w:szCs w:val="22"/>
              </w:rPr>
            </w:pPr>
            <w:bookmarkStart w:id="15" w:name="_Toc37487608"/>
            <w:r w:rsidRPr="00511BE2">
              <w:rPr>
                <w:sz w:val="22"/>
                <w:szCs w:val="22"/>
              </w:rPr>
              <w:t>Medidas para hacer frente a la disminución del número de abonados al servicio télex internacional</w:t>
            </w:r>
            <w:bookmarkEnd w:id="15"/>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IAP/63A1/16</w:t>
            </w:r>
          </w:p>
        </w:tc>
        <w:tc>
          <w:tcPr>
            <w:tcW w:w="864" w:type="dxa"/>
            <w:noWrap/>
            <w:hideMark/>
          </w:tcPr>
          <w:p w:rsidR="002B6746" w:rsidRPr="00511BE2" w:rsidRDefault="002B6746" w:rsidP="00671DC3">
            <w:pPr>
              <w:rPr>
                <w:sz w:val="22"/>
                <w:szCs w:val="22"/>
                <w:u w:val="single"/>
              </w:rPr>
            </w:pPr>
            <w:r w:rsidRPr="00511BE2">
              <w:rPr>
                <w:sz w:val="22"/>
                <w:szCs w:val="22"/>
                <w:u w:val="single"/>
              </w:rPr>
              <w:t>NOC</w:t>
            </w:r>
          </w:p>
        </w:tc>
        <w:tc>
          <w:tcPr>
            <w:tcW w:w="2977" w:type="dxa"/>
            <w:noWrap/>
            <w:hideMark/>
          </w:tcPr>
          <w:p w:rsidR="002B6746" w:rsidRPr="00511BE2" w:rsidRDefault="00F02D25" w:rsidP="00671DC3">
            <w:pPr>
              <w:rPr>
                <w:sz w:val="22"/>
                <w:szCs w:val="22"/>
              </w:rPr>
            </w:pPr>
            <w:r w:rsidRPr="00511BE2">
              <w:rPr>
                <w:sz w:val="22"/>
                <w:szCs w:val="22"/>
              </w:rPr>
              <w:t xml:space="preserve">RESOLUCIÓN </w:t>
            </w:r>
            <w:r w:rsidRPr="00511BE2">
              <w:rPr>
                <w:rStyle w:val="href"/>
                <w:sz w:val="22"/>
                <w:szCs w:val="22"/>
              </w:rPr>
              <w:t>119</w:t>
            </w:r>
          </w:p>
        </w:tc>
        <w:tc>
          <w:tcPr>
            <w:tcW w:w="5244" w:type="dxa"/>
            <w:hideMark/>
          </w:tcPr>
          <w:p w:rsidR="002B6746" w:rsidRPr="00511BE2" w:rsidRDefault="00F02D25" w:rsidP="00671DC3">
            <w:pPr>
              <w:rPr>
                <w:sz w:val="22"/>
                <w:szCs w:val="22"/>
              </w:rPr>
            </w:pPr>
            <w:r w:rsidRPr="00511BE2">
              <w:rPr>
                <w:sz w:val="22"/>
                <w:szCs w:val="22"/>
              </w:rPr>
              <w:t>Métodos para mejorar la eficiencia y eficacia de la Junta del Reglamento de Radiocomunicaciones</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IAP/63A1/17</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F02D25" w:rsidP="00671DC3">
            <w:pPr>
              <w:rPr>
                <w:sz w:val="22"/>
                <w:szCs w:val="22"/>
              </w:rPr>
            </w:pPr>
            <w:r w:rsidRPr="00511BE2">
              <w:rPr>
                <w:sz w:val="22"/>
                <w:szCs w:val="22"/>
                <w:lang w:bidi="th-TH"/>
              </w:rPr>
              <w:t xml:space="preserve">RESOLUCIÓN </w:t>
            </w:r>
            <w:r w:rsidRPr="00511BE2">
              <w:rPr>
                <w:rStyle w:val="href"/>
                <w:bCs/>
                <w:sz w:val="22"/>
                <w:szCs w:val="22"/>
              </w:rPr>
              <w:t>136</w:t>
            </w:r>
          </w:p>
        </w:tc>
        <w:tc>
          <w:tcPr>
            <w:tcW w:w="5244" w:type="dxa"/>
            <w:hideMark/>
          </w:tcPr>
          <w:p w:rsidR="002B6746" w:rsidRPr="00511BE2" w:rsidRDefault="00F02D25" w:rsidP="00671DC3">
            <w:pPr>
              <w:rPr>
                <w:sz w:val="22"/>
                <w:szCs w:val="22"/>
              </w:rPr>
            </w:pPr>
            <w:bookmarkStart w:id="16" w:name="_Toc406754240"/>
            <w:r w:rsidRPr="00511BE2">
              <w:rPr>
                <w:sz w:val="22"/>
                <w:szCs w:val="22"/>
              </w:rPr>
              <w:t>Utilización de las telecomunicaciones/tecnologías de la información y la comunicación en el control y la gestión de situaciones de emergencia y catástrofes para la alerta temprana, la prevención, la mitigación y las operaciones de socorro</w:t>
            </w:r>
            <w:bookmarkEnd w:id="16"/>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IAP/63A1/18</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F02D25" w:rsidP="00671DC3">
            <w:pPr>
              <w:rPr>
                <w:sz w:val="22"/>
                <w:szCs w:val="22"/>
              </w:rPr>
            </w:pPr>
            <w:r w:rsidRPr="00511BE2">
              <w:rPr>
                <w:sz w:val="22"/>
                <w:szCs w:val="22"/>
              </w:rPr>
              <w:t>RESOLUCIÓN 1</w:t>
            </w:r>
            <w:r w:rsidRPr="00511BE2">
              <w:rPr>
                <w:rStyle w:val="href"/>
                <w:sz w:val="22"/>
                <w:szCs w:val="22"/>
              </w:rPr>
              <w:t>96</w:t>
            </w:r>
          </w:p>
        </w:tc>
        <w:tc>
          <w:tcPr>
            <w:tcW w:w="5244" w:type="dxa"/>
            <w:hideMark/>
          </w:tcPr>
          <w:p w:rsidR="002B6746" w:rsidRPr="00511BE2" w:rsidRDefault="00F02D25" w:rsidP="00F02D25">
            <w:pPr>
              <w:rPr>
                <w:sz w:val="22"/>
                <w:szCs w:val="22"/>
              </w:rPr>
            </w:pPr>
            <w:r w:rsidRPr="00511BE2">
              <w:rPr>
                <w:sz w:val="22"/>
                <w:szCs w:val="22"/>
              </w:rPr>
              <w:t>Protección del usuario/consumidor de servicios de telecomunicaciones</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IAP/63A1/19</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F02D25" w:rsidP="00671DC3">
            <w:pPr>
              <w:rPr>
                <w:sz w:val="22"/>
                <w:szCs w:val="22"/>
              </w:rPr>
            </w:pPr>
            <w:r w:rsidRPr="00511BE2">
              <w:rPr>
                <w:sz w:val="22"/>
                <w:szCs w:val="22"/>
              </w:rPr>
              <w:t>RESOLUCIÓN 1</w:t>
            </w:r>
            <w:r w:rsidRPr="00511BE2">
              <w:rPr>
                <w:rStyle w:val="href"/>
                <w:sz w:val="22"/>
                <w:szCs w:val="22"/>
              </w:rPr>
              <w:t>98</w:t>
            </w:r>
          </w:p>
        </w:tc>
        <w:tc>
          <w:tcPr>
            <w:tcW w:w="5244" w:type="dxa"/>
            <w:hideMark/>
          </w:tcPr>
          <w:p w:rsidR="002B6746" w:rsidRPr="00511BE2" w:rsidRDefault="00F02D25" w:rsidP="00671DC3">
            <w:pPr>
              <w:rPr>
                <w:sz w:val="22"/>
                <w:szCs w:val="22"/>
              </w:rPr>
            </w:pPr>
            <w:bookmarkStart w:id="17" w:name="_Toc406754327"/>
            <w:r w:rsidRPr="00511BE2">
              <w:rPr>
                <w:rFonts w:asciiTheme="minorHAnsi" w:hAnsiTheme="minorHAnsi"/>
                <w:sz w:val="22"/>
                <w:szCs w:val="22"/>
              </w:rPr>
              <w:t>Empoderamiento de la juventud a través de las telecomunicaciones y las tecnologías de la información y de la comunicación</w:t>
            </w:r>
            <w:bookmarkEnd w:id="17"/>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IAP/63A1/20</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F02D25" w:rsidP="00671DC3">
            <w:pPr>
              <w:rPr>
                <w:sz w:val="22"/>
                <w:szCs w:val="22"/>
              </w:rPr>
            </w:pPr>
            <w:r w:rsidRPr="00511BE2">
              <w:rPr>
                <w:sz w:val="22"/>
                <w:szCs w:val="22"/>
              </w:rPr>
              <w:t xml:space="preserve">RESOLUCIÓN </w:t>
            </w:r>
            <w:r w:rsidRPr="00511BE2">
              <w:rPr>
                <w:rStyle w:val="href"/>
                <w:bCs/>
                <w:sz w:val="22"/>
                <w:szCs w:val="22"/>
              </w:rPr>
              <w:t>2</w:t>
            </w:r>
          </w:p>
        </w:tc>
        <w:tc>
          <w:tcPr>
            <w:tcW w:w="5244" w:type="dxa"/>
            <w:hideMark/>
          </w:tcPr>
          <w:p w:rsidR="002B6746" w:rsidRPr="00511BE2" w:rsidRDefault="00F02D25" w:rsidP="00671DC3">
            <w:pPr>
              <w:rPr>
                <w:sz w:val="22"/>
                <w:szCs w:val="22"/>
              </w:rPr>
            </w:pPr>
            <w:bookmarkStart w:id="18" w:name="_Toc37487466"/>
            <w:bookmarkStart w:id="19" w:name="_Toc406754122"/>
            <w:r w:rsidRPr="00511BE2">
              <w:rPr>
                <w:sz w:val="22"/>
                <w:szCs w:val="22"/>
              </w:rPr>
              <w:t>Foro Mundial de Política de las Telecomunicaciones</w:t>
            </w:r>
            <w:bookmarkEnd w:id="18"/>
            <w:r w:rsidRPr="00511BE2">
              <w:rPr>
                <w:sz w:val="22"/>
                <w:szCs w:val="22"/>
              </w:rPr>
              <w:t>/tecnologías de la información y la comunicación</w:t>
            </w:r>
            <w:bookmarkEnd w:id="19"/>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IAP/63A1/21</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F02D25" w:rsidP="00671DC3">
            <w:pPr>
              <w:rPr>
                <w:sz w:val="22"/>
                <w:szCs w:val="22"/>
              </w:rPr>
            </w:pPr>
            <w:r w:rsidRPr="00511BE2">
              <w:rPr>
                <w:sz w:val="22"/>
                <w:szCs w:val="22"/>
              </w:rPr>
              <w:t xml:space="preserve">RESOLUCIÓN </w:t>
            </w:r>
            <w:r w:rsidRPr="00511BE2">
              <w:rPr>
                <w:rStyle w:val="href"/>
                <w:bCs/>
                <w:sz w:val="22"/>
                <w:szCs w:val="22"/>
              </w:rPr>
              <w:t>154</w:t>
            </w:r>
          </w:p>
        </w:tc>
        <w:tc>
          <w:tcPr>
            <w:tcW w:w="5244" w:type="dxa"/>
            <w:hideMark/>
          </w:tcPr>
          <w:p w:rsidR="002B6746" w:rsidRPr="00511BE2" w:rsidRDefault="00F02D25" w:rsidP="00671DC3">
            <w:pPr>
              <w:rPr>
                <w:sz w:val="22"/>
                <w:szCs w:val="22"/>
              </w:rPr>
            </w:pPr>
            <w:bookmarkStart w:id="20" w:name="_Toc406754258"/>
            <w:r w:rsidRPr="00511BE2">
              <w:rPr>
                <w:sz w:val="22"/>
                <w:szCs w:val="22"/>
              </w:rPr>
              <w:t>Utilización de los seis idiomas oficiales de la Unión en igualdad de condiciones</w:t>
            </w:r>
            <w:bookmarkEnd w:id="20"/>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IAP/63A1/22</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F02D25" w:rsidP="00671DC3">
            <w:pPr>
              <w:rPr>
                <w:sz w:val="22"/>
                <w:szCs w:val="22"/>
              </w:rPr>
            </w:pPr>
            <w:r w:rsidRPr="00511BE2">
              <w:rPr>
                <w:sz w:val="22"/>
                <w:szCs w:val="22"/>
              </w:rPr>
              <w:t xml:space="preserve">RESOLUCIÓN </w:t>
            </w:r>
            <w:r w:rsidRPr="00511BE2">
              <w:rPr>
                <w:rStyle w:val="href"/>
                <w:bCs/>
                <w:sz w:val="22"/>
                <w:szCs w:val="22"/>
              </w:rPr>
              <w:t>72</w:t>
            </w:r>
          </w:p>
        </w:tc>
        <w:tc>
          <w:tcPr>
            <w:tcW w:w="5244" w:type="dxa"/>
            <w:hideMark/>
          </w:tcPr>
          <w:p w:rsidR="002B6746" w:rsidRPr="00511BE2" w:rsidRDefault="00F02D25" w:rsidP="00671DC3">
            <w:pPr>
              <w:rPr>
                <w:sz w:val="22"/>
                <w:szCs w:val="22"/>
              </w:rPr>
            </w:pPr>
            <w:bookmarkStart w:id="21" w:name="_Toc406754214"/>
            <w:r w:rsidRPr="00511BE2">
              <w:rPr>
                <w:sz w:val="22"/>
                <w:szCs w:val="22"/>
              </w:rPr>
              <w:t>Vinculación de la planificación estratégica, financiera y operacional en la UIT</w:t>
            </w:r>
            <w:bookmarkEnd w:id="21"/>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IAP/63A1/23</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504000" w:rsidP="00671DC3">
            <w:pPr>
              <w:rPr>
                <w:sz w:val="22"/>
                <w:szCs w:val="22"/>
              </w:rPr>
            </w:pPr>
            <w:r w:rsidRPr="00511BE2">
              <w:rPr>
                <w:sz w:val="22"/>
                <w:szCs w:val="22"/>
              </w:rPr>
              <w:t>Proyecto de nueva Decisión</w:t>
            </w:r>
            <w:r w:rsidR="002B6746" w:rsidRPr="00511BE2">
              <w:rPr>
                <w:sz w:val="22"/>
                <w:szCs w:val="22"/>
              </w:rPr>
              <w:t xml:space="preserve"> [IAP-2]</w:t>
            </w:r>
          </w:p>
        </w:tc>
        <w:tc>
          <w:tcPr>
            <w:tcW w:w="5244" w:type="dxa"/>
            <w:hideMark/>
          </w:tcPr>
          <w:p w:rsidR="002B6746" w:rsidRPr="00511BE2" w:rsidRDefault="00504000" w:rsidP="00671DC3">
            <w:pPr>
              <w:rPr>
                <w:sz w:val="22"/>
                <w:szCs w:val="22"/>
              </w:rPr>
            </w:pPr>
            <w:r w:rsidRPr="00511BE2">
              <w:rPr>
                <w:sz w:val="22"/>
                <w:szCs w:val="22"/>
              </w:rPr>
              <w:t>Elaboración de los procedimientos para las audiencias de los candidatos a puestos oficiales electos y las directrices de ética de la UIT sobre actividades de campaña antes de las Conferencias de Plenipotenciarios</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IAP/63A1/24</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504000" w:rsidP="00671DC3">
            <w:pPr>
              <w:rPr>
                <w:sz w:val="22"/>
                <w:szCs w:val="22"/>
              </w:rPr>
            </w:pPr>
            <w:r w:rsidRPr="00511BE2">
              <w:rPr>
                <w:sz w:val="22"/>
                <w:szCs w:val="22"/>
              </w:rPr>
              <w:t xml:space="preserve">RESOLUCIÓN </w:t>
            </w:r>
            <w:r w:rsidRPr="00511BE2">
              <w:rPr>
                <w:rStyle w:val="href"/>
                <w:bCs/>
                <w:sz w:val="22"/>
                <w:szCs w:val="22"/>
              </w:rPr>
              <w:t>77</w:t>
            </w:r>
          </w:p>
        </w:tc>
        <w:tc>
          <w:tcPr>
            <w:tcW w:w="5244" w:type="dxa"/>
            <w:hideMark/>
          </w:tcPr>
          <w:p w:rsidR="002B6746" w:rsidRPr="00511BE2" w:rsidRDefault="00504000" w:rsidP="00504000">
            <w:pPr>
              <w:rPr>
                <w:sz w:val="22"/>
                <w:szCs w:val="22"/>
              </w:rPr>
            </w:pPr>
            <w:bookmarkStart w:id="22" w:name="_Toc406754216"/>
            <w:r w:rsidRPr="00511BE2">
              <w:rPr>
                <w:sz w:val="22"/>
                <w:szCs w:val="22"/>
              </w:rPr>
              <w:t>Planificación y duración de las Conferencias, los Foros, las Asambleas y las reuniones del Consejo de la Unión (2019-2023)</w:t>
            </w:r>
            <w:bookmarkEnd w:id="22"/>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lastRenderedPageBreak/>
              <w:t>IAP/63A1/25</w:t>
            </w:r>
          </w:p>
        </w:tc>
        <w:tc>
          <w:tcPr>
            <w:tcW w:w="864" w:type="dxa"/>
            <w:noWrap/>
            <w:hideMark/>
          </w:tcPr>
          <w:p w:rsidR="002B6746" w:rsidRPr="00511BE2" w:rsidRDefault="002B6746" w:rsidP="00671DC3">
            <w:pPr>
              <w:rPr>
                <w:sz w:val="22"/>
                <w:szCs w:val="22"/>
              </w:rPr>
            </w:pPr>
            <w:r w:rsidRPr="00511BE2">
              <w:rPr>
                <w:sz w:val="22"/>
                <w:szCs w:val="22"/>
              </w:rPr>
              <w:t>SUP</w:t>
            </w:r>
          </w:p>
        </w:tc>
        <w:tc>
          <w:tcPr>
            <w:tcW w:w="2977" w:type="dxa"/>
            <w:noWrap/>
            <w:hideMark/>
          </w:tcPr>
          <w:p w:rsidR="002B6746" w:rsidRPr="00511BE2" w:rsidRDefault="00504000" w:rsidP="00671DC3">
            <w:pPr>
              <w:rPr>
                <w:sz w:val="22"/>
                <w:szCs w:val="22"/>
              </w:rPr>
            </w:pPr>
            <w:r w:rsidRPr="00511BE2">
              <w:rPr>
                <w:sz w:val="22"/>
                <w:szCs w:val="22"/>
              </w:rPr>
              <w:t xml:space="preserve">RESOLUCIÓN </w:t>
            </w:r>
            <w:r w:rsidRPr="00511BE2">
              <w:rPr>
                <w:rStyle w:val="href"/>
                <w:bCs/>
                <w:sz w:val="22"/>
                <w:szCs w:val="22"/>
              </w:rPr>
              <w:t>111</w:t>
            </w:r>
          </w:p>
        </w:tc>
        <w:tc>
          <w:tcPr>
            <w:tcW w:w="5244" w:type="dxa"/>
            <w:hideMark/>
          </w:tcPr>
          <w:p w:rsidR="002B6746" w:rsidRPr="00511BE2" w:rsidRDefault="00504000" w:rsidP="00671DC3">
            <w:pPr>
              <w:rPr>
                <w:sz w:val="22"/>
                <w:szCs w:val="22"/>
              </w:rPr>
            </w:pPr>
            <w:bookmarkStart w:id="23" w:name="_Toc406754226"/>
            <w:r w:rsidRPr="00511BE2">
              <w:rPr>
                <w:sz w:val="22"/>
                <w:szCs w:val="22"/>
              </w:rPr>
              <w:t>Toma en consideración de los periodos religiosos importantes en la planificación de las Conferencias, Asambleas y reuniones del Consejo de la UIT</w:t>
            </w:r>
            <w:bookmarkEnd w:id="23"/>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IAP/63A1/26</w:t>
            </w:r>
          </w:p>
        </w:tc>
        <w:tc>
          <w:tcPr>
            <w:tcW w:w="864" w:type="dxa"/>
            <w:noWrap/>
            <w:hideMark/>
          </w:tcPr>
          <w:p w:rsidR="002B6746" w:rsidRPr="00511BE2" w:rsidRDefault="002B6746" w:rsidP="00671DC3">
            <w:pPr>
              <w:rPr>
                <w:sz w:val="22"/>
                <w:szCs w:val="22"/>
                <w:u w:val="single"/>
              </w:rPr>
            </w:pPr>
            <w:r w:rsidRPr="00511BE2">
              <w:rPr>
                <w:sz w:val="22"/>
                <w:szCs w:val="22"/>
                <w:u w:val="single"/>
              </w:rPr>
              <w:t>NOC</w:t>
            </w:r>
          </w:p>
        </w:tc>
        <w:tc>
          <w:tcPr>
            <w:tcW w:w="2977" w:type="dxa"/>
            <w:noWrap/>
            <w:hideMark/>
          </w:tcPr>
          <w:p w:rsidR="002B6746" w:rsidRPr="00511BE2" w:rsidRDefault="00504000" w:rsidP="00671DC3">
            <w:pPr>
              <w:rPr>
                <w:sz w:val="22"/>
                <w:szCs w:val="22"/>
              </w:rPr>
            </w:pPr>
            <w:r w:rsidRPr="00511BE2">
              <w:rPr>
                <w:sz w:val="22"/>
                <w:szCs w:val="22"/>
              </w:rPr>
              <w:t xml:space="preserve">RESOLUCIÓN </w:t>
            </w:r>
            <w:r w:rsidRPr="00511BE2">
              <w:rPr>
                <w:rStyle w:val="href"/>
                <w:bCs/>
                <w:sz w:val="22"/>
                <w:szCs w:val="22"/>
              </w:rPr>
              <w:t>152</w:t>
            </w:r>
          </w:p>
        </w:tc>
        <w:tc>
          <w:tcPr>
            <w:tcW w:w="5244" w:type="dxa"/>
            <w:hideMark/>
          </w:tcPr>
          <w:p w:rsidR="002B6746" w:rsidRPr="00511BE2" w:rsidRDefault="00504000" w:rsidP="00671DC3">
            <w:pPr>
              <w:rPr>
                <w:sz w:val="22"/>
                <w:szCs w:val="22"/>
              </w:rPr>
            </w:pPr>
            <w:bookmarkStart w:id="24" w:name="_Toc406754256"/>
            <w:r w:rsidRPr="00511BE2">
              <w:rPr>
                <w:sz w:val="22"/>
                <w:szCs w:val="22"/>
              </w:rPr>
              <w:t>Mejora de la gestión y el seguimiento de la contribución de los Miembros de Sector y los Asociados a los gastos de la UIT</w:t>
            </w:r>
            <w:bookmarkEnd w:id="24"/>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IAP/63A1/27</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504000" w:rsidP="00671DC3">
            <w:pPr>
              <w:rPr>
                <w:sz w:val="22"/>
                <w:szCs w:val="22"/>
              </w:rPr>
            </w:pPr>
            <w:r w:rsidRPr="00511BE2">
              <w:rPr>
                <w:sz w:val="22"/>
                <w:szCs w:val="22"/>
              </w:rPr>
              <w:t>Proyecto de nueva Resolución</w:t>
            </w:r>
            <w:r w:rsidR="002B6746" w:rsidRPr="00511BE2">
              <w:rPr>
                <w:sz w:val="22"/>
                <w:szCs w:val="22"/>
              </w:rPr>
              <w:t xml:space="preserve"> [IAP-1]</w:t>
            </w:r>
          </w:p>
        </w:tc>
        <w:tc>
          <w:tcPr>
            <w:tcW w:w="5244" w:type="dxa"/>
            <w:hideMark/>
          </w:tcPr>
          <w:p w:rsidR="002B6746" w:rsidRPr="00511BE2" w:rsidRDefault="00504000" w:rsidP="00671DC3">
            <w:pPr>
              <w:rPr>
                <w:sz w:val="22"/>
                <w:szCs w:val="22"/>
              </w:rPr>
            </w:pPr>
            <w:r w:rsidRPr="00511BE2">
              <w:rPr>
                <w:sz w:val="22"/>
                <w:szCs w:val="22"/>
              </w:rPr>
              <w:t>ITU Journal: ICT Discoveries</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IAP/63A1/28</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504000" w:rsidP="00671DC3">
            <w:pPr>
              <w:rPr>
                <w:sz w:val="22"/>
                <w:szCs w:val="22"/>
              </w:rPr>
            </w:pPr>
            <w:r w:rsidRPr="00511BE2">
              <w:rPr>
                <w:sz w:val="22"/>
                <w:szCs w:val="22"/>
              </w:rPr>
              <w:t xml:space="preserve">RESOLUCIÓN </w:t>
            </w:r>
            <w:r w:rsidRPr="00511BE2">
              <w:rPr>
                <w:rStyle w:val="href"/>
                <w:bCs/>
                <w:sz w:val="22"/>
                <w:szCs w:val="22"/>
              </w:rPr>
              <w:t>175</w:t>
            </w:r>
          </w:p>
        </w:tc>
        <w:tc>
          <w:tcPr>
            <w:tcW w:w="5244" w:type="dxa"/>
            <w:hideMark/>
          </w:tcPr>
          <w:p w:rsidR="002B6746" w:rsidRPr="00511BE2" w:rsidRDefault="00504000" w:rsidP="00671DC3">
            <w:pPr>
              <w:rPr>
                <w:sz w:val="22"/>
                <w:szCs w:val="22"/>
              </w:rPr>
            </w:pPr>
            <w:bookmarkStart w:id="25" w:name="_Toc406754287"/>
            <w:r w:rsidRPr="00511BE2">
              <w:rPr>
                <w:sz w:val="22"/>
                <w:szCs w:val="22"/>
              </w:rPr>
              <w:t>Accesibilidad de las telecomunicaciones/tecnologías de la información y la comunicación para las personas con discapacidad y personas con necesidades especiales</w:t>
            </w:r>
            <w:bookmarkEnd w:id="25"/>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IAP/63A1/29</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504000" w:rsidP="00671DC3">
            <w:pPr>
              <w:rPr>
                <w:sz w:val="22"/>
                <w:szCs w:val="22"/>
              </w:rPr>
            </w:pPr>
            <w:r w:rsidRPr="00511BE2">
              <w:rPr>
                <w:sz w:val="22"/>
                <w:szCs w:val="22"/>
              </w:rPr>
              <w:t xml:space="preserve">RESOLUCIÓN </w:t>
            </w:r>
            <w:r w:rsidRPr="00511BE2">
              <w:rPr>
                <w:rStyle w:val="href"/>
                <w:bCs/>
                <w:sz w:val="22"/>
                <w:szCs w:val="22"/>
              </w:rPr>
              <w:t>151</w:t>
            </w:r>
          </w:p>
        </w:tc>
        <w:tc>
          <w:tcPr>
            <w:tcW w:w="5244" w:type="dxa"/>
            <w:hideMark/>
          </w:tcPr>
          <w:p w:rsidR="002B6746" w:rsidRPr="00511BE2" w:rsidRDefault="00504000" w:rsidP="00671DC3">
            <w:pPr>
              <w:rPr>
                <w:sz w:val="22"/>
                <w:szCs w:val="22"/>
              </w:rPr>
            </w:pPr>
            <w:r w:rsidRPr="00511BE2">
              <w:rPr>
                <w:sz w:val="22"/>
                <w:szCs w:val="22"/>
              </w:rPr>
              <w:t>Mejora de la gestión basada en los resultados en la UIT</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IAP/63A1/30</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504000" w:rsidP="00671DC3">
            <w:pPr>
              <w:rPr>
                <w:sz w:val="22"/>
                <w:szCs w:val="22"/>
              </w:rPr>
            </w:pPr>
            <w:r w:rsidRPr="00511BE2">
              <w:rPr>
                <w:sz w:val="22"/>
                <w:szCs w:val="22"/>
              </w:rPr>
              <w:t xml:space="preserve">DECISIÓN </w:t>
            </w:r>
            <w:r w:rsidRPr="00511BE2">
              <w:rPr>
                <w:rStyle w:val="href"/>
                <w:sz w:val="22"/>
                <w:szCs w:val="22"/>
              </w:rPr>
              <w:t>5</w:t>
            </w:r>
          </w:p>
        </w:tc>
        <w:tc>
          <w:tcPr>
            <w:tcW w:w="5244" w:type="dxa"/>
            <w:hideMark/>
          </w:tcPr>
          <w:p w:rsidR="002B6746" w:rsidRPr="00511BE2" w:rsidRDefault="00504000" w:rsidP="00671DC3">
            <w:pPr>
              <w:rPr>
                <w:sz w:val="22"/>
                <w:szCs w:val="22"/>
              </w:rPr>
            </w:pPr>
            <w:r w:rsidRPr="00511BE2">
              <w:rPr>
                <w:sz w:val="22"/>
                <w:szCs w:val="22"/>
              </w:rPr>
              <w:t>Ingresos y gastos de la Unión para el periodo 2020</w:t>
            </w:r>
            <w:r w:rsidRPr="00511BE2">
              <w:rPr>
                <w:sz w:val="22"/>
                <w:szCs w:val="22"/>
              </w:rPr>
              <w:noBreakHyphen/>
              <w:t>2023</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IAP/63A1/31</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189</w:t>
            </w:r>
          </w:p>
        </w:tc>
        <w:tc>
          <w:tcPr>
            <w:tcW w:w="5244" w:type="dxa"/>
            <w:hideMark/>
          </w:tcPr>
          <w:p w:rsidR="002B6746" w:rsidRPr="00511BE2" w:rsidRDefault="00173510" w:rsidP="00671DC3">
            <w:pPr>
              <w:rPr>
                <w:sz w:val="22"/>
                <w:szCs w:val="22"/>
              </w:rPr>
            </w:pPr>
            <w:bookmarkStart w:id="26" w:name="_Toc406754309"/>
            <w:r w:rsidRPr="00511BE2">
              <w:rPr>
                <w:sz w:val="22"/>
                <w:szCs w:val="22"/>
              </w:rPr>
              <w:t>Asistencia a los Estados Miembros para combatir y disuadir el robo de dispositivos móviles</w:t>
            </w:r>
            <w:bookmarkEnd w:id="26"/>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IAP/63A1/32</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177</w:t>
            </w:r>
          </w:p>
        </w:tc>
        <w:tc>
          <w:tcPr>
            <w:tcW w:w="5244" w:type="dxa"/>
            <w:hideMark/>
          </w:tcPr>
          <w:p w:rsidR="002B6746" w:rsidRPr="00511BE2" w:rsidRDefault="00173510" w:rsidP="00671DC3">
            <w:pPr>
              <w:rPr>
                <w:sz w:val="22"/>
                <w:szCs w:val="22"/>
              </w:rPr>
            </w:pPr>
            <w:bookmarkStart w:id="27" w:name="_Toc406754291"/>
            <w:r w:rsidRPr="00511BE2">
              <w:rPr>
                <w:sz w:val="22"/>
                <w:szCs w:val="22"/>
              </w:rPr>
              <w:t>Conformidad e interoperatividad</w:t>
            </w:r>
            <w:bookmarkEnd w:id="27"/>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IAP/63A1/33</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102</w:t>
            </w:r>
          </w:p>
        </w:tc>
        <w:tc>
          <w:tcPr>
            <w:tcW w:w="5244" w:type="dxa"/>
            <w:hideMark/>
          </w:tcPr>
          <w:p w:rsidR="002B6746" w:rsidRPr="00511BE2" w:rsidRDefault="00173510" w:rsidP="00671DC3">
            <w:pPr>
              <w:rPr>
                <w:sz w:val="22"/>
                <w:szCs w:val="22"/>
              </w:rPr>
            </w:pPr>
            <w:bookmarkStart w:id="28" w:name="_Toc406754224"/>
            <w:r w:rsidRPr="00511BE2">
              <w:rPr>
                <w:sz w:val="22"/>
                <w:szCs w:val="22"/>
              </w:rPr>
              <w:t>Función de la UIT con respecto a las cuestiones de política pública internacional relacionadas con Internet y la gestión de los recursos de Internet, incluidos los nombres de dominio y las direcciones</w:t>
            </w:r>
            <w:bookmarkEnd w:id="28"/>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IAP/63A1/34</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180</w:t>
            </w:r>
          </w:p>
        </w:tc>
        <w:tc>
          <w:tcPr>
            <w:tcW w:w="5244" w:type="dxa"/>
            <w:hideMark/>
          </w:tcPr>
          <w:p w:rsidR="002B6746" w:rsidRPr="00511BE2" w:rsidRDefault="00173510" w:rsidP="00671DC3">
            <w:pPr>
              <w:rPr>
                <w:sz w:val="22"/>
                <w:szCs w:val="22"/>
              </w:rPr>
            </w:pPr>
            <w:bookmarkStart w:id="29" w:name="_Toc406754295"/>
            <w:r w:rsidRPr="00511BE2">
              <w:rPr>
                <w:sz w:val="22"/>
                <w:szCs w:val="22"/>
              </w:rPr>
              <w:t>Facilitar el despliegue y la adopción de IPv6</w:t>
            </w:r>
            <w:bookmarkEnd w:id="29"/>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IAP/63A1/35</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130</w:t>
            </w:r>
          </w:p>
        </w:tc>
        <w:tc>
          <w:tcPr>
            <w:tcW w:w="5244" w:type="dxa"/>
            <w:hideMark/>
          </w:tcPr>
          <w:p w:rsidR="002B6746" w:rsidRPr="00511BE2" w:rsidRDefault="00173510" w:rsidP="00671DC3">
            <w:pPr>
              <w:rPr>
                <w:sz w:val="22"/>
                <w:szCs w:val="22"/>
              </w:rPr>
            </w:pPr>
            <w:bookmarkStart w:id="30" w:name="_Toc406754232"/>
            <w:r w:rsidRPr="00511BE2">
              <w:rPr>
                <w:sz w:val="22"/>
                <w:szCs w:val="22"/>
              </w:rPr>
              <w:t>Fortalecimiento del papel de la UIT en la creación de confianza y seguridad en la utilización de las tecnologías de la información y la comunicación</w:t>
            </w:r>
            <w:bookmarkEnd w:id="30"/>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IAP/63A1/36</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RESOLUCIÓN 131</w:t>
            </w:r>
          </w:p>
        </w:tc>
        <w:tc>
          <w:tcPr>
            <w:tcW w:w="5244" w:type="dxa"/>
            <w:hideMark/>
          </w:tcPr>
          <w:p w:rsidR="002B6746" w:rsidRPr="00511BE2" w:rsidRDefault="00173510" w:rsidP="00173510">
            <w:pPr>
              <w:rPr>
                <w:sz w:val="22"/>
                <w:szCs w:val="22"/>
              </w:rPr>
            </w:pPr>
            <w:bookmarkStart w:id="31" w:name="_Toc406754234"/>
            <w:r w:rsidRPr="00511BE2">
              <w:rPr>
                <w:sz w:val="22"/>
                <w:szCs w:val="22"/>
              </w:rPr>
              <w:t>Medición de las tecnologías de la información y la comunicación para la construcción de una sociedad de la información integradora e inclusiva</w:t>
            </w:r>
            <w:bookmarkEnd w:id="31"/>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IAP/63A1/37</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70</w:t>
            </w:r>
          </w:p>
        </w:tc>
        <w:tc>
          <w:tcPr>
            <w:tcW w:w="5244" w:type="dxa"/>
            <w:hideMark/>
          </w:tcPr>
          <w:p w:rsidR="002B6746" w:rsidRPr="00511BE2" w:rsidRDefault="00173510" w:rsidP="00671DC3">
            <w:pPr>
              <w:rPr>
                <w:sz w:val="22"/>
                <w:szCs w:val="22"/>
              </w:rPr>
            </w:pPr>
            <w:bookmarkStart w:id="32" w:name="_Toc406754149"/>
            <w:r w:rsidRPr="00511BE2">
              <w:rPr>
                <w:sz w:val="22"/>
                <w:szCs w:val="22"/>
              </w:rPr>
              <w:t>Incorporación de una perspectiva de género en la UIT y promoción de la igualdad de género y el empoderamiento de la mujer por medio de las tecnologías de la información y la comunicación</w:t>
            </w:r>
            <w:bookmarkEnd w:id="32"/>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IAP/63A1/38</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101</w:t>
            </w:r>
          </w:p>
        </w:tc>
        <w:tc>
          <w:tcPr>
            <w:tcW w:w="5244" w:type="dxa"/>
            <w:hideMark/>
          </w:tcPr>
          <w:p w:rsidR="002B6746" w:rsidRPr="00511BE2" w:rsidRDefault="00173510" w:rsidP="00671DC3">
            <w:pPr>
              <w:rPr>
                <w:sz w:val="22"/>
                <w:szCs w:val="22"/>
              </w:rPr>
            </w:pPr>
            <w:bookmarkStart w:id="33" w:name="_Toc406754222"/>
            <w:r w:rsidRPr="00511BE2">
              <w:rPr>
                <w:sz w:val="22"/>
                <w:szCs w:val="22"/>
              </w:rPr>
              <w:t>Redes basadas en el protocolo Internet</w:t>
            </w:r>
            <w:bookmarkEnd w:id="33"/>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IAP/63A1/39</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179</w:t>
            </w:r>
          </w:p>
        </w:tc>
        <w:tc>
          <w:tcPr>
            <w:tcW w:w="5244" w:type="dxa"/>
            <w:hideMark/>
          </w:tcPr>
          <w:p w:rsidR="002B6746" w:rsidRPr="00511BE2" w:rsidRDefault="00173510" w:rsidP="00671DC3">
            <w:pPr>
              <w:rPr>
                <w:sz w:val="22"/>
                <w:szCs w:val="22"/>
              </w:rPr>
            </w:pPr>
            <w:bookmarkStart w:id="34" w:name="_Toc406754293"/>
            <w:r w:rsidRPr="00511BE2">
              <w:rPr>
                <w:sz w:val="22"/>
                <w:szCs w:val="22"/>
              </w:rPr>
              <w:t>Función de la UIT en la protección de la infancia en línea</w:t>
            </w:r>
            <w:bookmarkEnd w:id="34"/>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IAP/63A1/40</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173510" w:rsidP="00671DC3">
            <w:pPr>
              <w:rPr>
                <w:sz w:val="22"/>
                <w:szCs w:val="22"/>
              </w:rPr>
            </w:pPr>
            <w:r w:rsidRPr="00511BE2">
              <w:rPr>
                <w:sz w:val="22"/>
                <w:szCs w:val="22"/>
              </w:rPr>
              <w:t xml:space="preserve">Proyecto de nueva Resolución </w:t>
            </w:r>
            <w:r w:rsidR="002B6746" w:rsidRPr="00511BE2">
              <w:rPr>
                <w:sz w:val="22"/>
                <w:szCs w:val="22"/>
              </w:rPr>
              <w:t>[IAP-2]</w:t>
            </w:r>
          </w:p>
        </w:tc>
        <w:tc>
          <w:tcPr>
            <w:tcW w:w="5244" w:type="dxa"/>
            <w:hideMark/>
          </w:tcPr>
          <w:p w:rsidR="002B6746" w:rsidRPr="00511BE2" w:rsidRDefault="00173510" w:rsidP="00671DC3">
            <w:pPr>
              <w:rPr>
                <w:sz w:val="22"/>
                <w:szCs w:val="22"/>
              </w:rPr>
            </w:pPr>
            <w:r w:rsidRPr="00511BE2">
              <w:rPr>
                <w:sz w:val="22"/>
                <w:szCs w:val="22"/>
              </w:rPr>
              <w:t>Medidas para mejorar, promover y fortalecer las becas de la UIT</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IAP/63A1/41</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173510" w:rsidP="00671DC3">
            <w:pPr>
              <w:rPr>
                <w:sz w:val="22"/>
                <w:szCs w:val="22"/>
              </w:rPr>
            </w:pPr>
            <w:r w:rsidRPr="00511BE2">
              <w:rPr>
                <w:sz w:val="22"/>
                <w:szCs w:val="22"/>
              </w:rPr>
              <w:t xml:space="preserve">RESOLUCIÓN </w:t>
            </w:r>
            <w:r w:rsidRPr="00511BE2">
              <w:rPr>
                <w:rStyle w:val="href"/>
                <w:bCs/>
                <w:sz w:val="22"/>
                <w:szCs w:val="22"/>
              </w:rPr>
              <w:t>166</w:t>
            </w:r>
          </w:p>
        </w:tc>
        <w:tc>
          <w:tcPr>
            <w:tcW w:w="5244" w:type="dxa"/>
            <w:hideMark/>
          </w:tcPr>
          <w:p w:rsidR="002B6746" w:rsidRPr="00511BE2" w:rsidRDefault="00173510" w:rsidP="00671DC3">
            <w:pPr>
              <w:rPr>
                <w:sz w:val="22"/>
                <w:szCs w:val="22"/>
              </w:rPr>
            </w:pPr>
            <w:bookmarkStart w:id="35" w:name="_Toc406754277"/>
            <w:r w:rsidRPr="00511BE2">
              <w:rPr>
                <w:sz w:val="22"/>
                <w:szCs w:val="22"/>
              </w:rPr>
              <w:t>Número de vicepresidentes de los Grupos Asesores de los Sectores, las Comisiones de Estudio y otros grupos</w:t>
            </w:r>
            <w:bookmarkEnd w:id="35"/>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IAP/63A1/42</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173510" w:rsidP="00671DC3">
            <w:pPr>
              <w:rPr>
                <w:sz w:val="22"/>
                <w:szCs w:val="22"/>
              </w:rPr>
            </w:pPr>
            <w:r w:rsidRPr="00511BE2">
              <w:rPr>
                <w:sz w:val="22"/>
                <w:szCs w:val="22"/>
              </w:rPr>
              <w:t xml:space="preserve">Proyecto de nueva Resolución </w:t>
            </w:r>
            <w:r w:rsidR="002B6746" w:rsidRPr="00511BE2">
              <w:rPr>
                <w:sz w:val="22"/>
                <w:szCs w:val="22"/>
              </w:rPr>
              <w:t>[IAP-3]</w:t>
            </w:r>
          </w:p>
        </w:tc>
        <w:tc>
          <w:tcPr>
            <w:tcW w:w="5244" w:type="dxa"/>
            <w:hideMark/>
          </w:tcPr>
          <w:p w:rsidR="002B6746" w:rsidRPr="00511BE2" w:rsidRDefault="00173510" w:rsidP="00671DC3">
            <w:pPr>
              <w:rPr>
                <w:sz w:val="22"/>
                <w:szCs w:val="22"/>
              </w:rPr>
            </w:pPr>
            <w:r w:rsidRPr="00511BE2">
              <w:rPr>
                <w:sz w:val="22"/>
                <w:szCs w:val="22"/>
              </w:rPr>
              <w:t>Racionalización de las Resoluciones de la UIT</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lastRenderedPageBreak/>
              <w:t>IAP/63A1/43</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173510" w:rsidP="00671DC3">
            <w:pPr>
              <w:rPr>
                <w:sz w:val="22"/>
                <w:szCs w:val="22"/>
              </w:rPr>
            </w:pPr>
            <w:r w:rsidRPr="00511BE2">
              <w:rPr>
                <w:sz w:val="22"/>
                <w:szCs w:val="22"/>
              </w:rPr>
              <w:t>Proyecto de nueva Decisión</w:t>
            </w:r>
            <w:r w:rsidR="002B6746" w:rsidRPr="00511BE2">
              <w:rPr>
                <w:sz w:val="22"/>
                <w:szCs w:val="22"/>
              </w:rPr>
              <w:t xml:space="preserve"> [IAP-4]</w:t>
            </w:r>
          </w:p>
        </w:tc>
        <w:tc>
          <w:tcPr>
            <w:tcW w:w="5244" w:type="dxa"/>
            <w:hideMark/>
          </w:tcPr>
          <w:p w:rsidR="002B6746" w:rsidRPr="00511BE2" w:rsidRDefault="00715B7F" w:rsidP="00671DC3">
            <w:pPr>
              <w:rPr>
                <w:sz w:val="22"/>
                <w:szCs w:val="22"/>
              </w:rPr>
            </w:pPr>
            <w:r w:rsidRPr="00511BE2">
              <w:rPr>
                <w:sz w:val="22"/>
                <w:szCs w:val="22"/>
              </w:rPr>
              <w:t>Sexto Foro Mundial de Políticas de Telecomunicaciones/Tecnologías de la Información y la Comunicación</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IAP/63A1/44</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715B7F" w:rsidP="00671DC3">
            <w:pPr>
              <w:rPr>
                <w:sz w:val="22"/>
                <w:szCs w:val="22"/>
              </w:rPr>
            </w:pPr>
            <w:r w:rsidRPr="00511BE2">
              <w:rPr>
                <w:sz w:val="22"/>
                <w:szCs w:val="22"/>
              </w:rPr>
              <w:t xml:space="preserve">RESOLUCIÓN </w:t>
            </w:r>
            <w:r w:rsidRPr="00511BE2">
              <w:rPr>
                <w:rStyle w:val="href"/>
                <w:bCs/>
                <w:sz w:val="22"/>
                <w:szCs w:val="22"/>
              </w:rPr>
              <w:t>201</w:t>
            </w:r>
          </w:p>
        </w:tc>
        <w:tc>
          <w:tcPr>
            <w:tcW w:w="5244" w:type="dxa"/>
            <w:hideMark/>
          </w:tcPr>
          <w:p w:rsidR="002B6746" w:rsidRPr="00511BE2" w:rsidRDefault="00715B7F" w:rsidP="00671DC3">
            <w:pPr>
              <w:rPr>
                <w:sz w:val="22"/>
                <w:szCs w:val="22"/>
              </w:rPr>
            </w:pPr>
            <w:bookmarkStart w:id="36" w:name="_Toc406754333"/>
            <w:r w:rsidRPr="00511BE2">
              <w:rPr>
                <w:sz w:val="22"/>
                <w:szCs w:val="22"/>
              </w:rPr>
              <w:t>Creación de un entorno propicio para la implantación y utilización de aplicaciones de las tecnologías de la información y la comunicación</w:t>
            </w:r>
            <w:bookmarkEnd w:id="36"/>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IAP/63A1/45</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715B7F" w:rsidP="00671DC3">
            <w:pPr>
              <w:rPr>
                <w:sz w:val="22"/>
                <w:szCs w:val="22"/>
              </w:rPr>
            </w:pPr>
            <w:r w:rsidRPr="00511BE2">
              <w:rPr>
                <w:sz w:val="22"/>
                <w:szCs w:val="22"/>
              </w:rPr>
              <w:t>Proyecto de nueva Resolución</w:t>
            </w:r>
            <w:r w:rsidR="002B6746" w:rsidRPr="00511BE2">
              <w:rPr>
                <w:sz w:val="22"/>
                <w:szCs w:val="22"/>
              </w:rPr>
              <w:t xml:space="preserve"> [IAP-4]</w:t>
            </w:r>
          </w:p>
        </w:tc>
        <w:tc>
          <w:tcPr>
            <w:tcW w:w="5244" w:type="dxa"/>
            <w:hideMark/>
          </w:tcPr>
          <w:p w:rsidR="002B6746" w:rsidRPr="00511BE2" w:rsidRDefault="00715B7F" w:rsidP="00671DC3">
            <w:pPr>
              <w:rPr>
                <w:sz w:val="22"/>
                <w:szCs w:val="22"/>
              </w:rPr>
            </w:pPr>
            <w:r w:rsidRPr="00511BE2">
              <w:rPr>
                <w:sz w:val="22"/>
                <w:szCs w:val="22"/>
                <w:lang w:eastAsia="es-ES"/>
              </w:rPr>
              <w:t>Participación de nuevos actores en la reducción de la brecha digital</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IAP/63A1/46</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715B7F" w:rsidP="00671DC3">
            <w:pPr>
              <w:rPr>
                <w:sz w:val="22"/>
                <w:szCs w:val="22"/>
              </w:rPr>
            </w:pPr>
            <w:r w:rsidRPr="00511BE2">
              <w:rPr>
                <w:sz w:val="22"/>
                <w:szCs w:val="22"/>
              </w:rPr>
              <w:t xml:space="preserve">RESOLUCIÓN </w:t>
            </w:r>
            <w:r w:rsidRPr="00511BE2">
              <w:rPr>
                <w:rStyle w:val="href"/>
                <w:sz w:val="22"/>
                <w:szCs w:val="22"/>
              </w:rPr>
              <w:t>197</w:t>
            </w:r>
          </w:p>
        </w:tc>
        <w:tc>
          <w:tcPr>
            <w:tcW w:w="5244" w:type="dxa"/>
            <w:hideMark/>
          </w:tcPr>
          <w:p w:rsidR="002B6746" w:rsidRPr="00511BE2" w:rsidRDefault="00715B7F" w:rsidP="00671DC3">
            <w:pPr>
              <w:rPr>
                <w:sz w:val="22"/>
                <w:szCs w:val="22"/>
              </w:rPr>
            </w:pPr>
            <w:bookmarkStart w:id="37" w:name="_Toc406754325"/>
            <w:r w:rsidRPr="00511BE2">
              <w:rPr>
                <w:sz w:val="22"/>
                <w:szCs w:val="22"/>
              </w:rPr>
              <w:t>Facilitación de la Internet de las cosas como preparación para un mundo globalmente conectado</w:t>
            </w:r>
            <w:bookmarkEnd w:id="37"/>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IAP/63A1/47</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715B7F" w:rsidP="00671DC3">
            <w:pPr>
              <w:rPr>
                <w:sz w:val="22"/>
                <w:szCs w:val="22"/>
              </w:rPr>
            </w:pPr>
            <w:r w:rsidRPr="00511BE2">
              <w:rPr>
                <w:sz w:val="22"/>
                <w:szCs w:val="22"/>
              </w:rPr>
              <w:t xml:space="preserve">Proyecto de nueva Decisión </w:t>
            </w:r>
            <w:r w:rsidR="002B6746" w:rsidRPr="00511BE2">
              <w:rPr>
                <w:sz w:val="22"/>
                <w:szCs w:val="22"/>
              </w:rPr>
              <w:t>[IAP-5]</w:t>
            </w:r>
          </w:p>
        </w:tc>
        <w:tc>
          <w:tcPr>
            <w:tcW w:w="5244" w:type="dxa"/>
            <w:hideMark/>
          </w:tcPr>
          <w:p w:rsidR="002B6746" w:rsidRPr="00511BE2" w:rsidRDefault="00715B7F" w:rsidP="00671DC3">
            <w:pPr>
              <w:rPr>
                <w:sz w:val="22"/>
                <w:szCs w:val="22"/>
              </w:rPr>
            </w:pPr>
            <w:r w:rsidRPr="00511BE2">
              <w:rPr>
                <w:sz w:val="22"/>
                <w:szCs w:val="22"/>
              </w:rPr>
              <w:t>Creación de Grupos Regionales en las Comisiones de Estudio del UIT-T</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IAP/63A1/48</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715B7F" w:rsidP="00671DC3">
            <w:pPr>
              <w:rPr>
                <w:sz w:val="22"/>
                <w:szCs w:val="22"/>
              </w:rPr>
            </w:pPr>
            <w:r w:rsidRPr="00511BE2">
              <w:rPr>
                <w:sz w:val="22"/>
                <w:szCs w:val="22"/>
                <w:lang w:bidi="th-TH"/>
              </w:rPr>
              <w:t xml:space="preserve">RESOLUCIÓN </w:t>
            </w:r>
            <w:r w:rsidRPr="00511BE2">
              <w:rPr>
                <w:rStyle w:val="href"/>
                <w:bCs/>
                <w:sz w:val="22"/>
                <w:szCs w:val="22"/>
              </w:rPr>
              <w:t>133</w:t>
            </w:r>
          </w:p>
        </w:tc>
        <w:tc>
          <w:tcPr>
            <w:tcW w:w="5244" w:type="dxa"/>
            <w:hideMark/>
          </w:tcPr>
          <w:p w:rsidR="002B6746" w:rsidRPr="00511BE2" w:rsidRDefault="00715B7F" w:rsidP="00671DC3">
            <w:pPr>
              <w:rPr>
                <w:sz w:val="22"/>
                <w:szCs w:val="22"/>
              </w:rPr>
            </w:pPr>
            <w:bookmarkStart w:id="38" w:name="_Toc37487701"/>
            <w:bookmarkStart w:id="39" w:name="_Toc406754236"/>
            <w:r w:rsidRPr="00511BE2">
              <w:rPr>
                <w:sz w:val="22"/>
                <w:szCs w:val="22"/>
                <w:lang w:bidi="th-TH"/>
              </w:rPr>
              <w:t>Función de las Administraciones de los Estados Miembros en la gestión de los nombres de dominio internacionalizados (plurilingües)</w:t>
            </w:r>
            <w:bookmarkEnd w:id="38"/>
            <w:bookmarkEnd w:id="39"/>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IAP/63A1/49</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715B7F" w:rsidP="00671DC3">
            <w:pPr>
              <w:rPr>
                <w:sz w:val="22"/>
                <w:szCs w:val="22"/>
              </w:rPr>
            </w:pPr>
            <w:r w:rsidRPr="00511BE2">
              <w:rPr>
                <w:sz w:val="22"/>
                <w:szCs w:val="22"/>
              </w:rPr>
              <w:t>ANEXO 1 a la Resolución 71</w:t>
            </w:r>
          </w:p>
        </w:tc>
        <w:tc>
          <w:tcPr>
            <w:tcW w:w="5244" w:type="dxa"/>
            <w:hideMark/>
          </w:tcPr>
          <w:p w:rsidR="002B6746" w:rsidRPr="00511BE2" w:rsidRDefault="00715B7F" w:rsidP="00671DC3">
            <w:pPr>
              <w:rPr>
                <w:sz w:val="22"/>
                <w:szCs w:val="22"/>
              </w:rPr>
            </w:pPr>
            <w:r w:rsidRPr="00511BE2">
              <w:rPr>
                <w:sz w:val="22"/>
                <w:szCs w:val="22"/>
              </w:rPr>
              <w:t>Plan Estratégico de la UIT para 2020-2023</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IAP/63A1/50</w:t>
            </w:r>
          </w:p>
        </w:tc>
        <w:tc>
          <w:tcPr>
            <w:tcW w:w="864" w:type="dxa"/>
            <w:noWrap/>
            <w:hideMark/>
          </w:tcPr>
          <w:p w:rsidR="002B6746" w:rsidRPr="00511BE2" w:rsidRDefault="002B6746" w:rsidP="00671DC3">
            <w:pPr>
              <w:rPr>
                <w:sz w:val="22"/>
                <w:szCs w:val="22"/>
              </w:rPr>
            </w:pPr>
            <w:r w:rsidRPr="00511BE2">
              <w:rPr>
                <w:sz w:val="22"/>
                <w:szCs w:val="22"/>
              </w:rPr>
              <w:t>ADD</w:t>
            </w:r>
          </w:p>
        </w:tc>
        <w:tc>
          <w:tcPr>
            <w:tcW w:w="2977" w:type="dxa"/>
            <w:noWrap/>
            <w:hideMark/>
          </w:tcPr>
          <w:p w:rsidR="002B6746" w:rsidRPr="00511BE2" w:rsidRDefault="00715B7F" w:rsidP="00671DC3">
            <w:pPr>
              <w:rPr>
                <w:sz w:val="22"/>
                <w:szCs w:val="22"/>
              </w:rPr>
            </w:pPr>
            <w:r w:rsidRPr="00511BE2">
              <w:rPr>
                <w:sz w:val="22"/>
                <w:szCs w:val="22"/>
              </w:rPr>
              <w:t>Proyecto de nueva Resolución</w:t>
            </w:r>
            <w:r w:rsidR="002B6746" w:rsidRPr="00511BE2">
              <w:rPr>
                <w:sz w:val="22"/>
                <w:szCs w:val="22"/>
              </w:rPr>
              <w:t xml:space="preserve"> [IAP-5]</w:t>
            </w:r>
          </w:p>
        </w:tc>
        <w:tc>
          <w:tcPr>
            <w:tcW w:w="5244" w:type="dxa"/>
            <w:hideMark/>
          </w:tcPr>
          <w:p w:rsidR="002B6746" w:rsidRPr="00511BE2" w:rsidRDefault="00715B7F" w:rsidP="00671DC3">
            <w:pPr>
              <w:rPr>
                <w:sz w:val="22"/>
                <w:szCs w:val="22"/>
              </w:rPr>
            </w:pPr>
            <w:r w:rsidRPr="00511BE2">
              <w:rPr>
                <w:sz w:val="22"/>
                <w:szCs w:val="22"/>
              </w:rPr>
              <w:t>Admisión de Pequeñas y Medianas Empresas (PyMES) en los trabajos de la Unión</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IAP/63A1/51</w:t>
            </w:r>
          </w:p>
        </w:tc>
        <w:tc>
          <w:tcPr>
            <w:tcW w:w="864" w:type="dxa"/>
            <w:noWrap/>
            <w:hideMark/>
          </w:tcPr>
          <w:p w:rsidR="002B6746" w:rsidRPr="00511BE2" w:rsidRDefault="002B6746" w:rsidP="00671DC3">
            <w:pPr>
              <w:rPr>
                <w:sz w:val="22"/>
                <w:szCs w:val="22"/>
              </w:rPr>
            </w:pPr>
            <w:r w:rsidRPr="00511BE2">
              <w:rPr>
                <w:sz w:val="22"/>
                <w:szCs w:val="22"/>
              </w:rPr>
              <w:t>SUP</w:t>
            </w:r>
          </w:p>
        </w:tc>
        <w:tc>
          <w:tcPr>
            <w:tcW w:w="2977" w:type="dxa"/>
            <w:noWrap/>
            <w:hideMark/>
          </w:tcPr>
          <w:p w:rsidR="002B6746" w:rsidRPr="00511BE2" w:rsidRDefault="00715B7F" w:rsidP="00671DC3">
            <w:pPr>
              <w:rPr>
                <w:sz w:val="22"/>
                <w:szCs w:val="22"/>
              </w:rPr>
            </w:pPr>
            <w:r w:rsidRPr="00511BE2">
              <w:rPr>
                <w:sz w:val="22"/>
                <w:szCs w:val="22"/>
              </w:rPr>
              <w:t xml:space="preserve">RESOLUCIÓN </w:t>
            </w:r>
            <w:r w:rsidRPr="00511BE2">
              <w:rPr>
                <w:rStyle w:val="href"/>
                <w:bCs/>
                <w:sz w:val="22"/>
                <w:szCs w:val="22"/>
              </w:rPr>
              <w:t>187</w:t>
            </w:r>
          </w:p>
        </w:tc>
        <w:tc>
          <w:tcPr>
            <w:tcW w:w="5244" w:type="dxa"/>
            <w:hideMark/>
          </w:tcPr>
          <w:p w:rsidR="002B6746" w:rsidRPr="00511BE2" w:rsidRDefault="00715B7F" w:rsidP="00671DC3">
            <w:pPr>
              <w:rPr>
                <w:sz w:val="22"/>
                <w:szCs w:val="22"/>
              </w:rPr>
            </w:pPr>
            <w:bookmarkStart w:id="40" w:name="_Toc406754305"/>
            <w:r w:rsidRPr="00511BE2">
              <w:rPr>
                <w:sz w:val="22"/>
                <w:szCs w:val="22"/>
              </w:rPr>
              <w:t>Estudio de los mecanismos actuales de participación de Miembros de Sector, Asociados e Instituciones Académicas en las actividades de la UIT, y elaboración de una perspectiva de futuro</w:t>
            </w:r>
            <w:bookmarkEnd w:id="40"/>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IAP/63A1/52</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715B7F" w:rsidP="00671DC3">
            <w:pPr>
              <w:rPr>
                <w:sz w:val="22"/>
                <w:szCs w:val="22"/>
              </w:rPr>
            </w:pPr>
            <w:r w:rsidRPr="00511BE2">
              <w:rPr>
                <w:sz w:val="22"/>
                <w:szCs w:val="22"/>
              </w:rPr>
              <w:t>ANEXO 2 a la Resolución 71</w:t>
            </w:r>
          </w:p>
        </w:tc>
        <w:tc>
          <w:tcPr>
            <w:tcW w:w="5244" w:type="dxa"/>
            <w:hideMark/>
          </w:tcPr>
          <w:p w:rsidR="002B6746" w:rsidRPr="00511BE2" w:rsidRDefault="00715B7F" w:rsidP="00671DC3">
            <w:pPr>
              <w:rPr>
                <w:sz w:val="22"/>
                <w:szCs w:val="22"/>
              </w:rPr>
            </w:pPr>
            <w:r w:rsidRPr="00511BE2">
              <w:rPr>
                <w:sz w:val="22"/>
                <w:szCs w:val="22"/>
              </w:rPr>
              <w:t>Plan Estratégico de la Unión</w:t>
            </w:r>
            <w:r w:rsidR="002B6746" w:rsidRPr="00511BE2">
              <w:rPr>
                <w:sz w:val="22"/>
                <w:szCs w:val="22"/>
              </w:rPr>
              <w:t xml:space="preserve"> - </w:t>
            </w:r>
            <w:r w:rsidRPr="00511BE2">
              <w:rPr>
                <w:sz w:val="22"/>
                <w:szCs w:val="22"/>
              </w:rPr>
              <w:t>Análisis de situación</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IAP/63A1/53</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715B7F" w:rsidP="00671DC3">
            <w:pPr>
              <w:rPr>
                <w:sz w:val="22"/>
                <w:szCs w:val="22"/>
              </w:rPr>
            </w:pPr>
            <w:r w:rsidRPr="00511BE2">
              <w:rPr>
                <w:sz w:val="22"/>
                <w:szCs w:val="22"/>
              </w:rPr>
              <w:t xml:space="preserve">RESOLUCIÓN </w:t>
            </w:r>
            <w:r w:rsidRPr="00511BE2">
              <w:rPr>
                <w:rStyle w:val="href"/>
                <w:sz w:val="22"/>
                <w:szCs w:val="22"/>
              </w:rPr>
              <w:t>25</w:t>
            </w:r>
          </w:p>
        </w:tc>
        <w:tc>
          <w:tcPr>
            <w:tcW w:w="5244" w:type="dxa"/>
            <w:hideMark/>
          </w:tcPr>
          <w:p w:rsidR="002B6746" w:rsidRPr="00511BE2" w:rsidRDefault="00715B7F" w:rsidP="00671DC3">
            <w:pPr>
              <w:rPr>
                <w:sz w:val="22"/>
                <w:szCs w:val="22"/>
              </w:rPr>
            </w:pPr>
            <w:r w:rsidRPr="00511BE2">
              <w:rPr>
                <w:sz w:val="22"/>
                <w:szCs w:val="22"/>
              </w:rPr>
              <w:t>Fortalecimiento de la Presencia Regional</w:t>
            </w:r>
          </w:p>
        </w:tc>
      </w:tr>
      <w:tr w:rsidR="002B6746" w:rsidRPr="00511BE2" w:rsidTr="00671DC3">
        <w:trPr>
          <w:cantSplit/>
        </w:trPr>
        <w:tc>
          <w:tcPr>
            <w:tcW w:w="1405" w:type="dxa"/>
            <w:noWrap/>
            <w:hideMark/>
          </w:tcPr>
          <w:p w:rsidR="002B6746" w:rsidRPr="00511BE2" w:rsidRDefault="002B6746" w:rsidP="00671DC3">
            <w:pPr>
              <w:rPr>
                <w:b/>
                <w:bCs/>
                <w:sz w:val="22"/>
                <w:szCs w:val="22"/>
              </w:rPr>
            </w:pPr>
            <w:r w:rsidRPr="00511BE2">
              <w:rPr>
                <w:b/>
                <w:bCs/>
                <w:sz w:val="22"/>
                <w:szCs w:val="22"/>
              </w:rPr>
              <w:t>IAP/63A1/54</w:t>
            </w:r>
          </w:p>
        </w:tc>
        <w:tc>
          <w:tcPr>
            <w:tcW w:w="864" w:type="dxa"/>
            <w:noWrap/>
            <w:hideMark/>
          </w:tcPr>
          <w:p w:rsidR="002B6746" w:rsidRPr="00511BE2" w:rsidRDefault="002B6746" w:rsidP="00671DC3">
            <w:pPr>
              <w:rPr>
                <w:sz w:val="22"/>
                <w:szCs w:val="22"/>
              </w:rPr>
            </w:pPr>
            <w:r w:rsidRPr="00511BE2">
              <w:rPr>
                <w:sz w:val="22"/>
                <w:szCs w:val="22"/>
              </w:rPr>
              <w:t>MOD</w:t>
            </w:r>
          </w:p>
        </w:tc>
        <w:tc>
          <w:tcPr>
            <w:tcW w:w="2977" w:type="dxa"/>
            <w:noWrap/>
            <w:hideMark/>
          </w:tcPr>
          <w:p w:rsidR="002B6746" w:rsidRPr="00511BE2" w:rsidRDefault="00780B50" w:rsidP="00671DC3">
            <w:pPr>
              <w:rPr>
                <w:sz w:val="22"/>
                <w:szCs w:val="22"/>
              </w:rPr>
            </w:pPr>
            <w:r w:rsidRPr="00511BE2">
              <w:rPr>
                <w:sz w:val="22"/>
                <w:szCs w:val="22"/>
              </w:rPr>
              <w:t xml:space="preserve">RESOLUCIÓN </w:t>
            </w:r>
            <w:r w:rsidRPr="00511BE2">
              <w:rPr>
                <w:rStyle w:val="href"/>
                <w:bCs/>
                <w:sz w:val="22"/>
                <w:szCs w:val="22"/>
              </w:rPr>
              <w:t>139</w:t>
            </w:r>
          </w:p>
        </w:tc>
        <w:tc>
          <w:tcPr>
            <w:tcW w:w="5244" w:type="dxa"/>
            <w:hideMark/>
          </w:tcPr>
          <w:p w:rsidR="002B6746" w:rsidRPr="00511BE2" w:rsidRDefault="00780B50" w:rsidP="00671DC3">
            <w:pPr>
              <w:rPr>
                <w:sz w:val="22"/>
                <w:szCs w:val="22"/>
              </w:rPr>
            </w:pPr>
            <w:bookmarkStart w:id="41" w:name="_Toc406754244"/>
            <w:r w:rsidRPr="00511BE2">
              <w:rPr>
                <w:sz w:val="22"/>
                <w:szCs w:val="22"/>
              </w:rPr>
              <w:t>Utilización de las telecomunicaciones/tecnologías de la información y la comunicación para reducir la brecha digital y crear una sociedad de la información integradora</w:t>
            </w:r>
            <w:bookmarkEnd w:id="41"/>
          </w:p>
        </w:tc>
      </w:tr>
    </w:tbl>
    <w:p w:rsidR="00444CFA" w:rsidRPr="00511BE2" w:rsidRDefault="00444CFA" w:rsidP="00411C49">
      <w:pPr>
        <w:pStyle w:val="Reasons"/>
      </w:pPr>
    </w:p>
    <w:p w:rsidR="00444CFA" w:rsidRPr="00511BE2" w:rsidRDefault="00444CFA">
      <w:pPr>
        <w:jc w:val="center"/>
      </w:pPr>
      <w:bookmarkStart w:id="42" w:name="_GoBack"/>
      <w:bookmarkEnd w:id="42"/>
      <w:r w:rsidRPr="00511BE2">
        <w:t>______________</w:t>
      </w:r>
    </w:p>
    <w:sectPr w:rsidR="00444CFA" w:rsidRPr="00511BE2" w:rsidSect="00A70E95">
      <w:headerReference w:type="default" r:id="rId9"/>
      <w:foot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746" w:rsidRDefault="002B6746">
      <w:r>
        <w:separator/>
      </w:r>
    </w:p>
  </w:endnote>
  <w:endnote w:type="continuationSeparator" w:id="0">
    <w:p w:rsidR="002B6746" w:rsidRDefault="002B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50" w:rsidRPr="00780B50" w:rsidRDefault="007A5C78" w:rsidP="007A5C78">
    <w:pPr>
      <w:pStyle w:val="Footer"/>
      <w:rPr>
        <w:lang w:val="en-GB"/>
      </w:rPr>
    </w:pPr>
    <w:r w:rsidRPr="007A5C78">
      <w:rPr>
        <w:lang w:val="en-GB"/>
      </w:rPr>
      <w:fldChar w:fldCharType="begin"/>
    </w:r>
    <w:r w:rsidRPr="007A5C78">
      <w:rPr>
        <w:lang w:val="en-GB"/>
      </w:rPr>
      <w:instrText xml:space="preserve"> FILENAME \p  \* MERGEFORMAT </w:instrText>
    </w:r>
    <w:r w:rsidRPr="007A5C78">
      <w:rPr>
        <w:lang w:val="en-GB"/>
      </w:rPr>
      <w:fldChar w:fldCharType="separate"/>
    </w:r>
    <w:r w:rsidR="00D971D5">
      <w:rPr>
        <w:lang w:val="en-GB"/>
      </w:rPr>
      <w:t>P:\ESP\SG\CONF-SG\PP18\000\063S.docx</w:t>
    </w:r>
    <w:r w:rsidRPr="007A5C78">
      <w:rPr>
        <w:lang w:val="en-GB"/>
      </w:rPr>
      <w:fldChar w:fldCharType="end"/>
    </w:r>
    <w:r>
      <w:rPr>
        <w:lang w:val="en-GB"/>
      </w:rPr>
      <w:t xml:space="preserve"> (444518</w:t>
    </w:r>
    <w:r w:rsidRPr="007A5C78">
      <w:rPr>
        <w:lang w:val="en-GB"/>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B50" w:rsidRDefault="004B07DB" w:rsidP="007A5C78">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746" w:rsidRDefault="002B6746">
      <w:r>
        <w:t>____________________</w:t>
      </w:r>
    </w:p>
  </w:footnote>
  <w:footnote w:type="continuationSeparator" w:id="0">
    <w:p w:rsidR="002B6746" w:rsidRDefault="002B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FA1" w:rsidRDefault="00255FA1" w:rsidP="00255FA1">
    <w:pPr>
      <w:pStyle w:val="Header"/>
    </w:pPr>
    <w:r>
      <w:fldChar w:fldCharType="begin"/>
    </w:r>
    <w:r>
      <w:instrText xml:space="preserve"> PAGE </w:instrText>
    </w:r>
    <w:r>
      <w:fldChar w:fldCharType="separate"/>
    </w:r>
    <w:r w:rsidR="00D971D5">
      <w:rPr>
        <w:noProof/>
      </w:rPr>
      <w:t>3</w:t>
    </w:r>
    <w:r>
      <w:fldChar w:fldCharType="end"/>
    </w:r>
  </w:p>
  <w:p w:rsidR="00255FA1" w:rsidRDefault="00255FA1" w:rsidP="00511BE2">
    <w:pPr>
      <w:pStyle w:val="Header"/>
    </w:pPr>
    <w:r>
      <w:rPr>
        <w:lang w:val="en-US"/>
      </w:rPr>
      <w:t>PP1</w:t>
    </w:r>
    <w:r w:rsidR="00C43474">
      <w:rPr>
        <w:lang w:val="en-US"/>
      </w:rPr>
      <w:t>8</w:t>
    </w:r>
    <w:r w:rsidR="00006EAE">
      <w:t>/</w:t>
    </w:r>
    <w:r w:rsidR="00511BE2">
      <w:t>63</w:t>
    </w:r>
    <w:r w:rsidR="00006EAE">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449D6"/>
    <w:multiLevelType w:val="hybridMultilevel"/>
    <w:tmpl w:val="99E43B44"/>
    <w:lvl w:ilvl="0" w:tplc="E5B2978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46"/>
    <w:rsid w:val="0000188C"/>
    <w:rsid w:val="00006EAE"/>
    <w:rsid w:val="000863AB"/>
    <w:rsid w:val="000A1523"/>
    <w:rsid w:val="000A1E3F"/>
    <w:rsid w:val="000B1752"/>
    <w:rsid w:val="0010546D"/>
    <w:rsid w:val="00135F93"/>
    <w:rsid w:val="001632E3"/>
    <w:rsid w:val="001729A9"/>
    <w:rsid w:val="00173510"/>
    <w:rsid w:val="001D4983"/>
    <w:rsid w:val="001D6EC3"/>
    <w:rsid w:val="001D787B"/>
    <w:rsid w:val="001E3D06"/>
    <w:rsid w:val="0022345A"/>
    <w:rsid w:val="00225F6B"/>
    <w:rsid w:val="00237C17"/>
    <w:rsid w:val="00242376"/>
    <w:rsid w:val="00255FA1"/>
    <w:rsid w:val="00262FF4"/>
    <w:rsid w:val="002B6746"/>
    <w:rsid w:val="002C6527"/>
    <w:rsid w:val="002E44FC"/>
    <w:rsid w:val="003707E5"/>
    <w:rsid w:val="00391611"/>
    <w:rsid w:val="003D0027"/>
    <w:rsid w:val="003E6E73"/>
    <w:rsid w:val="00444CFA"/>
    <w:rsid w:val="00450C75"/>
    <w:rsid w:val="00484B72"/>
    <w:rsid w:val="00491A25"/>
    <w:rsid w:val="004A346E"/>
    <w:rsid w:val="004A63A9"/>
    <w:rsid w:val="004B07DB"/>
    <w:rsid w:val="004B09D4"/>
    <w:rsid w:val="004B0BCB"/>
    <w:rsid w:val="004C39C6"/>
    <w:rsid w:val="004D23BA"/>
    <w:rsid w:val="004E069C"/>
    <w:rsid w:val="004E08E0"/>
    <w:rsid w:val="004E28FB"/>
    <w:rsid w:val="004F4BB1"/>
    <w:rsid w:val="00504000"/>
    <w:rsid w:val="00504FD4"/>
    <w:rsid w:val="00507662"/>
    <w:rsid w:val="00511BE2"/>
    <w:rsid w:val="00523448"/>
    <w:rsid w:val="005359B6"/>
    <w:rsid w:val="005470E8"/>
    <w:rsid w:val="00550FCF"/>
    <w:rsid w:val="00556958"/>
    <w:rsid w:val="00565F7F"/>
    <w:rsid w:val="00567ED5"/>
    <w:rsid w:val="005D1164"/>
    <w:rsid w:val="005D6488"/>
    <w:rsid w:val="005F6278"/>
    <w:rsid w:val="00601280"/>
    <w:rsid w:val="006375E0"/>
    <w:rsid w:val="00641DBD"/>
    <w:rsid w:val="006455D2"/>
    <w:rsid w:val="006537F3"/>
    <w:rsid w:val="006B5512"/>
    <w:rsid w:val="006C190D"/>
    <w:rsid w:val="00715B7F"/>
    <w:rsid w:val="00720686"/>
    <w:rsid w:val="00737EFF"/>
    <w:rsid w:val="00750806"/>
    <w:rsid w:val="00780B50"/>
    <w:rsid w:val="007875D2"/>
    <w:rsid w:val="007A5C78"/>
    <w:rsid w:val="007F6EBC"/>
    <w:rsid w:val="00882773"/>
    <w:rsid w:val="008B4706"/>
    <w:rsid w:val="008B6676"/>
    <w:rsid w:val="008E51C5"/>
    <w:rsid w:val="008F7109"/>
    <w:rsid w:val="009107B0"/>
    <w:rsid w:val="009220DE"/>
    <w:rsid w:val="00930E84"/>
    <w:rsid w:val="00966470"/>
    <w:rsid w:val="0099270D"/>
    <w:rsid w:val="0099551E"/>
    <w:rsid w:val="009A1A86"/>
    <w:rsid w:val="009E0C42"/>
    <w:rsid w:val="00A70E95"/>
    <w:rsid w:val="00AA1F73"/>
    <w:rsid w:val="00AB34CA"/>
    <w:rsid w:val="00AD400E"/>
    <w:rsid w:val="00AF0DC5"/>
    <w:rsid w:val="00B46818"/>
    <w:rsid w:val="00B501AB"/>
    <w:rsid w:val="00B73978"/>
    <w:rsid w:val="00B77C4D"/>
    <w:rsid w:val="00BB13FE"/>
    <w:rsid w:val="00BC7EE2"/>
    <w:rsid w:val="00BF5475"/>
    <w:rsid w:val="00C42D2D"/>
    <w:rsid w:val="00C43474"/>
    <w:rsid w:val="00C46DF9"/>
    <w:rsid w:val="00C61A48"/>
    <w:rsid w:val="00C64338"/>
    <w:rsid w:val="00C73CAD"/>
    <w:rsid w:val="00C80F8F"/>
    <w:rsid w:val="00C84355"/>
    <w:rsid w:val="00CA3051"/>
    <w:rsid w:val="00CD20D9"/>
    <w:rsid w:val="00CD701A"/>
    <w:rsid w:val="00D05AAE"/>
    <w:rsid w:val="00D05E6B"/>
    <w:rsid w:val="00D254A6"/>
    <w:rsid w:val="00D42B55"/>
    <w:rsid w:val="00D57D70"/>
    <w:rsid w:val="00D671FE"/>
    <w:rsid w:val="00D971D5"/>
    <w:rsid w:val="00E05D81"/>
    <w:rsid w:val="00E468C6"/>
    <w:rsid w:val="00E53DFC"/>
    <w:rsid w:val="00E66FC3"/>
    <w:rsid w:val="00E677DD"/>
    <w:rsid w:val="00E77F17"/>
    <w:rsid w:val="00E921EC"/>
    <w:rsid w:val="00EB23D0"/>
    <w:rsid w:val="00EC395A"/>
    <w:rsid w:val="00F01632"/>
    <w:rsid w:val="00F02D25"/>
    <w:rsid w:val="00F04858"/>
    <w:rsid w:val="00F271A2"/>
    <w:rsid w:val="00F3510D"/>
    <w:rsid w:val="00F43C07"/>
    <w:rsid w:val="00F43D44"/>
    <w:rsid w:val="00F80E6E"/>
    <w:rsid w:val="00FD7A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7E1D2BC-12A5-4A29-A547-589EA61F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A9"/>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4A63A9"/>
    <w:pPr>
      <w:keepNext/>
      <w:keepLines/>
      <w:spacing w:before="480"/>
      <w:ind w:left="567" w:hanging="567"/>
      <w:outlineLvl w:val="0"/>
    </w:pPr>
    <w:rPr>
      <w:b/>
      <w:sz w:val="28"/>
    </w:rPr>
  </w:style>
  <w:style w:type="paragraph" w:styleId="Heading2">
    <w:name w:val="heading 2"/>
    <w:basedOn w:val="Heading1"/>
    <w:next w:val="Normal"/>
    <w:qFormat/>
    <w:rsid w:val="00BB13FE"/>
    <w:pPr>
      <w:spacing w:before="320"/>
      <w:outlineLvl w:val="1"/>
    </w:pPr>
    <w:rPr>
      <w:sz w:val="24"/>
    </w:rPr>
  </w:style>
  <w:style w:type="paragraph" w:styleId="Heading3">
    <w:name w:val="heading 3"/>
    <w:basedOn w:val="Heading1"/>
    <w:next w:val="Normal"/>
    <w:qFormat/>
    <w:rsid w:val="00BB13FE"/>
    <w:pPr>
      <w:spacing w:before="200"/>
      <w:outlineLvl w:val="2"/>
    </w:pPr>
    <w:rPr>
      <w:sz w:val="24"/>
    </w:rPr>
  </w:style>
  <w:style w:type="paragraph" w:styleId="Heading4">
    <w:name w:val="heading 4"/>
    <w:basedOn w:val="Heading3"/>
    <w:next w:val="Normal"/>
    <w:qFormat/>
    <w:rsid w:val="00A70E95"/>
    <w:pPr>
      <w:ind w:left="1134" w:hanging="1134"/>
      <w:outlineLvl w:val="3"/>
    </w:pPr>
  </w:style>
  <w:style w:type="paragraph" w:styleId="Heading5">
    <w:name w:val="heading 5"/>
    <w:basedOn w:val="Heading4"/>
    <w:next w:val="Normal"/>
    <w:qFormat/>
    <w:rsid w:val="00A70E95"/>
    <w:pPr>
      <w:outlineLvl w:val="4"/>
    </w:pPr>
  </w:style>
  <w:style w:type="paragraph" w:styleId="Heading6">
    <w:name w:val="heading 6"/>
    <w:basedOn w:val="Heading4"/>
    <w:next w:val="Normal"/>
    <w:qFormat/>
    <w:rsid w:val="00A70E95"/>
    <w:pPr>
      <w:outlineLvl w:val="5"/>
    </w:pPr>
  </w:style>
  <w:style w:type="paragraph" w:styleId="Heading7">
    <w:name w:val="heading 7"/>
    <w:basedOn w:val="Heading4"/>
    <w:next w:val="Normal"/>
    <w:qFormat/>
    <w:rsid w:val="00A70E95"/>
    <w:pPr>
      <w:ind w:left="1701" w:hanging="1701"/>
      <w:outlineLvl w:val="6"/>
    </w:pPr>
  </w:style>
  <w:style w:type="paragraph" w:styleId="Heading8">
    <w:name w:val="heading 8"/>
    <w:basedOn w:val="Heading4"/>
    <w:next w:val="Normal"/>
    <w:qFormat/>
    <w:rsid w:val="00A70E95"/>
    <w:pPr>
      <w:ind w:left="1701" w:hanging="1701"/>
      <w:outlineLvl w:val="7"/>
    </w:pPr>
  </w:style>
  <w:style w:type="paragraph" w:styleId="Heading9">
    <w:name w:val="heading 9"/>
    <w:basedOn w:val="Heading4"/>
    <w:next w:val="Normal"/>
    <w:qFormat/>
    <w:rsid w:val="00A70E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70E95"/>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70E9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70E9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70E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70E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
    <w:basedOn w:val="DefaultParagraphFont"/>
    <w:qFormat/>
    <w:rsid w:val="00A70E95"/>
    <w:rPr>
      <w:position w:val="6"/>
      <w:sz w:val="16"/>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A70E95"/>
    <w:pPr>
      <w:keepLines/>
      <w:tabs>
        <w:tab w:val="left" w:pos="256"/>
      </w:tabs>
      <w:ind w:left="256" w:hanging="256"/>
    </w:pPr>
  </w:style>
  <w:style w:type="paragraph" w:styleId="NormalIndent">
    <w:name w:val="Normal Indent"/>
    <w:basedOn w:val="Normal"/>
    <w:rsid w:val="00A70E95"/>
    <w:pPr>
      <w:ind w:left="567"/>
    </w:pPr>
  </w:style>
  <w:style w:type="paragraph" w:customStyle="1" w:styleId="Tablelegend">
    <w:name w:val="Table_legend"/>
    <w:basedOn w:val="Tabletext"/>
    <w:rsid w:val="00A70E95"/>
    <w:pPr>
      <w:spacing w:before="120"/>
    </w:pPr>
  </w:style>
  <w:style w:type="paragraph" w:customStyle="1" w:styleId="Tabletext">
    <w:name w:val="Table_text"/>
    <w:basedOn w:val="Normal"/>
    <w:rsid w:val="00A70E95"/>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70E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70E95"/>
    <w:pPr>
      <w:keepNext/>
      <w:spacing w:before="560" w:after="120"/>
      <w:jc w:val="center"/>
    </w:pPr>
    <w:rPr>
      <w:caps/>
    </w:rPr>
  </w:style>
  <w:style w:type="paragraph" w:customStyle="1" w:styleId="enumlev1">
    <w:name w:val="enumlev1"/>
    <w:basedOn w:val="Normal"/>
    <w:rsid w:val="00A70E95"/>
    <w:pPr>
      <w:spacing w:before="86"/>
      <w:ind w:left="567" w:hanging="567"/>
    </w:pPr>
  </w:style>
  <w:style w:type="paragraph" w:customStyle="1" w:styleId="enumlev2">
    <w:name w:val="enumlev2"/>
    <w:basedOn w:val="enumlev1"/>
    <w:rsid w:val="00A70E95"/>
    <w:pPr>
      <w:ind w:left="1134"/>
    </w:pPr>
  </w:style>
  <w:style w:type="paragraph" w:customStyle="1" w:styleId="enumlev3">
    <w:name w:val="enumlev3"/>
    <w:basedOn w:val="enumlev2"/>
    <w:rsid w:val="00A70E95"/>
    <w:pPr>
      <w:ind w:left="1701"/>
    </w:pPr>
  </w:style>
  <w:style w:type="paragraph" w:customStyle="1" w:styleId="Tablehead">
    <w:name w:val="Table_head"/>
    <w:basedOn w:val="Tabletext"/>
    <w:rsid w:val="00A70E95"/>
    <w:pPr>
      <w:spacing w:before="120" w:after="120"/>
      <w:jc w:val="center"/>
    </w:pPr>
    <w:rPr>
      <w:b/>
    </w:rPr>
  </w:style>
  <w:style w:type="paragraph" w:customStyle="1" w:styleId="Normalaftertitle">
    <w:name w:val="Normal after title"/>
    <w:basedOn w:val="Normal"/>
    <w:next w:val="Normal"/>
    <w:rsid w:val="00A70E95"/>
    <w:pPr>
      <w:spacing w:before="240"/>
    </w:pPr>
  </w:style>
  <w:style w:type="paragraph" w:customStyle="1" w:styleId="AnnexNo">
    <w:name w:val="Annex_No"/>
    <w:basedOn w:val="Normal"/>
    <w:next w:val="Annexref"/>
    <w:rsid w:val="00BB13FE"/>
    <w:pPr>
      <w:spacing w:before="720"/>
      <w:jc w:val="center"/>
    </w:pPr>
    <w:rPr>
      <w:caps/>
      <w:sz w:val="28"/>
    </w:rPr>
  </w:style>
  <w:style w:type="paragraph" w:customStyle="1" w:styleId="Annexref">
    <w:name w:val="Annex_ref"/>
    <w:basedOn w:val="Normal"/>
    <w:next w:val="Annextitle"/>
    <w:rsid w:val="00BB13FE"/>
    <w:pPr>
      <w:jc w:val="center"/>
    </w:pPr>
    <w:rPr>
      <w:sz w:val="28"/>
    </w:rPr>
  </w:style>
  <w:style w:type="paragraph" w:customStyle="1" w:styleId="Annextitle">
    <w:name w:val="Annex_title"/>
    <w:basedOn w:val="Normal"/>
    <w:next w:val="Normal"/>
    <w:rsid w:val="00BB13FE"/>
    <w:pPr>
      <w:spacing w:before="240" w:after="240"/>
      <w:jc w:val="center"/>
    </w:pPr>
    <w:rPr>
      <w:b/>
      <w:sz w:val="28"/>
    </w:rPr>
  </w:style>
  <w:style w:type="paragraph" w:customStyle="1" w:styleId="AppendixNo">
    <w:name w:val="Appendix_No"/>
    <w:basedOn w:val="AnnexNo"/>
    <w:next w:val="Appendixref"/>
    <w:rsid w:val="00A70E95"/>
  </w:style>
  <w:style w:type="paragraph" w:customStyle="1" w:styleId="Appendixref">
    <w:name w:val="Appendix_ref"/>
    <w:basedOn w:val="Annexref"/>
    <w:next w:val="Appendixtitle"/>
    <w:rsid w:val="00A70E95"/>
  </w:style>
  <w:style w:type="paragraph" w:customStyle="1" w:styleId="Appendixtitle">
    <w:name w:val="Appendix_title"/>
    <w:basedOn w:val="Annextitle"/>
    <w:next w:val="Normal"/>
    <w:rsid w:val="00A70E95"/>
  </w:style>
  <w:style w:type="paragraph" w:customStyle="1" w:styleId="Reftitle">
    <w:name w:val="Ref_title"/>
    <w:basedOn w:val="Normal"/>
    <w:next w:val="Reftext"/>
    <w:rsid w:val="00BB13FE"/>
    <w:pPr>
      <w:spacing w:before="480"/>
      <w:jc w:val="center"/>
    </w:pPr>
    <w:rPr>
      <w:caps/>
      <w:sz w:val="28"/>
    </w:rPr>
  </w:style>
  <w:style w:type="paragraph" w:customStyle="1" w:styleId="Reftext">
    <w:name w:val="Ref_text"/>
    <w:basedOn w:val="Normal"/>
    <w:rsid w:val="00A70E95"/>
    <w:pPr>
      <w:ind w:left="567" w:hanging="567"/>
    </w:pPr>
  </w:style>
  <w:style w:type="paragraph" w:customStyle="1" w:styleId="Rectitle">
    <w:name w:val="Rec_title"/>
    <w:basedOn w:val="Normal"/>
    <w:next w:val="Heading1"/>
    <w:rsid w:val="004A63A9"/>
    <w:pPr>
      <w:spacing w:before="240"/>
      <w:jc w:val="center"/>
    </w:pPr>
    <w:rPr>
      <w:b/>
      <w:sz w:val="28"/>
    </w:rPr>
  </w:style>
  <w:style w:type="paragraph" w:customStyle="1" w:styleId="Call">
    <w:name w:val="Call"/>
    <w:basedOn w:val="Normal"/>
    <w:next w:val="Normal"/>
    <w:rsid w:val="00A70E95"/>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BB13FE"/>
    <w:pPr>
      <w:spacing w:before="720"/>
      <w:jc w:val="center"/>
    </w:pPr>
    <w:rPr>
      <w:caps/>
      <w:sz w:val="28"/>
    </w:rPr>
  </w:style>
  <w:style w:type="paragraph" w:customStyle="1" w:styleId="toc0">
    <w:name w:val="toc 0"/>
    <w:basedOn w:val="Normal"/>
    <w:next w:val="TOC1"/>
    <w:rsid w:val="00A70E95"/>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BB13FE"/>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70E95"/>
    <w:pPr>
      <w:tabs>
        <w:tab w:val="clear" w:pos="567"/>
        <w:tab w:val="left" w:pos="851"/>
      </w:tabs>
    </w:pPr>
  </w:style>
  <w:style w:type="paragraph" w:customStyle="1" w:styleId="MinusFootnote">
    <w:name w:val="MinusFootnote"/>
    <w:basedOn w:val="Normal"/>
    <w:rsid w:val="00A70E95"/>
    <w:pPr>
      <w:ind w:left="-1701" w:hanging="284"/>
    </w:pPr>
  </w:style>
  <w:style w:type="paragraph" w:customStyle="1" w:styleId="Title3">
    <w:name w:val="Title 3"/>
    <w:basedOn w:val="Title2"/>
    <w:next w:val="Normalaftertitle"/>
    <w:rsid w:val="00A70E95"/>
    <w:rPr>
      <w:caps w:val="0"/>
    </w:rPr>
  </w:style>
  <w:style w:type="paragraph" w:customStyle="1" w:styleId="Title2">
    <w:name w:val="Title 2"/>
    <w:basedOn w:val="Source"/>
    <w:next w:val="Title3"/>
    <w:rsid w:val="00A70E95"/>
    <w:pPr>
      <w:spacing w:before="240"/>
    </w:pPr>
    <w:rPr>
      <w:b w:val="0"/>
      <w:caps/>
    </w:rPr>
  </w:style>
  <w:style w:type="paragraph" w:customStyle="1" w:styleId="Source">
    <w:name w:val="Source"/>
    <w:basedOn w:val="Normal"/>
    <w:next w:val="Title1"/>
    <w:rsid w:val="000A1523"/>
    <w:pPr>
      <w:spacing w:before="840"/>
      <w:jc w:val="center"/>
    </w:pPr>
    <w:rPr>
      <w:b/>
      <w:sz w:val="28"/>
    </w:rPr>
  </w:style>
  <w:style w:type="paragraph" w:customStyle="1" w:styleId="Title1">
    <w:name w:val="Title 1"/>
    <w:basedOn w:val="Source"/>
    <w:next w:val="Title2"/>
    <w:rsid w:val="00A70E95"/>
    <w:pPr>
      <w:spacing w:before="240"/>
    </w:pPr>
    <w:rPr>
      <w:b w:val="0"/>
      <w:caps/>
    </w:rPr>
  </w:style>
  <w:style w:type="paragraph" w:customStyle="1" w:styleId="ArtNo">
    <w:name w:val="Art_No"/>
    <w:basedOn w:val="Normal"/>
    <w:next w:val="Arttitle"/>
    <w:rsid w:val="00BB13F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13F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A70E95"/>
  </w:style>
  <w:style w:type="paragraph" w:customStyle="1" w:styleId="Chaptitle">
    <w:name w:val="Chap_title"/>
    <w:basedOn w:val="Arttitle"/>
    <w:next w:val="Normal"/>
    <w:rsid w:val="00A70E95"/>
  </w:style>
  <w:style w:type="paragraph" w:customStyle="1" w:styleId="Reasons">
    <w:name w:val="Reasons"/>
    <w:basedOn w:val="Normal"/>
    <w:qFormat/>
    <w:rsid w:val="00A70E95"/>
  </w:style>
  <w:style w:type="paragraph" w:customStyle="1" w:styleId="ResNo">
    <w:name w:val="Res_No"/>
    <w:basedOn w:val="AnnexNo"/>
    <w:next w:val="Restitle"/>
    <w:rsid w:val="00A70E95"/>
  </w:style>
  <w:style w:type="paragraph" w:customStyle="1" w:styleId="Restitle">
    <w:name w:val="Res_title"/>
    <w:basedOn w:val="Annextitle"/>
    <w:next w:val="Normal"/>
    <w:rsid w:val="004A63A9"/>
  </w:style>
  <w:style w:type="paragraph" w:customStyle="1" w:styleId="AnnexNoS2">
    <w:name w:val="Annex_No_S2"/>
    <w:basedOn w:val="AnnexNo"/>
    <w:next w:val="AnnexrefS2"/>
    <w:rsid w:val="00BB13FE"/>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A70E95"/>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A70E95"/>
    <w:rPr>
      <w:caps w:val="0"/>
    </w:rPr>
  </w:style>
  <w:style w:type="paragraph" w:customStyle="1" w:styleId="Section2">
    <w:name w:val="Section 2"/>
    <w:basedOn w:val="Section1"/>
    <w:next w:val="Normal"/>
    <w:rsid w:val="00A70E95"/>
    <w:pPr>
      <w:spacing w:before="240"/>
    </w:pPr>
    <w:rPr>
      <w:b/>
      <w:i/>
    </w:rPr>
  </w:style>
  <w:style w:type="paragraph" w:customStyle="1" w:styleId="AppendixNoS2">
    <w:name w:val="Appendix_No_S2"/>
    <w:basedOn w:val="AppendixNo"/>
    <w:next w:val="Appendixref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BB13FE"/>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BB13FE"/>
    <w:pPr>
      <w:tabs>
        <w:tab w:val="left" w:pos="851"/>
      </w:tabs>
      <w:jc w:val="left"/>
    </w:pPr>
    <w:rPr>
      <w:b/>
      <w:sz w:val="24"/>
    </w:rPr>
  </w:style>
  <w:style w:type="paragraph" w:customStyle="1" w:styleId="ArttitleS2">
    <w:name w:val="Art_title_S2"/>
    <w:basedOn w:val="Arttitle"/>
    <w:next w:val="NormalS2"/>
    <w:rsid w:val="00BB13FE"/>
    <w:pPr>
      <w:tabs>
        <w:tab w:val="left" w:pos="851"/>
      </w:tabs>
      <w:jc w:val="left"/>
    </w:pPr>
    <w:rPr>
      <w:sz w:val="24"/>
    </w:rPr>
  </w:style>
  <w:style w:type="paragraph" w:customStyle="1" w:styleId="ChapNoS2">
    <w:name w:val="Chap_No_S2"/>
    <w:basedOn w:val="ChapNo"/>
    <w:next w:val="ChaptitleS2"/>
    <w:rsid w:val="004A63A9"/>
    <w:pPr>
      <w:tabs>
        <w:tab w:val="left" w:pos="851"/>
      </w:tabs>
      <w:jc w:val="left"/>
    </w:pPr>
    <w:rPr>
      <w:b/>
      <w:sz w:val="24"/>
    </w:rPr>
  </w:style>
  <w:style w:type="paragraph" w:customStyle="1" w:styleId="ChaptitleS2">
    <w:name w:val="Chap_title_S2"/>
    <w:basedOn w:val="Chaptitle"/>
    <w:next w:val="NormalS2"/>
    <w:rsid w:val="00BB13FE"/>
    <w:pPr>
      <w:tabs>
        <w:tab w:val="left" w:pos="851"/>
      </w:tabs>
      <w:jc w:val="left"/>
    </w:pPr>
    <w:rPr>
      <w:sz w:val="24"/>
    </w:rPr>
  </w:style>
  <w:style w:type="paragraph" w:customStyle="1" w:styleId="enumlev1S2">
    <w:name w:val="enumlev1_S2"/>
    <w:basedOn w:val="enumlev1"/>
    <w:rsid w:val="00A70E95"/>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70E95"/>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70E95"/>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70E95"/>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BB13FE"/>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70E95"/>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BB13FE"/>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70E95"/>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70E95"/>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70E95"/>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70E95"/>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70E95"/>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70E95"/>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70E95"/>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70E95"/>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A70E95"/>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BB13FE"/>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A70E95"/>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BB13F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BB13FE"/>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BB13FE"/>
    <w:pPr>
      <w:tabs>
        <w:tab w:val="left" w:pos="851"/>
      </w:tabs>
      <w:jc w:val="left"/>
    </w:pPr>
    <w:rPr>
      <w:caps/>
      <w:sz w:val="24"/>
    </w:rPr>
  </w:style>
  <w:style w:type="paragraph" w:customStyle="1" w:styleId="Section2S2">
    <w:name w:val="Section 2_S2"/>
    <w:basedOn w:val="Section2"/>
    <w:next w:val="NormalS2"/>
    <w:rsid w:val="004A63A9"/>
    <w:pPr>
      <w:tabs>
        <w:tab w:val="left" w:pos="851"/>
      </w:tabs>
      <w:jc w:val="left"/>
    </w:pPr>
    <w:rPr>
      <w:sz w:val="24"/>
    </w:rPr>
  </w:style>
  <w:style w:type="paragraph" w:customStyle="1" w:styleId="TableNoS2">
    <w:name w:val="Table_No_S2"/>
    <w:basedOn w:val="TableNo"/>
    <w:next w:val="TabletitleS2"/>
    <w:rsid w:val="00A70E95"/>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A70E95"/>
    <w:pPr>
      <w:keepNext w:val="0"/>
      <w:tabs>
        <w:tab w:val="clear" w:pos="2948"/>
        <w:tab w:val="clear" w:pos="4082"/>
        <w:tab w:val="left" w:pos="851"/>
      </w:tabs>
      <w:jc w:val="left"/>
    </w:pPr>
  </w:style>
  <w:style w:type="paragraph" w:customStyle="1" w:styleId="TabletextS2">
    <w:name w:val="Table_text_S2"/>
    <w:basedOn w:val="Tabletext"/>
    <w:rsid w:val="00A70E95"/>
    <w:pPr>
      <w:tabs>
        <w:tab w:val="left" w:pos="851"/>
      </w:tabs>
    </w:pPr>
    <w:rPr>
      <w:b/>
    </w:rPr>
  </w:style>
  <w:style w:type="paragraph" w:customStyle="1" w:styleId="TablelegendS2">
    <w:name w:val="Table_legend_S2"/>
    <w:basedOn w:val="Tablelegend"/>
    <w:rsid w:val="00A70E95"/>
    <w:pPr>
      <w:tabs>
        <w:tab w:val="left" w:pos="851"/>
      </w:tabs>
      <w:spacing w:after="0"/>
    </w:pPr>
    <w:rPr>
      <w:b/>
    </w:rPr>
  </w:style>
  <w:style w:type="paragraph" w:customStyle="1" w:styleId="FooterS2">
    <w:name w:val="Footer_S2"/>
    <w:basedOn w:val="Footer"/>
    <w:rsid w:val="00A70E95"/>
    <w:pPr>
      <w:tabs>
        <w:tab w:val="clear" w:pos="5954"/>
        <w:tab w:val="clear" w:pos="9639"/>
        <w:tab w:val="left" w:pos="3686"/>
        <w:tab w:val="right" w:pos="7655"/>
      </w:tabs>
      <w:ind w:left="-1985"/>
    </w:pPr>
  </w:style>
  <w:style w:type="paragraph" w:customStyle="1" w:styleId="HeaderS2">
    <w:name w:val="Header_S2"/>
    <w:basedOn w:val="Normal"/>
    <w:rsid w:val="00A70E95"/>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70E95"/>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70E95"/>
    <w:pPr>
      <w:tabs>
        <w:tab w:val="left" w:pos="851"/>
      </w:tabs>
      <w:jc w:val="left"/>
    </w:pPr>
  </w:style>
  <w:style w:type="paragraph" w:customStyle="1" w:styleId="NoteS2">
    <w:name w:val="Note_S2"/>
    <w:basedOn w:val="Note"/>
    <w:rsid w:val="00A70E95"/>
    <w:pPr>
      <w:tabs>
        <w:tab w:val="clear" w:pos="1134"/>
        <w:tab w:val="clear" w:pos="1701"/>
        <w:tab w:val="clear" w:pos="2268"/>
        <w:tab w:val="clear" w:pos="2835"/>
      </w:tabs>
    </w:pPr>
    <w:rPr>
      <w:b/>
    </w:rPr>
  </w:style>
  <w:style w:type="paragraph" w:styleId="Date">
    <w:name w:val="Date"/>
    <w:basedOn w:val="Normal"/>
    <w:rsid w:val="00A70E95"/>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customStyle="1" w:styleId="HeadingbS2">
    <w:name w:val="Headingb_S2"/>
    <w:basedOn w:val="Headingb"/>
    <w:next w:val="NormalS2"/>
    <w:rsid w:val="00A70E95"/>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70E95"/>
    <w:pPr>
      <w:spacing w:before="160"/>
      <w:outlineLvl w:val="0"/>
    </w:pPr>
  </w:style>
  <w:style w:type="paragraph" w:customStyle="1" w:styleId="HeadingiS2">
    <w:name w:val="Headingi_S2"/>
    <w:basedOn w:val="Headingi"/>
    <w:next w:val="NormalS2"/>
    <w:rsid w:val="00A70E95"/>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4A63A9"/>
    <w:pPr>
      <w:spacing w:before="160"/>
      <w:outlineLvl w:val="0"/>
    </w:pPr>
    <w:rPr>
      <w:b w:val="0"/>
      <w:i/>
    </w:rPr>
  </w:style>
  <w:style w:type="paragraph" w:customStyle="1" w:styleId="FirstFooter">
    <w:name w:val="FirstFooter"/>
    <w:basedOn w:val="Footer"/>
    <w:rsid w:val="00A70E95"/>
    <w:rPr>
      <w:caps w:val="0"/>
    </w:rPr>
  </w:style>
  <w:style w:type="paragraph" w:styleId="TOC9">
    <w:name w:val="toc 9"/>
    <w:basedOn w:val="Normal"/>
    <w:next w:val="Normal"/>
    <w:rsid w:val="00A70E95"/>
    <w:pPr>
      <w:tabs>
        <w:tab w:val="clear" w:pos="567"/>
        <w:tab w:val="clear" w:pos="1134"/>
        <w:tab w:val="clear" w:pos="1701"/>
        <w:tab w:val="clear" w:pos="2268"/>
        <w:tab w:val="clear" w:pos="2835"/>
        <w:tab w:val="right" w:leader="dot" w:pos="9645"/>
      </w:tabs>
      <w:ind w:left="1920"/>
    </w:pPr>
  </w:style>
  <w:style w:type="paragraph" w:customStyle="1" w:styleId="Heading1c">
    <w:name w:val="Heading 1c"/>
    <w:basedOn w:val="Heading1"/>
    <w:next w:val="Normal"/>
    <w:rsid w:val="000863AB"/>
    <w:pPr>
      <w:ind w:left="0" w:firstLine="0"/>
      <w:jc w:val="center"/>
      <w:outlineLvl w:val="9"/>
    </w:pPr>
  </w:style>
  <w:style w:type="paragraph" w:customStyle="1" w:styleId="Heading1cS2">
    <w:name w:val="Heading 1c_S2"/>
    <w:basedOn w:val="Heading1c"/>
    <w:next w:val="NormalS2"/>
    <w:rsid w:val="00BB13FE"/>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4A63A9"/>
    <w:rPr>
      <w:b w:val="0"/>
      <w:i/>
    </w:rPr>
  </w:style>
  <w:style w:type="paragraph" w:customStyle="1" w:styleId="Heading2iS2">
    <w:name w:val="Heading 2i_S2"/>
    <w:basedOn w:val="Heading2i"/>
    <w:next w:val="NormalS2"/>
    <w:rsid w:val="00A70E95"/>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4A63A9"/>
    <w:rPr>
      <w:rFonts w:ascii="Calibri" w:hAnsi="Calibri"/>
    </w:rPr>
  </w:style>
  <w:style w:type="character" w:styleId="Hyperlink">
    <w:name w:val="Hyperlink"/>
    <w:basedOn w:val="DefaultParagraphFont"/>
    <w:uiPriority w:val="99"/>
    <w:rsid w:val="000863AB"/>
    <w:rPr>
      <w:rFonts w:ascii="Calibri" w:hAnsi="Calibri"/>
      <w:color w:val="0000FF"/>
      <w:u w:val="single"/>
    </w:rPr>
  </w:style>
  <w:style w:type="paragraph" w:customStyle="1" w:styleId="Head">
    <w:name w:val="Head"/>
    <w:basedOn w:val="Normal"/>
    <w:rsid w:val="00A70E95"/>
    <w:pPr>
      <w:tabs>
        <w:tab w:val="clear" w:pos="567"/>
        <w:tab w:val="clear" w:pos="1134"/>
        <w:tab w:val="clear" w:pos="1701"/>
        <w:tab w:val="clear" w:pos="2268"/>
        <w:tab w:val="clear" w:pos="2835"/>
      </w:tabs>
      <w:spacing w:before="0"/>
    </w:pPr>
  </w:style>
  <w:style w:type="paragraph" w:customStyle="1" w:styleId="Heading1pv">
    <w:name w:val="Heading 1pv"/>
    <w:basedOn w:val="Heading1"/>
    <w:next w:val="Normalpv"/>
    <w:rsid w:val="00A70E95"/>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Normalpv">
    <w:name w:val="Normal pv"/>
    <w:basedOn w:val="Normal"/>
    <w:rsid w:val="00A70E95"/>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2pv">
    <w:name w:val="Heading 2pv"/>
    <w:basedOn w:val="Heading1pv"/>
    <w:next w:val="Normalpv"/>
    <w:rsid w:val="00A70E95"/>
    <w:pPr>
      <w:spacing w:before="320"/>
      <w:outlineLvl w:val="1"/>
    </w:pPr>
  </w:style>
  <w:style w:type="paragraph" w:customStyle="1" w:styleId="Heading3pv">
    <w:name w:val="Heading 3pv"/>
    <w:basedOn w:val="Heading1pv"/>
    <w:next w:val="Normalpv"/>
    <w:rsid w:val="00A70E95"/>
    <w:pPr>
      <w:spacing w:before="200"/>
      <w:outlineLvl w:val="2"/>
    </w:pPr>
  </w:style>
  <w:style w:type="paragraph" w:customStyle="1" w:styleId="NormalendS2">
    <w:name w:val="Normal_end_S2"/>
    <w:basedOn w:val="Normal"/>
    <w:qFormat/>
    <w:rsid w:val="00F80E6E"/>
    <w:pPr>
      <w:tabs>
        <w:tab w:val="clear" w:pos="567"/>
        <w:tab w:val="clear" w:pos="1134"/>
        <w:tab w:val="clear" w:pos="1701"/>
        <w:tab w:val="clear" w:pos="2268"/>
        <w:tab w:val="clear" w:pos="2835"/>
      </w:tabs>
      <w:overflowPunct/>
      <w:autoSpaceDE/>
      <w:autoSpaceDN/>
      <w:adjustRightInd/>
      <w:spacing w:before="0"/>
      <w:textAlignment w:val="auto"/>
    </w:pPr>
  </w:style>
  <w:style w:type="paragraph" w:customStyle="1" w:styleId="Dectitle">
    <w:name w:val="Dec_title"/>
    <w:basedOn w:val="Rectitle"/>
    <w:next w:val="Normalaftertitle"/>
    <w:qFormat/>
    <w:rsid w:val="009A1A86"/>
  </w:style>
  <w:style w:type="paragraph" w:customStyle="1" w:styleId="DecNo">
    <w:name w:val="Dec_No"/>
    <w:basedOn w:val="RecNo"/>
    <w:next w:val="Dectitle"/>
    <w:qFormat/>
    <w:rsid w:val="009A1A86"/>
  </w:style>
  <w:style w:type="paragraph" w:customStyle="1" w:styleId="DectitleS2">
    <w:name w:val="Dec_title_S2"/>
    <w:basedOn w:val="RestitleS2"/>
    <w:next w:val="Normal"/>
    <w:qFormat/>
    <w:rsid w:val="009A1A86"/>
  </w:style>
  <w:style w:type="paragraph" w:customStyle="1" w:styleId="DecNoS2">
    <w:name w:val="Dec_No_S2"/>
    <w:basedOn w:val="ResNoS2"/>
    <w:next w:val="DectitleS2"/>
    <w:qFormat/>
    <w:rsid w:val="009A1A86"/>
  </w:style>
  <w:style w:type="paragraph" w:customStyle="1" w:styleId="SectionNo">
    <w:name w:val="Section_No"/>
    <w:basedOn w:val="ArtNo"/>
    <w:next w:val="Normal"/>
    <w:qFormat/>
    <w:rsid w:val="00CD20D9"/>
    <w:rPr>
      <w:lang w:val="en-GB"/>
    </w:rPr>
  </w:style>
  <w:style w:type="paragraph" w:customStyle="1" w:styleId="SectionNoS2">
    <w:name w:val="Section_No_S2"/>
    <w:basedOn w:val="ArtNoS2"/>
    <w:next w:val="Normal"/>
    <w:qFormat/>
    <w:rsid w:val="00CD20D9"/>
    <w:rPr>
      <w:lang w:val="en-GB"/>
    </w:rPr>
  </w:style>
  <w:style w:type="paragraph" w:customStyle="1" w:styleId="Sectiontitle">
    <w:name w:val="Section_title"/>
    <w:basedOn w:val="Arttitle"/>
    <w:next w:val="Normalaftertitle"/>
    <w:qFormat/>
    <w:rsid w:val="00CD20D9"/>
    <w:rPr>
      <w:lang w:val="en-GB"/>
    </w:rPr>
  </w:style>
  <w:style w:type="paragraph" w:customStyle="1" w:styleId="SectiontitleS2">
    <w:name w:val="Section_title_S2"/>
    <w:basedOn w:val="ArttitleS2"/>
    <w:next w:val="Normal"/>
    <w:qFormat/>
    <w:rsid w:val="00CD20D9"/>
    <w:rPr>
      <w:lang w:val="en-GB"/>
    </w:rPr>
  </w:style>
  <w:style w:type="paragraph" w:customStyle="1" w:styleId="firstfooter0">
    <w:name w:val="firstfooter"/>
    <w:basedOn w:val="Normal"/>
    <w:rsid w:val="004B07DB"/>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Agendaitem">
    <w:name w:val="Agenda_item"/>
    <w:basedOn w:val="Normal"/>
    <w:next w:val="Normal"/>
    <w:qFormat/>
    <w:rsid w:val="00255FA1"/>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rPr>
  </w:style>
  <w:style w:type="paragraph" w:customStyle="1" w:styleId="Committee">
    <w:name w:val="Committee"/>
    <w:basedOn w:val="Normal"/>
    <w:qFormat/>
    <w:rsid w:val="00255FA1"/>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mallCaps/>
      <w:szCs w:val="24"/>
      <w:lang w:val="en-US"/>
    </w:rPr>
  </w:style>
  <w:style w:type="character" w:customStyle="1" w:styleId="HeaderChar">
    <w:name w:val="Header Char"/>
    <w:basedOn w:val="DefaultParagraphFont"/>
    <w:link w:val="Header"/>
    <w:rsid w:val="00255FA1"/>
    <w:rPr>
      <w:rFonts w:ascii="Calibri" w:hAnsi="Calibri"/>
      <w:sz w:val="18"/>
      <w:lang w:val="es-ES_tradnl" w:eastAsia="en-US"/>
    </w:rPr>
  </w:style>
  <w:style w:type="paragraph" w:customStyle="1" w:styleId="Proposal">
    <w:name w:val="Proposal"/>
    <w:basedOn w:val="Normal"/>
    <w:next w:val="Normal"/>
    <w:rsid w:val="003D0027"/>
    <w:pPr>
      <w:keepNext/>
      <w:tabs>
        <w:tab w:val="clear" w:pos="567"/>
        <w:tab w:val="clear" w:pos="1701"/>
        <w:tab w:val="clear" w:pos="2268"/>
        <w:tab w:val="clear" w:pos="2835"/>
      </w:tabs>
      <w:spacing w:before="240"/>
    </w:pPr>
    <w:rPr>
      <w:rFonts w:asciiTheme="minorHAnsi" w:hAnsi="Times New Roman Bold"/>
      <w:b/>
      <w:lang w:val="en-GB"/>
    </w:rPr>
  </w:style>
  <w:style w:type="paragraph" w:styleId="BalloonText">
    <w:name w:val="Balloon Text"/>
    <w:basedOn w:val="Normal"/>
    <w:link w:val="BalloonTextChar"/>
    <w:semiHidden/>
    <w:unhideWhenUsed/>
    <w:rsid w:val="00AD400E"/>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D400E"/>
    <w:rPr>
      <w:rFonts w:ascii="Tahoma" w:hAnsi="Tahoma" w:cs="Tahoma"/>
      <w:sz w:val="16"/>
      <w:szCs w:val="16"/>
      <w:lang w:val="es-ES_tradnl" w:eastAsia="en-US"/>
    </w:rPr>
  </w:style>
  <w:style w:type="paragraph" w:customStyle="1" w:styleId="OP">
    <w:name w:val="OP"/>
    <w:basedOn w:val="Normal"/>
    <w:next w:val="Normal"/>
    <w:qFormat/>
    <w:rsid w:val="00504FD4"/>
    <w:pPr>
      <w:tabs>
        <w:tab w:val="clear" w:pos="1134"/>
        <w:tab w:val="clear" w:pos="2268"/>
        <w:tab w:val="right" w:pos="567"/>
        <w:tab w:val="left" w:pos="794"/>
        <w:tab w:val="left" w:pos="1191"/>
        <w:tab w:val="left" w:pos="1588"/>
        <w:tab w:val="left" w:pos="1985"/>
      </w:tabs>
      <w:spacing w:before="1200" w:after="240" w:line="480" w:lineRule="atLeast"/>
      <w:jc w:val="center"/>
    </w:pPr>
    <w:rPr>
      <w:b/>
      <w:sz w:val="32"/>
      <w:lang w:val="en-GB"/>
    </w:rPr>
  </w:style>
  <w:style w:type="paragraph" w:customStyle="1" w:styleId="OPtitle">
    <w:name w:val="OP_title"/>
    <w:basedOn w:val="Normal"/>
    <w:next w:val="Normalaftertitle"/>
    <w:qFormat/>
    <w:rsid w:val="00504FD4"/>
    <w:pPr>
      <w:jc w:val="center"/>
    </w:pPr>
    <w:rPr>
      <w:b/>
      <w:bCs/>
      <w:lang w:val="en-GB"/>
    </w:rPr>
  </w:style>
  <w:style w:type="paragraph" w:customStyle="1" w:styleId="VolumeTitle">
    <w:name w:val="VolumeTitle"/>
    <w:basedOn w:val="Normal"/>
    <w:next w:val="Normal"/>
    <w:rsid w:val="004B09D4"/>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504FD4"/>
  </w:style>
  <w:style w:type="paragraph" w:styleId="ListParagraph">
    <w:name w:val="List Paragraph"/>
    <w:basedOn w:val="Normal"/>
    <w:uiPriority w:val="34"/>
    <w:qFormat/>
    <w:rsid w:val="002B6746"/>
    <w:pPr>
      <w:ind w:left="720"/>
      <w:contextualSpacing/>
    </w:pPr>
    <w:rPr>
      <w:lang w:val="en-GB"/>
    </w:rPr>
  </w:style>
  <w:style w:type="table" w:styleId="TableGrid">
    <w:name w:val="Table Grid"/>
    <w:basedOn w:val="TableNormal"/>
    <w:rsid w:val="002B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B67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semiHidden/>
    <w:unhideWhenUsed/>
    <w:rsid w:val="002B6746"/>
    <w:rPr>
      <w:color w:val="800080" w:themeColor="followedHyperlink"/>
      <w:u w:val="single"/>
    </w:rPr>
  </w:style>
  <w:style w:type="character" w:customStyle="1" w:styleId="href">
    <w:name w:val="href"/>
    <w:basedOn w:val="DefaultParagraphFont"/>
    <w:rsid w:val="002B6746"/>
    <w:rPr>
      <w:color w:val="auto"/>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link w:val="FootnoteText"/>
    <w:rsid w:val="00E468C6"/>
    <w:rPr>
      <w:rFonts w:ascii="Calibri" w:hAnsi="Calibri"/>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9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s.org/en/member_states/default.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PP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PS_PP18.dotx</Template>
  <TotalTime>13</TotalTime>
  <Pages>4</Pages>
  <Words>1197</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8245</CharactersWithSpaces>
  <SharedDoc>false</SharedDoc>
  <HyperlinkBase/>
  <HLinks>
    <vt:vector size="6" baseType="variant">
      <vt:variant>
        <vt:i4>4194374</vt:i4>
      </vt:variant>
      <vt:variant>
        <vt:i4>12</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Plenipotentiary Conference (PP-18)</dc:subject>
  <dc:creator>Spanish</dc:creator>
  <cp:keywords/>
  <dc:description/>
  <cp:lastModifiedBy>Spanish</cp:lastModifiedBy>
  <cp:revision>7</cp:revision>
  <dcterms:created xsi:type="dcterms:W3CDTF">2018-11-21T10:25:00Z</dcterms:created>
  <dcterms:modified xsi:type="dcterms:W3CDTF">2018-11-21T10:42:00Z</dcterms:modified>
  <cp:category>Conference document</cp:category>
</cp:coreProperties>
</file>