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3E47E9">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3E47E9">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3E47E9">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3E47E9">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E47E9">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E47E9">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E47E9">
            <w:pPr>
              <w:pStyle w:val="Committee"/>
              <w:framePr w:hSpace="0" w:wrap="auto" w:hAnchor="text" w:yAlign="inline"/>
              <w:spacing w:after="0" w:line="240" w:lineRule="auto"/>
            </w:pPr>
            <w:r w:rsidRPr="008C10D9">
              <w:t>SÉANCE PLÉNIÈRE</w:t>
            </w:r>
          </w:p>
        </w:tc>
        <w:tc>
          <w:tcPr>
            <w:tcW w:w="3120" w:type="dxa"/>
          </w:tcPr>
          <w:p w:rsidR="00BD1614" w:rsidRPr="005B6E82" w:rsidRDefault="005B6E82" w:rsidP="003E47E9">
            <w:pPr>
              <w:spacing w:before="0"/>
              <w:rPr>
                <w:rFonts w:cstheme="minorHAnsi"/>
                <w:szCs w:val="24"/>
                <w:lang w:val="fr-CH"/>
              </w:rPr>
            </w:pPr>
            <w:r>
              <w:rPr>
                <w:rFonts w:cstheme="minorHAnsi"/>
                <w:b/>
                <w:szCs w:val="24"/>
                <w:lang w:val="fr-CH"/>
              </w:rPr>
              <w:t>Document 63</w:t>
            </w:r>
            <w:r w:rsidR="00417658" w:rsidRPr="005B6E82">
              <w:rPr>
                <w:rFonts w:cstheme="minorHAnsi"/>
                <w:b/>
                <w:szCs w:val="24"/>
                <w:lang w:val="fr-CH"/>
              </w:rPr>
              <w:t>-F</w:t>
            </w:r>
          </w:p>
        </w:tc>
      </w:tr>
      <w:tr w:rsidR="00BD1614" w:rsidRPr="002A6F8F" w:rsidTr="006A046E">
        <w:trPr>
          <w:cantSplit/>
        </w:trPr>
        <w:tc>
          <w:tcPr>
            <w:tcW w:w="6911" w:type="dxa"/>
          </w:tcPr>
          <w:p w:rsidR="00BD1614" w:rsidRPr="005B6E82" w:rsidRDefault="00BD1614" w:rsidP="003E47E9">
            <w:pPr>
              <w:spacing w:before="0"/>
              <w:rPr>
                <w:rFonts w:cstheme="minorHAnsi"/>
                <w:b/>
                <w:szCs w:val="24"/>
                <w:lang w:val="fr-CH"/>
              </w:rPr>
            </w:pPr>
          </w:p>
        </w:tc>
        <w:tc>
          <w:tcPr>
            <w:tcW w:w="3120" w:type="dxa"/>
          </w:tcPr>
          <w:p w:rsidR="00BD1614" w:rsidRPr="005B6E82" w:rsidRDefault="005B6E82" w:rsidP="003E47E9">
            <w:pPr>
              <w:spacing w:before="0"/>
              <w:rPr>
                <w:rFonts w:cstheme="minorHAnsi"/>
                <w:b/>
                <w:szCs w:val="24"/>
                <w:lang w:val="fr-CH"/>
              </w:rPr>
            </w:pPr>
            <w:r>
              <w:rPr>
                <w:rFonts w:cstheme="minorHAnsi"/>
                <w:b/>
                <w:szCs w:val="24"/>
                <w:lang w:val="fr-CH"/>
              </w:rPr>
              <w:t>12</w:t>
            </w:r>
            <w:r w:rsidR="00417658" w:rsidRPr="005B6E82">
              <w:rPr>
                <w:rFonts w:cstheme="minorHAnsi"/>
                <w:b/>
                <w:szCs w:val="24"/>
                <w:lang w:val="fr-CH"/>
              </w:rPr>
              <w:t xml:space="preserve"> novembre 201</w:t>
            </w:r>
            <w:r w:rsidR="00B22ABD" w:rsidRPr="005B6E82">
              <w:rPr>
                <w:rFonts w:cstheme="minorHAnsi"/>
                <w:b/>
                <w:szCs w:val="24"/>
                <w:lang w:val="fr-CH"/>
              </w:rPr>
              <w:t>8</w:t>
            </w:r>
          </w:p>
        </w:tc>
      </w:tr>
      <w:tr w:rsidR="00BD1614" w:rsidRPr="002A6F8F" w:rsidTr="006A046E">
        <w:trPr>
          <w:cantSplit/>
        </w:trPr>
        <w:tc>
          <w:tcPr>
            <w:tcW w:w="6911" w:type="dxa"/>
          </w:tcPr>
          <w:p w:rsidR="00BD1614" w:rsidRPr="005B6E82" w:rsidRDefault="00BD1614" w:rsidP="003E47E9">
            <w:pPr>
              <w:spacing w:before="0"/>
              <w:rPr>
                <w:rFonts w:cstheme="minorHAnsi"/>
                <w:b/>
                <w:smallCaps/>
                <w:szCs w:val="24"/>
                <w:lang w:val="fr-CH"/>
              </w:rPr>
            </w:pPr>
          </w:p>
        </w:tc>
        <w:tc>
          <w:tcPr>
            <w:tcW w:w="3120" w:type="dxa"/>
          </w:tcPr>
          <w:p w:rsidR="00BD1614" w:rsidRPr="005B6E82" w:rsidRDefault="00417658" w:rsidP="003E47E9">
            <w:pPr>
              <w:spacing w:before="0"/>
              <w:rPr>
                <w:rFonts w:cstheme="minorHAnsi"/>
                <w:b/>
                <w:szCs w:val="24"/>
                <w:lang w:val="fr-CH"/>
              </w:rPr>
            </w:pPr>
            <w:r w:rsidRPr="005B6E82">
              <w:rPr>
                <w:rFonts w:cstheme="minorHAnsi"/>
                <w:b/>
                <w:szCs w:val="24"/>
                <w:lang w:val="fr-CH"/>
              </w:rPr>
              <w:t>Original: anglais</w:t>
            </w:r>
            <w:r w:rsidR="00B456C1">
              <w:rPr>
                <w:rFonts w:cstheme="minorHAnsi"/>
                <w:b/>
                <w:szCs w:val="24"/>
                <w:lang w:val="fr-CH"/>
              </w:rPr>
              <w:t>/espagnol</w:t>
            </w:r>
          </w:p>
        </w:tc>
      </w:tr>
      <w:tr w:rsidR="00BD1614" w:rsidRPr="002A6F8F" w:rsidTr="006A046E">
        <w:trPr>
          <w:cantSplit/>
        </w:trPr>
        <w:tc>
          <w:tcPr>
            <w:tcW w:w="10031" w:type="dxa"/>
            <w:gridSpan w:val="2"/>
          </w:tcPr>
          <w:p w:rsidR="00BD1614" w:rsidRPr="005B6E82" w:rsidRDefault="00BD1614" w:rsidP="003E47E9">
            <w:pPr>
              <w:spacing w:before="0"/>
              <w:rPr>
                <w:rFonts w:cstheme="minorHAnsi"/>
                <w:b/>
                <w:szCs w:val="24"/>
                <w:lang w:val="fr-CH"/>
              </w:rPr>
            </w:pPr>
          </w:p>
        </w:tc>
      </w:tr>
      <w:tr w:rsidR="005B6E82" w:rsidRPr="002A6F8F" w:rsidTr="006A046E">
        <w:trPr>
          <w:cantSplit/>
        </w:trPr>
        <w:tc>
          <w:tcPr>
            <w:tcW w:w="10031" w:type="dxa"/>
            <w:gridSpan w:val="2"/>
          </w:tcPr>
          <w:p w:rsidR="005B6E82" w:rsidRPr="00D3498C" w:rsidRDefault="00F96916" w:rsidP="003E47E9">
            <w:pPr>
              <w:pStyle w:val="Source"/>
              <w:rPr>
                <w:lang w:val="fr-CH"/>
              </w:rPr>
            </w:pPr>
            <w:bookmarkStart w:id="4" w:name="dsource" w:colFirst="0" w:colLast="0"/>
            <w:bookmarkEnd w:id="3"/>
            <w:r>
              <w:rPr>
                <w:lang w:val="fr-CH"/>
              </w:rPr>
              <w:t>Etats Membres</w:t>
            </w:r>
            <w:r w:rsidR="005B6E82" w:rsidRPr="00D3498C">
              <w:rPr>
                <w:lang w:val="fr-CH"/>
              </w:rPr>
              <w:t xml:space="preserve"> de la </w:t>
            </w:r>
            <w:r w:rsidR="002B4C51">
              <w:rPr>
                <w:lang w:val="fr-CH"/>
              </w:rPr>
              <w:t>Commission interaméricaine des télécommunications (CITEL)</w:t>
            </w:r>
          </w:p>
        </w:tc>
      </w:tr>
      <w:tr w:rsidR="005B6E82" w:rsidRPr="002A6F8F" w:rsidTr="006A046E">
        <w:trPr>
          <w:cantSplit/>
        </w:trPr>
        <w:tc>
          <w:tcPr>
            <w:tcW w:w="10031" w:type="dxa"/>
            <w:gridSpan w:val="2"/>
          </w:tcPr>
          <w:p w:rsidR="005B6E82" w:rsidRPr="00165972" w:rsidRDefault="005B6E82" w:rsidP="003E47E9">
            <w:pPr>
              <w:pStyle w:val="Title1"/>
              <w:rPr>
                <w:lang w:val="fr-CH"/>
              </w:rPr>
            </w:pPr>
            <w:bookmarkStart w:id="5" w:name="dtitle1" w:colFirst="0" w:colLast="0"/>
            <w:bookmarkEnd w:id="4"/>
            <w:r w:rsidRPr="00D43C6D">
              <w:t>PROPOSITION</w:t>
            </w:r>
            <w:r>
              <w:t xml:space="preserve">s </w:t>
            </w:r>
            <w:r w:rsidRPr="00D43C6D">
              <w:t>int</w:t>
            </w:r>
            <w:r>
              <w:t>e</w:t>
            </w:r>
            <w:r w:rsidRPr="00D43C6D">
              <w:t>ram</w:t>
            </w:r>
            <w:r>
              <w:t>É</w:t>
            </w:r>
            <w:r w:rsidRPr="00D43C6D">
              <w:t>ricaine</w:t>
            </w:r>
            <w:r>
              <w:t>S</w:t>
            </w:r>
            <w:r w:rsidRPr="00D43C6D">
              <w:t xml:space="preserve"> pour les travaux de la CONF</w:t>
            </w:r>
            <w:r>
              <w:t>É</w:t>
            </w:r>
            <w:r w:rsidRPr="00D43C6D">
              <w:t>RENCE</w:t>
            </w:r>
          </w:p>
        </w:tc>
      </w:tr>
      <w:tr w:rsidR="00BD1614" w:rsidTr="006A046E">
        <w:trPr>
          <w:cantSplit/>
        </w:trPr>
        <w:tc>
          <w:tcPr>
            <w:tcW w:w="10031" w:type="dxa"/>
            <w:gridSpan w:val="2"/>
          </w:tcPr>
          <w:p w:rsidR="00BD1614" w:rsidRDefault="00BD1614" w:rsidP="003E47E9">
            <w:pPr>
              <w:pStyle w:val="Agendaitem"/>
            </w:pPr>
            <w:bookmarkStart w:id="6" w:name="dtitle3" w:colFirst="0" w:colLast="0"/>
            <w:bookmarkEnd w:id="5"/>
          </w:p>
        </w:tc>
      </w:tr>
    </w:tbl>
    <w:bookmarkEnd w:id="6"/>
    <w:p w:rsidR="005B6E82" w:rsidRPr="002B4C51" w:rsidRDefault="002B4C51" w:rsidP="003E47E9">
      <w:pPr>
        <w:spacing w:before="360" w:after="240"/>
        <w:rPr>
          <w:szCs w:val="24"/>
        </w:rPr>
      </w:pPr>
      <w:r>
        <w:rPr>
          <w:szCs w:val="24"/>
        </w:rPr>
        <w:t>On trouvera dans le tableau ci-dessous la liste des propositions interaméricaines soumises à la Conférence de plénipotentiaires de 2018</w:t>
      </w:r>
      <w:r w:rsidR="005B6E82" w:rsidRPr="002B4C51">
        <w:rPr>
          <w:szCs w:val="24"/>
        </w:rPr>
        <w:t>.</w:t>
      </w:r>
    </w:p>
    <w:p w:rsidR="005B6E82" w:rsidRPr="002B4C51" w:rsidRDefault="002B4C51" w:rsidP="009939D6">
      <w:pPr>
        <w:spacing w:before="360" w:after="480"/>
        <w:rPr>
          <w:szCs w:val="24"/>
        </w:rPr>
      </w:pPr>
      <w:r w:rsidRPr="002B4C51">
        <w:rPr>
          <w:b/>
          <w:bCs/>
          <w:szCs w:val="24"/>
          <w:u w:val="single"/>
        </w:rPr>
        <w:t>Liste des signataires</w:t>
      </w:r>
      <w:r w:rsidR="005B6E82" w:rsidRPr="002B4C51">
        <w:rPr>
          <w:szCs w:val="24"/>
        </w:rPr>
        <w:t xml:space="preserve">: </w:t>
      </w:r>
      <w:r w:rsidRPr="002B4C51">
        <w:rPr>
          <w:szCs w:val="24"/>
        </w:rPr>
        <w:t>Une proposition interaméricaine est, par définition et sauf indication contraire, une contribution soumise au nom d</w:t>
      </w:r>
      <w:r>
        <w:rPr>
          <w:szCs w:val="24"/>
        </w:rPr>
        <w:t>es Etats Membres de l</w:t>
      </w:r>
      <w:r w:rsidR="009939D6">
        <w:rPr>
          <w:szCs w:val="24"/>
        </w:rPr>
        <w:t>'</w:t>
      </w:r>
      <w:r>
        <w:rPr>
          <w:szCs w:val="24"/>
        </w:rPr>
        <w:t>UIT qui sont également des Etats Membres de la CITEL (la liste des Etats Membres de la CITEL peut être consultée à l</w:t>
      </w:r>
      <w:r w:rsidR="009939D6">
        <w:rPr>
          <w:szCs w:val="24"/>
        </w:rPr>
        <w:t>'</w:t>
      </w:r>
      <w:r>
        <w:rPr>
          <w:szCs w:val="24"/>
        </w:rPr>
        <w:t xml:space="preserve">adresse : </w:t>
      </w:r>
      <w:hyperlink r:id="rId8" w:history="1">
        <w:r w:rsidR="003E47E9">
          <w:rPr>
            <w:rStyle w:val="Hyperlink"/>
            <w:szCs w:val="24"/>
          </w:rPr>
          <w:t>http://www.oas.org/fr/etats_membres/default.asp</w:t>
        </w:r>
      </w:hyperlink>
      <w:r w:rsidR="005B6E82" w:rsidRPr="002B4C51">
        <w:rPr>
          <w:szCs w:val="24"/>
        </w:rPr>
        <w:t>).</w:t>
      </w:r>
    </w:p>
    <w:tbl>
      <w:tblPr>
        <w:tblStyle w:val="TableGrid"/>
        <w:tblW w:w="10490" w:type="dxa"/>
        <w:tblInd w:w="-289" w:type="dxa"/>
        <w:tblLook w:val="04A0" w:firstRow="1" w:lastRow="0" w:firstColumn="1" w:lastColumn="0" w:noHBand="0" w:noVBand="1"/>
      </w:tblPr>
      <w:tblGrid>
        <w:gridCol w:w="1405"/>
        <w:gridCol w:w="864"/>
        <w:gridCol w:w="2977"/>
        <w:gridCol w:w="5244"/>
      </w:tblGrid>
      <w:tr w:rsidR="006836B6" w:rsidRPr="00671DC3" w:rsidTr="006F5597">
        <w:trPr>
          <w:cantSplit/>
          <w:tblHeader/>
        </w:trPr>
        <w:tc>
          <w:tcPr>
            <w:tcW w:w="1405" w:type="dxa"/>
            <w:shd w:val="clear" w:color="auto" w:fill="D9D9D9" w:themeFill="background1" w:themeFillShade="D9"/>
            <w:hideMark/>
          </w:tcPr>
          <w:p w:rsidR="006836B6" w:rsidRPr="006836B6" w:rsidRDefault="002B4C51" w:rsidP="003E47E9">
            <w:pPr>
              <w:pStyle w:val="Tablehead"/>
              <w:rPr>
                <w:lang w:val="en-US"/>
              </w:rPr>
            </w:pPr>
            <w:r>
              <w:t>Proposition</w:t>
            </w:r>
            <w:r w:rsidR="006836B6" w:rsidRPr="006836B6">
              <w:t xml:space="preserve"> </w:t>
            </w:r>
            <w:r w:rsidR="003E47E9">
              <w:t>N°</w:t>
            </w:r>
          </w:p>
        </w:tc>
        <w:tc>
          <w:tcPr>
            <w:tcW w:w="864" w:type="dxa"/>
            <w:shd w:val="clear" w:color="auto" w:fill="D9D9D9" w:themeFill="background1" w:themeFillShade="D9"/>
            <w:hideMark/>
          </w:tcPr>
          <w:p w:rsidR="006836B6" w:rsidRPr="00671DC3" w:rsidRDefault="006836B6" w:rsidP="003E47E9">
            <w:pPr>
              <w:pStyle w:val="Tablehead"/>
            </w:pPr>
            <w:r w:rsidRPr="00671DC3">
              <w:t>Action</w:t>
            </w:r>
          </w:p>
        </w:tc>
        <w:tc>
          <w:tcPr>
            <w:tcW w:w="2977" w:type="dxa"/>
            <w:shd w:val="clear" w:color="auto" w:fill="D9D9D9" w:themeFill="background1" w:themeFillShade="D9"/>
            <w:hideMark/>
          </w:tcPr>
          <w:p w:rsidR="006836B6" w:rsidRPr="00671DC3" w:rsidRDefault="006836B6" w:rsidP="003E47E9">
            <w:pPr>
              <w:pStyle w:val="Tablehead"/>
            </w:pPr>
            <w:r>
              <w:t>Résolution</w:t>
            </w:r>
            <w:r w:rsidRPr="00671DC3">
              <w:t>/</w:t>
            </w:r>
            <w:r>
              <w:t>Décision</w:t>
            </w:r>
          </w:p>
        </w:tc>
        <w:tc>
          <w:tcPr>
            <w:tcW w:w="5244" w:type="dxa"/>
            <w:shd w:val="clear" w:color="auto" w:fill="D9D9D9" w:themeFill="background1" w:themeFillShade="D9"/>
            <w:hideMark/>
          </w:tcPr>
          <w:p w:rsidR="006836B6" w:rsidRPr="00671DC3" w:rsidRDefault="002B4C51" w:rsidP="003E47E9">
            <w:pPr>
              <w:pStyle w:val="Tablehead"/>
            </w:pPr>
            <w:r>
              <w:t>Objet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6836B6" w:rsidP="003E47E9">
            <w:pPr>
              <w:pStyle w:val="Tabletext"/>
            </w:pPr>
            <w:r>
              <w:t>RÉ</w:t>
            </w:r>
            <w:r w:rsidRPr="00671DC3">
              <w:t>SOLUTION 185</w:t>
            </w:r>
          </w:p>
        </w:tc>
        <w:tc>
          <w:tcPr>
            <w:tcW w:w="5244" w:type="dxa"/>
            <w:hideMark/>
          </w:tcPr>
          <w:p w:rsidR="006836B6" w:rsidRPr="00E11F87" w:rsidRDefault="00E11F87" w:rsidP="003E47E9">
            <w:pPr>
              <w:pStyle w:val="Tabletext"/>
              <w:rPr>
                <w:lang w:val="fr-CH"/>
              </w:rPr>
            </w:pPr>
            <w:r w:rsidRPr="00E11F87">
              <w:rPr>
                <w:lang w:val="fr-CH"/>
              </w:rPr>
              <w:t>Suivi des vols à l'échelle mondiale pour l'aviation civile</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48</w:t>
            </w:r>
          </w:p>
        </w:tc>
        <w:tc>
          <w:tcPr>
            <w:tcW w:w="5244" w:type="dxa"/>
            <w:hideMark/>
          </w:tcPr>
          <w:p w:rsidR="006836B6" w:rsidRPr="00E11F87" w:rsidRDefault="00E11F87" w:rsidP="003E47E9">
            <w:pPr>
              <w:pStyle w:val="Tabletext"/>
              <w:rPr>
                <w:lang w:val="fr-CH"/>
              </w:rPr>
            </w:pPr>
            <w:r w:rsidRPr="00E11F87">
              <w:rPr>
                <w:lang w:val="fr-CH"/>
              </w:rPr>
              <w:t>Gestion et développement des ressources humaines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188</w:t>
            </w:r>
          </w:p>
        </w:tc>
        <w:tc>
          <w:tcPr>
            <w:tcW w:w="5244" w:type="dxa"/>
            <w:hideMark/>
          </w:tcPr>
          <w:p w:rsidR="006836B6" w:rsidRPr="00E11F87" w:rsidRDefault="00E11F87" w:rsidP="003E47E9">
            <w:pPr>
              <w:pStyle w:val="Tabletext"/>
              <w:rPr>
                <w:lang w:val="fr-CH"/>
              </w:rPr>
            </w:pPr>
            <w:r w:rsidRPr="00E11F87">
              <w:rPr>
                <w:lang w:val="fr-CH"/>
              </w:rPr>
              <w:t>Lutter contre la contrefaçon de dispositifs de télécommunication fondés sur les technologies de l'information et de la communication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IAP/63A1/4</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165</w:t>
            </w:r>
          </w:p>
        </w:tc>
        <w:tc>
          <w:tcPr>
            <w:tcW w:w="5244" w:type="dxa"/>
            <w:hideMark/>
          </w:tcPr>
          <w:p w:rsidR="006836B6" w:rsidRPr="00E11F87" w:rsidRDefault="00E11F87" w:rsidP="003E47E9">
            <w:pPr>
              <w:pStyle w:val="Tabletext"/>
              <w:rPr>
                <w:lang w:val="fr-CH"/>
              </w:rPr>
            </w:pPr>
            <w:r w:rsidRPr="00E11F87">
              <w:rPr>
                <w:lang w:val="fr-CH"/>
              </w:rPr>
              <w:t>Délais de présentation des propositions et procédures d'inscription des participants aux conférences et assemblées de l'Union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IAP/63A1/5</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E11F87" w:rsidP="003E47E9">
            <w:pPr>
              <w:pStyle w:val="Tabletext"/>
            </w:pPr>
            <w:r>
              <w:t>DÉ</w:t>
            </w:r>
            <w:r w:rsidR="006836B6" w:rsidRPr="00671DC3">
              <w:t>CISION 11</w:t>
            </w:r>
          </w:p>
        </w:tc>
        <w:tc>
          <w:tcPr>
            <w:tcW w:w="5244" w:type="dxa"/>
            <w:hideMark/>
          </w:tcPr>
          <w:p w:rsidR="006836B6" w:rsidRPr="00E11F87" w:rsidRDefault="00E11F87" w:rsidP="003E47E9">
            <w:pPr>
              <w:pStyle w:val="Tabletext"/>
              <w:rPr>
                <w:lang w:val="fr-CH"/>
              </w:rPr>
            </w:pPr>
            <w:r w:rsidRPr="00E11F87">
              <w:rPr>
                <w:lang w:val="fr-CH"/>
              </w:rPr>
              <w:t>Création et gestion des groupes de travail du Conseil</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IAP/63A1/6</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E11F87" w:rsidP="003E47E9">
            <w:pPr>
              <w:pStyle w:val="Tabletext"/>
            </w:pPr>
            <w:r w:rsidRPr="00E11F87">
              <w:t xml:space="preserve">PROJET DE NOUVELLE DÉCISION </w:t>
            </w:r>
            <w:r w:rsidR="006836B6" w:rsidRPr="00671DC3">
              <w:t>[IAP-1]</w:t>
            </w:r>
          </w:p>
        </w:tc>
        <w:tc>
          <w:tcPr>
            <w:tcW w:w="5244" w:type="dxa"/>
            <w:hideMark/>
          </w:tcPr>
          <w:p w:rsidR="006836B6" w:rsidRPr="00E11F87" w:rsidRDefault="00E11F87" w:rsidP="003E47E9">
            <w:pPr>
              <w:pStyle w:val="Tabletext"/>
              <w:rPr>
                <w:lang w:val="fr-CH"/>
              </w:rPr>
            </w:pPr>
            <w:r w:rsidRPr="00E11F87">
              <w:rPr>
                <w:lang w:val="fr-CH"/>
              </w:rPr>
              <w:t>Création d'un Groupe de travail du Conseil sur l'administration et la gestion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IAP/63A1/7</w:t>
            </w:r>
          </w:p>
        </w:tc>
        <w:tc>
          <w:tcPr>
            <w:tcW w:w="864" w:type="dxa"/>
            <w:noWrap/>
            <w:hideMark/>
          </w:tcPr>
          <w:p w:rsidR="006836B6" w:rsidRPr="00671DC3" w:rsidRDefault="006836B6" w:rsidP="003E47E9">
            <w:pPr>
              <w:pStyle w:val="Tabletext"/>
              <w:jc w:val="center"/>
            </w:pPr>
            <w:r>
              <w:t>ADD</w:t>
            </w:r>
          </w:p>
        </w:tc>
        <w:tc>
          <w:tcPr>
            <w:tcW w:w="2977" w:type="dxa"/>
            <w:noWrap/>
            <w:hideMark/>
          </w:tcPr>
          <w:p w:rsidR="006836B6" w:rsidRPr="00671DC3" w:rsidRDefault="006836B6" w:rsidP="003E47E9">
            <w:pPr>
              <w:pStyle w:val="Tabletext"/>
            </w:pPr>
            <w:r>
              <w:t>R</w:t>
            </w:r>
            <w:r w:rsidR="00E11F87">
              <w:t>G</w:t>
            </w:r>
            <w:r>
              <w:t xml:space="preserve"> </w:t>
            </w:r>
            <w:r w:rsidRPr="00671DC3">
              <w:t>178</w:t>
            </w:r>
            <w:r>
              <w:t>A</w:t>
            </w:r>
          </w:p>
        </w:tc>
        <w:tc>
          <w:tcPr>
            <w:tcW w:w="5244" w:type="dxa"/>
            <w:hideMark/>
          </w:tcPr>
          <w:p w:rsidR="006836B6" w:rsidRPr="00E11F87" w:rsidRDefault="00E11F87" w:rsidP="003E47E9">
            <w:pPr>
              <w:pStyle w:val="Tabletext"/>
              <w:rPr>
                <w:lang w:val="fr-CH"/>
              </w:rPr>
            </w:pPr>
            <w:r w:rsidRPr="00E11F87">
              <w:rPr>
                <w:lang w:val="fr-CH"/>
              </w:rPr>
              <w:t>Règles de procédure applicables à l'</w:t>
            </w:r>
            <w:r w:rsidR="00B456C1">
              <w:rPr>
                <w:lang w:val="fr-CH"/>
              </w:rPr>
              <w:t xml:space="preserve">élection du Secrétaire général </w:t>
            </w:r>
            <w:r w:rsidRPr="00E11F87">
              <w:rPr>
                <w:lang w:val="fr-CH"/>
              </w:rPr>
              <w:t>et des Directeurs des Bureaux des Secteurs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IAP/63A1/8</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146</w:t>
            </w:r>
          </w:p>
        </w:tc>
        <w:tc>
          <w:tcPr>
            <w:tcW w:w="5244" w:type="dxa"/>
            <w:hideMark/>
          </w:tcPr>
          <w:p w:rsidR="006836B6" w:rsidRPr="00E11F87" w:rsidRDefault="00E11F87" w:rsidP="003E47E9">
            <w:pPr>
              <w:pStyle w:val="Tabletext"/>
              <w:rPr>
                <w:lang w:val="fr-CH"/>
              </w:rPr>
            </w:pPr>
            <w:r w:rsidRPr="00E11F87">
              <w:rPr>
                <w:lang w:val="fr-CH"/>
              </w:rPr>
              <w:t>Examen et révision périodiques du Règlement des télécommunications internationales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IAP/63A1/9</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66</w:t>
            </w:r>
          </w:p>
        </w:tc>
        <w:tc>
          <w:tcPr>
            <w:tcW w:w="5244" w:type="dxa"/>
            <w:hideMark/>
          </w:tcPr>
          <w:p w:rsidR="006836B6" w:rsidRPr="00E11F87" w:rsidRDefault="00E11F87" w:rsidP="003E47E9">
            <w:pPr>
              <w:pStyle w:val="Tabletext"/>
              <w:rPr>
                <w:lang w:val="fr-CH"/>
              </w:rPr>
            </w:pPr>
            <w:r w:rsidRPr="00E11F87">
              <w:rPr>
                <w:lang w:val="fr-CH"/>
              </w:rPr>
              <w:t>Documents et publications de l'Union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IAP/63A1/10</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157</w:t>
            </w:r>
          </w:p>
        </w:tc>
        <w:tc>
          <w:tcPr>
            <w:tcW w:w="5244" w:type="dxa"/>
            <w:hideMark/>
          </w:tcPr>
          <w:p w:rsidR="006836B6" w:rsidRPr="00E11F87" w:rsidRDefault="00E11F87" w:rsidP="003E47E9">
            <w:pPr>
              <w:pStyle w:val="Tabletext"/>
              <w:rPr>
                <w:lang w:val="fr-CH"/>
              </w:rPr>
            </w:pPr>
            <w:r w:rsidRPr="00E11F87">
              <w:rPr>
                <w:lang w:val="fr-CH"/>
              </w:rPr>
              <w:t>Renforcer les fonctions d'exécution et de suivi de projets à l'UIT</w:t>
            </w:r>
          </w:p>
        </w:tc>
      </w:tr>
      <w:tr w:rsidR="006836B6" w:rsidRPr="00076DA8" w:rsidTr="006F5597">
        <w:trPr>
          <w:cantSplit/>
        </w:trPr>
        <w:tc>
          <w:tcPr>
            <w:tcW w:w="1405" w:type="dxa"/>
            <w:noWrap/>
            <w:hideMark/>
          </w:tcPr>
          <w:p w:rsidR="006836B6" w:rsidRPr="006836B6" w:rsidRDefault="006836B6" w:rsidP="003E47E9">
            <w:pPr>
              <w:pStyle w:val="Tabletext"/>
              <w:rPr>
                <w:b/>
              </w:rPr>
            </w:pPr>
            <w:r w:rsidRPr="006836B6">
              <w:rPr>
                <w:b/>
              </w:rPr>
              <w:t>IAP/63A1/11</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E11F87" w:rsidP="003E47E9">
            <w:pPr>
              <w:pStyle w:val="Tabletext"/>
            </w:pPr>
            <w:r>
              <w:t>DÉ</w:t>
            </w:r>
            <w:r w:rsidRPr="00671DC3">
              <w:t xml:space="preserve">CISION </w:t>
            </w:r>
            <w:r w:rsidR="006836B6" w:rsidRPr="00671DC3">
              <w:t>13</w:t>
            </w:r>
          </w:p>
        </w:tc>
        <w:tc>
          <w:tcPr>
            <w:tcW w:w="5244" w:type="dxa"/>
            <w:hideMark/>
          </w:tcPr>
          <w:p w:rsidR="006836B6" w:rsidRPr="00076DA8" w:rsidRDefault="00076DA8" w:rsidP="003E47E9">
            <w:pPr>
              <w:pStyle w:val="Tabletext"/>
              <w:rPr>
                <w:lang w:val="fr-CH"/>
              </w:rPr>
            </w:pPr>
            <w:r w:rsidRPr="00076DA8">
              <w:rPr>
                <w:lang w:val="fr-CH"/>
              </w:rPr>
              <w:t>Mécanisme de suivi des programmes et projets de l'UIT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IAP/63A1/12</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6836B6" w:rsidP="003E47E9">
            <w:pPr>
              <w:pStyle w:val="Tabletext"/>
            </w:pPr>
            <w:r>
              <w:t>RÉ</w:t>
            </w:r>
            <w:r w:rsidRPr="00671DC3">
              <w:t>SOLUTION 135</w:t>
            </w:r>
          </w:p>
        </w:tc>
        <w:tc>
          <w:tcPr>
            <w:tcW w:w="5244" w:type="dxa"/>
            <w:hideMark/>
          </w:tcPr>
          <w:p w:rsidR="006836B6" w:rsidRPr="00E11F87" w:rsidRDefault="00E11F87" w:rsidP="00557959">
            <w:pPr>
              <w:pStyle w:val="Tabletext"/>
              <w:rPr>
                <w:lang w:val="fr-CH"/>
              </w:rPr>
            </w:pPr>
            <w:r w:rsidRPr="00E11F87">
              <w:rPr>
                <w:lang w:val="fr-CH"/>
              </w:rPr>
              <w:t>Rôle de l'UIT dans le développement des télécommunications et des technologies de l'information et de la communication, dans la fourniture d'une assistance technique et d'avis aux pays en développement et dans la mise en oeuvre de projets nationaux, régionaux et interrégionaux</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IAP/63A1/13</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203</w:t>
            </w:r>
          </w:p>
        </w:tc>
        <w:tc>
          <w:tcPr>
            <w:tcW w:w="5244" w:type="dxa"/>
            <w:hideMark/>
          </w:tcPr>
          <w:p w:rsidR="006836B6" w:rsidRPr="00671DC3" w:rsidRDefault="00E11F87" w:rsidP="003E47E9">
            <w:pPr>
              <w:pStyle w:val="Tabletext"/>
            </w:pPr>
            <w:r w:rsidRPr="00E11F87">
              <w:t>Connectivité aux réseaux large bande</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IAP/63A1/14</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B456C1" w:rsidP="003E47E9">
            <w:pPr>
              <w:pStyle w:val="Tabletext"/>
            </w:pPr>
            <w:r w:rsidRPr="00563877">
              <w:t xml:space="preserve">PROJET DE NOUVELLE </w:t>
            </w:r>
            <w:r w:rsidR="00E11F87">
              <w:t>DÉ</w:t>
            </w:r>
            <w:r w:rsidR="00E11F87" w:rsidRPr="00671DC3">
              <w:t xml:space="preserve">CISION </w:t>
            </w:r>
            <w:r w:rsidR="006836B6" w:rsidRPr="00671DC3">
              <w:t>[IAP-3]</w:t>
            </w:r>
          </w:p>
        </w:tc>
        <w:tc>
          <w:tcPr>
            <w:tcW w:w="5244" w:type="dxa"/>
            <w:hideMark/>
          </w:tcPr>
          <w:p w:rsidR="006836B6" w:rsidRPr="00563877" w:rsidRDefault="00563877" w:rsidP="003E47E9">
            <w:pPr>
              <w:pStyle w:val="Tabletext"/>
              <w:rPr>
                <w:lang w:val="fr-CH"/>
              </w:rPr>
            </w:pPr>
            <w:r w:rsidRPr="00563877">
              <w:rPr>
                <w:lang w:val="fr-CH"/>
              </w:rPr>
              <w:t>Refus, de la part de l'UIT, d'assumer le rôle d'Autorité de surveillance du système international d'inscription pour les biens spatiaux conformément au Protocole portant sur les biens spatiaux</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IAP/63A1/15</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6836B6" w:rsidP="003E47E9">
            <w:pPr>
              <w:pStyle w:val="Tabletext"/>
            </w:pPr>
            <w:r>
              <w:t>RÉ</w:t>
            </w:r>
            <w:r w:rsidRPr="00671DC3">
              <w:t>SOLUTION 89</w:t>
            </w:r>
          </w:p>
        </w:tc>
        <w:tc>
          <w:tcPr>
            <w:tcW w:w="5244" w:type="dxa"/>
            <w:hideMark/>
          </w:tcPr>
          <w:p w:rsidR="006836B6" w:rsidRPr="00E11F87" w:rsidRDefault="00E11F87" w:rsidP="003E47E9">
            <w:pPr>
              <w:pStyle w:val="Tabletext"/>
              <w:rPr>
                <w:lang w:val="fr-CH"/>
              </w:rPr>
            </w:pPr>
            <w:r w:rsidRPr="00E11F87">
              <w:rPr>
                <w:lang w:val="fr-CH"/>
              </w:rPr>
              <w:t>Faire face à l'utilisation décroissante du service télex international</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IAP/63A1/16</w:t>
            </w:r>
          </w:p>
        </w:tc>
        <w:tc>
          <w:tcPr>
            <w:tcW w:w="864" w:type="dxa"/>
            <w:noWrap/>
            <w:hideMark/>
          </w:tcPr>
          <w:p w:rsidR="006836B6" w:rsidRPr="00671DC3" w:rsidRDefault="006836B6" w:rsidP="003E47E9">
            <w:pPr>
              <w:pStyle w:val="Tabletext"/>
              <w:jc w:val="center"/>
              <w:rPr>
                <w:u w:val="single"/>
              </w:rPr>
            </w:pPr>
            <w:r w:rsidRPr="00671DC3">
              <w:rPr>
                <w:u w:val="single"/>
              </w:rPr>
              <w:t>NOC</w:t>
            </w:r>
          </w:p>
        </w:tc>
        <w:tc>
          <w:tcPr>
            <w:tcW w:w="2977" w:type="dxa"/>
            <w:noWrap/>
            <w:hideMark/>
          </w:tcPr>
          <w:p w:rsidR="006836B6" w:rsidRPr="00671DC3" w:rsidRDefault="006836B6" w:rsidP="003E47E9">
            <w:pPr>
              <w:pStyle w:val="Tabletext"/>
            </w:pPr>
            <w:r>
              <w:t>RÉ</w:t>
            </w:r>
            <w:r w:rsidRPr="00671DC3">
              <w:t>SOLUTION 119</w:t>
            </w:r>
          </w:p>
        </w:tc>
        <w:tc>
          <w:tcPr>
            <w:tcW w:w="5244" w:type="dxa"/>
            <w:hideMark/>
          </w:tcPr>
          <w:p w:rsidR="006836B6" w:rsidRPr="00E11F87" w:rsidRDefault="00E11F87" w:rsidP="003E47E9">
            <w:pPr>
              <w:pStyle w:val="Tabletext"/>
              <w:rPr>
                <w:lang w:val="fr-CH"/>
              </w:rPr>
            </w:pPr>
            <w:r w:rsidRPr="00E11F87">
              <w:rPr>
                <w:lang w:val="fr-CH"/>
              </w:rPr>
              <w:t>Méthodes visant à accroître l'efficacité et l'efficience du Comité du Règlement des radiocommunications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IAP/63A1/17</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136</w:t>
            </w:r>
          </w:p>
        </w:tc>
        <w:tc>
          <w:tcPr>
            <w:tcW w:w="5244" w:type="dxa"/>
            <w:hideMark/>
          </w:tcPr>
          <w:p w:rsidR="006836B6" w:rsidRPr="00E11F87" w:rsidRDefault="00E11F87" w:rsidP="003E47E9">
            <w:pPr>
              <w:pStyle w:val="Tabletext"/>
              <w:rPr>
                <w:lang w:val="fr-CH"/>
              </w:rPr>
            </w:pPr>
            <w:r w:rsidRPr="00E11F87">
              <w:rPr>
                <w:lang w:val="fr-CH"/>
              </w:rPr>
              <w:t>Utilisation des télécommunications/technologies de l'information et de la communication dans le contrôle et la gestion des situations d'urgence et de catastrophe pour l'alerte rapide, la prévention, l'atténuation des effets des catastrophes et les opérations de secours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IAP/63A1/18</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196</w:t>
            </w:r>
          </w:p>
        </w:tc>
        <w:tc>
          <w:tcPr>
            <w:tcW w:w="5244" w:type="dxa"/>
            <w:hideMark/>
          </w:tcPr>
          <w:p w:rsidR="006836B6" w:rsidRPr="00E11F87" w:rsidRDefault="00E11F87" w:rsidP="003E47E9">
            <w:pPr>
              <w:pStyle w:val="Tabletext"/>
              <w:rPr>
                <w:lang w:val="fr-CH"/>
              </w:rPr>
            </w:pPr>
            <w:r w:rsidRPr="00E11F87">
              <w:rPr>
                <w:lang w:val="fr-CH"/>
              </w:rPr>
              <w:t>Protection des utilisateurs/consommateurs de services de télécommunication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IAP/63A1/19</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198</w:t>
            </w:r>
          </w:p>
        </w:tc>
        <w:tc>
          <w:tcPr>
            <w:tcW w:w="5244" w:type="dxa"/>
            <w:hideMark/>
          </w:tcPr>
          <w:p w:rsidR="006836B6" w:rsidRPr="00E11F87" w:rsidRDefault="00E11F87" w:rsidP="003E47E9">
            <w:pPr>
              <w:pStyle w:val="Tabletext"/>
              <w:rPr>
                <w:lang w:val="fr-CH"/>
              </w:rPr>
            </w:pPr>
            <w:r w:rsidRPr="00E11F87">
              <w:rPr>
                <w:lang w:val="fr-CH"/>
              </w:rPr>
              <w:t>Autonomisation des jeunes au moyen des télécommunications et des technologies de l'information et de la communication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IAP/63A1/20</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2</w:t>
            </w:r>
          </w:p>
        </w:tc>
        <w:tc>
          <w:tcPr>
            <w:tcW w:w="5244" w:type="dxa"/>
            <w:hideMark/>
          </w:tcPr>
          <w:p w:rsidR="006836B6" w:rsidRPr="00E11F87" w:rsidRDefault="00E11F87" w:rsidP="003E47E9">
            <w:pPr>
              <w:pStyle w:val="Tabletext"/>
              <w:rPr>
                <w:lang w:val="fr-CH"/>
              </w:rPr>
            </w:pPr>
            <w:r w:rsidRPr="00E11F87">
              <w:rPr>
                <w:lang w:val="fr-CH"/>
              </w:rPr>
              <w:t>Forum mondial des politiques de télécommunication et des technologies de l'information et des communications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IAP/63A1/21</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154</w:t>
            </w:r>
          </w:p>
        </w:tc>
        <w:tc>
          <w:tcPr>
            <w:tcW w:w="5244" w:type="dxa"/>
            <w:hideMark/>
          </w:tcPr>
          <w:p w:rsidR="006836B6" w:rsidRPr="00E11F87" w:rsidRDefault="00E11F87" w:rsidP="003E47E9">
            <w:pPr>
              <w:pStyle w:val="Tabletext"/>
              <w:rPr>
                <w:lang w:val="fr-CH"/>
              </w:rPr>
            </w:pPr>
            <w:r w:rsidRPr="00E11F87">
              <w:rPr>
                <w:lang w:val="fr-CH"/>
              </w:rPr>
              <w:t>Utilisation des six langues officielles de l'Union sur un pied d'égalité</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IAP/63A1/22</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72</w:t>
            </w:r>
          </w:p>
        </w:tc>
        <w:tc>
          <w:tcPr>
            <w:tcW w:w="5244" w:type="dxa"/>
            <w:hideMark/>
          </w:tcPr>
          <w:p w:rsidR="006836B6" w:rsidRPr="00E11F87" w:rsidRDefault="00E11F87" w:rsidP="003E47E9">
            <w:pPr>
              <w:pStyle w:val="Tabletext"/>
              <w:rPr>
                <w:lang w:val="fr-CH"/>
              </w:rPr>
            </w:pPr>
            <w:r w:rsidRPr="00E11F87">
              <w:rPr>
                <w:lang w:val="fr-CH"/>
              </w:rPr>
              <w:t>Coordination des planifications stratégique, financière et opérationnelle à l'UIT</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IAP/63A1/23</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DÉCISION </w:t>
            </w:r>
            <w:r w:rsidR="006836B6" w:rsidRPr="00671DC3">
              <w:t>[IAP-2]</w:t>
            </w:r>
          </w:p>
        </w:tc>
        <w:tc>
          <w:tcPr>
            <w:tcW w:w="5244" w:type="dxa"/>
            <w:hideMark/>
          </w:tcPr>
          <w:p w:rsidR="006836B6" w:rsidRPr="00563877" w:rsidRDefault="00563877" w:rsidP="003E47E9">
            <w:pPr>
              <w:pStyle w:val="Tabletext"/>
              <w:rPr>
                <w:lang w:val="fr-CH"/>
              </w:rPr>
            </w:pPr>
            <w:r w:rsidRPr="00563877">
              <w:rPr>
                <w:lang w:val="fr-CH"/>
              </w:rPr>
              <w:t>Elaboration des procédures pour les auditions des candidats aux postes de fonctionnaires élus et lignes directrices de l'UIT en matière d'éthique applicables aux activités susceptibles d'être menées dans le cadre de la campagne électorale précédant les Conférences de plénipotentiaires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IAP/63A1/24</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77</w:t>
            </w:r>
          </w:p>
        </w:tc>
        <w:tc>
          <w:tcPr>
            <w:tcW w:w="5244" w:type="dxa"/>
            <w:hideMark/>
          </w:tcPr>
          <w:p w:rsidR="006836B6" w:rsidRPr="00E11F87" w:rsidRDefault="00E11F87" w:rsidP="003E47E9">
            <w:pPr>
              <w:pStyle w:val="Tabletext"/>
              <w:rPr>
                <w:lang w:val="fr-CH"/>
              </w:rPr>
            </w:pPr>
            <w:r w:rsidRPr="00E11F87">
              <w:rPr>
                <w:lang w:val="fr-CH"/>
              </w:rPr>
              <w:t>Planification et durée des conférences, forums, assemblées et sessions du Conseil de l'Union (2019</w:t>
            </w:r>
            <w:r>
              <w:rPr>
                <w:lang w:val="fr-CH"/>
              </w:rPr>
              <w:noBreakHyphen/>
            </w:r>
            <w:r w:rsidRPr="00E11F87">
              <w:rPr>
                <w:lang w:val="fr-CH"/>
              </w:rPr>
              <w:t>2023)</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IAP/63A1/25</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6836B6" w:rsidP="003E47E9">
            <w:pPr>
              <w:pStyle w:val="Tabletext"/>
            </w:pPr>
            <w:r>
              <w:t>RÉ</w:t>
            </w:r>
            <w:r w:rsidRPr="00671DC3">
              <w:t>SOLUTION 111</w:t>
            </w:r>
          </w:p>
        </w:tc>
        <w:tc>
          <w:tcPr>
            <w:tcW w:w="5244" w:type="dxa"/>
            <w:hideMark/>
          </w:tcPr>
          <w:p w:rsidR="006836B6" w:rsidRPr="00E11F87" w:rsidRDefault="00E11F87" w:rsidP="003E47E9">
            <w:pPr>
              <w:pStyle w:val="Tabletext"/>
              <w:rPr>
                <w:lang w:val="fr-CH"/>
              </w:rPr>
            </w:pPr>
            <w:r w:rsidRPr="00E11F87">
              <w:rPr>
                <w:lang w:val="fr-CH"/>
              </w:rPr>
              <w:t>Prise en compte des grandes fêtes religieuses dans la planification des conférences, des assemblées et des sessions du Conseil de l'UIT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IAP/63A1/26</w:t>
            </w:r>
          </w:p>
        </w:tc>
        <w:tc>
          <w:tcPr>
            <w:tcW w:w="864" w:type="dxa"/>
            <w:noWrap/>
            <w:hideMark/>
          </w:tcPr>
          <w:p w:rsidR="006836B6" w:rsidRPr="00671DC3" w:rsidRDefault="006836B6" w:rsidP="003E47E9">
            <w:pPr>
              <w:pStyle w:val="Tabletext"/>
              <w:jc w:val="center"/>
              <w:rPr>
                <w:u w:val="single"/>
              </w:rPr>
            </w:pPr>
            <w:r w:rsidRPr="00671DC3">
              <w:rPr>
                <w:u w:val="single"/>
              </w:rPr>
              <w:t>NOC</w:t>
            </w:r>
          </w:p>
        </w:tc>
        <w:tc>
          <w:tcPr>
            <w:tcW w:w="2977" w:type="dxa"/>
            <w:noWrap/>
            <w:hideMark/>
          </w:tcPr>
          <w:p w:rsidR="006836B6" w:rsidRPr="00671DC3" w:rsidRDefault="006836B6" w:rsidP="003E47E9">
            <w:pPr>
              <w:pStyle w:val="Tabletext"/>
            </w:pPr>
            <w:r>
              <w:t>RÉ</w:t>
            </w:r>
            <w:r w:rsidRPr="00671DC3">
              <w:t>SOLUTION 152</w:t>
            </w:r>
          </w:p>
        </w:tc>
        <w:tc>
          <w:tcPr>
            <w:tcW w:w="5244" w:type="dxa"/>
            <w:hideMark/>
          </w:tcPr>
          <w:p w:rsidR="006836B6" w:rsidRPr="00E11F87" w:rsidRDefault="00E11F87" w:rsidP="003E47E9">
            <w:pPr>
              <w:pStyle w:val="Tabletext"/>
              <w:rPr>
                <w:lang w:val="fr-CH"/>
              </w:rPr>
            </w:pPr>
            <w:r w:rsidRPr="00E11F87">
              <w:rPr>
                <w:lang w:val="fr-CH"/>
              </w:rPr>
              <w:t>Amélioration de la gestion et du suivi de la contribution des Membres des Secteurs et des Associés aux dépenses de l'UIT</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IAP/63A1/27</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RÉSOLUTION </w:t>
            </w:r>
            <w:r w:rsidR="006836B6" w:rsidRPr="00671DC3">
              <w:t>[IAP-1]</w:t>
            </w:r>
          </w:p>
        </w:tc>
        <w:tc>
          <w:tcPr>
            <w:tcW w:w="5244" w:type="dxa"/>
            <w:hideMark/>
          </w:tcPr>
          <w:p w:rsidR="006836B6" w:rsidRPr="00671DC3" w:rsidRDefault="00563877" w:rsidP="003E47E9">
            <w:pPr>
              <w:pStyle w:val="Tabletext"/>
            </w:pPr>
            <w:r w:rsidRPr="00563877">
              <w:t>Le journal de l'UIT: à la découverte des TIC</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IAP/63A1/28</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175</w:t>
            </w:r>
          </w:p>
        </w:tc>
        <w:tc>
          <w:tcPr>
            <w:tcW w:w="5244" w:type="dxa"/>
            <w:hideMark/>
          </w:tcPr>
          <w:p w:rsidR="006836B6" w:rsidRPr="00E11F87" w:rsidRDefault="00E11F87" w:rsidP="003E47E9">
            <w:pPr>
              <w:pStyle w:val="Tabletext"/>
              <w:rPr>
                <w:lang w:val="fr-CH"/>
              </w:rPr>
            </w:pPr>
            <w:r w:rsidRPr="00E11F87">
              <w:rPr>
                <w:lang w:val="fr-CH"/>
              </w:rPr>
              <w:t>Accessibilité des télécommunications/technologies de l'information et de la communication pour les personnes handicapées et les personnes ayant des besoins particuliers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IAP/63A1/29</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151</w:t>
            </w:r>
          </w:p>
        </w:tc>
        <w:tc>
          <w:tcPr>
            <w:tcW w:w="5244" w:type="dxa"/>
            <w:hideMark/>
          </w:tcPr>
          <w:p w:rsidR="006836B6" w:rsidRPr="00E11F87" w:rsidRDefault="00E11F87" w:rsidP="003E47E9">
            <w:pPr>
              <w:pStyle w:val="Tabletext"/>
              <w:rPr>
                <w:lang w:val="fr-CH"/>
              </w:rPr>
            </w:pPr>
            <w:r w:rsidRPr="00E11F87">
              <w:rPr>
                <w:lang w:val="fr-CH"/>
              </w:rPr>
              <w:t>Amélioration de la gestion axée sur les résultats à l'UIT</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IAP/63A1/30</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E11F87" w:rsidP="003E47E9">
            <w:pPr>
              <w:pStyle w:val="Tabletext"/>
            </w:pPr>
            <w:r>
              <w:t>DÉ</w:t>
            </w:r>
            <w:r w:rsidRPr="00671DC3">
              <w:t xml:space="preserve">CISION </w:t>
            </w:r>
            <w:r w:rsidR="006836B6" w:rsidRPr="00671DC3">
              <w:t>5</w:t>
            </w:r>
          </w:p>
        </w:tc>
        <w:tc>
          <w:tcPr>
            <w:tcW w:w="5244" w:type="dxa"/>
            <w:hideMark/>
          </w:tcPr>
          <w:p w:rsidR="006836B6" w:rsidRPr="00563877" w:rsidRDefault="00563877" w:rsidP="003E47E9">
            <w:pPr>
              <w:pStyle w:val="Tabletext"/>
              <w:rPr>
                <w:lang w:val="fr-CH"/>
              </w:rPr>
            </w:pPr>
            <w:r w:rsidRPr="00563877">
              <w:rPr>
                <w:lang w:val="fr-CH"/>
              </w:rPr>
              <w:t>Produits et charges de l'Union pour la période</w:t>
            </w:r>
            <w:r>
              <w:rPr>
                <w:lang w:val="fr-CH"/>
              </w:rPr>
              <w:t> </w:t>
            </w:r>
            <w:r w:rsidRPr="00563877">
              <w:rPr>
                <w:lang w:val="fr-CH"/>
              </w:rPr>
              <w:t>2020</w:t>
            </w:r>
            <w:r>
              <w:rPr>
                <w:lang w:val="fr-CH"/>
              </w:rPr>
              <w:noBreakHyphen/>
            </w:r>
            <w:r w:rsidRPr="00563877">
              <w:rPr>
                <w:lang w:val="fr-CH"/>
              </w:rPr>
              <w:t>2023</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IAP/63A1/31</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189</w:t>
            </w:r>
          </w:p>
        </w:tc>
        <w:tc>
          <w:tcPr>
            <w:tcW w:w="5244" w:type="dxa"/>
            <w:hideMark/>
          </w:tcPr>
          <w:p w:rsidR="006836B6" w:rsidRPr="00E11F87" w:rsidRDefault="00E11F87" w:rsidP="003E47E9">
            <w:pPr>
              <w:pStyle w:val="Tabletext"/>
              <w:rPr>
                <w:lang w:val="fr-CH"/>
              </w:rPr>
            </w:pPr>
            <w:r w:rsidRPr="00E11F87">
              <w:rPr>
                <w:lang w:val="fr-CH"/>
              </w:rPr>
              <w:t>Aider les Etats Membres à lutter contre le vol de dispositifs mobiles et à prévenir ce phénomène</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IAP/63A1/32</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177</w:t>
            </w:r>
          </w:p>
        </w:tc>
        <w:tc>
          <w:tcPr>
            <w:tcW w:w="5244" w:type="dxa"/>
            <w:hideMark/>
          </w:tcPr>
          <w:p w:rsidR="006836B6" w:rsidRPr="00671DC3" w:rsidRDefault="00E11F87" w:rsidP="003E47E9">
            <w:pPr>
              <w:pStyle w:val="Tabletext"/>
            </w:pPr>
            <w:r w:rsidRPr="00E11F87">
              <w:t>Conformité et interopérabilité</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IAP/63A1/33</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102</w:t>
            </w:r>
          </w:p>
        </w:tc>
        <w:tc>
          <w:tcPr>
            <w:tcW w:w="5244" w:type="dxa"/>
            <w:hideMark/>
          </w:tcPr>
          <w:p w:rsidR="006836B6" w:rsidRPr="00E11F87" w:rsidRDefault="00E11F87" w:rsidP="003E47E9">
            <w:pPr>
              <w:pStyle w:val="Tabletext"/>
              <w:rPr>
                <w:lang w:val="fr-CH"/>
              </w:rPr>
            </w:pPr>
            <w:r w:rsidRPr="00E11F87">
              <w:rPr>
                <w:lang w:val="fr-CH"/>
              </w:rPr>
              <w:t>Rôle de l'UIT concernant les questions de politiques publiques internationales ayant trait à l'Internet et à la gestion des ressources de l'Internet, y compris les noms de domaine et les adresses</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IAP/63A1/34</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180</w:t>
            </w:r>
          </w:p>
        </w:tc>
        <w:tc>
          <w:tcPr>
            <w:tcW w:w="5244" w:type="dxa"/>
            <w:hideMark/>
          </w:tcPr>
          <w:p w:rsidR="006836B6" w:rsidRPr="00E11F87" w:rsidRDefault="00E11F87" w:rsidP="003E47E9">
            <w:pPr>
              <w:pStyle w:val="Tabletext"/>
              <w:rPr>
                <w:lang w:val="fr-CH"/>
              </w:rPr>
            </w:pPr>
            <w:r w:rsidRPr="00E11F87">
              <w:rPr>
                <w:lang w:val="fr-CH"/>
              </w:rPr>
              <w:t xml:space="preserve">Faciliter </w:t>
            </w:r>
            <w:r>
              <w:rPr>
                <w:lang w:val="fr-CH"/>
              </w:rPr>
              <w:t>l</w:t>
            </w:r>
            <w:r w:rsidRPr="00E11F87">
              <w:rPr>
                <w:lang w:val="fr-CH"/>
              </w:rPr>
              <w:t>e déploiement et l'adoption du protocole IPv6</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IAP/63A1/35</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130</w:t>
            </w:r>
          </w:p>
        </w:tc>
        <w:tc>
          <w:tcPr>
            <w:tcW w:w="5244" w:type="dxa"/>
            <w:hideMark/>
          </w:tcPr>
          <w:p w:rsidR="006836B6" w:rsidRPr="00E11F87" w:rsidRDefault="00E11F87" w:rsidP="003E47E9">
            <w:pPr>
              <w:pStyle w:val="Tabletext"/>
              <w:rPr>
                <w:lang w:val="fr-CH"/>
              </w:rPr>
            </w:pPr>
            <w:r w:rsidRPr="00E11F87">
              <w:rPr>
                <w:lang w:val="fr-CH"/>
              </w:rPr>
              <w:t>Renforcement du rôle de l'UIT dans l'instauration de la confiance et de la sécurité dans l'utilisation des technologies de l'information et de la communication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IAP/63A1/36</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131</w:t>
            </w:r>
          </w:p>
        </w:tc>
        <w:tc>
          <w:tcPr>
            <w:tcW w:w="5244" w:type="dxa"/>
            <w:hideMark/>
          </w:tcPr>
          <w:p w:rsidR="006836B6" w:rsidRPr="00E11F87" w:rsidRDefault="00E11F87" w:rsidP="003E47E9">
            <w:pPr>
              <w:pStyle w:val="Tabletext"/>
              <w:rPr>
                <w:lang w:val="fr-CH"/>
              </w:rPr>
            </w:pPr>
            <w:r w:rsidRPr="00E11F87">
              <w:rPr>
                <w:lang w:val="fr-CH"/>
              </w:rPr>
              <w:t>Mesurer les technologies de l'information et de la communication pour édifier une société de l'information inclusive et qui facilite l'intégration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IAP/63A1/37</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70</w:t>
            </w:r>
          </w:p>
        </w:tc>
        <w:tc>
          <w:tcPr>
            <w:tcW w:w="5244" w:type="dxa"/>
            <w:hideMark/>
          </w:tcPr>
          <w:p w:rsidR="006836B6" w:rsidRPr="00E11F87" w:rsidRDefault="00E11F87" w:rsidP="003E47E9">
            <w:pPr>
              <w:pStyle w:val="Tabletext"/>
              <w:rPr>
                <w:lang w:val="fr-CH"/>
              </w:rPr>
            </w:pPr>
            <w:r w:rsidRPr="00E11F87">
              <w:rPr>
                <w:lang w:val="fr-CH"/>
              </w:rPr>
              <w:t>Intégration du principe de l'égalité hommes/femmes à l'UIT, promotion de l'égalité hommes/femmes et autonomisation des femmes grâce aux technologies de l'information et de la communication</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IAP/63A1/38</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101</w:t>
            </w:r>
          </w:p>
        </w:tc>
        <w:tc>
          <w:tcPr>
            <w:tcW w:w="5244" w:type="dxa"/>
            <w:hideMark/>
          </w:tcPr>
          <w:p w:rsidR="006836B6" w:rsidRPr="00671DC3" w:rsidRDefault="00E11F87" w:rsidP="003E47E9">
            <w:pPr>
              <w:pStyle w:val="Tabletext"/>
            </w:pPr>
            <w:r w:rsidRPr="00E11F87">
              <w:t>Réseaux fondés sur le protocole Internet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IAP/63A1/39</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179</w:t>
            </w:r>
          </w:p>
        </w:tc>
        <w:tc>
          <w:tcPr>
            <w:tcW w:w="5244" w:type="dxa"/>
            <w:hideMark/>
          </w:tcPr>
          <w:p w:rsidR="006836B6" w:rsidRPr="00E11F87" w:rsidRDefault="00E11F87" w:rsidP="003E47E9">
            <w:pPr>
              <w:pStyle w:val="Tabletext"/>
              <w:rPr>
                <w:lang w:val="fr-CH"/>
              </w:rPr>
            </w:pPr>
            <w:r w:rsidRPr="00E11F87">
              <w:rPr>
                <w:lang w:val="fr-CH"/>
              </w:rPr>
              <w:t>Rôle de l'UIT dans la protection en ligne des enfants</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IAP/63A1/40</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RÉSOLUTION </w:t>
            </w:r>
            <w:r w:rsidR="006836B6" w:rsidRPr="00671DC3">
              <w:t>[IAP-2]</w:t>
            </w:r>
          </w:p>
        </w:tc>
        <w:tc>
          <w:tcPr>
            <w:tcW w:w="5244" w:type="dxa"/>
            <w:hideMark/>
          </w:tcPr>
          <w:p w:rsidR="006836B6" w:rsidRPr="00563877" w:rsidRDefault="00563877" w:rsidP="003E47E9">
            <w:pPr>
              <w:pStyle w:val="Tabletext"/>
              <w:rPr>
                <w:lang w:val="fr-CH"/>
              </w:rPr>
            </w:pPr>
            <w:r w:rsidRPr="00563877">
              <w:rPr>
                <w:lang w:val="fr-CH"/>
              </w:rPr>
              <w:t>Mesures visant à améliorer, à promouvoir et à renforcer l'octroi de bourses de l'UIT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IAP/63A1/41</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166</w:t>
            </w:r>
          </w:p>
        </w:tc>
        <w:tc>
          <w:tcPr>
            <w:tcW w:w="5244" w:type="dxa"/>
            <w:hideMark/>
          </w:tcPr>
          <w:p w:rsidR="006836B6" w:rsidRPr="00E11F87" w:rsidRDefault="00E11F87" w:rsidP="003E47E9">
            <w:pPr>
              <w:pStyle w:val="Tabletext"/>
              <w:rPr>
                <w:lang w:val="fr-CH"/>
              </w:rPr>
            </w:pPr>
            <w:r w:rsidRPr="00E11F87">
              <w:rPr>
                <w:lang w:val="fr-CH"/>
              </w:rPr>
              <w:t>Nombre de vice-présidents des groupes consultatifs, des commissions d'études, des groupes de travail et des autres groupes des Secteurs</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IAP/63A1/42</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RÉSOLUTION </w:t>
            </w:r>
            <w:r w:rsidR="006836B6" w:rsidRPr="00671DC3">
              <w:t>[IAP-3]</w:t>
            </w:r>
          </w:p>
        </w:tc>
        <w:tc>
          <w:tcPr>
            <w:tcW w:w="5244" w:type="dxa"/>
            <w:hideMark/>
          </w:tcPr>
          <w:p w:rsidR="006836B6" w:rsidRPr="00671DC3" w:rsidRDefault="00563877" w:rsidP="003E47E9">
            <w:pPr>
              <w:pStyle w:val="Tabletext"/>
            </w:pPr>
            <w:r w:rsidRPr="00563877">
              <w:t>Rationalisation des Résolutions de l'UIT</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IAP/63A1/43</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DÉCISION </w:t>
            </w:r>
            <w:r w:rsidR="006836B6" w:rsidRPr="00671DC3">
              <w:t>[IAP-4]</w:t>
            </w:r>
          </w:p>
        </w:tc>
        <w:tc>
          <w:tcPr>
            <w:tcW w:w="5244" w:type="dxa"/>
            <w:hideMark/>
          </w:tcPr>
          <w:p w:rsidR="006836B6" w:rsidRPr="00563877" w:rsidRDefault="00563877" w:rsidP="003E47E9">
            <w:pPr>
              <w:pStyle w:val="Tabletext"/>
              <w:rPr>
                <w:lang w:val="fr-CH"/>
              </w:rPr>
            </w:pPr>
            <w:r w:rsidRPr="00563877">
              <w:rPr>
                <w:lang w:val="fr-CH"/>
              </w:rPr>
              <w:t>Sixième Forum mondial des politiques de télécommunication/technologies de l'information et de la communication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IAP/63A1/44</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201</w:t>
            </w:r>
          </w:p>
        </w:tc>
        <w:tc>
          <w:tcPr>
            <w:tcW w:w="5244" w:type="dxa"/>
            <w:hideMark/>
          </w:tcPr>
          <w:p w:rsidR="006836B6" w:rsidRPr="00E11F87" w:rsidRDefault="00E11F87" w:rsidP="003E47E9">
            <w:pPr>
              <w:pStyle w:val="Tabletext"/>
              <w:rPr>
                <w:lang w:val="fr-CH"/>
              </w:rPr>
            </w:pPr>
            <w:r w:rsidRPr="00E11F87">
              <w:rPr>
                <w:lang w:val="fr-CH"/>
              </w:rPr>
              <w:t>Créer un environnement propice au déploiement et à l'utilisation des applications des technologies de l'information et de la communication</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IAP/63A1/45</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RÉSOLUTION </w:t>
            </w:r>
            <w:r w:rsidR="006836B6" w:rsidRPr="00671DC3">
              <w:t>[IAP-4]</w:t>
            </w:r>
          </w:p>
        </w:tc>
        <w:tc>
          <w:tcPr>
            <w:tcW w:w="5244" w:type="dxa"/>
            <w:hideMark/>
          </w:tcPr>
          <w:p w:rsidR="006836B6" w:rsidRPr="00563877" w:rsidRDefault="00563877" w:rsidP="003E47E9">
            <w:pPr>
              <w:pStyle w:val="Tabletext"/>
              <w:rPr>
                <w:lang w:val="fr-CH"/>
              </w:rPr>
            </w:pPr>
            <w:r w:rsidRPr="00563877">
              <w:rPr>
                <w:lang w:val="fr-CH"/>
              </w:rPr>
              <w:t>Participation de nouveaux acteurs à la réduction de la fracture numérique</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IAP/63A1/46</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197</w:t>
            </w:r>
          </w:p>
        </w:tc>
        <w:tc>
          <w:tcPr>
            <w:tcW w:w="5244" w:type="dxa"/>
            <w:hideMark/>
          </w:tcPr>
          <w:p w:rsidR="006836B6" w:rsidRPr="00E11F87" w:rsidRDefault="00E11F87" w:rsidP="003E47E9">
            <w:pPr>
              <w:pStyle w:val="Tabletext"/>
              <w:rPr>
                <w:lang w:val="fr-CH"/>
              </w:rPr>
            </w:pPr>
            <w:r w:rsidRPr="00E11F87">
              <w:rPr>
                <w:lang w:val="fr-CH"/>
              </w:rPr>
              <w:t>Faciliter l'avènement de l'Internet des objets dans la perspective d'un monde global interconnecté</w:t>
            </w:r>
          </w:p>
        </w:tc>
      </w:tr>
      <w:tr w:rsidR="006836B6" w:rsidRPr="00563877" w:rsidTr="006F5597">
        <w:trPr>
          <w:cantSplit/>
        </w:trPr>
        <w:tc>
          <w:tcPr>
            <w:tcW w:w="1405" w:type="dxa"/>
            <w:noWrap/>
            <w:hideMark/>
          </w:tcPr>
          <w:p w:rsidR="006836B6" w:rsidRPr="006836B6" w:rsidRDefault="006836B6" w:rsidP="003E47E9">
            <w:pPr>
              <w:pStyle w:val="Tabletext"/>
              <w:rPr>
                <w:b/>
              </w:rPr>
            </w:pPr>
            <w:r w:rsidRPr="006836B6">
              <w:rPr>
                <w:b/>
              </w:rPr>
              <w:t>IAP/63A1/47</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DÉCISION </w:t>
            </w:r>
            <w:r w:rsidR="006836B6" w:rsidRPr="00671DC3">
              <w:t>[IAP-5]</w:t>
            </w:r>
          </w:p>
        </w:tc>
        <w:tc>
          <w:tcPr>
            <w:tcW w:w="5244" w:type="dxa"/>
            <w:hideMark/>
          </w:tcPr>
          <w:p w:rsidR="006836B6" w:rsidRPr="00563877" w:rsidRDefault="00563877" w:rsidP="003E47E9">
            <w:pPr>
              <w:pStyle w:val="Tabletext"/>
              <w:rPr>
                <w:lang w:val="fr-CH"/>
              </w:rPr>
            </w:pPr>
            <w:r w:rsidRPr="00563877">
              <w:rPr>
                <w:lang w:val="fr-CH"/>
              </w:rPr>
              <w:t>Création de groupes régionaux des commissions d'études du Secteur de la normalisation des télécommunications de l'UIT</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IAP/63A1/48</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6836B6" w:rsidP="003E47E9">
            <w:pPr>
              <w:pStyle w:val="Tabletext"/>
            </w:pPr>
            <w:r>
              <w:t>RÉ</w:t>
            </w:r>
            <w:r w:rsidRPr="00671DC3">
              <w:t>SOLUTION 133</w:t>
            </w:r>
          </w:p>
        </w:tc>
        <w:tc>
          <w:tcPr>
            <w:tcW w:w="5244" w:type="dxa"/>
            <w:hideMark/>
          </w:tcPr>
          <w:p w:rsidR="006836B6" w:rsidRPr="00E11F87" w:rsidRDefault="00E11F87" w:rsidP="003E47E9">
            <w:pPr>
              <w:pStyle w:val="Tabletext"/>
              <w:rPr>
                <w:lang w:val="fr-CH"/>
              </w:rPr>
            </w:pPr>
            <w:r w:rsidRPr="00E11F87">
              <w:rPr>
                <w:lang w:val="fr-CH"/>
              </w:rPr>
              <w:t>Rôle des Administrations des Etats Membres dans la gestion de noms de domaine (multilingues) internationalisés</w:t>
            </w:r>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IAP/63A1/49</w:t>
            </w:r>
          </w:p>
        </w:tc>
        <w:tc>
          <w:tcPr>
            <w:tcW w:w="864" w:type="dxa"/>
            <w:noWrap/>
            <w:hideMark/>
          </w:tcPr>
          <w:p w:rsidR="006836B6" w:rsidRPr="00671DC3" w:rsidRDefault="006836B6" w:rsidP="003E47E9">
            <w:pPr>
              <w:pStyle w:val="Tabletext"/>
              <w:jc w:val="center"/>
            </w:pPr>
            <w:r w:rsidRPr="00671DC3">
              <w:t>MOD</w:t>
            </w:r>
          </w:p>
        </w:tc>
        <w:tc>
          <w:tcPr>
            <w:tcW w:w="2977" w:type="dxa"/>
            <w:noWrap/>
            <w:hideMark/>
          </w:tcPr>
          <w:p w:rsidR="006836B6" w:rsidRPr="00671DC3" w:rsidRDefault="00084F60" w:rsidP="003E47E9">
            <w:pPr>
              <w:pStyle w:val="Tabletext"/>
            </w:pPr>
            <w:r w:rsidRPr="00084F60">
              <w:t>ANNEXE 1 DE LA RÉSOLUTION</w:t>
            </w:r>
            <w:r>
              <w:t> </w:t>
            </w:r>
            <w:r w:rsidRPr="00084F60">
              <w:t>71</w:t>
            </w:r>
          </w:p>
        </w:tc>
        <w:tc>
          <w:tcPr>
            <w:tcW w:w="5244" w:type="dxa"/>
            <w:hideMark/>
          </w:tcPr>
          <w:p w:rsidR="006836B6" w:rsidRPr="00671DC3" w:rsidRDefault="00084F60" w:rsidP="003E47E9">
            <w:pPr>
              <w:pStyle w:val="Tabletext"/>
            </w:pPr>
            <w:r w:rsidRPr="00084F60">
              <w:t>Plan stratégique de l'UIT pour la période 2020-2023</w:t>
            </w:r>
          </w:p>
        </w:tc>
      </w:tr>
      <w:tr w:rsidR="006836B6" w:rsidRPr="00746CD3" w:rsidTr="006F5597">
        <w:trPr>
          <w:cantSplit/>
        </w:trPr>
        <w:tc>
          <w:tcPr>
            <w:tcW w:w="1405" w:type="dxa"/>
            <w:noWrap/>
            <w:hideMark/>
          </w:tcPr>
          <w:p w:rsidR="006836B6" w:rsidRPr="006836B6" w:rsidRDefault="006836B6" w:rsidP="003E47E9">
            <w:pPr>
              <w:pStyle w:val="Tabletext"/>
              <w:rPr>
                <w:b/>
              </w:rPr>
            </w:pPr>
            <w:r w:rsidRPr="006836B6">
              <w:rPr>
                <w:b/>
              </w:rPr>
              <w:t>IAP/63A1/50</w:t>
            </w:r>
          </w:p>
        </w:tc>
        <w:tc>
          <w:tcPr>
            <w:tcW w:w="864" w:type="dxa"/>
            <w:noWrap/>
            <w:hideMark/>
          </w:tcPr>
          <w:p w:rsidR="006836B6" w:rsidRPr="00671DC3" w:rsidRDefault="006836B6" w:rsidP="003E47E9">
            <w:pPr>
              <w:pStyle w:val="Tabletext"/>
              <w:jc w:val="center"/>
            </w:pPr>
            <w:r w:rsidRPr="00671DC3">
              <w:t>ADD</w:t>
            </w:r>
          </w:p>
        </w:tc>
        <w:tc>
          <w:tcPr>
            <w:tcW w:w="2977" w:type="dxa"/>
            <w:noWrap/>
            <w:hideMark/>
          </w:tcPr>
          <w:p w:rsidR="006836B6" w:rsidRPr="00671DC3" w:rsidRDefault="00563877" w:rsidP="003E47E9">
            <w:pPr>
              <w:pStyle w:val="Tabletext"/>
            </w:pPr>
            <w:r w:rsidRPr="00563877">
              <w:t xml:space="preserve">PROJET DE NOUVELLE RÉSOLUTION </w:t>
            </w:r>
            <w:r w:rsidR="006836B6" w:rsidRPr="00671DC3">
              <w:t>[IAP-5]</w:t>
            </w:r>
          </w:p>
        </w:tc>
        <w:tc>
          <w:tcPr>
            <w:tcW w:w="5244" w:type="dxa"/>
            <w:hideMark/>
          </w:tcPr>
          <w:p w:rsidR="006836B6" w:rsidRPr="00746CD3" w:rsidRDefault="00746CD3" w:rsidP="003E47E9">
            <w:pPr>
              <w:pStyle w:val="Tabletext"/>
              <w:rPr>
                <w:lang w:val="fr-CH"/>
              </w:rPr>
            </w:pPr>
            <w:r w:rsidRPr="00746CD3">
              <w:rPr>
                <w:lang w:val="fr-CH"/>
              </w:rPr>
              <w:t>Admission des petites et moyennes entreprises à participer aux travaux de l'Union</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IAP/63A1/51</w:t>
            </w:r>
          </w:p>
        </w:tc>
        <w:tc>
          <w:tcPr>
            <w:tcW w:w="864" w:type="dxa"/>
            <w:noWrap/>
            <w:hideMark/>
          </w:tcPr>
          <w:p w:rsidR="006836B6" w:rsidRPr="00671DC3" w:rsidRDefault="006836B6" w:rsidP="003E47E9">
            <w:pPr>
              <w:pStyle w:val="Tabletext"/>
              <w:jc w:val="center"/>
            </w:pPr>
            <w:r w:rsidRPr="00671DC3">
              <w:t>SUP</w:t>
            </w:r>
          </w:p>
        </w:tc>
        <w:tc>
          <w:tcPr>
            <w:tcW w:w="2977" w:type="dxa"/>
            <w:noWrap/>
            <w:hideMark/>
          </w:tcPr>
          <w:p w:rsidR="006836B6" w:rsidRPr="00671DC3" w:rsidRDefault="006836B6" w:rsidP="003E47E9">
            <w:pPr>
              <w:pStyle w:val="Tabletext"/>
            </w:pPr>
            <w:r>
              <w:t>RÉ</w:t>
            </w:r>
            <w:r w:rsidRPr="00671DC3">
              <w:t>SOLUTION 187</w:t>
            </w:r>
          </w:p>
        </w:tc>
        <w:tc>
          <w:tcPr>
            <w:tcW w:w="5244" w:type="dxa"/>
            <w:hideMark/>
          </w:tcPr>
          <w:p w:rsidR="006836B6" w:rsidRPr="00E11F87" w:rsidRDefault="00E11F87" w:rsidP="003E47E9">
            <w:pPr>
              <w:pStyle w:val="Tabletext"/>
              <w:rPr>
                <w:lang w:val="fr-CH"/>
              </w:rPr>
            </w:pPr>
            <w:r w:rsidRPr="00E11F87">
              <w:rPr>
                <w:lang w:val="fr-CH"/>
              </w:rPr>
              <w:t>Examen des méthodes actuelles et définition d'une vision de l'avenir concernant la participation des Membres de Secteur, des Associés et des établissements universitaires aux activités de l'UIT</w:t>
            </w:r>
          </w:p>
        </w:tc>
      </w:tr>
      <w:tr w:rsidR="006836B6" w:rsidRPr="00084F60" w:rsidTr="006F5597">
        <w:trPr>
          <w:cantSplit/>
        </w:trPr>
        <w:tc>
          <w:tcPr>
            <w:tcW w:w="1405" w:type="dxa"/>
            <w:noWrap/>
            <w:hideMark/>
          </w:tcPr>
          <w:p w:rsidR="006836B6" w:rsidRPr="006836B6" w:rsidRDefault="006836B6" w:rsidP="003E47E9">
            <w:pPr>
              <w:pStyle w:val="Tabletext"/>
              <w:rPr>
                <w:b/>
              </w:rPr>
            </w:pPr>
            <w:r w:rsidRPr="006836B6">
              <w:rPr>
                <w:b/>
              </w:rPr>
              <w:t>IAP/63A1/52</w:t>
            </w:r>
          </w:p>
        </w:tc>
        <w:tc>
          <w:tcPr>
            <w:tcW w:w="864" w:type="dxa"/>
            <w:noWrap/>
            <w:hideMark/>
          </w:tcPr>
          <w:p w:rsidR="006836B6" w:rsidRPr="00671DC3" w:rsidRDefault="006836B6" w:rsidP="009259E9">
            <w:pPr>
              <w:pStyle w:val="Tabletext"/>
              <w:keepNext/>
              <w:keepLines/>
              <w:jc w:val="center"/>
            </w:pPr>
            <w:r w:rsidRPr="00671DC3">
              <w:t>MOD</w:t>
            </w:r>
          </w:p>
        </w:tc>
        <w:tc>
          <w:tcPr>
            <w:tcW w:w="2977" w:type="dxa"/>
            <w:noWrap/>
            <w:hideMark/>
          </w:tcPr>
          <w:p w:rsidR="006836B6" w:rsidRPr="00671DC3" w:rsidRDefault="00084F60" w:rsidP="009259E9">
            <w:pPr>
              <w:pStyle w:val="Tabletext"/>
              <w:keepNext/>
              <w:keepLines/>
            </w:pPr>
            <w:r w:rsidRPr="00084F60">
              <w:t>ANNEXE 2 DE LA RÉSOLUTION</w:t>
            </w:r>
            <w:r>
              <w:t> </w:t>
            </w:r>
            <w:r w:rsidRPr="00084F60">
              <w:t>71</w:t>
            </w:r>
          </w:p>
        </w:tc>
        <w:tc>
          <w:tcPr>
            <w:tcW w:w="5244" w:type="dxa"/>
            <w:hideMark/>
          </w:tcPr>
          <w:p w:rsidR="006836B6" w:rsidRPr="00084F60" w:rsidRDefault="00084F60" w:rsidP="003E47E9">
            <w:pPr>
              <w:pStyle w:val="Tabletext"/>
              <w:rPr>
                <w:lang w:val="fr-CH"/>
              </w:rPr>
            </w:pPr>
            <w:r w:rsidRPr="00084F60">
              <w:rPr>
                <w:lang w:val="fr-CH"/>
              </w:rPr>
              <w:t>Plan stratégique de l'UIT pour la période 2020-2023</w:t>
            </w:r>
            <w:r>
              <w:rPr>
                <w:lang w:val="fr-CH"/>
              </w:rPr>
              <w:t xml:space="preserve"> </w:t>
            </w:r>
            <w:r w:rsidRPr="00084F60">
              <w:rPr>
                <w:lang w:val="fr-CH"/>
              </w:rPr>
              <w:t>–</w:t>
            </w:r>
            <w:r w:rsidR="006836B6" w:rsidRPr="00084F60">
              <w:rPr>
                <w:lang w:val="fr-CH"/>
              </w:rPr>
              <w:t xml:space="preserve"> </w:t>
            </w:r>
            <w:r w:rsidRPr="00084F60">
              <w:rPr>
                <w:lang w:val="fr-CH"/>
              </w:rPr>
              <w:t>Analyse de la situation</w:t>
            </w:r>
            <w:bookmarkStart w:id="7" w:name="_GoBack"/>
            <w:bookmarkEnd w:id="7"/>
          </w:p>
        </w:tc>
      </w:tr>
      <w:tr w:rsidR="006836B6" w:rsidRPr="00671DC3" w:rsidTr="006F5597">
        <w:trPr>
          <w:cantSplit/>
        </w:trPr>
        <w:tc>
          <w:tcPr>
            <w:tcW w:w="1405" w:type="dxa"/>
            <w:noWrap/>
            <w:hideMark/>
          </w:tcPr>
          <w:p w:rsidR="006836B6" w:rsidRPr="006836B6" w:rsidRDefault="006836B6" w:rsidP="003E47E9">
            <w:pPr>
              <w:pStyle w:val="Tabletext"/>
              <w:rPr>
                <w:b/>
              </w:rPr>
            </w:pPr>
            <w:r w:rsidRPr="006836B6">
              <w:rPr>
                <w:b/>
              </w:rPr>
              <w:t>IAP/63A1/53</w:t>
            </w:r>
          </w:p>
        </w:tc>
        <w:tc>
          <w:tcPr>
            <w:tcW w:w="864" w:type="dxa"/>
            <w:noWrap/>
            <w:hideMark/>
          </w:tcPr>
          <w:p w:rsidR="006836B6" w:rsidRPr="00671DC3" w:rsidRDefault="006836B6" w:rsidP="009259E9">
            <w:pPr>
              <w:pStyle w:val="Tabletext"/>
              <w:keepNext/>
              <w:keepLines/>
              <w:jc w:val="center"/>
            </w:pPr>
            <w:r w:rsidRPr="00671DC3">
              <w:t>MOD</w:t>
            </w:r>
          </w:p>
        </w:tc>
        <w:tc>
          <w:tcPr>
            <w:tcW w:w="2977" w:type="dxa"/>
            <w:noWrap/>
            <w:hideMark/>
          </w:tcPr>
          <w:p w:rsidR="006836B6" w:rsidRPr="00671DC3" w:rsidRDefault="006836B6" w:rsidP="009259E9">
            <w:pPr>
              <w:pStyle w:val="Tabletext"/>
              <w:keepNext/>
              <w:keepLines/>
            </w:pPr>
            <w:r>
              <w:t>RÉ</w:t>
            </w:r>
            <w:r w:rsidRPr="00671DC3">
              <w:t>SOLUTION 25</w:t>
            </w:r>
          </w:p>
        </w:tc>
        <w:tc>
          <w:tcPr>
            <w:tcW w:w="5244" w:type="dxa"/>
            <w:hideMark/>
          </w:tcPr>
          <w:p w:rsidR="006836B6" w:rsidRPr="00671DC3" w:rsidRDefault="00E11F87" w:rsidP="003E47E9">
            <w:pPr>
              <w:pStyle w:val="Tabletext"/>
            </w:pPr>
            <w:r w:rsidRPr="00E11F87">
              <w:t>Renforcement de la présence régionale</w:t>
            </w:r>
          </w:p>
        </w:tc>
      </w:tr>
      <w:tr w:rsidR="006836B6" w:rsidRPr="00E11F87" w:rsidTr="006F5597">
        <w:trPr>
          <w:cantSplit/>
        </w:trPr>
        <w:tc>
          <w:tcPr>
            <w:tcW w:w="1405" w:type="dxa"/>
            <w:noWrap/>
            <w:hideMark/>
          </w:tcPr>
          <w:p w:rsidR="006836B6" w:rsidRPr="006836B6" w:rsidRDefault="006836B6" w:rsidP="003E47E9">
            <w:pPr>
              <w:pStyle w:val="Tabletext"/>
              <w:rPr>
                <w:b/>
              </w:rPr>
            </w:pPr>
            <w:r w:rsidRPr="006836B6">
              <w:rPr>
                <w:b/>
              </w:rPr>
              <w:t>IAP/63A1/54</w:t>
            </w:r>
          </w:p>
        </w:tc>
        <w:tc>
          <w:tcPr>
            <w:tcW w:w="864" w:type="dxa"/>
            <w:noWrap/>
            <w:hideMark/>
          </w:tcPr>
          <w:p w:rsidR="006836B6" w:rsidRPr="00671DC3" w:rsidRDefault="006836B6" w:rsidP="009259E9">
            <w:pPr>
              <w:pStyle w:val="Tabletext"/>
              <w:keepNext/>
              <w:keepLines/>
              <w:jc w:val="center"/>
            </w:pPr>
            <w:r w:rsidRPr="00671DC3">
              <w:t>MOD</w:t>
            </w:r>
          </w:p>
        </w:tc>
        <w:tc>
          <w:tcPr>
            <w:tcW w:w="2977" w:type="dxa"/>
            <w:noWrap/>
            <w:hideMark/>
          </w:tcPr>
          <w:p w:rsidR="006836B6" w:rsidRPr="00671DC3" w:rsidRDefault="006836B6" w:rsidP="009259E9">
            <w:pPr>
              <w:pStyle w:val="Tabletext"/>
              <w:keepNext/>
              <w:keepLines/>
            </w:pPr>
            <w:r>
              <w:t>RÉ</w:t>
            </w:r>
            <w:r w:rsidRPr="00671DC3">
              <w:t>SOLUTION 139</w:t>
            </w:r>
          </w:p>
        </w:tc>
        <w:tc>
          <w:tcPr>
            <w:tcW w:w="5244" w:type="dxa"/>
            <w:hideMark/>
          </w:tcPr>
          <w:p w:rsidR="006836B6" w:rsidRPr="00E11F87" w:rsidRDefault="00E11F87" w:rsidP="003E47E9">
            <w:pPr>
              <w:pStyle w:val="Tabletext"/>
              <w:rPr>
                <w:lang w:val="fr-CH"/>
              </w:rPr>
            </w:pPr>
            <w:r w:rsidRPr="00E11F87">
              <w:rPr>
                <w:lang w:val="fr-CH"/>
              </w:rPr>
              <w:t>Utilisation des télécommunications et des technologies de l'information et de la communication pour réduire la fracture numérique et édifier une société de l'information inclusive</w:t>
            </w:r>
          </w:p>
        </w:tc>
      </w:tr>
    </w:tbl>
    <w:p w:rsidR="00BD1614" w:rsidRPr="00E11F87" w:rsidRDefault="00BD1614" w:rsidP="003E47E9">
      <w:pPr>
        <w:rPr>
          <w:lang w:val="fr-CH"/>
        </w:rPr>
      </w:pPr>
    </w:p>
    <w:p w:rsidR="00B7193B" w:rsidRPr="00D565FC" w:rsidRDefault="006836B6" w:rsidP="00D565FC">
      <w:pPr>
        <w:jc w:val="center"/>
      </w:pPr>
      <w:r>
        <w:t>______________</w:t>
      </w:r>
    </w:p>
    <w:sectPr w:rsidR="00B7193B" w:rsidRPr="00D565FC"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17" w:rsidRDefault="00895C17">
      <w:r>
        <w:separator/>
      </w:r>
    </w:p>
  </w:endnote>
  <w:endnote w:type="continuationSeparator" w:id="0">
    <w:p w:rsidR="00895C17" w:rsidRDefault="008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6836B6" w:rsidRDefault="00B456C1" w:rsidP="006836B6">
    <w:pPr>
      <w:pStyle w:val="Footer"/>
      <w:tabs>
        <w:tab w:val="clear" w:pos="5954"/>
        <w:tab w:val="clear" w:pos="9639"/>
        <w:tab w:val="left" w:pos="7655"/>
        <w:tab w:val="right" w:pos="9498"/>
      </w:tabs>
      <w:rPr>
        <w:lang w:val="en-GB"/>
      </w:rPr>
    </w:pPr>
    <w:r>
      <w:fldChar w:fldCharType="begin"/>
    </w:r>
    <w:r w:rsidRPr="006836B6">
      <w:rPr>
        <w:lang w:val="en-GB"/>
      </w:rPr>
      <w:instrText xml:space="preserve"> FILENAME \p \* MERGEFORMAT </w:instrText>
    </w:r>
    <w:r>
      <w:fldChar w:fldCharType="separate"/>
    </w:r>
    <w:r w:rsidR="009259E9">
      <w:rPr>
        <w:lang w:val="en-GB"/>
      </w:rPr>
      <w:t>P:\FRA\SG\CONF-SG\PP18\000\063F.docx</w:t>
    </w:r>
    <w:r>
      <w:fldChar w:fldCharType="end"/>
    </w:r>
    <w:r w:rsidR="006836B6" w:rsidRPr="006836B6">
      <w:rPr>
        <w:lang w:val="en-GB"/>
      </w:rPr>
      <w:t xml:space="preserve"> (444518)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17" w:rsidRDefault="00895C17">
      <w:r>
        <w:t>____________________</w:t>
      </w:r>
    </w:p>
  </w:footnote>
  <w:footnote w:type="continuationSeparator" w:id="0">
    <w:p w:rsidR="00895C17" w:rsidRDefault="008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9259E9">
      <w:rPr>
        <w:noProof/>
      </w:rPr>
      <w:t>4</w:t>
    </w:r>
    <w:r>
      <w:fldChar w:fldCharType="end"/>
    </w:r>
  </w:p>
  <w:p w:rsidR="00BD1614" w:rsidRDefault="00BD1614" w:rsidP="003E47E9">
    <w:pPr>
      <w:pStyle w:val="Header"/>
    </w:pPr>
    <w:r>
      <w:t>PP1</w:t>
    </w:r>
    <w:r w:rsidR="001E2226">
      <w:t>8</w:t>
    </w:r>
    <w:r w:rsidR="00417658">
      <w:t>/</w:t>
    </w:r>
    <w:r w:rsidR="003E47E9">
      <w:t>63</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C1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BA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206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A83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1CE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E04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8C7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03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E26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5098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17"/>
    <w:rsid w:val="000054D8"/>
    <w:rsid w:val="00060D74"/>
    <w:rsid w:val="00072D5C"/>
    <w:rsid w:val="00076DA8"/>
    <w:rsid w:val="0008398C"/>
    <w:rsid w:val="00084308"/>
    <w:rsid w:val="00084F60"/>
    <w:rsid w:val="000B14B6"/>
    <w:rsid w:val="000C467B"/>
    <w:rsid w:val="000D15FB"/>
    <w:rsid w:val="000F58F7"/>
    <w:rsid w:val="001051E4"/>
    <w:rsid w:val="001354EA"/>
    <w:rsid w:val="00136FCE"/>
    <w:rsid w:val="00153BA4"/>
    <w:rsid w:val="0017475E"/>
    <w:rsid w:val="001941AD"/>
    <w:rsid w:val="001A0682"/>
    <w:rsid w:val="001B4D8D"/>
    <w:rsid w:val="001C266B"/>
    <w:rsid w:val="001D31B2"/>
    <w:rsid w:val="001E1B9B"/>
    <w:rsid w:val="001E2226"/>
    <w:rsid w:val="001F6233"/>
    <w:rsid w:val="002355CD"/>
    <w:rsid w:val="00270B2F"/>
    <w:rsid w:val="002A0E1B"/>
    <w:rsid w:val="002B4C51"/>
    <w:rsid w:val="002C1059"/>
    <w:rsid w:val="002C2F9C"/>
    <w:rsid w:val="00322DEA"/>
    <w:rsid w:val="00355FBD"/>
    <w:rsid w:val="00373379"/>
    <w:rsid w:val="00381461"/>
    <w:rsid w:val="003A0B7D"/>
    <w:rsid w:val="003A45C2"/>
    <w:rsid w:val="003C4BE2"/>
    <w:rsid w:val="003D147D"/>
    <w:rsid w:val="003D637A"/>
    <w:rsid w:val="003E47E9"/>
    <w:rsid w:val="00417658"/>
    <w:rsid w:val="00430015"/>
    <w:rsid w:val="004678D0"/>
    <w:rsid w:val="00482954"/>
    <w:rsid w:val="004951C0"/>
    <w:rsid w:val="004953E3"/>
    <w:rsid w:val="00524001"/>
    <w:rsid w:val="00557959"/>
    <w:rsid w:val="00563877"/>
    <w:rsid w:val="00564B63"/>
    <w:rsid w:val="00575DC7"/>
    <w:rsid w:val="005836C2"/>
    <w:rsid w:val="005A4EFD"/>
    <w:rsid w:val="005A5ABE"/>
    <w:rsid w:val="005B6E82"/>
    <w:rsid w:val="005C2ECC"/>
    <w:rsid w:val="005C6744"/>
    <w:rsid w:val="005E419E"/>
    <w:rsid w:val="005F63BD"/>
    <w:rsid w:val="00611CF1"/>
    <w:rsid w:val="006201D9"/>
    <w:rsid w:val="006277DB"/>
    <w:rsid w:val="00635B7B"/>
    <w:rsid w:val="00653455"/>
    <w:rsid w:val="00655B98"/>
    <w:rsid w:val="006710E6"/>
    <w:rsid w:val="006836B6"/>
    <w:rsid w:val="00686973"/>
    <w:rsid w:val="006A2656"/>
    <w:rsid w:val="006A6342"/>
    <w:rsid w:val="006B6C9C"/>
    <w:rsid w:val="006C7AE3"/>
    <w:rsid w:val="006D55E8"/>
    <w:rsid w:val="006E1921"/>
    <w:rsid w:val="006F36F9"/>
    <w:rsid w:val="0070576B"/>
    <w:rsid w:val="00713335"/>
    <w:rsid w:val="00727C2F"/>
    <w:rsid w:val="00735F13"/>
    <w:rsid w:val="00746CD3"/>
    <w:rsid w:val="007717F2"/>
    <w:rsid w:val="00772E3B"/>
    <w:rsid w:val="0078134C"/>
    <w:rsid w:val="007A5830"/>
    <w:rsid w:val="00801256"/>
    <w:rsid w:val="008703CB"/>
    <w:rsid w:val="00895C17"/>
    <w:rsid w:val="008B61AF"/>
    <w:rsid w:val="008C33C2"/>
    <w:rsid w:val="008C6137"/>
    <w:rsid w:val="008E2DB4"/>
    <w:rsid w:val="00901DD5"/>
    <w:rsid w:val="0090735B"/>
    <w:rsid w:val="00912D5E"/>
    <w:rsid w:val="009259E9"/>
    <w:rsid w:val="00934340"/>
    <w:rsid w:val="00956DC7"/>
    <w:rsid w:val="00966CD3"/>
    <w:rsid w:val="00987A20"/>
    <w:rsid w:val="009939D6"/>
    <w:rsid w:val="009A0E15"/>
    <w:rsid w:val="009D4037"/>
    <w:rsid w:val="009F0592"/>
    <w:rsid w:val="00A20E72"/>
    <w:rsid w:val="00A246DC"/>
    <w:rsid w:val="00A47BAF"/>
    <w:rsid w:val="00A542D3"/>
    <w:rsid w:val="00A5784F"/>
    <w:rsid w:val="00A8436E"/>
    <w:rsid w:val="00A95B66"/>
    <w:rsid w:val="00AE0667"/>
    <w:rsid w:val="00B22ABD"/>
    <w:rsid w:val="00B41E0A"/>
    <w:rsid w:val="00B456C1"/>
    <w:rsid w:val="00B56DE0"/>
    <w:rsid w:val="00B7193B"/>
    <w:rsid w:val="00B71F12"/>
    <w:rsid w:val="00B96B1E"/>
    <w:rsid w:val="00BB2A6F"/>
    <w:rsid w:val="00BD1614"/>
    <w:rsid w:val="00BD5DA6"/>
    <w:rsid w:val="00BF7D25"/>
    <w:rsid w:val="00C010C0"/>
    <w:rsid w:val="00C0154B"/>
    <w:rsid w:val="00C40CB5"/>
    <w:rsid w:val="00C54CE6"/>
    <w:rsid w:val="00C575E2"/>
    <w:rsid w:val="00C7368B"/>
    <w:rsid w:val="00C92746"/>
    <w:rsid w:val="00CC4DC5"/>
    <w:rsid w:val="00CE1A7C"/>
    <w:rsid w:val="00D0464B"/>
    <w:rsid w:val="00D12C74"/>
    <w:rsid w:val="00D2263F"/>
    <w:rsid w:val="00D56483"/>
    <w:rsid w:val="00D5658F"/>
    <w:rsid w:val="00D565FC"/>
    <w:rsid w:val="00D56AD6"/>
    <w:rsid w:val="00D70019"/>
    <w:rsid w:val="00D74B58"/>
    <w:rsid w:val="00D82ABE"/>
    <w:rsid w:val="00DA4ABA"/>
    <w:rsid w:val="00DA685B"/>
    <w:rsid w:val="00DA742B"/>
    <w:rsid w:val="00DF25C1"/>
    <w:rsid w:val="00DF48F7"/>
    <w:rsid w:val="00DF4964"/>
    <w:rsid w:val="00DF4D73"/>
    <w:rsid w:val="00DF79B0"/>
    <w:rsid w:val="00E1047D"/>
    <w:rsid w:val="00E11F87"/>
    <w:rsid w:val="00E34BBF"/>
    <w:rsid w:val="00E443FA"/>
    <w:rsid w:val="00E54FCE"/>
    <w:rsid w:val="00E60DA1"/>
    <w:rsid w:val="00E93D35"/>
    <w:rsid w:val="00EA45DB"/>
    <w:rsid w:val="00ED2CD9"/>
    <w:rsid w:val="00F07DA7"/>
    <w:rsid w:val="00F564C1"/>
    <w:rsid w:val="00F77FA2"/>
    <w:rsid w:val="00F8357A"/>
    <w:rsid w:val="00F96916"/>
    <w:rsid w:val="00FA1B77"/>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8D5B6F-5F8E-475E-AA82-3341C42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B7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E4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fr/etats_membres/default.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28</TotalTime>
  <Pages>5</Pages>
  <Words>1171</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Gozel, Elsa</dc:creator>
  <cp:keywords/>
  <dc:description/>
  <cp:lastModifiedBy>Geneux, Aude</cp:lastModifiedBy>
  <cp:revision>7</cp:revision>
  <cp:lastPrinted>2018-11-20T15:10:00Z</cp:lastPrinted>
  <dcterms:created xsi:type="dcterms:W3CDTF">2018-11-20T15:06:00Z</dcterms:created>
  <dcterms:modified xsi:type="dcterms:W3CDTF">2018-11-20T15:40:00Z</dcterms:modified>
  <cp:category>Conference document</cp:category>
</cp:coreProperties>
</file>