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88503D">
            <w:pPr>
              <w:spacing w:line="240" w:lineRule="atLeast"/>
              <w:rPr>
                <w:rFonts w:cstheme="minorHAnsi"/>
              </w:rPr>
            </w:pPr>
            <w:r w:rsidRPr="00D96B4B">
              <w:rPr>
                <w:rFonts w:cstheme="minorHAnsi"/>
                <w:noProof/>
                <w:lang w:val="en-US" w:eastAsia="zh-CN"/>
              </w:rPr>
              <w:drawing>
                <wp:inline distT="0" distB="0" distL="0" distR="0" wp14:anchorId="60DA1EB6" wp14:editId="2AD90F1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1" w:name="dnum" w:colFirst="1" w:colLast="1"/>
            <w:r>
              <w:t>PLENARY MEETING</w:t>
            </w:r>
          </w:p>
        </w:tc>
        <w:tc>
          <w:tcPr>
            <w:tcW w:w="3402" w:type="dxa"/>
          </w:tcPr>
          <w:p w:rsidR="001A16ED" w:rsidRPr="00F44B1A" w:rsidRDefault="00274266" w:rsidP="003740BC">
            <w:pPr>
              <w:tabs>
                <w:tab w:val="left" w:pos="851"/>
              </w:tabs>
              <w:spacing w:before="0"/>
              <w:rPr>
                <w:rFonts w:cstheme="minorHAnsi"/>
                <w:b/>
                <w:szCs w:val="24"/>
              </w:rPr>
            </w:pPr>
            <w:r>
              <w:rPr>
                <w:rFonts w:cstheme="minorHAnsi"/>
                <w:b/>
                <w:szCs w:val="24"/>
              </w:rPr>
              <w:t>Document 62</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2" w:name="ddate" w:colFirst="1" w:colLast="1"/>
            <w:bookmarkStart w:id="3" w:name="dblank" w:colFirst="0" w:colLast="0"/>
            <w:bookmarkEnd w:id="1"/>
          </w:p>
        </w:tc>
        <w:tc>
          <w:tcPr>
            <w:tcW w:w="3402" w:type="dxa"/>
          </w:tcPr>
          <w:p w:rsidR="001A16ED" w:rsidRPr="00D96B4B" w:rsidRDefault="00274266" w:rsidP="003740BC">
            <w:pPr>
              <w:spacing w:before="0"/>
              <w:rPr>
                <w:rFonts w:cstheme="minorHAnsi"/>
                <w:szCs w:val="24"/>
              </w:rPr>
            </w:pPr>
            <w:r>
              <w:rPr>
                <w:rFonts w:cstheme="minorHAnsi"/>
                <w:b/>
                <w:szCs w:val="24"/>
              </w:rPr>
              <w:t>3 October</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4" w:name="dbluepink" w:colFirst="0" w:colLast="0"/>
            <w:bookmarkEnd w:id="2"/>
            <w:bookmarkEnd w:id="3"/>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88503D">
        <w:trPr>
          <w:cantSplit/>
          <w:trHeight w:val="23"/>
        </w:trPr>
        <w:tc>
          <w:tcPr>
            <w:tcW w:w="10031" w:type="dxa"/>
            <w:gridSpan w:val="2"/>
            <w:shd w:val="clear" w:color="auto" w:fill="auto"/>
          </w:tcPr>
          <w:p w:rsidR="001A16ED" w:rsidRPr="00D96B4B" w:rsidRDefault="001A16ED" w:rsidP="0088503D">
            <w:pPr>
              <w:tabs>
                <w:tab w:val="left" w:pos="993"/>
              </w:tabs>
              <w:rPr>
                <w:rFonts w:ascii="Verdana" w:hAnsi="Verdana"/>
                <w:b/>
                <w:szCs w:val="24"/>
              </w:rPr>
            </w:pPr>
          </w:p>
        </w:tc>
      </w:tr>
      <w:tr w:rsidR="001A16ED" w:rsidRPr="00C324A8" w:rsidTr="0088503D">
        <w:trPr>
          <w:cantSplit/>
          <w:trHeight w:val="23"/>
        </w:trPr>
        <w:tc>
          <w:tcPr>
            <w:tcW w:w="10031" w:type="dxa"/>
            <w:gridSpan w:val="2"/>
            <w:shd w:val="clear" w:color="auto" w:fill="auto"/>
          </w:tcPr>
          <w:p w:rsidR="001A16ED" w:rsidRDefault="00274266" w:rsidP="0088503D">
            <w:pPr>
              <w:pStyle w:val="Source"/>
            </w:pPr>
            <w:r w:rsidRPr="00274266">
              <w:t>ITU</w:t>
            </w:r>
            <w:r>
              <w:t xml:space="preserve"> Member States, Members of the </w:t>
            </w:r>
            <w:r w:rsidRPr="00274266">
              <w:t>RCC</w:t>
            </w:r>
          </w:p>
        </w:tc>
      </w:tr>
      <w:tr w:rsidR="001A16ED" w:rsidRPr="00C324A8" w:rsidTr="0088503D">
        <w:trPr>
          <w:cantSplit/>
          <w:trHeight w:val="23"/>
        </w:trPr>
        <w:tc>
          <w:tcPr>
            <w:tcW w:w="10031" w:type="dxa"/>
            <w:gridSpan w:val="2"/>
            <w:shd w:val="clear" w:color="auto" w:fill="auto"/>
          </w:tcPr>
          <w:p w:rsidR="001A16ED" w:rsidRDefault="00E26429" w:rsidP="0088503D">
            <w:pPr>
              <w:pStyle w:val="Title1"/>
            </w:pPr>
            <w:r>
              <w:t>PROPOSALS FOR THE WORK OF THE CONFERENCE</w:t>
            </w:r>
          </w:p>
        </w:tc>
      </w:tr>
    </w:tbl>
    <w:bookmarkEnd w:id="4"/>
    <w:p w:rsidR="00274266" w:rsidRDefault="00274266" w:rsidP="00D66F9F">
      <w:pPr>
        <w:spacing w:before="720"/>
        <w:jc w:val="both"/>
      </w:pPr>
      <w:r>
        <w:t>Seeking for strengthening of the international cooperation in the field of telecommunication, the communication administrations – RCC participants have developed the present proposals, proceeding from the fact that weighed and the coordinated policy aimed at the development, introduction and use of modern means of telecommunication and ICT will allow to carry out successfully forward movement of countries of our region on the way to building an information society focused on further development and putting the interests of people at the forefront.</w:t>
      </w:r>
    </w:p>
    <w:p w:rsidR="0088503D" w:rsidRDefault="000F7595" w:rsidP="00D66F9F">
      <w:pPr>
        <w:spacing w:before="360"/>
        <w:jc w:val="both"/>
      </w:pPr>
      <w:r w:rsidRPr="000F7595">
        <w:t xml:space="preserve">The detailed proposals are included in </w:t>
      </w:r>
      <w:r w:rsidR="00912F58">
        <w:t>an</w:t>
      </w:r>
      <w:r w:rsidRPr="000F7595">
        <w:t xml:space="preserve"> Addendum to this document.</w:t>
      </w:r>
    </w:p>
    <w:p w:rsidR="00912F58" w:rsidRDefault="00912F58" w:rsidP="00D66F9F">
      <w:pPr>
        <w:jc w:val="both"/>
      </w:pPr>
      <w:r w:rsidRPr="00912F58">
        <w:t>The table</w:t>
      </w:r>
      <w:r>
        <w:t xml:space="preserve"> in </w:t>
      </w:r>
      <w:hyperlink w:anchor="Annex1" w:history="1">
        <w:r w:rsidRPr="00D66F9F">
          <w:rPr>
            <w:rStyle w:val="Hyperlink"/>
            <w:b/>
            <w:bCs/>
          </w:rPr>
          <w:t>Annex 1</w:t>
        </w:r>
      </w:hyperlink>
      <w:r w:rsidRPr="00912F58">
        <w:rPr>
          <w:b/>
          <w:bCs/>
        </w:rPr>
        <w:t xml:space="preserve"> </w:t>
      </w:r>
      <w:r w:rsidRPr="00912F58">
        <w:t>lists</w:t>
      </w:r>
      <w:r>
        <w:t xml:space="preserve"> the proposals from</w:t>
      </w:r>
      <w:r w:rsidRPr="00912F58">
        <w:t xml:space="preserve"> the </w:t>
      </w:r>
      <w:r>
        <w:t>Regional Commonwealth in the field of communication (RCC) to ITU PP-18.</w:t>
      </w:r>
    </w:p>
    <w:p w:rsidR="001A16ED" w:rsidRDefault="00274266" w:rsidP="00D66F9F">
      <w:pPr>
        <w:jc w:val="both"/>
      </w:pPr>
      <w:r>
        <w:t xml:space="preserve">The table </w:t>
      </w:r>
      <w:r w:rsidR="000F7595">
        <w:t>of co-signatures by the Administration Members States</w:t>
      </w:r>
      <w:r>
        <w:t xml:space="preserve"> of the Regional Commonwealth in the field of communication (RCC) supporting these pr</w:t>
      </w:r>
      <w:r w:rsidR="000F7595">
        <w:t>o</w:t>
      </w:r>
      <w:r>
        <w:t>posals</w:t>
      </w:r>
      <w:r w:rsidR="000F7595">
        <w:t xml:space="preserve"> is provided in </w:t>
      </w:r>
      <w:hyperlink w:anchor="Annex2" w:history="1">
        <w:r w:rsidR="000F7595" w:rsidRPr="00D66F9F">
          <w:rPr>
            <w:rStyle w:val="Hyperlink"/>
            <w:b/>
            <w:bCs/>
          </w:rPr>
          <w:t xml:space="preserve">Annex </w:t>
        </w:r>
        <w:r w:rsidR="00912F58" w:rsidRPr="00D66F9F">
          <w:rPr>
            <w:rStyle w:val="Hyperlink"/>
            <w:b/>
            <w:bCs/>
          </w:rPr>
          <w:t>2</w:t>
        </w:r>
      </w:hyperlink>
      <w:r w:rsidR="00912F58">
        <w:t xml:space="preserve"> </w:t>
      </w:r>
      <w:r w:rsidR="000F7595">
        <w:t>to this document</w:t>
      </w:r>
      <w:r>
        <w:t>.</w:t>
      </w:r>
    </w:p>
    <w:p w:rsidR="002645ED" w:rsidRDefault="002645ED">
      <w:pPr>
        <w:tabs>
          <w:tab w:val="clear" w:pos="567"/>
          <w:tab w:val="clear" w:pos="1134"/>
          <w:tab w:val="clear" w:pos="1701"/>
          <w:tab w:val="clear" w:pos="2268"/>
          <w:tab w:val="clear" w:pos="2835"/>
        </w:tabs>
        <w:overflowPunct/>
        <w:autoSpaceDE/>
        <w:autoSpaceDN/>
        <w:adjustRightInd/>
        <w:spacing w:before="0"/>
        <w:textAlignment w:val="auto"/>
      </w:pPr>
      <w:r>
        <w:br w:type="page"/>
      </w:r>
    </w:p>
    <w:p w:rsidR="002645ED" w:rsidRDefault="002645ED" w:rsidP="00AB2D04">
      <w:pPr>
        <w:sectPr w:rsidR="002645ED" w:rsidSect="00361097">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pPr>
    </w:p>
    <w:p w:rsidR="0088503D" w:rsidRPr="004001FC" w:rsidRDefault="00912F58" w:rsidP="00912F58">
      <w:pPr>
        <w:pStyle w:val="AnnexNo"/>
        <w:spacing w:before="120" w:after="360"/>
        <w:rPr>
          <w:lang w:val="en-US"/>
        </w:rPr>
      </w:pPr>
      <w:bookmarkStart w:id="5" w:name="Annex1"/>
      <w:r>
        <w:rPr>
          <w:lang w:val="en-US"/>
        </w:rPr>
        <w:lastRenderedPageBreak/>
        <w:t>Annex 1</w:t>
      </w:r>
    </w:p>
    <w:tbl>
      <w:tblPr>
        <w:tblStyle w:val="TableGrid"/>
        <w:tblW w:w="10065" w:type="dxa"/>
        <w:tblInd w:w="-147" w:type="dxa"/>
        <w:tblLayout w:type="fixed"/>
        <w:tblLook w:val="04A0" w:firstRow="1" w:lastRow="0" w:firstColumn="1" w:lastColumn="0" w:noHBand="0" w:noVBand="1"/>
      </w:tblPr>
      <w:tblGrid>
        <w:gridCol w:w="1418"/>
        <w:gridCol w:w="8647"/>
      </w:tblGrid>
      <w:tr w:rsidR="0088503D" w:rsidRPr="004001FC" w:rsidTr="00D66F9F">
        <w:tc>
          <w:tcPr>
            <w:tcW w:w="1418" w:type="dxa"/>
            <w:tcBorders>
              <w:bottom w:val="single" w:sz="4" w:space="0" w:color="auto"/>
            </w:tcBorders>
            <w:shd w:val="clear" w:color="auto" w:fill="C2D69B" w:themeFill="accent3" w:themeFillTint="99"/>
            <w:vAlign w:val="center"/>
          </w:tcPr>
          <w:bookmarkEnd w:id="5"/>
          <w:p w:rsidR="0088503D" w:rsidRPr="004001FC" w:rsidRDefault="0088503D" w:rsidP="00D66F9F">
            <w:pPr>
              <w:pStyle w:val="Header"/>
              <w:spacing w:before="40"/>
              <w:rPr>
                <w:rFonts w:asciiTheme="minorHAnsi" w:hAnsiTheme="minorHAnsi"/>
                <w:b/>
                <w:color w:val="000000"/>
                <w:sz w:val="22"/>
                <w:szCs w:val="22"/>
              </w:rPr>
            </w:pPr>
            <w:r w:rsidRPr="004001FC">
              <w:rPr>
                <w:rFonts w:asciiTheme="minorHAnsi" w:hAnsiTheme="minorHAnsi"/>
                <w:b/>
                <w:color w:val="000000"/>
                <w:sz w:val="22"/>
                <w:szCs w:val="22"/>
              </w:rPr>
              <w:t>№</w:t>
            </w:r>
          </w:p>
        </w:tc>
        <w:tc>
          <w:tcPr>
            <w:tcW w:w="8647" w:type="dxa"/>
            <w:tcBorders>
              <w:bottom w:val="single" w:sz="4" w:space="0" w:color="auto"/>
            </w:tcBorders>
            <w:shd w:val="clear" w:color="auto" w:fill="C2D69B" w:themeFill="accent3" w:themeFillTint="99"/>
            <w:vAlign w:val="center"/>
          </w:tcPr>
          <w:p w:rsidR="0088503D" w:rsidRPr="004001FC" w:rsidRDefault="00D66F9F" w:rsidP="0088503D">
            <w:pPr>
              <w:pStyle w:val="Header"/>
              <w:rPr>
                <w:rFonts w:asciiTheme="minorHAnsi" w:hAnsiTheme="minorHAnsi"/>
                <w:b/>
                <w:color w:val="000000"/>
                <w:sz w:val="22"/>
                <w:szCs w:val="22"/>
                <w:lang w:val="en-US"/>
              </w:rPr>
            </w:pPr>
            <w:r>
              <w:rPr>
                <w:rFonts w:asciiTheme="minorHAnsi" w:hAnsiTheme="minorHAnsi"/>
                <w:b/>
                <w:color w:val="000000"/>
                <w:sz w:val="22"/>
                <w:szCs w:val="22"/>
                <w:lang w:val="en-US"/>
              </w:rPr>
              <w:t>List of proposals from the Members of the RCC</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w:t>
            </w:r>
          </w:p>
        </w:tc>
        <w:tc>
          <w:tcPr>
            <w:tcW w:w="8647" w:type="dxa"/>
            <w:tcBorders>
              <w:bottom w:val="single" w:sz="4" w:space="0" w:color="auto"/>
            </w:tcBorders>
          </w:tcPr>
          <w:p w:rsidR="0088503D" w:rsidRPr="0088503D" w:rsidRDefault="0088503D" w:rsidP="00912F58">
            <w:pPr>
              <w:snapToGrid w:val="0"/>
              <w:spacing w:before="60" w:after="60"/>
              <w:jc w:val="both"/>
              <w:rPr>
                <w:rFonts w:asciiTheme="minorHAnsi" w:hAnsiTheme="minorHAnsi"/>
                <w:sz w:val="22"/>
                <w:szCs w:val="22"/>
                <w:lang w:val="en-US"/>
              </w:rPr>
            </w:pPr>
            <w:r w:rsidRPr="0088503D">
              <w:rPr>
                <w:rFonts w:asciiTheme="minorHAnsi" w:hAnsiTheme="minorHAnsi"/>
                <w:sz w:val="22"/>
                <w:szCs w:val="22"/>
                <w:lang w:val="en-US"/>
              </w:rPr>
              <w:t>Proposal for the revision of Resolution 21 (Rev. Busan, 2014) “Measures concerning alternative calling procedures on international telecommunication networks”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w:t>
            </w:r>
          </w:p>
        </w:tc>
        <w:tc>
          <w:tcPr>
            <w:tcW w:w="8647" w:type="dxa"/>
            <w:tcBorders>
              <w:bottom w:val="single" w:sz="4" w:space="0" w:color="auto"/>
            </w:tcBorders>
          </w:tcPr>
          <w:p w:rsidR="0088503D" w:rsidRPr="0088503D" w:rsidRDefault="0088503D" w:rsidP="00912F58">
            <w:pPr>
              <w:snapToGrid w:val="0"/>
              <w:spacing w:before="60" w:after="60"/>
              <w:jc w:val="both"/>
              <w:rPr>
                <w:rFonts w:asciiTheme="minorHAnsi" w:hAnsiTheme="minorHAnsi"/>
                <w:sz w:val="22"/>
                <w:szCs w:val="22"/>
                <w:lang w:val="en-US"/>
              </w:rPr>
            </w:pPr>
            <w:r w:rsidRPr="0088503D">
              <w:rPr>
                <w:rFonts w:asciiTheme="minorHAnsi" w:hAnsiTheme="minorHAnsi"/>
                <w:sz w:val="22"/>
                <w:szCs w:val="22"/>
                <w:lang w:val="en-US"/>
              </w:rPr>
              <w:t xml:space="preserve">Proposal for the revision of Resolution 41 (Rev. Busan, 2014) </w:t>
            </w:r>
            <w:r w:rsidRPr="0088503D">
              <w:rPr>
                <w:rFonts w:asciiTheme="minorHAnsi" w:hAnsiTheme="minorHAnsi"/>
                <w:color w:val="000000"/>
                <w:sz w:val="22"/>
                <w:szCs w:val="22"/>
                <w:lang w:val="en-US"/>
              </w:rPr>
              <w:t>“Arrears and special arrears accounts”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RCC/62A1/3</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Resolution 48 (Rev. Busan, 2014) </w:t>
            </w:r>
            <w:r w:rsidRPr="0088503D">
              <w:rPr>
                <w:rFonts w:asciiTheme="minorHAnsi" w:hAnsiTheme="minorHAnsi"/>
                <w:color w:val="000000"/>
                <w:sz w:val="22"/>
                <w:szCs w:val="22"/>
                <w:lang w:val="en-US"/>
              </w:rPr>
              <w:t>“Human resources management and development”</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RCC/62A1/4</w:t>
            </w:r>
          </w:p>
        </w:tc>
        <w:tc>
          <w:tcPr>
            <w:tcW w:w="8647" w:type="dxa"/>
            <w:tcBorders>
              <w:bottom w:val="single" w:sz="4" w:space="0" w:color="auto"/>
            </w:tcBorders>
          </w:tcPr>
          <w:p w:rsidR="0088503D" w:rsidRPr="0088503D" w:rsidRDefault="0088503D" w:rsidP="00912F58">
            <w:pP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Proposal for the revision of Resolution 64 (Rev. Busan, 2014) “Non-discriminatory access to modern telecommunication/ICT facilities technology facilities, services and applications, including applied researches and transfer of technology on mutually agreed terms”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w:t>
            </w:r>
            <w:r w:rsidR="0088503D" w:rsidRPr="00D66F9F">
              <w:rPr>
                <w:rFonts w:asciiTheme="minorHAnsi" w:hAnsiTheme="minorHAnsi"/>
                <w:b/>
                <w:bCs/>
                <w:color w:val="000000"/>
                <w:sz w:val="20"/>
              </w:rPr>
              <w:t>5</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Resolution 102 (Rev. Busan, 2014) </w:t>
            </w:r>
            <w:r w:rsidRPr="0088503D">
              <w:rPr>
                <w:rFonts w:asciiTheme="minorHAnsi" w:hAnsiTheme="minorHAnsi"/>
                <w:color w:val="000000"/>
                <w:sz w:val="22"/>
                <w:szCs w:val="22"/>
                <w:lang w:val="en-US"/>
              </w:rPr>
              <w:t>“ITU’s role with regard to international public policy issues pertaining to the Internet and the management of Internet resources, including domain names and addresses”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RCC/62A1/6</w:t>
            </w:r>
          </w:p>
        </w:tc>
        <w:tc>
          <w:tcPr>
            <w:tcW w:w="8647" w:type="dxa"/>
            <w:tcBorders>
              <w:bottom w:val="single" w:sz="4" w:space="0" w:color="auto"/>
            </w:tcBorders>
          </w:tcPr>
          <w:p w:rsidR="0088503D" w:rsidRPr="0088503D" w:rsidRDefault="0088503D" w:rsidP="00306CDD">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 xml:space="preserve">Resolution 119 (Rev. Antalya 2006) </w:t>
            </w:r>
            <w:bookmarkStart w:id="6" w:name="_GoBack"/>
            <w:bookmarkEnd w:id="6"/>
            <w:r w:rsidRPr="0088503D">
              <w:rPr>
                <w:rFonts w:asciiTheme="minorHAnsi" w:hAnsiTheme="minorHAnsi"/>
                <w:color w:val="000000"/>
                <w:sz w:val="22"/>
                <w:szCs w:val="22"/>
                <w:lang w:val="en-US"/>
              </w:rPr>
              <w:t>“Methods to improve the efficiency and effectiveness of the Radio Regulations Board”</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RCC/62A1/7</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Resolution 131 (Rev. Busan, 2014) </w:t>
            </w:r>
            <w:r w:rsidRPr="0088503D">
              <w:rPr>
                <w:rFonts w:asciiTheme="minorHAnsi" w:hAnsiTheme="minorHAnsi"/>
                <w:color w:val="000000"/>
                <w:sz w:val="22"/>
                <w:szCs w:val="22"/>
                <w:lang w:val="en-US"/>
              </w:rPr>
              <w:t>“Measuring information and communication technologies to build an integrating and inclusive information society”</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RCC/62A1/8</w:t>
            </w:r>
          </w:p>
        </w:tc>
        <w:tc>
          <w:tcPr>
            <w:tcW w:w="8647" w:type="dxa"/>
            <w:tcBorders>
              <w:bottom w:val="single" w:sz="4" w:space="0" w:color="auto"/>
            </w:tcBorders>
          </w:tcPr>
          <w:p w:rsidR="0088503D" w:rsidRPr="0088503D" w:rsidRDefault="0088503D" w:rsidP="00912F58">
            <w:pP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Proposal for the revision of Resolution 137 “Deployment of IMT-2020 networks and beyond generation networks in developing countries”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RCC/62A1/9</w:t>
            </w:r>
          </w:p>
        </w:tc>
        <w:tc>
          <w:tcPr>
            <w:tcW w:w="8647" w:type="dxa"/>
            <w:tcBorders>
              <w:bottom w:val="single" w:sz="4" w:space="0" w:color="auto"/>
            </w:tcBorders>
          </w:tcPr>
          <w:p w:rsidR="0088503D" w:rsidRPr="0088503D" w:rsidRDefault="0088503D" w:rsidP="00912F58">
            <w:pPr>
              <w:snapToGrid w:val="0"/>
              <w:spacing w:before="60" w:after="60"/>
              <w:jc w:val="both"/>
              <w:rPr>
                <w:rFonts w:asciiTheme="minorHAnsi" w:hAnsiTheme="minorHAnsi"/>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139 (Rev. Busan, 2014) “Use of telecommunications/information and communication technologies to bridge the digital divide and build an inclusive information society”</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RCC/62A1/10</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140 (Rev. Busan, 2014) “ITU’s role in implementing the outcomes of the World Summit on the Information Society and in the overall review of their performance conducted by the General Assembly of the United Nations”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RCC/62A1/11</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146 “Periodic review and revision of the International Telecommunication Regulations”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rPr>
                <w:rFonts w:asciiTheme="minorHAnsi" w:hAnsiTheme="minorHAnsi"/>
                <w:b/>
                <w:bCs/>
                <w:color w:val="000000"/>
                <w:sz w:val="20"/>
              </w:rPr>
            </w:pPr>
            <w:r w:rsidRPr="00D66F9F">
              <w:rPr>
                <w:rFonts w:asciiTheme="minorHAnsi" w:hAnsiTheme="minorHAnsi"/>
                <w:b/>
                <w:bCs/>
                <w:color w:val="000000"/>
                <w:sz w:val="20"/>
              </w:rPr>
              <w:t>RCC/62A1/12</w:t>
            </w:r>
          </w:p>
          <w:p w:rsidR="0088503D" w:rsidRPr="00D66F9F" w:rsidRDefault="00912F58" w:rsidP="00D66F9F">
            <w:pPr>
              <w:pStyle w:val="Header"/>
              <w:spacing w:after="60"/>
              <w:rPr>
                <w:rFonts w:asciiTheme="minorHAnsi" w:hAnsiTheme="minorHAnsi"/>
                <w:b/>
                <w:bCs/>
                <w:color w:val="000000"/>
                <w:sz w:val="20"/>
              </w:rPr>
            </w:pPr>
            <w:r w:rsidRPr="00D66F9F">
              <w:rPr>
                <w:rFonts w:asciiTheme="minorHAnsi" w:hAnsiTheme="minorHAnsi"/>
                <w:b/>
                <w:bCs/>
                <w:color w:val="000000"/>
                <w:sz w:val="20"/>
              </w:rPr>
              <w:t>RCC/62A1/13</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151 (Rev. Busan, 2014) “Implementation of results-based management in ITU” in conjunction with Resolution 72 (Rev. Busan, 2014), “Linking strategic, financial and operational planning in ITU”</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RCC/62A1/14</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154 (Rev. Busan, 2014) “Use of the six official languages of the Union on an equal footing”</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RCC/62A1/15</w:t>
            </w:r>
          </w:p>
        </w:tc>
        <w:tc>
          <w:tcPr>
            <w:tcW w:w="8647" w:type="dxa"/>
            <w:tcBorders>
              <w:bottom w:val="single" w:sz="4" w:space="0" w:color="auto"/>
            </w:tcBorders>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Proposal for the revision of Resolution 177(Rev. Busan, 2014) “Conformance and interoperability”</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RCC/62A1/16</w:t>
            </w:r>
          </w:p>
        </w:tc>
        <w:tc>
          <w:tcPr>
            <w:tcW w:w="8647" w:type="dxa"/>
            <w:tcBorders>
              <w:bottom w:val="single" w:sz="4" w:space="0" w:color="auto"/>
            </w:tcBorders>
          </w:tcPr>
          <w:p w:rsidR="0088503D" w:rsidRPr="0088503D" w:rsidRDefault="0088503D" w:rsidP="00912F58">
            <w:pP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179 (Rev. Busan, 2014) “</w:t>
            </w:r>
            <w:r w:rsidRPr="0088503D">
              <w:rPr>
                <w:rFonts w:asciiTheme="minorHAnsi" w:hAnsiTheme="minorHAnsi"/>
                <w:sz w:val="22"/>
                <w:szCs w:val="22"/>
                <w:lang w:val="en-US"/>
              </w:rPr>
              <w:t>ITU's role in child online protection”</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RCC/62A1/17</w:t>
            </w:r>
          </w:p>
        </w:tc>
        <w:tc>
          <w:tcPr>
            <w:tcW w:w="8647" w:type="dxa"/>
            <w:tcBorders>
              <w:bottom w:val="single" w:sz="4" w:space="0" w:color="auto"/>
            </w:tcBorders>
            <w:shd w:val="clear" w:color="auto" w:fill="auto"/>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color w:val="000000"/>
                <w:sz w:val="22"/>
                <w:szCs w:val="22"/>
                <w:lang w:val="en-US"/>
              </w:rPr>
              <w:t>Proposal for the suppression of Resolution 185 (Busan, 2014), "Global flight tracking for civil aviation”</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RCC/62A1/18</w:t>
            </w:r>
          </w:p>
        </w:tc>
        <w:tc>
          <w:tcPr>
            <w:tcW w:w="8647" w:type="dxa"/>
            <w:tcBorders>
              <w:bottom w:val="single" w:sz="4" w:space="0" w:color="auto"/>
            </w:tcBorders>
            <w:shd w:val="clear" w:color="auto" w:fill="auto"/>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No change to Resolution 188 (Busan, 2014) “Combating counterfeit telecommunication/information and communication technology devices”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lastRenderedPageBreak/>
              <w:t>RCC/62A1/19</w:t>
            </w:r>
          </w:p>
        </w:tc>
        <w:tc>
          <w:tcPr>
            <w:tcW w:w="8647" w:type="dxa"/>
            <w:tcBorders>
              <w:bottom w:val="single" w:sz="4" w:space="0" w:color="auto"/>
            </w:tcBorders>
            <w:shd w:val="clear" w:color="auto" w:fill="auto"/>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191 (Rev. Busan, 2014) “Strategy for the coordination of efforts among the three Sectors of the Union”</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RCC/62A1/20</w:t>
            </w:r>
          </w:p>
        </w:tc>
        <w:tc>
          <w:tcPr>
            <w:tcW w:w="8647" w:type="dxa"/>
            <w:tcBorders>
              <w:bottom w:val="single" w:sz="4" w:space="0" w:color="auto"/>
            </w:tcBorders>
            <w:shd w:val="clear" w:color="auto" w:fill="auto"/>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196 “Protection of users/consumers of telecommunication/ICT services”</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RCC/62A1/21</w:t>
            </w:r>
          </w:p>
        </w:tc>
        <w:tc>
          <w:tcPr>
            <w:tcW w:w="8647" w:type="dxa"/>
            <w:tcBorders>
              <w:bottom w:val="single" w:sz="4" w:space="0" w:color="auto"/>
            </w:tcBorders>
            <w:shd w:val="clear" w:color="auto" w:fill="auto"/>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w:t>
            </w:r>
            <w:r w:rsidRPr="0088503D">
              <w:rPr>
                <w:rFonts w:asciiTheme="minorHAnsi" w:hAnsiTheme="minorHAnsi"/>
                <w:color w:val="000000"/>
                <w:sz w:val="22"/>
                <w:szCs w:val="22"/>
                <w:lang w:val="en-US"/>
              </w:rPr>
              <w:t>Resolution 197 (Rev. Busan, 2014) “Facilitating the Internet of things for training to a globally connected world”</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RCC/62A1/22</w:t>
            </w:r>
          </w:p>
        </w:tc>
        <w:tc>
          <w:tcPr>
            <w:tcW w:w="8647" w:type="dxa"/>
            <w:tcBorders>
              <w:bottom w:val="single" w:sz="4" w:space="0" w:color="auto"/>
            </w:tcBorders>
            <w:shd w:val="clear" w:color="auto" w:fill="auto"/>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 xml:space="preserve">Proposal for the revision of Resolution </w:t>
            </w:r>
            <w:r w:rsidRPr="0088503D">
              <w:rPr>
                <w:rFonts w:asciiTheme="minorHAnsi" w:hAnsiTheme="minorHAnsi"/>
                <w:color w:val="000000"/>
                <w:sz w:val="22"/>
                <w:szCs w:val="22"/>
                <w:lang w:val="en-US"/>
              </w:rPr>
              <w:t>200 (Busan, 2014) “Agenda for global telecommunication/information and communication technology development «will be connected by 2020”</w:t>
            </w:r>
          </w:p>
        </w:tc>
      </w:tr>
      <w:tr w:rsidR="0088503D" w:rsidRPr="004001FC" w:rsidTr="00D66F9F">
        <w:tc>
          <w:tcPr>
            <w:tcW w:w="1418" w:type="dxa"/>
            <w:tcBorders>
              <w:bottom w:val="single" w:sz="4" w:space="0" w:color="auto"/>
            </w:tcBorders>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RCC/62A1/23</w:t>
            </w:r>
          </w:p>
        </w:tc>
        <w:tc>
          <w:tcPr>
            <w:tcW w:w="8647" w:type="dxa"/>
            <w:tcBorders>
              <w:bottom w:val="single" w:sz="4" w:space="0" w:color="auto"/>
            </w:tcBorders>
            <w:shd w:val="clear" w:color="auto" w:fill="auto"/>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sz w:val="22"/>
                <w:szCs w:val="22"/>
                <w:lang w:val="en-US"/>
              </w:rPr>
              <w:t>Draft New Resolution “International public policy issues related to OTT services”</w:t>
            </w:r>
          </w:p>
        </w:tc>
      </w:tr>
      <w:tr w:rsidR="0088503D" w:rsidRPr="004001FC" w:rsidTr="00D66F9F">
        <w:tc>
          <w:tcPr>
            <w:tcW w:w="1418" w:type="dxa"/>
            <w:tcBorders>
              <w:bottom w:val="single" w:sz="4" w:space="0" w:color="auto"/>
            </w:tcBorders>
            <w:shd w:val="clear" w:color="auto" w:fill="FFFFFF" w:themeFill="background1"/>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RCC/62A1/24</w:t>
            </w:r>
          </w:p>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RCC/62A1/25</w:t>
            </w:r>
          </w:p>
        </w:tc>
        <w:tc>
          <w:tcPr>
            <w:tcW w:w="8647" w:type="dxa"/>
            <w:tcBorders>
              <w:bottom w:val="single" w:sz="4" w:space="0" w:color="auto"/>
            </w:tcBorders>
            <w:shd w:val="clear" w:color="auto" w:fill="FFFFFF" w:themeFill="background1"/>
          </w:tcPr>
          <w:p w:rsidR="0088503D" w:rsidRPr="0088503D" w:rsidRDefault="0088503D" w:rsidP="00912F58">
            <w:pPr>
              <w:pStyle w:val="Header"/>
              <w:snapToGrid w:val="0"/>
              <w:spacing w:before="60" w:after="60"/>
              <w:jc w:val="both"/>
              <w:rPr>
                <w:rFonts w:asciiTheme="minorHAnsi" w:hAnsiTheme="minorHAnsi"/>
                <w:sz w:val="22"/>
                <w:szCs w:val="22"/>
                <w:lang w:val="en-US"/>
              </w:rPr>
            </w:pPr>
            <w:r w:rsidRPr="0088503D">
              <w:rPr>
                <w:rFonts w:asciiTheme="minorHAnsi" w:hAnsiTheme="minorHAnsi"/>
                <w:sz w:val="22"/>
                <w:szCs w:val="22"/>
                <w:lang w:val="en-US"/>
              </w:rPr>
              <w:t xml:space="preserve">Draft New Resolution “Appointment and maximum term of authority of Chairmen and Vice-Chairmen of Advisory groups, Study groups and other groups of Sector”; and </w:t>
            </w:r>
            <w:r w:rsidRPr="0088503D">
              <w:rPr>
                <w:rFonts w:asciiTheme="minorHAnsi" w:hAnsiTheme="minorHAnsi"/>
                <w:sz w:val="22"/>
                <w:szCs w:val="22"/>
                <w:lang w:val="en-US"/>
              </w:rPr>
              <w:br/>
              <w:t>Proposal for the suppression of Resolution 166 “Number of vice-chairmen of Sector advisory groups, study groups and other groups”</w:t>
            </w:r>
          </w:p>
        </w:tc>
      </w:tr>
      <w:tr w:rsidR="0088503D" w:rsidRPr="004001FC" w:rsidTr="00D66F9F">
        <w:tc>
          <w:tcPr>
            <w:tcW w:w="1418" w:type="dxa"/>
            <w:tcBorders>
              <w:bottom w:val="single" w:sz="4" w:space="0" w:color="auto"/>
            </w:tcBorders>
            <w:shd w:val="clear" w:color="auto" w:fill="FFFFFF" w:themeFill="background1"/>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RCC/62A1/26</w:t>
            </w:r>
          </w:p>
        </w:tc>
        <w:tc>
          <w:tcPr>
            <w:tcW w:w="8647" w:type="dxa"/>
            <w:tcBorders>
              <w:bottom w:val="single" w:sz="4" w:space="0" w:color="auto"/>
            </w:tcBorders>
            <w:shd w:val="clear" w:color="auto" w:fill="FFFFFF" w:themeFill="background1"/>
          </w:tcPr>
          <w:p w:rsidR="0088503D" w:rsidRPr="0088503D" w:rsidRDefault="0088503D" w:rsidP="00912F58">
            <w:pPr>
              <w:pStyle w:val="Header"/>
              <w:snapToGrid w:val="0"/>
              <w:spacing w:before="60" w:after="60"/>
              <w:jc w:val="both"/>
              <w:rPr>
                <w:rFonts w:asciiTheme="minorHAnsi" w:hAnsiTheme="minorHAnsi"/>
                <w:sz w:val="22"/>
                <w:szCs w:val="22"/>
                <w:lang w:val="en-US"/>
              </w:rPr>
            </w:pPr>
            <w:r w:rsidRPr="0088503D">
              <w:rPr>
                <w:rFonts w:asciiTheme="minorHAnsi" w:hAnsiTheme="minorHAnsi"/>
                <w:sz w:val="22"/>
                <w:szCs w:val="22"/>
                <w:lang w:val="en-US"/>
              </w:rPr>
              <w:t>Draft New Resolution “Proposals for furthering Big data researches (Big data)”</w:t>
            </w:r>
          </w:p>
        </w:tc>
      </w:tr>
      <w:tr w:rsidR="0088503D" w:rsidRPr="004001FC" w:rsidTr="00D66F9F">
        <w:tc>
          <w:tcPr>
            <w:tcW w:w="1418" w:type="dxa"/>
            <w:tcBorders>
              <w:bottom w:val="single" w:sz="4" w:space="0" w:color="auto"/>
            </w:tcBorders>
            <w:shd w:val="clear" w:color="auto" w:fill="FFFFFF" w:themeFill="background1"/>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RCC/62A1/27</w:t>
            </w:r>
          </w:p>
        </w:tc>
        <w:tc>
          <w:tcPr>
            <w:tcW w:w="8647" w:type="dxa"/>
            <w:tcBorders>
              <w:bottom w:val="single" w:sz="4" w:space="0" w:color="auto"/>
            </w:tcBorders>
            <w:shd w:val="clear" w:color="auto" w:fill="FFFFFF" w:themeFill="background1"/>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color w:val="000000"/>
                <w:sz w:val="22"/>
                <w:szCs w:val="22"/>
                <w:lang w:val="en-US"/>
              </w:rPr>
              <w:t>Proposal for the revision of Decision 5 (Rev. Busan, 2014) “Revenue and expenses of the Union for the period 2016-2019”</w:t>
            </w:r>
          </w:p>
        </w:tc>
      </w:tr>
      <w:tr w:rsidR="0088503D" w:rsidRPr="004001FC" w:rsidTr="00D66F9F">
        <w:tc>
          <w:tcPr>
            <w:tcW w:w="1418" w:type="dxa"/>
            <w:tcBorders>
              <w:bottom w:val="single" w:sz="4" w:space="0" w:color="auto"/>
            </w:tcBorders>
            <w:shd w:val="clear" w:color="auto" w:fill="FFFFFF" w:themeFill="background1"/>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RCC/62A1/28</w:t>
            </w:r>
          </w:p>
        </w:tc>
        <w:tc>
          <w:tcPr>
            <w:tcW w:w="8647" w:type="dxa"/>
            <w:tcBorders>
              <w:bottom w:val="single" w:sz="4" w:space="0" w:color="auto"/>
            </w:tcBorders>
            <w:shd w:val="clear" w:color="auto" w:fill="FFFFFF" w:themeFill="background1"/>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color w:val="000000"/>
                <w:sz w:val="22"/>
                <w:szCs w:val="22"/>
                <w:lang w:val="en-US"/>
              </w:rPr>
              <w:t>Proposal for the revision of Decision 11 (Rev. Busan, 2014) “Creation and management of Council working groups”</w:t>
            </w:r>
          </w:p>
        </w:tc>
      </w:tr>
      <w:tr w:rsidR="0088503D" w:rsidRPr="004001FC" w:rsidTr="00D66F9F">
        <w:tc>
          <w:tcPr>
            <w:tcW w:w="1418" w:type="dxa"/>
            <w:tcBorders>
              <w:bottom w:val="single" w:sz="4" w:space="0" w:color="auto"/>
            </w:tcBorders>
            <w:shd w:val="clear" w:color="auto" w:fill="FFFFFF" w:themeFill="background1"/>
            <w:vAlign w:val="center"/>
          </w:tcPr>
          <w:p w:rsidR="0088503D" w:rsidRPr="00D66F9F" w:rsidRDefault="00912F58" w:rsidP="00D66F9F">
            <w:pPr>
              <w:pStyle w:val="Header"/>
              <w:spacing w:before="60" w:after="60"/>
              <w:rPr>
                <w:rFonts w:asciiTheme="minorHAnsi" w:hAnsiTheme="minorHAnsi"/>
                <w:b/>
                <w:bCs/>
                <w:color w:val="000000"/>
                <w:sz w:val="20"/>
              </w:rPr>
            </w:pPr>
            <w:r w:rsidRPr="00D66F9F">
              <w:rPr>
                <w:rFonts w:asciiTheme="minorHAnsi" w:hAnsiTheme="minorHAnsi"/>
                <w:b/>
                <w:bCs/>
                <w:color w:val="000000"/>
                <w:sz w:val="20"/>
              </w:rPr>
              <w:t>RCC/62A1/29</w:t>
            </w:r>
          </w:p>
        </w:tc>
        <w:tc>
          <w:tcPr>
            <w:tcW w:w="8647" w:type="dxa"/>
            <w:tcBorders>
              <w:bottom w:val="single" w:sz="4" w:space="0" w:color="auto"/>
            </w:tcBorders>
            <w:shd w:val="clear" w:color="auto" w:fill="FFFFFF" w:themeFill="background1"/>
          </w:tcPr>
          <w:p w:rsidR="0088503D" w:rsidRPr="0088503D" w:rsidRDefault="0088503D" w:rsidP="00912F58">
            <w:pPr>
              <w:pStyle w:val="Header"/>
              <w:snapToGrid w:val="0"/>
              <w:spacing w:before="60" w:after="60"/>
              <w:jc w:val="both"/>
              <w:rPr>
                <w:rFonts w:asciiTheme="minorHAnsi" w:hAnsiTheme="minorHAnsi"/>
                <w:color w:val="000000"/>
                <w:sz w:val="22"/>
                <w:szCs w:val="22"/>
                <w:lang w:val="en-US"/>
              </w:rPr>
            </w:pPr>
            <w:r w:rsidRPr="0088503D">
              <w:rPr>
                <w:rFonts w:asciiTheme="minorHAnsi" w:hAnsiTheme="minorHAnsi"/>
                <w:color w:val="000000"/>
                <w:sz w:val="22"/>
                <w:szCs w:val="22"/>
                <w:lang w:val="en-US"/>
              </w:rPr>
              <w:t>Final declaration of definitive choice and class of contributions</w:t>
            </w:r>
          </w:p>
        </w:tc>
      </w:tr>
      <w:tr w:rsidR="0088503D" w:rsidRPr="004001FC" w:rsidTr="00D66F9F">
        <w:tc>
          <w:tcPr>
            <w:tcW w:w="1418" w:type="dxa"/>
            <w:tcBorders>
              <w:bottom w:val="single" w:sz="4" w:space="0" w:color="auto"/>
            </w:tcBorders>
            <w:shd w:val="clear" w:color="auto" w:fill="FFFFFF" w:themeFill="background1"/>
            <w:vAlign w:val="center"/>
          </w:tcPr>
          <w:p w:rsidR="0088503D" w:rsidRPr="00D66F9F" w:rsidRDefault="00912F58" w:rsidP="00D66F9F">
            <w:pPr>
              <w:pStyle w:val="Header"/>
              <w:spacing w:before="60"/>
              <w:rPr>
                <w:rFonts w:asciiTheme="minorHAnsi" w:hAnsiTheme="minorHAnsi"/>
                <w:b/>
                <w:bCs/>
                <w:color w:val="000000"/>
                <w:sz w:val="20"/>
              </w:rPr>
            </w:pPr>
            <w:r w:rsidRPr="00D66F9F">
              <w:rPr>
                <w:rFonts w:asciiTheme="minorHAnsi" w:hAnsiTheme="minorHAnsi"/>
                <w:b/>
                <w:bCs/>
                <w:color w:val="000000"/>
                <w:sz w:val="20"/>
              </w:rPr>
              <w:t>RCC/62A1/30</w:t>
            </w:r>
          </w:p>
          <w:p w:rsidR="0088503D" w:rsidRPr="00D66F9F" w:rsidRDefault="00912F58" w:rsidP="00D66F9F">
            <w:pPr>
              <w:pStyle w:val="Header"/>
              <w:rPr>
                <w:rFonts w:asciiTheme="minorHAnsi" w:hAnsiTheme="minorHAnsi"/>
                <w:b/>
                <w:bCs/>
                <w:color w:val="000000"/>
                <w:sz w:val="20"/>
              </w:rPr>
            </w:pPr>
            <w:r w:rsidRPr="00D66F9F">
              <w:rPr>
                <w:rFonts w:asciiTheme="minorHAnsi" w:hAnsiTheme="minorHAnsi"/>
                <w:b/>
                <w:bCs/>
                <w:color w:val="000000"/>
                <w:sz w:val="20"/>
              </w:rPr>
              <w:t>RCC/62A1/31</w:t>
            </w:r>
          </w:p>
          <w:p w:rsidR="0088503D" w:rsidRPr="00D66F9F" w:rsidRDefault="00912F58" w:rsidP="00D66F9F">
            <w:pPr>
              <w:pStyle w:val="Header"/>
              <w:spacing w:after="60"/>
              <w:rPr>
                <w:rFonts w:asciiTheme="minorHAnsi" w:hAnsiTheme="minorHAnsi"/>
                <w:b/>
                <w:bCs/>
                <w:color w:val="000000"/>
                <w:sz w:val="20"/>
              </w:rPr>
            </w:pPr>
            <w:r w:rsidRPr="00D66F9F">
              <w:rPr>
                <w:rFonts w:asciiTheme="minorHAnsi" w:hAnsiTheme="minorHAnsi"/>
                <w:b/>
                <w:bCs/>
                <w:color w:val="000000"/>
                <w:sz w:val="20"/>
              </w:rPr>
              <w:t>RCC/62A1/32</w:t>
            </w:r>
          </w:p>
        </w:tc>
        <w:tc>
          <w:tcPr>
            <w:tcW w:w="8647" w:type="dxa"/>
            <w:tcBorders>
              <w:bottom w:val="single" w:sz="4" w:space="0" w:color="auto"/>
            </w:tcBorders>
            <w:shd w:val="clear" w:color="auto" w:fill="FFFFFF" w:themeFill="background1"/>
            <w:vAlign w:val="center"/>
          </w:tcPr>
          <w:p w:rsidR="0088503D" w:rsidRPr="0088503D" w:rsidRDefault="0088503D" w:rsidP="00912F58">
            <w:pPr>
              <w:pStyle w:val="Header"/>
              <w:tabs>
                <w:tab w:val="left" w:pos="954"/>
              </w:tabs>
              <w:snapToGrid w:val="0"/>
              <w:spacing w:before="60" w:after="60"/>
              <w:jc w:val="left"/>
              <w:rPr>
                <w:rFonts w:asciiTheme="minorHAnsi" w:hAnsiTheme="minorHAnsi"/>
                <w:color w:val="000000"/>
                <w:sz w:val="22"/>
                <w:szCs w:val="22"/>
                <w:lang w:val="en-US"/>
              </w:rPr>
            </w:pPr>
            <w:r w:rsidRPr="0088503D">
              <w:rPr>
                <w:rFonts w:asciiTheme="minorHAnsi" w:hAnsiTheme="minorHAnsi"/>
                <w:sz w:val="22"/>
                <w:szCs w:val="22"/>
                <w:lang w:val="en-US"/>
              </w:rPr>
              <w:t>The streamlining of Resolutions of the Plenipotentiary Conference and ITU sectors</w:t>
            </w:r>
          </w:p>
        </w:tc>
      </w:tr>
      <w:tr w:rsidR="0088503D" w:rsidRPr="004001FC" w:rsidTr="00D66F9F">
        <w:tc>
          <w:tcPr>
            <w:tcW w:w="1418" w:type="dxa"/>
            <w:shd w:val="clear" w:color="auto" w:fill="FFFFFF" w:themeFill="background1"/>
            <w:vAlign w:val="center"/>
          </w:tcPr>
          <w:p w:rsidR="0088503D" w:rsidRPr="00D66F9F" w:rsidRDefault="00912F58" w:rsidP="00D66F9F">
            <w:pPr>
              <w:pStyle w:val="Header"/>
              <w:spacing w:before="60"/>
              <w:rPr>
                <w:rFonts w:asciiTheme="minorHAnsi" w:hAnsiTheme="minorHAnsi"/>
                <w:b/>
                <w:bCs/>
                <w:color w:val="000000"/>
                <w:sz w:val="20"/>
              </w:rPr>
            </w:pPr>
            <w:r w:rsidRPr="00D66F9F">
              <w:rPr>
                <w:rFonts w:asciiTheme="minorHAnsi" w:hAnsiTheme="minorHAnsi"/>
                <w:b/>
                <w:bCs/>
                <w:color w:val="000000"/>
                <w:sz w:val="20"/>
              </w:rPr>
              <w:t>RCC/62A1/33</w:t>
            </w:r>
          </w:p>
          <w:p w:rsidR="0088503D" w:rsidRPr="00D66F9F" w:rsidRDefault="00912F58" w:rsidP="00D66F9F">
            <w:pPr>
              <w:pStyle w:val="Header"/>
              <w:rPr>
                <w:rFonts w:asciiTheme="minorHAnsi" w:hAnsiTheme="minorHAnsi"/>
                <w:b/>
                <w:bCs/>
                <w:color w:val="000000"/>
                <w:sz w:val="20"/>
              </w:rPr>
            </w:pPr>
            <w:r w:rsidRPr="00D66F9F">
              <w:rPr>
                <w:rFonts w:asciiTheme="minorHAnsi" w:hAnsiTheme="minorHAnsi"/>
                <w:b/>
                <w:bCs/>
                <w:color w:val="000000"/>
                <w:sz w:val="20"/>
              </w:rPr>
              <w:t>RCC/62A1/34</w:t>
            </w:r>
          </w:p>
          <w:p w:rsidR="0088503D" w:rsidRPr="00D66F9F" w:rsidRDefault="00912F58" w:rsidP="00D66F9F">
            <w:pPr>
              <w:pStyle w:val="Header"/>
              <w:spacing w:after="60"/>
              <w:rPr>
                <w:rFonts w:asciiTheme="minorHAnsi" w:hAnsiTheme="minorHAnsi"/>
                <w:b/>
                <w:bCs/>
                <w:color w:val="000000"/>
                <w:sz w:val="20"/>
              </w:rPr>
            </w:pPr>
            <w:r w:rsidRPr="00D66F9F">
              <w:rPr>
                <w:rFonts w:asciiTheme="minorHAnsi" w:hAnsiTheme="minorHAnsi"/>
                <w:b/>
                <w:bCs/>
                <w:color w:val="000000"/>
                <w:sz w:val="20"/>
              </w:rPr>
              <w:t>RCC/62A1/35</w:t>
            </w:r>
          </w:p>
        </w:tc>
        <w:tc>
          <w:tcPr>
            <w:tcW w:w="8647" w:type="dxa"/>
            <w:shd w:val="clear" w:color="auto" w:fill="FFFFFF" w:themeFill="background1"/>
            <w:vAlign w:val="center"/>
          </w:tcPr>
          <w:p w:rsidR="0088503D" w:rsidRPr="0088503D" w:rsidRDefault="0088503D" w:rsidP="00912F58">
            <w:pPr>
              <w:pStyle w:val="Header"/>
              <w:tabs>
                <w:tab w:val="left" w:pos="954"/>
              </w:tabs>
              <w:snapToGrid w:val="0"/>
              <w:spacing w:before="60" w:after="60"/>
              <w:jc w:val="left"/>
              <w:rPr>
                <w:rFonts w:asciiTheme="minorHAnsi" w:hAnsiTheme="minorHAnsi"/>
                <w:color w:val="000000"/>
                <w:sz w:val="22"/>
                <w:szCs w:val="22"/>
                <w:lang w:val="en-US"/>
              </w:rPr>
            </w:pPr>
            <w:r w:rsidRPr="0088503D">
              <w:rPr>
                <w:rFonts w:asciiTheme="minorHAnsi" w:hAnsiTheme="minorHAnsi"/>
                <w:sz w:val="22"/>
                <w:szCs w:val="22"/>
                <w:lang w:val="en-US"/>
              </w:rPr>
              <w:t>Comparative analysis of International Telecommunication Regulations 1988 and 2012</w:t>
            </w:r>
          </w:p>
        </w:tc>
      </w:tr>
    </w:tbl>
    <w:p w:rsidR="0088503D" w:rsidRPr="0088503D" w:rsidRDefault="0088503D" w:rsidP="00AB2D04">
      <w:pPr>
        <w:rPr>
          <w:lang w:val="en-US"/>
        </w:rPr>
      </w:pPr>
    </w:p>
    <w:p w:rsidR="001A16ED" w:rsidRDefault="001A16ED" w:rsidP="00AB2D04">
      <w:r>
        <w:br w:type="page"/>
      </w:r>
    </w:p>
    <w:p w:rsidR="000F7595" w:rsidRDefault="000F7595" w:rsidP="00846DBA">
      <w:pPr>
        <w:sectPr w:rsidR="000F7595" w:rsidSect="002645ED">
          <w:headerReference w:type="first" r:id="rId11"/>
          <w:footerReference w:type="first" r:id="rId12"/>
          <w:type w:val="continuous"/>
          <w:pgSz w:w="11913" w:h="16834"/>
          <w:pgMar w:top="1418" w:right="1134" w:bottom="1418" w:left="1134" w:header="720" w:footer="720" w:gutter="0"/>
          <w:cols w:space="720"/>
          <w:titlePg/>
        </w:sectPr>
      </w:pPr>
    </w:p>
    <w:p w:rsidR="000F7595" w:rsidRDefault="000F7595" w:rsidP="00602977">
      <w:pPr>
        <w:pStyle w:val="AnnexNo"/>
        <w:spacing w:before="120"/>
        <w:rPr>
          <w:lang w:val="en-US"/>
        </w:rPr>
      </w:pPr>
      <w:bookmarkStart w:id="7" w:name="Annex2"/>
      <w:r w:rsidRPr="000F7595">
        <w:rPr>
          <w:lang w:val="en-US"/>
        </w:rPr>
        <w:lastRenderedPageBreak/>
        <w:t>ANNEX</w:t>
      </w:r>
      <w:r w:rsidR="002645ED">
        <w:rPr>
          <w:lang w:val="en-US"/>
        </w:rPr>
        <w:t xml:space="preserve"> 2</w:t>
      </w:r>
    </w:p>
    <w:bookmarkEnd w:id="7"/>
    <w:p w:rsidR="000F7595" w:rsidRPr="000F7595" w:rsidRDefault="000F7595" w:rsidP="00D66F9F">
      <w:pPr>
        <w:pStyle w:val="Annextitle"/>
        <w:rPr>
          <w:lang w:val="en-US"/>
        </w:rPr>
      </w:pPr>
      <w:r>
        <w:rPr>
          <w:lang w:val="en-US"/>
        </w:rPr>
        <w:t xml:space="preserve">List of </w:t>
      </w:r>
      <w:r w:rsidR="00D66F9F">
        <w:rPr>
          <w:lang w:val="en-US"/>
        </w:rPr>
        <w:t>co-signatures by the Administration Member States of the RCC</w:t>
      </w:r>
    </w:p>
    <w:tbl>
      <w:tblPr>
        <w:tblStyle w:val="1"/>
        <w:tblW w:w="15450" w:type="dxa"/>
        <w:tblInd w:w="-431" w:type="dxa"/>
        <w:tblLayout w:type="fixed"/>
        <w:tblLook w:val="04A0" w:firstRow="1" w:lastRow="0" w:firstColumn="1" w:lastColumn="0" w:noHBand="0" w:noVBand="1"/>
      </w:tblPr>
      <w:tblGrid>
        <w:gridCol w:w="1696"/>
        <w:gridCol w:w="427"/>
        <w:gridCol w:w="426"/>
        <w:gridCol w:w="426"/>
        <w:gridCol w:w="425"/>
        <w:gridCol w:w="426"/>
        <w:gridCol w:w="425"/>
        <w:gridCol w:w="425"/>
        <w:gridCol w:w="425"/>
        <w:gridCol w:w="426"/>
        <w:gridCol w:w="425"/>
        <w:gridCol w:w="425"/>
        <w:gridCol w:w="425"/>
        <w:gridCol w:w="426"/>
        <w:gridCol w:w="425"/>
        <w:gridCol w:w="425"/>
        <w:gridCol w:w="425"/>
        <w:gridCol w:w="426"/>
        <w:gridCol w:w="425"/>
        <w:gridCol w:w="539"/>
        <w:gridCol w:w="567"/>
        <w:gridCol w:w="567"/>
        <w:gridCol w:w="567"/>
        <w:gridCol w:w="515"/>
        <w:gridCol w:w="547"/>
        <w:gridCol w:w="587"/>
        <w:gridCol w:w="477"/>
        <w:gridCol w:w="567"/>
        <w:gridCol w:w="595"/>
        <w:gridCol w:w="568"/>
      </w:tblGrid>
      <w:tr w:rsidR="001E45F2" w:rsidRPr="000F7595" w:rsidTr="00AC719E">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5F2" w:rsidRPr="000F7595" w:rsidRDefault="001E45F2" w:rsidP="000F7595">
            <w:pPr>
              <w:snapToGrid w:val="0"/>
              <w:rPr>
                <w:rFonts w:asciiTheme="minorHAnsi" w:hAnsiTheme="minorHAnsi"/>
                <w:b/>
                <w:sz w:val="22"/>
                <w:szCs w:val="22"/>
                <w:lang w:val="en-US" w:eastAsia="zh-CN"/>
              </w:rPr>
            </w:pPr>
          </w:p>
        </w:tc>
        <w:tc>
          <w:tcPr>
            <w:tcW w:w="13754" w:type="dxa"/>
            <w:gridSpan w:val="2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45F2" w:rsidRPr="0088503D" w:rsidRDefault="001E45F2" w:rsidP="0088503D">
            <w:pPr>
              <w:snapToGrid w:val="0"/>
              <w:spacing w:after="120"/>
              <w:jc w:val="center"/>
              <w:rPr>
                <w:rFonts w:asciiTheme="minorHAnsi" w:hAnsiTheme="minorHAnsi"/>
                <w:b/>
                <w:sz w:val="22"/>
                <w:szCs w:val="22"/>
                <w:lang w:val="fr-CH" w:eastAsia="zh-CN"/>
              </w:rPr>
            </w:pPr>
            <w:proofErr w:type="spellStart"/>
            <w:r>
              <w:rPr>
                <w:rFonts w:asciiTheme="minorHAnsi" w:hAnsiTheme="minorHAnsi"/>
                <w:b/>
                <w:sz w:val="22"/>
                <w:szCs w:val="22"/>
                <w:lang w:val="fr-CH" w:eastAsia="zh-CN"/>
              </w:rPr>
              <w:t>Proposals</w:t>
            </w:r>
            <w:proofErr w:type="spellEnd"/>
            <w:r w:rsidRPr="000F7595">
              <w:rPr>
                <w:rFonts w:asciiTheme="minorHAnsi" w:hAnsiTheme="minorHAnsi"/>
                <w:b/>
                <w:sz w:val="22"/>
                <w:szCs w:val="22"/>
                <w:lang w:val="ru-RU" w:eastAsia="zh-CN"/>
              </w:rPr>
              <w:t xml:space="preserve"> №</w:t>
            </w:r>
            <w:r>
              <w:rPr>
                <w:rFonts w:asciiTheme="minorHAnsi" w:hAnsiTheme="minorHAnsi"/>
                <w:b/>
                <w:sz w:val="22"/>
                <w:szCs w:val="22"/>
                <w:lang w:val="fr-CH" w:eastAsia="zh-CN"/>
              </w:rPr>
              <w:t xml:space="preserve"> (RCC/62A1/xx)</w:t>
            </w:r>
          </w:p>
        </w:tc>
      </w:tr>
      <w:tr w:rsidR="000F7595" w:rsidRPr="000F7595" w:rsidTr="0088503D">
        <w:trPr>
          <w:trHeight w:val="397"/>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ru-RU" w:eastAsia="zh-CN"/>
              </w:rPr>
            </w:pPr>
            <w:r w:rsidRPr="0088503D">
              <w:rPr>
                <w:rFonts w:asciiTheme="minorHAnsi" w:hAnsiTheme="minorHAnsi"/>
                <w:b/>
                <w:sz w:val="20"/>
                <w:lang w:val="ru-RU" w:eastAsia="zh-CN"/>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D66F9F">
            <w:pPr>
              <w:snapToGrid w:val="0"/>
              <w:spacing w:before="40"/>
              <w:rPr>
                <w:rFonts w:asciiTheme="minorHAnsi" w:hAnsiTheme="minorHAnsi"/>
                <w:b/>
                <w:sz w:val="20"/>
                <w:lang w:val="fr-CH" w:eastAsia="zh-CN"/>
              </w:rPr>
            </w:pPr>
            <w:r w:rsidRPr="0088503D">
              <w:rPr>
                <w:rFonts w:asciiTheme="minorHAnsi" w:hAnsiTheme="minorHAnsi"/>
                <w:b/>
                <w:sz w:val="20"/>
                <w:lang w:val="ru-RU" w:eastAsia="zh-CN"/>
              </w:rPr>
              <w:t>12</w:t>
            </w:r>
            <w:r w:rsidR="006269F2">
              <w:rPr>
                <w:rFonts w:asciiTheme="minorHAnsi" w:hAnsiTheme="minorHAnsi"/>
                <w:b/>
                <w:sz w:val="20"/>
                <w:lang w:val="ru-RU" w:eastAsia="zh-CN"/>
              </w:rPr>
              <w:br/>
            </w:r>
            <w:r w:rsidR="006269F2">
              <w:rPr>
                <w:rFonts w:asciiTheme="minorHAnsi" w:hAnsiTheme="minorHAnsi"/>
                <w:b/>
                <w:sz w:val="20"/>
                <w:lang w:val="fr-CH" w:eastAsia="zh-CN"/>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19</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23</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F7595"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24</w:t>
            </w:r>
          </w:p>
          <w:p w:rsidR="00565E2C" w:rsidRPr="0088503D" w:rsidRDefault="00565E2C" w:rsidP="00D66F9F">
            <w:pPr>
              <w:snapToGrid w:val="0"/>
              <w:spacing w:before="0"/>
              <w:rPr>
                <w:rFonts w:asciiTheme="minorHAnsi" w:hAnsiTheme="minorHAnsi"/>
                <w:b/>
                <w:sz w:val="20"/>
                <w:lang w:val="fr-CH" w:eastAsia="zh-CN"/>
              </w:rPr>
            </w:pPr>
            <w:r>
              <w:rPr>
                <w:rFonts w:asciiTheme="minorHAnsi" w:hAnsiTheme="minorHAnsi"/>
                <w:b/>
                <w:sz w:val="20"/>
                <w:lang w:val="fr-CH" w:eastAsia="zh-CN"/>
              </w:rPr>
              <w:t>25</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26</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27</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29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30</w:t>
            </w:r>
          </w:p>
          <w:p w:rsidR="00565E2C" w:rsidRDefault="00565E2C" w:rsidP="00D66F9F">
            <w:pPr>
              <w:snapToGrid w:val="0"/>
              <w:spacing w:before="0"/>
              <w:rPr>
                <w:rFonts w:asciiTheme="minorHAnsi" w:hAnsiTheme="minorHAnsi"/>
                <w:b/>
                <w:sz w:val="20"/>
                <w:lang w:val="fr-CH" w:eastAsia="zh-CN"/>
              </w:rPr>
            </w:pPr>
            <w:r>
              <w:rPr>
                <w:rFonts w:asciiTheme="minorHAnsi" w:hAnsiTheme="minorHAnsi"/>
                <w:b/>
                <w:sz w:val="20"/>
                <w:lang w:val="fr-CH" w:eastAsia="zh-CN"/>
              </w:rPr>
              <w:t>31</w:t>
            </w:r>
          </w:p>
          <w:p w:rsidR="00565E2C" w:rsidRPr="0088503D" w:rsidRDefault="00565E2C" w:rsidP="00D66F9F">
            <w:pPr>
              <w:snapToGrid w:val="0"/>
              <w:spacing w:before="0"/>
              <w:rPr>
                <w:rFonts w:asciiTheme="minorHAnsi" w:hAnsiTheme="minorHAnsi"/>
                <w:b/>
                <w:sz w:val="20"/>
                <w:lang w:val="fr-CH" w:eastAsia="zh-CN"/>
              </w:rPr>
            </w:pPr>
            <w:r>
              <w:rPr>
                <w:rFonts w:asciiTheme="minorHAnsi" w:hAnsiTheme="minorHAnsi"/>
                <w:b/>
                <w:sz w:val="20"/>
                <w:lang w:val="fr-CH" w:eastAsia="zh-CN"/>
              </w:rPr>
              <w:t>32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Default="00565E2C" w:rsidP="00D66F9F">
            <w:pPr>
              <w:snapToGrid w:val="0"/>
              <w:spacing w:before="40"/>
              <w:rPr>
                <w:rFonts w:asciiTheme="minorHAnsi" w:hAnsiTheme="minorHAnsi"/>
                <w:b/>
                <w:sz w:val="20"/>
                <w:lang w:val="fr-CH" w:eastAsia="zh-CN"/>
              </w:rPr>
            </w:pPr>
            <w:r>
              <w:rPr>
                <w:rFonts w:asciiTheme="minorHAnsi" w:hAnsiTheme="minorHAnsi"/>
                <w:b/>
                <w:sz w:val="20"/>
                <w:lang w:val="fr-CH" w:eastAsia="zh-CN"/>
              </w:rPr>
              <w:t>33</w:t>
            </w:r>
          </w:p>
          <w:p w:rsidR="00565E2C" w:rsidRDefault="00565E2C" w:rsidP="00D66F9F">
            <w:pPr>
              <w:snapToGrid w:val="0"/>
              <w:spacing w:before="0"/>
              <w:rPr>
                <w:rFonts w:asciiTheme="minorHAnsi" w:hAnsiTheme="minorHAnsi"/>
                <w:b/>
                <w:sz w:val="20"/>
                <w:lang w:val="fr-CH" w:eastAsia="zh-CN"/>
              </w:rPr>
            </w:pPr>
            <w:r>
              <w:rPr>
                <w:rFonts w:asciiTheme="minorHAnsi" w:hAnsiTheme="minorHAnsi"/>
                <w:b/>
                <w:sz w:val="20"/>
                <w:lang w:val="fr-CH" w:eastAsia="zh-CN"/>
              </w:rPr>
              <w:t>34</w:t>
            </w:r>
          </w:p>
          <w:p w:rsidR="00565E2C" w:rsidRPr="0088503D" w:rsidRDefault="00565E2C" w:rsidP="00D66F9F">
            <w:pPr>
              <w:snapToGrid w:val="0"/>
              <w:spacing w:before="0" w:after="40"/>
              <w:rPr>
                <w:rFonts w:asciiTheme="minorHAnsi" w:hAnsiTheme="minorHAnsi"/>
                <w:b/>
                <w:sz w:val="20"/>
                <w:lang w:val="fr-CH" w:eastAsia="zh-CN"/>
              </w:rPr>
            </w:pPr>
            <w:r>
              <w:rPr>
                <w:rFonts w:asciiTheme="minorHAnsi" w:hAnsiTheme="minorHAnsi"/>
                <w:b/>
                <w:sz w:val="20"/>
                <w:lang w:val="fr-CH" w:eastAsia="zh-CN"/>
              </w:rPr>
              <w:t>35</w:t>
            </w: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Armenia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Azerbaijan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Belarus</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Georgia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Kazakhstan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Kyrgyzstan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sz w:val="20"/>
                <w:lang w:val="ru-RU" w:eastAsia="zh-CN"/>
              </w:rPr>
            </w:pP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Moldova</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bCs/>
                <w:sz w:val="20"/>
                <w:lang w:val="en-US" w:eastAsia="zh-CN"/>
              </w:rPr>
            </w:pPr>
            <w:r w:rsidRPr="0088503D">
              <w:rPr>
                <w:rFonts w:asciiTheme="minorHAnsi" w:hAnsiTheme="minorHAnsi"/>
                <w:b/>
                <w:bCs/>
                <w:sz w:val="20"/>
                <w:lang w:val="en-US" w:eastAsia="zh-CN"/>
              </w:rPr>
              <w:t>Russian Federation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en-US"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sz w:val="20"/>
                <w:lang w:val="en-US" w:eastAsia="zh-CN"/>
              </w:rPr>
            </w:pPr>
            <w:r w:rsidRPr="0088503D">
              <w:rPr>
                <w:rFonts w:asciiTheme="minorHAnsi" w:hAnsiTheme="minorHAnsi"/>
                <w:b/>
                <w:sz w:val="20"/>
                <w:lang w:val="en-US" w:eastAsia="zh-CN"/>
              </w:rPr>
              <w:t>V</w:t>
            </w: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Tajikistan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15"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4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87" w:type="dxa"/>
            <w:tcBorders>
              <w:top w:val="single" w:sz="4" w:space="0" w:color="000000" w:themeColor="text1"/>
              <w:left w:val="single" w:sz="4" w:space="0" w:color="auto"/>
              <w:bottom w:val="single" w:sz="4" w:space="0" w:color="000000" w:themeColor="text1"/>
              <w:right w:val="single" w:sz="4" w:space="0" w:color="auto"/>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sz w:val="20"/>
                <w:lang w:val="ru-RU" w:eastAsia="zh-CN"/>
              </w:rPr>
            </w:pPr>
            <w:r w:rsidRPr="0088503D">
              <w:rPr>
                <w:rFonts w:asciiTheme="minorHAnsi" w:hAnsiTheme="minorHAnsi"/>
                <w:b/>
                <w:sz w:val="20"/>
                <w:lang w:val="en-US" w:eastAsia="zh-CN"/>
              </w:rPr>
              <w:t>V</w:t>
            </w: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Turkmenistan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r>
      <w:tr w:rsidR="000F7595" w:rsidRPr="000F7595" w:rsidTr="0088503D">
        <w:trPr>
          <w:trHeight w:val="277"/>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Ukraine</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r>
      <w:tr w:rsidR="000F7595" w:rsidRPr="000F7595" w:rsidTr="0088503D">
        <w:trPr>
          <w:trHeight w:val="38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Uzbekistan</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sz w:val="20"/>
                <w:lang w:val="ru-RU" w:eastAsia="zh-CN"/>
              </w:rPr>
            </w:pPr>
          </w:p>
        </w:tc>
      </w:tr>
      <w:tr w:rsidR="000F7595" w:rsidRPr="000F7595" w:rsidTr="0088503D">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7595" w:rsidRPr="0088503D" w:rsidRDefault="000F7595" w:rsidP="000F7595">
            <w:pPr>
              <w:snapToGrid w:val="0"/>
              <w:rPr>
                <w:rFonts w:asciiTheme="minorHAnsi" w:hAnsiTheme="minorHAnsi"/>
                <w:b/>
                <w:bCs/>
                <w:sz w:val="20"/>
                <w:lang w:val="ru-RU" w:eastAsia="zh-CN"/>
              </w:rPr>
            </w:pPr>
            <w:r w:rsidRPr="0088503D">
              <w:rPr>
                <w:rFonts w:asciiTheme="minorHAnsi" w:hAnsiTheme="minorHAnsi"/>
                <w:b/>
                <w:bCs/>
                <w:sz w:val="20"/>
                <w:lang w:val="en-US" w:eastAsia="zh-CN"/>
              </w:rPr>
              <w:t>Total</w:t>
            </w:r>
            <w:r w:rsidRPr="0088503D">
              <w:rPr>
                <w:rFonts w:asciiTheme="minorHAnsi" w:hAnsiTheme="minorHAnsi"/>
                <w:sz w:val="20"/>
                <w:lang w:val="ru-RU" w:eastAsia="zh-CN"/>
              </w:rPr>
              <w:t>:</w:t>
            </w:r>
          </w:p>
        </w:tc>
        <w:tc>
          <w:tcPr>
            <w:tcW w:w="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bCs/>
                <w:sz w:val="20"/>
                <w:lang w:val="ru-RU" w:eastAsia="zh-CN"/>
              </w:rPr>
            </w:pPr>
          </w:p>
        </w:tc>
        <w:tc>
          <w:tcPr>
            <w:tcW w:w="515"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bCs/>
                <w:sz w:val="20"/>
                <w:lang w:val="ru-RU" w:eastAsia="zh-CN"/>
              </w:rPr>
            </w:pPr>
          </w:p>
        </w:tc>
        <w:tc>
          <w:tcPr>
            <w:tcW w:w="54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bCs/>
                <w:sz w:val="20"/>
                <w:lang w:val="ru-RU" w:eastAsia="zh-CN"/>
              </w:rPr>
            </w:pPr>
          </w:p>
        </w:tc>
        <w:tc>
          <w:tcPr>
            <w:tcW w:w="587" w:type="dxa"/>
            <w:tcBorders>
              <w:top w:val="single" w:sz="4" w:space="0" w:color="000000" w:themeColor="text1"/>
              <w:left w:val="single" w:sz="4" w:space="0" w:color="auto"/>
              <w:bottom w:val="single" w:sz="4" w:space="0" w:color="000000" w:themeColor="text1"/>
              <w:right w:val="single" w:sz="4" w:space="0" w:color="auto"/>
            </w:tcBorders>
          </w:tcPr>
          <w:p w:rsidR="000F7595" w:rsidRPr="0088503D" w:rsidRDefault="000F7595" w:rsidP="000F7595">
            <w:pPr>
              <w:snapToGrid w:val="0"/>
              <w:rPr>
                <w:rFonts w:asciiTheme="minorHAnsi" w:hAnsiTheme="minorHAnsi"/>
                <w:b/>
                <w:bCs/>
                <w:sz w:val="20"/>
                <w:lang w:val="ru-RU" w:eastAsia="zh-CN"/>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7595" w:rsidRPr="0088503D" w:rsidRDefault="000F7595" w:rsidP="000F7595">
            <w:pPr>
              <w:snapToGrid w:val="0"/>
              <w:rPr>
                <w:rFonts w:asciiTheme="minorHAnsi" w:hAnsiTheme="minorHAnsi"/>
                <w:b/>
                <w:bCs/>
                <w:sz w:val="20"/>
                <w:lang w:val="ru-RU" w:eastAsia="zh-CN"/>
              </w:rPr>
            </w:pPr>
          </w:p>
        </w:tc>
      </w:tr>
    </w:tbl>
    <w:p w:rsidR="0008540E" w:rsidRPr="002645ED" w:rsidRDefault="0008540E" w:rsidP="000F7595">
      <w:pPr>
        <w:snapToGrid w:val="0"/>
        <w:rPr>
          <w:rFonts w:asciiTheme="minorHAnsi" w:hAnsiTheme="minorHAnsi"/>
          <w:sz w:val="22"/>
          <w:szCs w:val="22"/>
          <w:lang w:val="fr-CH"/>
        </w:rPr>
      </w:pPr>
    </w:p>
    <w:sectPr w:rsidR="0008540E" w:rsidRPr="002645ED" w:rsidSect="0088503D">
      <w:headerReference w:type="default" r:id="rId13"/>
      <w:footerReference w:type="default" r:id="rId14"/>
      <w:headerReference w:type="first" r:id="rId15"/>
      <w:footerReference w:type="first" r:id="rId16"/>
      <w:pgSz w:w="16834" w:h="11913" w:orient="landscape"/>
      <w:pgMar w:top="1134" w:right="1418"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3D" w:rsidRDefault="0088503D">
      <w:r>
        <w:separator/>
      </w:r>
    </w:p>
  </w:endnote>
  <w:endnote w:type="continuationSeparator" w:id="0">
    <w:p w:rsidR="0088503D" w:rsidRDefault="008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Default="0088503D"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Default="0088503D"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8503D" w:rsidRPr="00A516BB" w:rsidRDefault="0088503D" w:rsidP="00AB2D04">
    <w:pPr>
      <w:pStyle w:val="firstfooter0"/>
      <w:spacing w:before="0" w:beforeAutospacing="0" w:after="0" w:afterAutospacing="0"/>
      <w:jc w:val="center"/>
      <w:rPr>
        <w:rFonts w:asciiTheme="minorHAnsi" w:hAnsiTheme="minorHAnsi"/>
        <w:sz w:val="16"/>
        <w:szCs w:val="16"/>
        <w:lang w:val="en-GB"/>
      </w:rPr>
    </w:pPr>
  </w:p>
  <w:p w:rsidR="0088503D" w:rsidRDefault="0088503D" w:rsidP="00855DAB">
    <w:pPr>
      <w:pStyle w:val="Footer"/>
      <w:tabs>
        <w:tab w:val="clear" w:pos="5954"/>
        <w:tab w:val="clear" w:pos="9639"/>
        <w:tab w:val="left" w:pos="7655"/>
        <w:tab w:val="right" w:pos="949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Pr="00A516BB" w:rsidRDefault="0088503D" w:rsidP="00AB2D04">
    <w:pPr>
      <w:pStyle w:val="firstfooter0"/>
      <w:spacing w:before="0" w:beforeAutospacing="0" w:after="0" w:afterAutospacing="0"/>
      <w:jc w:val="center"/>
      <w:rPr>
        <w:rFonts w:asciiTheme="minorHAnsi" w:hAnsiTheme="minorHAnsi"/>
        <w:sz w:val="16"/>
        <w:szCs w:val="16"/>
        <w:lang w:val="en-GB"/>
      </w:rPr>
    </w:pPr>
  </w:p>
  <w:p w:rsidR="0088503D" w:rsidRDefault="0088503D" w:rsidP="00855DAB">
    <w:pPr>
      <w:pStyle w:val="Footer"/>
      <w:tabs>
        <w:tab w:val="clear" w:pos="5954"/>
        <w:tab w:val="clear" w:pos="9639"/>
        <w:tab w:val="left" w:pos="7655"/>
        <w:tab w:val="right" w:pos="949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Default="0088503D" w:rsidP="00855DAB">
    <w:pPr>
      <w:pStyle w:val="Footer"/>
      <w:tabs>
        <w:tab w:val="clear" w:pos="5954"/>
        <w:tab w:val="clear" w:pos="9639"/>
        <w:tab w:val="left" w:pos="7655"/>
        <w:tab w:val="right" w:pos="949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Pr="00A516BB" w:rsidRDefault="0088503D" w:rsidP="00AB2D04">
    <w:pPr>
      <w:pStyle w:val="firstfooter0"/>
      <w:spacing w:before="0" w:beforeAutospacing="0" w:after="0" w:afterAutospacing="0"/>
      <w:jc w:val="center"/>
      <w:rPr>
        <w:rFonts w:asciiTheme="minorHAnsi" w:hAnsiTheme="minorHAnsi"/>
        <w:sz w:val="16"/>
        <w:szCs w:val="16"/>
        <w:lang w:val="en-GB"/>
      </w:rPr>
    </w:pPr>
  </w:p>
  <w:p w:rsidR="0088503D" w:rsidRDefault="0088503D"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3D" w:rsidRDefault="0088503D">
      <w:r>
        <w:t>____________________</w:t>
      </w:r>
    </w:p>
  </w:footnote>
  <w:footnote w:type="continuationSeparator" w:id="0">
    <w:p w:rsidR="0088503D" w:rsidRDefault="00885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Default="0088503D" w:rsidP="00CE1B90">
    <w:pPr>
      <w:pStyle w:val="Header"/>
    </w:pPr>
    <w:r>
      <w:fldChar w:fldCharType="begin"/>
    </w:r>
    <w:r>
      <w:instrText xml:space="preserve"> PAGE   \* MERGEFORMAT </w:instrText>
    </w:r>
    <w:r>
      <w:fldChar w:fldCharType="separate"/>
    </w:r>
    <w:r w:rsidR="00306CDD">
      <w:rPr>
        <w:noProof/>
      </w:rPr>
      <w:t>3</w:t>
    </w:r>
    <w:r>
      <w:fldChar w:fldCharType="end"/>
    </w:r>
  </w:p>
  <w:p w:rsidR="0088503D" w:rsidRDefault="0088503D" w:rsidP="00E26429">
    <w:pPr>
      <w:pStyle w:val="Header"/>
    </w:pPr>
    <w:r>
      <w:t>PP18</w:t>
    </w:r>
    <w:r w:rsidR="00602977">
      <w:t>/62</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77" w:rsidRDefault="00602977" w:rsidP="00602977">
    <w:pPr>
      <w:pStyle w:val="Header"/>
    </w:pPr>
    <w:r>
      <w:fldChar w:fldCharType="begin"/>
    </w:r>
    <w:r>
      <w:instrText xml:space="preserve"> PAGE   \* MERGEFORMAT </w:instrText>
    </w:r>
    <w:r>
      <w:fldChar w:fldCharType="separate"/>
    </w:r>
    <w:r w:rsidR="00306CDD">
      <w:rPr>
        <w:noProof/>
      </w:rPr>
      <w:t>2</w:t>
    </w:r>
    <w:r>
      <w:fldChar w:fldCharType="end"/>
    </w:r>
  </w:p>
  <w:p w:rsidR="00602977" w:rsidRDefault="00602977" w:rsidP="00602977">
    <w:pPr>
      <w:pStyle w:val="Header"/>
    </w:pPr>
    <w:r>
      <w:t>PP18/62-E</w:t>
    </w:r>
  </w:p>
  <w:p w:rsidR="0088503D" w:rsidRDefault="00885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D" w:rsidRDefault="0088503D" w:rsidP="00CE1B90">
    <w:pPr>
      <w:pStyle w:val="Header"/>
    </w:pPr>
    <w:r>
      <w:fldChar w:fldCharType="begin"/>
    </w:r>
    <w:r>
      <w:instrText xml:space="preserve"> PAGE   \* MERGEFORMAT </w:instrText>
    </w:r>
    <w:r>
      <w:fldChar w:fldCharType="separate"/>
    </w:r>
    <w:r>
      <w:rPr>
        <w:noProof/>
      </w:rPr>
      <w:t>3</w:t>
    </w:r>
    <w:r>
      <w:fldChar w:fldCharType="end"/>
    </w:r>
  </w:p>
  <w:p w:rsidR="0088503D" w:rsidRDefault="0088503D" w:rsidP="00E26429">
    <w:pPr>
      <w:pStyle w:val="Header"/>
    </w:pPr>
    <w:r>
      <w:t>PP18/X-E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77" w:rsidRDefault="00602977" w:rsidP="00602977">
    <w:pPr>
      <w:pStyle w:val="Header"/>
    </w:pPr>
    <w:r>
      <w:fldChar w:fldCharType="begin"/>
    </w:r>
    <w:r>
      <w:instrText xml:space="preserve"> PAGE   \* MERGEFORMAT </w:instrText>
    </w:r>
    <w:r>
      <w:fldChar w:fldCharType="separate"/>
    </w:r>
    <w:r w:rsidR="00306CDD">
      <w:rPr>
        <w:noProof/>
      </w:rPr>
      <w:t>4</w:t>
    </w:r>
    <w:r>
      <w:fldChar w:fldCharType="end"/>
    </w:r>
  </w:p>
  <w:p w:rsidR="00602977" w:rsidRDefault="00602977" w:rsidP="00602977">
    <w:pPr>
      <w:pStyle w:val="Header"/>
    </w:pPr>
    <w:r>
      <w:t>PP18/62-E</w:t>
    </w:r>
  </w:p>
  <w:p w:rsidR="0088503D" w:rsidRDefault="00885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0F7595"/>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1E45F2"/>
    <w:rsid w:val="002115E0"/>
    <w:rsid w:val="00215F12"/>
    <w:rsid w:val="00232B31"/>
    <w:rsid w:val="00235A3B"/>
    <w:rsid w:val="00243BE4"/>
    <w:rsid w:val="00257188"/>
    <w:rsid w:val="002578B4"/>
    <w:rsid w:val="002645ED"/>
    <w:rsid w:val="00267D12"/>
    <w:rsid w:val="00274266"/>
    <w:rsid w:val="00281792"/>
    <w:rsid w:val="0028799E"/>
    <w:rsid w:val="002962A8"/>
    <w:rsid w:val="002A56C0"/>
    <w:rsid w:val="002E77F4"/>
    <w:rsid w:val="002F36B9"/>
    <w:rsid w:val="002F5FA2"/>
    <w:rsid w:val="00306CDD"/>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5E2C"/>
    <w:rsid w:val="00567130"/>
    <w:rsid w:val="0057034B"/>
    <w:rsid w:val="00581E8F"/>
    <w:rsid w:val="00586A98"/>
    <w:rsid w:val="005927A4"/>
    <w:rsid w:val="00596B48"/>
    <w:rsid w:val="005B10E8"/>
    <w:rsid w:val="005B5026"/>
    <w:rsid w:val="005B661F"/>
    <w:rsid w:val="005C3315"/>
    <w:rsid w:val="005E1CC3"/>
    <w:rsid w:val="005F05C8"/>
    <w:rsid w:val="00602977"/>
    <w:rsid w:val="00604079"/>
    <w:rsid w:val="00617BE4"/>
    <w:rsid w:val="00620233"/>
    <w:rsid w:val="006269F2"/>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503D"/>
    <w:rsid w:val="00895CE3"/>
    <w:rsid w:val="0089603F"/>
    <w:rsid w:val="00897970"/>
    <w:rsid w:val="008B5A71"/>
    <w:rsid w:val="008D3BE2"/>
    <w:rsid w:val="008D4D98"/>
    <w:rsid w:val="008E2A7B"/>
    <w:rsid w:val="008E6E9B"/>
    <w:rsid w:val="008F2C56"/>
    <w:rsid w:val="008F3C99"/>
    <w:rsid w:val="00900D5B"/>
    <w:rsid w:val="00912F58"/>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66F9F"/>
    <w:rsid w:val="00D760C8"/>
    <w:rsid w:val="00D83FFD"/>
    <w:rsid w:val="00D8451F"/>
    <w:rsid w:val="00D8617D"/>
    <w:rsid w:val="00D92563"/>
    <w:rsid w:val="00DC7C10"/>
    <w:rsid w:val="00DD14AD"/>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80731"/>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table" w:customStyle="1" w:styleId="1">
    <w:name w:val="Сетка таблицы1"/>
    <w:basedOn w:val="TableNormal"/>
    <w:next w:val="TableGrid"/>
    <w:rsid w:val="000F759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F7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5785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6834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2018-10-23T09:46:00Z</dcterms:created>
  <dcterms:modified xsi:type="dcterms:W3CDTF">2018-10-23T09:46:00Z</dcterms:modified>
  <cp:category>Conference document</cp:category>
</cp:coreProperties>
</file>