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9573E5" w:rsidTr="00682B62">
        <w:trPr>
          <w:cantSplit/>
        </w:trPr>
        <w:tc>
          <w:tcPr>
            <w:tcW w:w="6911" w:type="dxa"/>
          </w:tcPr>
          <w:p w:rsidR="00255FA1" w:rsidRPr="009573E5" w:rsidRDefault="00255FA1" w:rsidP="006375E0">
            <w:pPr>
              <w:rPr>
                <w:b/>
                <w:bCs/>
                <w:szCs w:val="22"/>
                <w:lang w:val="es-ES"/>
              </w:rPr>
            </w:pPr>
            <w:bookmarkStart w:id="0" w:name="dbreak"/>
            <w:bookmarkStart w:id="1" w:name="dpp"/>
            <w:bookmarkEnd w:id="0"/>
            <w:bookmarkEnd w:id="1"/>
            <w:r w:rsidRPr="009573E5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Conferencia de Plenipotenciarios (PP-1</w:t>
            </w:r>
            <w:r w:rsidR="00C43474" w:rsidRPr="009573E5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8</w:t>
            </w:r>
            <w:r w:rsidRPr="009573E5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)</w:t>
            </w:r>
            <w:r w:rsidRPr="009573E5">
              <w:rPr>
                <w:rStyle w:val="PageNumber"/>
                <w:rFonts w:cs="Times"/>
                <w:sz w:val="26"/>
                <w:szCs w:val="26"/>
                <w:lang w:val="es-ES"/>
              </w:rPr>
              <w:br/>
            </w:r>
            <w:r w:rsidR="00C43474" w:rsidRPr="009573E5">
              <w:rPr>
                <w:rStyle w:val="PageNumber"/>
                <w:b/>
                <w:bCs/>
                <w:szCs w:val="24"/>
                <w:lang w:val="es-ES"/>
              </w:rPr>
              <w:t>Dub</w:t>
            </w:r>
            <w:r w:rsidR="006375E0" w:rsidRPr="009573E5">
              <w:rPr>
                <w:rStyle w:val="PageNumber"/>
                <w:b/>
                <w:bCs/>
                <w:szCs w:val="24"/>
                <w:lang w:val="es-ES"/>
              </w:rPr>
              <w:t>á</w:t>
            </w:r>
            <w:r w:rsidR="00C43474" w:rsidRPr="009573E5">
              <w:rPr>
                <w:rStyle w:val="PageNumber"/>
                <w:b/>
                <w:bCs/>
                <w:szCs w:val="24"/>
                <w:lang w:val="es-ES"/>
              </w:rPr>
              <w:t>i</w:t>
            </w:r>
            <w:r w:rsidRPr="009573E5">
              <w:rPr>
                <w:rStyle w:val="PageNumber"/>
                <w:b/>
                <w:bCs/>
                <w:szCs w:val="24"/>
                <w:lang w:val="es-ES"/>
              </w:rPr>
              <w:t>,</w:t>
            </w:r>
            <w:r w:rsidRPr="009573E5">
              <w:rPr>
                <w:rStyle w:val="PageNumber"/>
                <w:b/>
                <w:szCs w:val="24"/>
                <w:lang w:val="es-ES"/>
              </w:rPr>
              <w:t xml:space="preserve"> 2</w:t>
            </w:r>
            <w:r w:rsidR="00C43474" w:rsidRPr="009573E5">
              <w:rPr>
                <w:rStyle w:val="PageNumber"/>
                <w:b/>
                <w:szCs w:val="24"/>
                <w:lang w:val="es-ES"/>
              </w:rPr>
              <w:t>9</w:t>
            </w:r>
            <w:r w:rsidRPr="009573E5">
              <w:rPr>
                <w:rStyle w:val="PageNumber"/>
                <w:b/>
                <w:szCs w:val="24"/>
                <w:lang w:val="es-ES"/>
              </w:rPr>
              <w:t xml:space="preserve"> de octubre </w:t>
            </w:r>
            <w:r w:rsidR="00491A25" w:rsidRPr="009573E5">
              <w:rPr>
                <w:rStyle w:val="PageNumber"/>
                <w:b/>
                <w:szCs w:val="24"/>
                <w:lang w:val="es-ES"/>
              </w:rPr>
              <w:t>–</w:t>
            </w:r>
            <w:r w:rsidRPr="009573E5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C43474" w:rsidRPr="009573E5">
              <w:rPr>
                <w:rStyle w:val="PageNumber"/>
                <w:b/>
                <w:szCs w:val="24"/>
                <w:lang w:val="es-ES"/>
              </w:rPr>
              <w:t>16</w:t>
            </w:r>
            <w:r w:rsidRPr="009573E5">
              <w:rPr>
                <w:rStyle w:val="PageNumber"/>
                <w:b/>
                <w:szCs w:val="24"/>
                <w:lang w:val="es-ES"/>
              </w:rPr>
              <w:t xml:space="preserve"> de noviembre de 201</w:t>
            </w:r>
            <w:r w:rsidR="00C43474" w:rsidRPr="009573E5">
              <w:rPr>
                <w:rStyle w:val="PageNumber"/>
                <w:b/>
                <w:szCs w:val="24"/>
                <w:lang w:val="es-ES"/>
              </w:rPr>
              <w:t>8</w:t>
            </w:r>
          </w:p>
        </w:tc>
        <w:tc>
          <w:tcPr>
            <w:tcW w:w="3120" w:type="dxa"/>
          </w:tcPr>
          <w:p w:rsidR="00255FA1" w:rsidRPr="009573E5" w:rsidRDefault="00255FA1" w:rsidP="00682B62">
            <w:pPr>
              <w:spacing w:before="0" w:line="240" w:lineRule="atLeast"/>
              <w:rPr>
                <w:rFonts w:cstheme="minorHAnsi"/>
                <w:lang w:val="es-ES"/>
              </w:rPr>
            </w:pPr>
            <w:bookmarkStart w:id="2" w:name="ditulogo"/>
            <w:bookmarkEnd w:id="2"/>
            <w:r w:rsidRPr="009573E5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573E5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9573E5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573E5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</w:tr>
      <w:tr w:rsidR="00255FA1" w:rsidRPr="009573E5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9573E5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9573E5" w:rsidRDefault="00255FA1" w:rsidP="004F4BB1">
            <w:pPr>
              <w:spacing w:before="0"/>
              <w:rPr>
                <w:rFonts w:cstheme="minorHAnsi"/>
                <w:szCs w:val="24"/>
                <w:lang w:val="es-ES"/>
              </w:rPr>
            </w:pPr>
          </w:p>
        </w:tc>
      </w:tr>
      <w:tr w:rsidR="00255FA1" w:rsidRPr="009573E5" w:rsidTr="00682B62">
        <w:trPr>
          <w:cantSplit/>
        </w:trPr>
        <w:tc>
          <w:tcPr>
            <w:tcW w:w="6911" w:type="dxa"/>
          </w:tcPr>
          <w:p w:rsidR="00255FA1" w:rsidRPr="009573E5" w:rsidRDefault="00006EAE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"/>
              </w:rPr>
            </w:pPr>
            <w:r w:rsidRPr="009573E5">
              <w:rPr>
                <w:lang w:val="es-ES"/>
              </w:rPr>
              <w:t>SESIÓN PLENARIA</w:t>
            </w:r>
          </w:p>
        </w:tc>
        <w:tc>
          <w:tcPr>
            <w:tcW w:w="3120" w:type="dxa"/>
          </w:tcPr>
          <w:p w:rsidR="00255FA1" w:rsidRPr="009573E5" w:rsidRDefault="00006EAE" w:rsidP="005E44B6">
            <w:pPr>
              <w:spacing w:before="0"/>
              <w:rPr>
                <w:rFonts w:cstheme="minorHAnsi"/>
                <w:szCs w:val="24"/>
                <w:lang w:val="es-ES"/>
              </w:rPr>
            </w:pPr>
            <w:r w:rsidRPr="009573E5">
              <w:rPr>
                <w:rFonts w:cstheme="minorHAnsi"/>
                <w:b/>
                <w:szCs w:val="24"/>
                <w:lang w:val="es-ES"/>
              </w:rPr>
              <w:t xml:space="preserve">Documento </w:t>
            </w:r>
            <w:r w:rsidR="005E44B6" w:rsidRPr="009573E5">
              <w:rPr>
                <w:rFonts w:cstheme="minorHAnsi"/>
                <w:b/>
                <w:szCs w:val="24"/>
                <w:lang w:val="es-ES"/>
              </w:rPr>
              <w:t>61</w:t>
            </w:r>
            <w:r w:rsidRPr="009573E5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255FA1" w:rsidRPr="009573E5" w:rsidTr="00682B62">
        <w:trPr>
          <w:cantSplit/>
        </w:trPr>
        <w:tc>
          <w:tcPr>
            <w:tcW w:w="6911" w:type="dxa"/>
          </w:tcPr>
          <w:p w:rsidR="00255FA1" w:rsidRPr="009573E5" w:rsidRDefault="00255FA1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9573E5" w:rsidRDefault="005E44B6" w:rsidP="005E44B6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9573E5">
              <w:rPr>
                <w:rStyle w:val="PageNumber"/>
                <w:b/>
                <w:szCs w:val="24"/>
                <w:lang w:val="es-ES"/>
              </w:rPr>
              <w:t>2</w:t>
            </w:r>
            <w:r w:rsidR="00006EAE" w:rsidRPr="009573E5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 w:rsidRPr="009573E5">
              <w:rPr>
                <w:rStyle w:val="PageNumber"/>
                <w:b/>
                <w:szCs w:val="24"/>
                <w:lang w:val="es-ES"/>
              </w:rPr>
              <w:t>octubre</w:t>
            </w:r>
            <w:r w:rsidR="00006EAE" w:rsidRPr="009573E5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006EAE" w:rsidRPr="009573E5">
              <w:rPr>
                <w:rFonts w:cstheme="minorHAnsi"/>
                <w:b/>
                <w:szCs w:val="24"/>
                <w:lang w:val="es-ES"/>
              </w:rPr>
              <w:t>de 2018</w:t>
            </w:r>
          </w:p>
        </w:tc>
      </w:tr>
      <w:tr w:rsidR="00255FA1" w:rsidRPr="009573E5" w:rsidTr="00682B62">
        <w:trPr>
          <w:cantSplit/>
        </w:trPr>
        <w:tc>
          <w:tcPr>
            <w:tcW w:w="6911" w:type="dxa"/>
          </w:tcPr>
          <w:p w:rsidR="00255FA1" w:rsidRPr="009573E5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9573E5" w:rsidRDefault="00006EAE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9573E5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55FA1" w:rsidRPr="009573E5" w:rsidTr="00682B62">
        <w:trPr>
          <w:cantSplit/>
        </w:trPr>
        <w:tc>
          <w:tcPr>
            <w:tcW w:w="10031" w:type="dxa"/>
            <w:gridSpan w:val="2"/>
          </w:tcPr>
          <w:p w:rsidR="00255FA1" w:rsidRPr="009573E5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255FA1" w:rsidRPr="009573E5" w:rsidTr="00682B62">
        <w:trPr>
          <w:cantSplit/>
        </w:trPr>
        <w:tc>
          <w:tcPr>
            <w:tcW w:w="10031" w:type="dxa"/>
            <w:gridSpan w:val="2"/>
          </w:tcPr>
          <w:p w:rsidR="00255FA1" w:rsidRPr="009573E5" w:rsidRDefault="005E44B6" w:rsidP="00682B62">
            <w:pPr>
              <w:pStyle w:val="Source"/>
              <w:rPr>
                <w:lang w:val="es-ES"/>
              </w:rPr>
            </w:pPr>
            <w:bookmarkStart w:id="4" w:name="dsource" w:colFirst="0" w:colLast="0"/>
            <w:bookmarkEnd w:id="3"/>
            <w:r w:rsidRPr="009573E5">
              <w:rPr>
                <w:lang w:val="es-ES"/>
              </w:rPr>
              <w:t>Nota del Secretario General</w:t>
            </w:r>
          </w:p>
        </w:tc>
      </w:tr>
      <w:tr w:rsidR="00255FA1" w:rsidRPr="009573E5" w:rsidTr="00682B62">
        <w:trPr>
          <w:cantSplit/>
        </w:trPr>
        <w:tc>
          <w:tcPr>
            <w:tcW w:w="10031" w:type="dxa"/>
            <w:gridSpan w:val="2"/>
          </w:tcPr>
          <w:p w:rsidR="00255FA1" w:rsidRPr="009573E5" w:rsidRDefault="003F01C7" w:rsidP="003F01C7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 w:rsidRPr="009573E5">
              <w:rPr>
                <w:caps w:val="0"/>
                <w:lang w:val="es-ES"/>
              </w:rPr>
              <w:t>CANDIDATURAS DE LOS ESTADOS MIEMBROS</w:t>
            </w:r>
            <w:r>
              <w:rPr>
                <w:caps w:val="0"/>
                <w:lang w:val="es-ES"/>
              </w:rPr>
              <w:br/>
            </w:r>
            <w:r w:rsidRPr="009573E5">
              <w:rPr>
                <w:caps w:val="0"/>
                <w:lang w:val="es-ES"/>
              </w:rPr>
              <w:t>PARA LAS ELECCIONES EN EL CONSEJO DE LA UIT</w:t>
            </w:r>
          </w:p>
        </w:tc>
      </w:tr>
      <w:tr w:rsidR="00255FA1" w:rsidRPr="009573E5" w:rsidTr="00682B62">
        <w:trPr>
          <w:cantSplit/>
        </w:trPr>
        <w:tc>
          <w:tcPr>
            <w:tcW w:w="10031" w:type="dxa"/>
            <w:gridSpan w:val="2"/>
          </w:tcPr>
          <w:p w:rsidR="00255FA1" w:rsidRPr="009573E5" w:rsidRDefault="00255FA1" w:rsidP="00682B62">
            <w:pPr>
              <w:pStyle w:val="Title2"/>
              <w:rPr>
                <w:lang w:val="es-ES"/>
              </w:rPr>
            </w:pPr>
            <w:bookmarkStart w:id="6" w:name="dtitle2" w:colFirst="0" w:colLast="0"/>
            <w:bookmarkEnd w:id="5"/>
          </w:p>
        </w:tc>
      </w:tr>
      <w:tr w:rsidR="00255FA1" w:rsidRPr="009573E5" w:rsidTr="00682B62">
        <w:trPr>
          <w:cantSplit/>
        </w:trPr>
        <w:tc>
          <w:tcPr>
            <w:tcW w:w="10031" w:type="dxa"/>
            <w:gridSpan w:val="2"/>
          </w:tcPr>
          <w:p w:rsidR="00255FA1" w:rsidRPr="009573E5" w:rsidRDefault="00255FA1" w:rsidP="00682B62">
            <w:pPr>
              <w:pStyle w:val="Agendaitem"/>
              <w:rPr>
                <w:lang w:val="es-ES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5E44B6" w:rsidRPr="009573E5" w:rsidRDefault="005E44B6" w:rsidP="005E44B6">
      <w:pPr>
        <w:pStyle w:val="Normalaftertitle"/>
        <w:rPr>
          <w:lang w:val="es-ES"/>
        </w:rPr>
      </w:pPr>
      <w:r w:rsidRPr="009573E5">
        <w:rPr>
          <w:lang w:val="es-ES"/>
        </w:rPr>
        <w:t>Al cumplirse el plazo estipulado (lunes 1º de octubre de 2018, a las 23.59 horas, hora local de Ginebra) se han presentado las siguientes candidaturas</w:t>
      </w:r>
      <w:r w:rsidRPr="009573E5">
        <w:rPr>
          <w:rStyle w:val="FootnoteReference"/>
          <w:lang w:val="es-ES"/>
        </w:rPr>
        <w:footnoteReference w:id="1"/>
      </w:r>
      <w:r w:rsidRPr="009573E5">
        <w:rPr>
          <w:lang w:val="es-ES"/>
        </w:rPr>
        <w:t xml:space="preserve"> para las elecciones en el Consejo.</w:t>
      </w:r>
    </w:p>
    <w:p w:rsidR="005E44B6" w:rsidRPr="009573E5" w:rsidRDefault="005E44B6" w:rsidP="00FA58C0">
      <w:pPr>
        <w:rPr>
          <w:b/>
          <w:lang w:val="es-ES"/>
        </w:rPr>
      </w:pPr>
      <w:r w:rsidRPr="009573E5">
        <w:rPr>
          <w:lang w:val="es-ES"/>
        </w:rPr>
        <w:t xml:space="preserve">La lista de los Estados Miembros por región administrativa está disponible </w:t>
      </w:r>
      <w:r w:rsidR="00FA58C0" w:rsidRPr="009573E5">
        <w:rPr>
          <w:lang w:val="es-ES"/>
        </w:rPr>
        <w:t>en</w:t>
      </w:r>
      <w:r w:rsidRPr="009573E5">
        <w:rPr>
          <w:lang w:val="es-ES"/>
        </w:rPr>
        <w:t xml:space="preserve">: </w:t>
      </w:r>
      <w:hyperlink r:id="rId8" w:history="1">
        <w:r w:rsidRPr="009573E5">
          <w:rPr>
            <w:rStyle w:val="Hyperlink"/>
            <w:bCs/>
            <w:szCs w:val="24"/>
            <w:lang w:val="es-ES"/>
          </w:rPr>
          <w:t>https://www.itu.int/online/mm/scripts/mm.world?_languageid=1</w:t>
        </w:r>
      </w:hyperlink>
      <w:r w:rsidR="005A464B" w:rsidRPr="009573E5">
        <w:rPr>
          <w:lang w:val="es-ES"/>
        </w:rPr>
        <w:t>.</w:t>
      </w:r>
    </w:p>
    <w:p w:rsidR="005A1E7C" w:rsidRPr="009573E5" w:rsidRDefault="005E44B6" w:rsidP="007C7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371"/>
        </w:tabs>
        <w:spacing w:before="1560"/>
        <w:rPr>
          <w:lang w:val="es-ES"/>
        </w:rPr>
      </w:pPr>
      <w:r w:rsidRPr="009573E5">
        <w:rPr>
          <w:lang w:val="es-ES"/>
        </w:rPr>
        <w:tab/>
        <w:t>Houlin ZHAO</w:t>
      </w:r>
      <w:r w:rsidR="007C7161" w:rsidRPr="009573E5">
        <w:rPr>
          <w:lang w:val="es-ES"/>
        </w:rPr>
        <w:br/>
      </w:r>
      <w:r w:rsidR="007C7161" w:rsidRPr="009573E5">
        <w:rPr>
          <w:lang w:val="es-ES"/>
        </w:rPr>
        <w:tab/>
      </w:r>
      <w:r w:rsidR="005A1E7C" w:rsidRPr="009573E5">
        <w:rPr>
          <w:lang w:val="es-ES"/>
        </w:rPr>
        <w:t>Secretario General</w:t>
      </w:r>
    </w:p>
    <w:p w:rsidR="005A1E7C" w:rsidRPr="009573E5" w:rsidRDefault="005A1E7C" w:rsidP="005A1E7C">
      <w:pPr>
        <w:pStyle w:val="Tabletitle"/>
        <w:spacing w:before="480" w:after="60" w:line="480" w:lineRule="auto"/>
        <w:rPr>
          <w:lang w:val="es-ES"/>
        </w:rPr>
      </w:pPr>
    </w:p>
    <w:p w:rsidR="007C7161" w:rsidRPr="009573E5" w:rsidRDefault="007C7161" w:rsidP="007C7161">
      <w:pPr>
        <w:pStyle w:val="Tabletext"/>
        <w:rPr>
          <w:lang w:val="es-ES"/>
        </w:rPr>
        <w:sectPr w:rsidR="007C7161" w:rsidRPr="009573E5" w:rsidSect="00A70E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5A1E7C" w:rsidRPr="009573E5" w:rsidRDefault="005A1E7C" w:rsidP="005A1E7C">
      <w:pPr>
        <w:pStyle w:val="Tabletitle"/>
        <w:spacing w:before="120" w:after="0" w:line="480" w:lineRule="auto"/>
        <w:rPr>
          <w:lang w:val="es-ES"/>
        </w:rPr>
      </w:pPr>
      <w:r w:rsidRPr="009573E5">
        <w:rPr>
          <w:lang w:val="es-ES"/>
        </w:rPr>
        <w:lastRenderedPageBreak/>
        <w:t>Candidaturas de los Estados Miembros para las elecciones en el Consejo</w:t>
      </w:r>
      <w:r w:rsidRPr="009573E5">
        <w:rPr>
          <w:rStyle w:val="FootnoteReference"/>
          <w:lang w:val="es-ES"/>
        </w:rPr>
        <w:footnoteReference w:customMarkFollows="1" w:id="2"/>
        <w:sym w:font="Symbol" w:char="F02A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961"/>
        <w:gridCol w:w="4820"/>
      </w:tblGrid>
      <w:tr w:rsidR="005A1E7C" w:rsidRPr="009573E5" w:rsidTr="00C6390A">
        <w:tc>
          <w:tcPr>
            <w:tcW w:w="4786" w:type="dxa"/>
          </w:tcPr>
          <w:p w:rsidR="005A1E7C" w:rsidRPr="009573E5" w:rsidRDefault="005A1E7C" w:rsidP="00C6390A">
            <w:pPr>
              <w:pStyle w:val="TabletextS2"/>
              <w:rPr>
                <w:lang w:val="es-ES"/>
              </w:rPr>
            </w:pPr>
            <w:r w:rsidRPr="009573E5">
              <w:rPr>
                <w:lang w:val="es-ES"/>
              </w:rPr>
              <w:t>Región A – América (</w:t>
            </w:r>
            <w:r w:rsidRPr="009573E5">
              <w:rPr>
                <w:i/>
                <w:iCs/>
                <w:lang w:val="es-ES"/>
              </w:rPr>
              <w:t>9 escaños</w:t>
            </w:r>
            <w:r w:rsidRPr="009573E5">
              <w:rPr>
                <w:lang w:val="es-ES"/>
              </w:rPr>
              <w:t>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Argentina (República)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Bahamas (Commonwealth de las)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Brasil (República Federativa del)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Canadá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Cuba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El Salvador (República de)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Estados Unidos de América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México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Paraguay (República del)</w:t>
            </w:r>
          </w:p>
          <w:p w:rsidR="005A1E7C" w:rsidRPr="009573E5" w:rsidRDefault="005A1E7C" w:rsidP="00C6390A">
            <w:pPr>
              <w:pStyle w:val="TabletextS2"/>
              <w:spacing w:before="160"/>
              <w:rPr>
                <w:lang w:val="es-ES"/>
              </w:rPr>
            </w:pPr>
            <w:r w:rsidRPr="009573E5">
              <w:rPr>
                <w:lang w:val="es-ES"/>
              </w:rPr>
              <w:t xml:space="preserve">Región B – Europa Occidental </w:t>
            </w:r>
            <w:r w:rsidRPr="009573E5">
              <w:rPr>
                <w:i/>
                <w:iCs/>
                <w:lang w:val="es-ES"/>
              </w:rPr>
              <w:t xml:space="preserve">(8 </w:t>
            </w:r>
            <w:r w:rsidRPr="009573E5">
              <w:rPr>
                <w:i/>
                <w:lang w:val="es-ES"/>
              </w:rPr>
              <w:t>escaños</w:t>
            </w:r>
            <w:r w:rsidRPr="009573E5">
              <w:rPr>
                <w:lang w:val="es-ES"/>
              </w:rPr>
              <w:t>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Alemania (República Federal de)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España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Francia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Grecia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Hungría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Italia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Lituania (República de)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Suiza (Confederación)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Turquía</w:t>
            </w:r>
          </w:p>
        </w:tc>
        <w:tc>
          <w:tcPr>
            <w:tcW w:w="4961" w:type="dxa"/>
          </w:tcPr>
          <w:p w:rsidR="005A1E7C" w:rsidRPr="009573E5" w:rsidRDefault="005A1E7C" w:rsidP="005A1E7C">
            <w:pPr>
              <w:pStyle w:val="TabletextS2"/>
              <w:spacing w:before="40" w:after="40"/>
              <w:ind w:right="-108"/>
              <w:jc w:val="both"/>
              <w:rPr>
                <w:lang w:val="es-ES"/>
              </w:rPr>
            </w:pPr>
            <w:r w:rsidRPr="009573E5">
              <w:rPr>
                <w:lang w:val="es-ES"/>
              </w:rPr>
              <w:t xml:space="preserve">Región C – Europa Oriental y Asia Septentrional </w:t>
            </w:r>
            <w:r w:rsidRPr="009573E5">
              <w:rPr>
                <w:lang w:val="es-ES"/>
              </w:rPr>
              <w:br/>
            </w:r>
            <w:r w:rsidRPr="009573E5">
              <w:rPr>
                <w:i/>
                <w:iCs/>
                <w:lang w:val="es-ES"/>
              </w:rPr>
              <w:t>(5</w:t>
            </w:r>
            <w:r w:rsidRPr="009573E5">
              <w:rPr>
                <w:lang w:val="es-ES"/>
              </w:rPr>
              <w:t xml:space="preserve"> </w:t>
            </w:r>
            <w:r w:rsidRPr="009573E5">
              <w:rPr>
                <w:i/>
                <w:lang w:val="es-ES"/>
              </w:rPr>
              <w:t>escaños</w:t>
            </w:r>
            <w:r w:rsidRPr="009573E5">
              <w:rPr>
                <w:lang w:val="es-ES"/>
              </w:rPr>
              <w:t>)</w:t>
            </w:r>
          </w:p>
          <w:p w:rsidR="005A1E7C" w:rsidRPr="009573E5" w:rsidRDefault="005A1E7C" w:rsidP="005A1E7C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Azerbaiyán (República de)</w:t>
            </w:r>
          </w:p>
          <w:p w:rsidR="005A1E7C" w:rsidRPr="009573E5" w:rsidRDefault="005A1E7C" w:rsidP="005A1E7C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Bulgaria (República de)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Federación de Rusia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Polonia (República de)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República Kirguisa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República Checa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Rumania</w:t>
            </w:r>
          </w:p>
          <w:p w:rsidR="005A1E7C" w:rsidRPr="009573E5" w:rsidRDefault="005A1E7C" w:rsidP="005A1E7C">
            <w:pPr>
              <w:pStyle w:val="TabletextS2"/>
              <w:spacing w:before="40" w:after="40"/>
              <w:rPr>
                <w:lang w:val="es-ES"/>
              </w:rPr>
            </w:pPr>
            <w:r w:rsidRPr="009573E5">
              <w:rPr>
                <w:lang w:val="es-ES"/>
              </w:rPr>
              <w:t xml:space="preserve">Región D – África </w:t>
            </w:r>
            <w:r w:rsidRPr="009573E5">
              <w:rPr>
                <w:i/>
                <w:iCs/>
                <w:lang w:val="es-ES"/>
              </w:rPr>
              <w:t>(13</w:t>
            </w:r>
            <w:r w:rsidRPr="009573E5">
              <w:rPr>
                <w:lang w:val="es-ES"/>
              </w:rPr>
              <w:t xml:space="preserve"> </w:t>
            </w:r>
            <w:r w:rsidRPr="009573E5">
              <w:rPr>
                <w:i/>
                <w:lang w:val="es-ES"/>
              </w:rPr>
              <w:t>escaños</w:t>
            </w:r>
            <w:r w:rsidRPr="009573E5">
              <w:rPr>
                <w:lang w:val="es-ES"/>
              </w:rPr>
              <w:t>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Argelia (República Argelina Democrática y Popular)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Burkina Faso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Camerún (República de)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Côte d'Ivoire (República de)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Egipto (República Árabe de)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Ghana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Kenya (República de)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Malí (República de)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Marruecos (Reino de)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Mauritania (República Islámica de)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Nigeria (República Federal de)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Uganda (República de)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Rwanda (República de)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Senegal (República del)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Sudán (República del)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Sudafricana (República)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Tanzanía (República Unida de)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Togolesa (República)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Túnez</w:t>
            </w:r>
          </w:p>
        </w:tc>
        <w:tc>
          <w:tcPr>
            <w:tcW w:w="4820" w:type="dxa"/>
          </w:tcPr>
          <w:p w:rsidR="005A1E7C" w:rsidRPr="009573E5" w:rsidRDefault="005A1E7C" w:rsidP="00C6390A">
            <w:pPr>
              <w:pStyle w:val="TabletextS2"/>
              <w:ind w:left="742" w:right="-108" w:hanging="742"/>
              <w:jc w:val="both"/>
              <w:rPr>
                <w:lang w:val="es-ES"/>
              </w:rPr>
            </w:pPr>
            <w:r w:rsidRPr="009573E5">
              <w:rPr>
                <w:lang w:val="es-ES"/>
              </w:rPr>
              <w:t>Región E – Asia y Australasia (</w:t>
            </w:r>
            <w:r w:rsidRPr="009573E5">
              <w:rPr>
                <w:i/>
                <w:lang w:val="es-ES"/>
              </w:rPr>
              <w:t>13 escaños</w:t>
            </w:r>
            <w:r w:rsidRPr="009573E5">
              <w:rPr>
                <w:lang w:val="es-ES"/>
              </w:rPr>
              <w:t>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Arabia Saudita (Reino de)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Australia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China (República Popular de)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Corea (República de)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Emiratos Árabes Unidos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India (República de la)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Indonesia (República de)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Irán (República Islámica del)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Japón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Kuwait (Estado de)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Pakistán (República Islámica del)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Filipinas (República de)</w:t>
            </w:r>
          </w:p>
          <w:p w:rsidR="005A1E7C" w:rsidRPr="009573E5" w:rsidRDefault="005A1E7C" w:rsidP="00C6390A">
            <w:pPr>
              <w:pStyle w:val="Tabletext"/>
              <w:spacing w:before="0" w:after="0"/>
              <w:rPr>
                <w:lang w:val="es-ES"/>
              </w:rPr>
            </w:pPr>
            <w:r w:rsidRPr="009573E5">
              <w:rPr>
                <w:lang w:val="es-ES"/>
              </w:rPr>
              <w:t>Tailandia</w:t>
            </w:r>
          </w:p>
        </w:tc>
      </w:tr>
    </w:tbl>
    <w:p w:rsidR="005A1E7C" w:rsidRPr="009573E5" w:rsidRDefault="00EE19B9" w:rsidP="00EE19B9">
      <w:pPr>
        <w:spacing w:before="0"/>
        <w:jc w:val="center"/>
        <w:rPr>
          <w:lang w:val="es-ES"/>
        </w:rPr>
      </w:pPr>
      <w:r>
        <w:t>______________</w:t>
      </w:r>
    </w:p>
    <w:sectPr w:rsidR="005A1E7C" w:rsidRPr="009573E5" w:rsidSect="005A1E7C">
      <w:headerReference w:type="first" r:id="rId15"/>
      <w:footerReference w:type="first" r:id="rId16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6E9" w:rsidRDefault="001446E9">
      <w:r>
        <w:separator/>
      </w:r>
    </w:p>
  </w:endnote>
  <w:endnote w:type="continuationSeparator" w:id="0">
    <w:p w:rsidR="001446E9" w:rsidRDefault="0014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A62" w:rsidRDefault="008F5A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9220DE" w:rsidRDefault="009A1A86" w:rsidP="00641DBD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 w:rsidRPr="009A1A86">
      <w:rPr>
        <w:lang w:val="en-US"/>
      </w:rPr>
      <w:instrText xml:space="preserve"> FILENAME \p \* MERGEFORMAT </w:instrText>
    </w:r>
    <w:r>
      <w:fldChar w:fldCharType="separate"/>
    </w:r>
    <w:r w:rsidR="00765869">
      <w:rPr>
        <w:lang w:val="en-US"/>
      </w:rPr>
      <w:t>P:\ESP\SG\CONF-SG\PP18\000\061S.docx</w:t>
    </w:r>
    <w:r>
      <w:rPr>
        <w:lang w:val="en-US"/>
      </w:rPr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savedate \@ dd.MM.yy </w:instrText>
    </w:r>
    <w:r w:rsidR="00F01632">
      <w:fldChar w:fldCharType="separate"/>
    </w:r>
    <w:r w:rsidR="008F5A62">
      <w:t>10.10.18</w:t>
    </w:r>
    <w:r w:rsidR="00F01632"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printdate \@ dd.MM.yy </w:instrText>
    </w:r>
    <w:r w:rsidR="00F01632">
      <w:fldChar w:fldCharType="separate"/>
    </w:r>
    <w:r w:rsidR="00765869">
      <w:t>08.10.18</w:t>
    </w:r>
    <w:r w:rsidR="00F0163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8" w:name="_GoBack"/>
  <w:p w:rsidR="005A1E7C" w:rsidRPr="008F5A62" w:rsidRDefault="005A1E7C" w:rsidP="005A1E7C">
    <w:pPr>
      <w:pStyle w:val="Footer"/>
      <w:rPr>
        <w:color w:val="BFBFBF" w:themeColor="background1" w:themeShade="BF"/>
        <w:szCs w:val="16"/>
        <w:lang w:val="en-GB"/>
      </w:rPr>
    </w:pPr>
    <w:r w:rsidRPr="008F5A62">
      <w:rPr>
        <w:color w:val="BFBFBF" w:themeColor="background1" w:themeShade="BF"/>
        <w:szCs w:val="16"/>
        <w:lang w:val="en-GB"/>
      </w:rPr>
      <w:fldChar w:fldCharType="begin"/>
    </w:r>
    <w:r w:rsidRPr="008F5A62">
      <w:rPr>
        <w:color w:val="BFBFBF" w:themeColor="background1" w:themeShade="BF"/>
        <w:szCs w:val="16"/>
        <w:lang w:val="en-GB"/>
      </w:rPr>
      <w:instrText xml:space="preserve"> FILENAME \p  \* MERGEFORMAT </w:instrText>
    </w:r>
    <w:r w:rsidRPr="008F5A62">
      <w:rPr>
        <w:color w:val="BFBFBF" w:themeColor="background1" w:themeShade="BF"/>
        <w:szCs w:val="16"/>
        <w:lang w:val="en-GB"/>
      </w:rPr>
      <w:fldChar w:fldCharType="separate"/>
    </w:r>
    <w:r w:rsidR="00765869" w:rsidRPr="008F5A62">
      <w:rPr>
        <w:color w:val="BFBFBF" w:themeColor="background1" w:themeShade="BF"/>
        <w:szCs w:val="16"/>
        <w:lang w:val="en-GB"/>
      </w:rPr>
      <w:t>P:\ESP\SG\CONF-SG\PP18\000\061S.docx</w:t>
    </w:r>
    <w:r w:rsidRPr="008F5A62">
      <w:rPr>
        <w:color w:val="BFBFBF" w:themeColor="background1" w:themeShade="BF"/>
        <w:szCs w:val="16"/>
        <w:lang w:val="en-GB"/>
      </w:rPr>
      <w:fldChar w:fldCharType="end"/>
    </w:r>
    <w:r w:rsidRPr="008F5A62">
      <w:rPr>
        <w:color w:val="BFBFBF" w:themeColor="background1" w:themeShade="BF"/>
        <w:szCs w:val="16"/>
        <w:lang w:val="en-GB"/>
      </w:rPr>
      <w:t xml:space="preserve"> (444516)</w:t>
    </w:r>
    <w:bookmarkEnd w:id="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6E9" w:rsidRDefault="001446E9">
      <w:r>
        <w:t>____________________</w:t>
      </w:r>
    </w:p>
  </w:footnote>
  <w:footnote w:type="continuationSeparator" w:id="0">
    <w:p w:rsidR="001446E9" w:rsidRDefault="001446E9">
      <w:r>
        <w:continuationSeparator/>
      </w:r>
    </w:p>
  </w:footnote>
  <w:footnote w:id="1">
    <w:p w:rsidR="005E44B6" w:rsidRDefault="005E44B6" w:rsidP="005E44B6">
      <w:pPr>
        <w:pStyle w:val="FootnoteText"/>
        <w:spacing w:after="120"/>
      </w:pPr>
      <w:r>
        <w:rPr>
          <w:rStyle w:val="FootnoteReference"/>
        </w:rPr>
        <w:footnoteRef/>
      </w:r>
      <w:r>
        <w:tab/>
        <w:t>Indicadas en orden alfabético francés.</w:t>
      </w:r>
    </w:p>
  </w:footnote>
  <w:footnote w:id="2">
    <w:p w:rsidR="005A1E7C" w:rsidRPr="005A1E7C" w:rsidRDefault="005A1E7C" w:rsidP="00765869">
      <w:pPr>
        <w:pStyle w:val="FootnoteText"/>
        <w:rPr>
          <w:lang w:val="es-ES"/>
        </w:rPr>
      </w:pPr>
      <w:r w:rsidRPr="005A1E7C">
        <w:rPr>
          <w:rStyle w:val="FootnoteReference"/>
        </w:rPr>
        <w:sym w:font="Symbol" w:char="F02A"/>
      </w:r>
      <w:r>
        <w:tab/>
      </w:r>
      <w:r w:rsidRPr="00364D3B">
        <w:rPr>
          <w:bCs/>
          <w:i/>
          <w:iCs/>
          <w:sz w:val="20"/>
        </w:rPr>
        <w:t xml:space="preserve">La lista de los Estados Miembros de la UIT por región administrativa está disponible </w:t>
      </w:r>
      <w:r w:rsidR="00765869">
        <w:rPr>
          <w:bCs/>
          <w:i/>
          <w:iCs/>
          <w:sz w:val="20"/>
        </w:rPr>
        <w:t>en</w:t>
      </w:r>
      <w:r w:rsidRPr="00364D3B">
        <w:rPr>
          <w:bCs/>
          <w:i/>
          <w:iCs/>
          <w:sz w:val="20"/>
        </w:rPr>
        <w:t xml:space="preserve">: </w:t>
      </w:r>
      <w:hyperlink r:id="rId1" w:history="1">
        <w:r w:rsidRPr="00364D3B">
          <w:rPr>
            <w:rStyle w:val="Hyperlink"/>
            <w:bCs/>
            <w:i/>
            <w:iCs/>
            <w:sz w:val="20"/>
          </w:rPr>
          <w:t>https://www.itu.int/online/mm/scripts/mm.world?_languageid=1</w:t>
        </w:r>
      </w:hyperlink>
      <w:r w:rsidRPr="005A1E7C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A62" w:rsidRDefault="008F5A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E19B9">
      <w:rPr>
        <w:noProof/>
      </w:rPr>
      <w:t>3</w:t>
    </w:r>
    <w:r>
      <w:fldChar w:fldCharType="end"/>
    </w:r>
  </w:p>
  <w:p w:rsidR="00255FA1" w:rsidRDefault="00255FA1" w:rsidP="00006EAE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006EAE">
      <w:t>/xx-S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A62" w:rsidRDefault="008F5A6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7C" w:rsidRDefault="005A1E7C" w:rsidP="005A1E7C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F5A62">
      <w:rPr>
        <w:noProof/>
      </w:rPr>
      <w:t>2</w:t>
    </w:r>
    <w:r>
      <w:fldChar w:fldCharType="end"/>
    </w:r>
  </w:p>
  <w:p w:rsidR="005A1E7C" w:rsidRDefault="005A1E7C" w:rsidP="005A1E7C">
    <w:pPr>
      <w:pStyle w:val="Header"/>
    </w:pPr>
    <w:r>
      <w:rPr>
        <w:lang w:val="en-US"/>
      </w:rPr>
      <w:t>PP18</w:t>
    </w:r>
    <w:r>
      <w:t>/61-S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E9"/>
    <w:rsid w:val="0000188C"/>
    <w:rsid w:val="00006EAE"/>
    <w:rsid w:val="000863AB"/>
    <w:rsid w:val="000A1523"/>
    <w:rsid w:val="000B1752"/>
    <w:rsid w:val="0010546D"/>
    <w:rsid w:val="00135F93"/>
    <w:rsid w:val="001446E9"/>
    <w:rsid w:val="001632E3"/>
    <w:rsid w:val="001729A9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3707E5"/>
    <w:rsid w:val="00391611"/>
    <w:rsid w:val="003D0027"/>
    <w:rsid w:val="003E6E73"/>
    <w:rsid w:val="003F01C7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5F7F"/>
    <w:rsid w:val="00567ED5"/>
    <w:rsid w:val="005A1E7C"/>
    <w:rsid w:val="005A464B"/>
    <w:rsid w:val="005D1164"/>
    <w:rsid w:val="005D6488"/>
    <w:rsid w:val="005E44B6"/>
    <w:rsid w:val="005F6278"/>
    <w:rsid w:val="00601280"/>
    <w:rsid w:val="006375E0"/>
    <w:rsid w:val="00641DBD"/>
    <w:rsid w:val="006455D2"/>
    <w:rsid w:val="006537F3"/>
    <w:rsid w:val="006B5512"/>
    <w:rsid w:val="006C190D"/>
    <w:rsid w:val="00720686"/>
    <w:rsid w:val="00737EFF"/>
    <w:rsid w:val="00750806"/>
    <w:rsid w:val="00765869"/>
    <w:rsid w:val="007875D2"/>
    <w:rsid w:val="007C7161"/>
    <w:rsid w:val="007F6EBC"/>
    <w:rsid w:val="00882773"/>
    <w:rsid w:val="008B4706"/>
    <w:rsid w:val="008B6676"/>
    <w:rsid w:val="008E51C5"/>
    <w:rsid w:val="008F5A62"/>
    <w:rsid w:val="008F7109"/>
    <w:rsid w:val="009107B0"/>
    <w:rsid w:val="009220DE"/>
    <w:rsid w:val="00930E84"/>
    <w:rsid w:val="009573E5"/>
    <w:rsid w:val="0099270D"/>
    <w:rsid w:val="0099551E"/>
    <w:rsid w:val="009A1A86"/>
    <w:rsid w:val="009E0C42"/>
    <w:rsid w:val="00A70E95"/>
    <w:rsid w:val="00AA1F73"/>
    <w:rsid w:val="00AB34CA"/>
    <w:rsid w:val="00AD400E"/>
    <w:rsid w:val="00AF0DC5"/>
    <w:rsid w:val="00B501AB"/>
    <w:rsid w:val="00B73978"/>
    <w:rsid w:val="00B77C4D"/>
    <w:rsid w:val="00BB13FE"/>
    <w:rsid w:val="00BC7EE2"/>
    <w:rsid w:val="00BF5475"/>
    <w:rsid w:val="00C42D2D"/>
    <w:rsid w:val="00C43474"/>
    <w:rsid w:val="00C61A48"/>
    <w:rsid w:val="00C64338"/>
    <w:rsid w:val="00C80F8F"/>
    <w:rsid w:val="00C84355"/>
    <w:rsid w:val="00CA3051"/>
    <w:rsid w:val="00CD20D9"/>
    <w:rsid w:val="00CD701A"/>
    <w:rsid w:val="00D05AAE"/>
    <w:rsid w:val="00D05E6B"/>
    <w:rsid w:val="00D254A6"/>
    <w:rsid w:val="00D42B55"/>
    <w:rsid w:val="00D57D70"/>
    <w:rsid w:val="00E05D81"/>
    <w:rsid w:val="00E53DFC"/>
    <w:rsid w:val="00E66FC3"/>
    <w:rsid w:val="00E677DD"/>
    <w:rsid w:val="00E77F17"/>
    <w:rsid w:val="00E921EC"/>
    <w:rsid w:val="00EB23D0"/>
    <w:rsid w:val="00EC395A"/>
    <w:rsid w:val="00EE19B9"/>
    <w:rsid w:val="00F01632"/>
    <w:rsid w:val="00F04858"/>
    <w:rsid w:val="00F271A2"/>
    <w:rsid w:val="00F3510D"/>
    <w:rsid w:val="00F43C07"/>
    <w:rsid w:val="00F43D44"/>
    <w:rsid w:val="00F80E6E"/>
    <w:rsid w:val="00FA58C0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586AC84-50D3-445D-9750-FCBD1A64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styleId="FollowedHyperlink">
    <w:name w:val="FollowedHyperlink"/>
    <w:basedOn w:val="DefaultParagraphFont"/>
    <w:semiHidden/>
    <w:unhideWhenUsed/>
    <w:rsid w:val="009573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online/mm/scripts/mm.world?_languageid=1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online/mm/scripts/mm.world?_languageid=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58816-A5A2-4106-8B5A-4442AED0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26</TotalTime>
  <Pages>2</Pages>
  <Words>286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2192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Candidaturas de los Estados Miembros para las elecciones en el Consejo de la UIT</dc:title>
  <dc:subject>Plenipotentiary Conference (PP-18)</dc:subject>
  <dc:creator>Adrian Soriano</dc:creator>
  <cp:keywords>PP-18, Plenipotentiary</cp:keywords>
  <dc:description/>
  <cp:lastModifiedBy>Botalla, Sabine</cp:lastModifiedBy>
  <cp:revision>11</cp:revision>
  <cp:lastPrinted>2018-10-08T10:09:00Z</cp:lastPrinted>
  <dcterms:created xsi:type="dcterms:W3CDTF">2018-10-08T09:51:00Z</dcterms:created>
  <dcterms:modified xsi:type="dcterms:W3CDTF">2018-10-10T13:48:00Z</dcterms:modified>
  <cp:category>Conference document</cp:category>
</cp:coreProperties>
</file>