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88070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88070A">
              <w:rPr>
                <w:rFonts w:cstheme="minorHAnsi"/>
                <w:b/>
                <w:szCs w:val="24"/>
                <w:lang w:val="en-US"/>
              </w:rPr>
              <w:t>61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88070A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</w:t>
            </w:r>
            <w:r w:rsidRPr="00301651">
              <w:rPr>
                <w:rFonts w:cstheme="minorHAnsi"/>
                <w:b/>
                <w:szCs w:val="24"/>
              </w:rPr>
              <w:t xml:space="preserve"> octobre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</w:t>
            </w:r>
            <w:r w:rsidRPr="00301651">
              <w:rPr>
                <w:rFonts w:cstheme="minorHAnsi"/>
                <w:b/>
                <w:szCs w:val="24"/>
              </w:rPr>
              <w:t xml:space="preserve">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88070A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553CF3"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8070A" w:rsidRDefault="0088070A" w:rsidP="006A046E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>
              <w:t>éTATS MEMBRES candidats À</w:t>
            </w:r>
            <w:r w:rsidRPr="00553CF3">
              <w:t xml:space="preserve"> l</w:t>
            </w:r>
            <w:r>
              <w:t>'É</w:t>
            </w:r>
            <w:r w:rsidRPr="00553CF3">
              <w:t>lection au conseil de l</w:t>
            </w:r>
            <w:r>
              <w:t>'</w:t>
            </w:r>
            <w:r w:rsidRPr="00553CF3">
              <w:t>uit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8070A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8070A" w:rsidRDefault="0088070A" w:rsidP="0088070A">
      <w:pPr>
        <w:spacing w:before="240" w:after="240"/>
        <w:rPr>
          <w:szCs w:val="24"/>
        </w:rPr>
      </w:pPr>
      <w:r w:rsidRPr="00553CF3">
        <w:rPr>
          <w:szCs w:val="24"/>
        </w:rPr>
        <w:t>Les candidatures</w:t>
      </w:r>
      <w:r w:rsidRPr="00553CF3">
        <w:rPr>
          <w:rStyle w:val="FootnoteReference"/>
        </w:rPr>
        <w:footnoteReference w:id="1"/>
      </w:r>
      <w:r>
        <w:rPr>
          <w:rStyle w:val="apple-converted-space"/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Pr="00553CF3">
        <w:rPr>
          <w:szCs w:val="24"/>
        </w:rPr>
        <w:t>ci-après à l</w:t>
      </w:r>
      <w:r>
        <w:rPr>
          <w:szCs w:val="24"/>
        </w:rPr>
        <w:t>'</w:t>
      </w:r>
      <w:r w:rsidRPr="00553CF3">
        <w:rPr>
          <w:szCs w:val="24"/>
        </w:rPr>
        <w:t>élection au Conseil ont été présentées avant la date limite (lundi</w:t>
      </w:r>
      <w:r>
        <w:rPr>
          <w:szCs w:val="24"/>
        </w:rPr>
        <w:t> 1</w:t>
      </w:r>
      <w:r w:rsidR="00A35425">
        <w:rPr>
          <w:szCs w:val="24"/>
        </w:rPr>
        <w:t>er</w:t>
      </w:r>
      <w:r>
        <w:rPr>
          <w:szCs w:val="24"/>
        </w:rPr>
        <w:t> octobre 2018</w:t>
      </w:r>
      <w:r w:rsidRPr="00553CF3">
        <w:rPr>
          <w:szCs w:val="24"/>
        </w:rPr>
        <w:t>, 23 h 59, heure de Genève).</w:t>
      </w:r>
    </w:p>
    <w:p w:rsidR="0088070A" w:rsidRPr="005D65C8" w:rsidRDefault="0088070A" w:rsidP="0088070A">
      <w:pPr>
        <w:spacing w:before="240"/>
        <w:rPr>
          <w:szCs w:val="24"/>
        </w:rPr>
      </w:pPr>
      <w:r w:rsidRPr="005D65C8">
        <w:rPr>
          <w:szCs w:val="24"/>
        </w:rPr>
        <w:t>La liste des Etats Membres par r</w:t>
      </w:r>
      <w:r>
        <w:rPr>
          <w:szCs w:val="24"/>
        </w:rPr>
        <w:t>é</w:t>
      </w:r>
      <w:r w:rsidRPr="005D65C8">
        <w:rPr>
          <w:szCs w:val="24"/>
        </w:rPr>
        <w:t>gion administra</w:t>
      </w:r>
      <w:r>
        <w:rPr>
          <w:szCs w:val="24"/>
        </w:rPr>
        <w:t>t</w:t>
      </w:r>
      <w:r w:rsidRPr="005D65C8">
        <w:rPr>
          <w:szCs w:val="24"/>
        </w:rPr>
        <w:t>i</w:t>
      </w:r>
      <w:r>
        <w:rPr>
          <w:szCs w:val="24"/>
        </w:rPr>
        <w:t>v</w:t>
      </w:r>
      <w:r w:rsidRPr="005D65C8">
        <w:rPr>
          <w:szCs w:val="24"/>
        </w:rPr>
        <w:t>e est disponi</w:t>
      </w:r>
      <w:r w:rsidR="00A35425">
        <w:rPr>
          <w:szCs w:val="24"/>
        </w:rPr>
        <w:t>ble à l</w:t>
      </w:r>
      <w:r w:rsidR="000B1CBB">
        <w:rPr>
          <w:szCs w:val="24"/>
        </w:rPr>
        <w:t>'</w:t>
      </w:r>
      <w:r w:rsidR="00A35425">
        <w:rPr>
          <w:szCs w:val="24"/>
        </w:rPr>
        <w:t>adresse suivante</w:t>
      </w:r>
      <w:r>
        <w:rPr>
          <w:szCs w:val="24"/>
        </w:rPr>
        <w:t>:</w:t>
      </w:r>
      <w:r>
        <w:rPr>
          <w:szCs w:val="24"/>
        </w:rPr>
        <w:br/>
      </w:r>
      <w:hyperlink r:id="rId8" w:history="1">
        <w:r w:rsidR="00A35425">
          <w:rPr>
            <w:rStyle w:val="Hyperlink"/>
            <w:szCs w:val="24"/>
          </w:rPr>
          <w:t>http://www.itu.int/online/mm/scripts/gensel29?lang=fr&amp;_search_region=</w:t>
        </w:r>
      </w:hyperlink>
      <w:r w:rsidRPr="005D65C8">
        <w:rPr>
          <w:szCs w:val="24"/>
        </w:rPr>
        <w:t xml:space="preserve">. </w:t>
      </w:r>
    </w:p>
    <w:p w:rsidR="0088070A" w:rsidRPr="005D65C8" w:rsidRDefault="0088070A" w:rsidP="0088070A">
      <w:pPr>
        <w:spacing w:before="240" w:after="840"/>
        <w:rPr>
          <w:szCs w:val="24"/>
        </w:rPr>
      </w:pPr>
    </w:p>
    <w:p w:rsidR="0088070A" w:rsidRPr="005D65C8" w:rsidRDefault="0088070A" w:rsidP="0088070A">
      <w:pPr>
        <w:spacing w:before="240" w:after="840"/>
        <w:rPr>
          <w:szCs w:val="24"/>
        </w:rPr>
      </w:pPr>
    </w:p>
    <w:p w:rsidR="0088070A" w:rsidRPr="00BC4D17" w:rsidRDefault="0088070A" w:rsidP="0088070A">
      <w:pPr>
        <w:spacing w:before="840"/>
        <w:ind w:left="6946"/>
        <w:jc w:val="center"/>
      </w:pPr>
      <w:r>
        <w:t>Houlin Zhao</w:t>
      </w:r>
      <w:r w:rsidRPr="00B561C5">
        <w:t xml:space="preserve"> </w:t>
      </w:r>
      <w:r w:rsidRPr="00B561C5">
        <w:br/>
        <w:t>Secrétaire général</w:t>
      </w:r>
    </w:p>
    <w:p w:rsidR="0088070A" w:rsidRDefault="0088070A" w:rsidP="008807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88070A" w:rsidRDefault="0088070A" w:rsidP="0088070A">
      <w:pPr>
        <w:sectPr w:rsidR="0088070A" w:rsidSect="003A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8070A" w:rsidRPr="00553CF3" w:rsidRDefault="0088070A" w:rsidP="0088070A">
      <w:pPr>
        <w:pStyle w:val="Tabletitle"/>
        <w:spacing w:before="120"/>
        <w:rPr>
          <w:szCs w:val="24"/>
          <w:lang w:val="fr-CH"/>
        </w:rPr>
      </w:pPr>
      <w:r w:rsidRPr="00553CF3">
        <w:rPr>
          <w:lang w:val="fr-CH"/>
        </w:rPr>
        <w:lastRenderedPageBreak/>
        <w:t>Etats Membres candidats à l</w:t>
      </w:r>
      <w:r>
        <w:rPr>
          <w:lang w:val="fr-CH"/>
        </w:rPr>
        <w:t>'</w:t>
      </w:r>
      <w:r w:rsidRPr="00553CF3">
        <w:rPr>
          <w:lang w:val="fr-CH"/>
        </w:rPr>
        <w:t>élection au Conseil</w:t>
      </w:r>
      <w:r>
        <w:rPr>
          <w:lang w:val="fr-CH"/>
        </w:rPr>
        <w:t>*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  <w:gridCol w:w="4253"/>
      </w:tblGrid>
      <w:tr w:rsidR="0088070A" w:rsidRPr="00553CF3" w:rsidTr="000A4EC4">
        <w:tc>
          <w:tcPr>
            <w:tcW w:w="5103" w:type="dxa"/>
          </w:tcPr>
          <w:p w:rsidR="0088070A" w:rsidRPr="00553CF3" w:rsidRDefault="0088070A" w:rsidP="000A4EC4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bCs/>
                <w:szCs w:val="22"/>
              </w:rPr>
            </w:pPr>
            <w:r w:rsidRPr="00553CF3">
              <w:rPr>
                <w:bCs/>
                <w:szCs w:val="22"/>
              </w:rPr>
              <w:t xml:space="preserve">Région A </w:t>
            </w:r>
            <w:r w:rsidRPr="00EE4FA0">
              <w:rPr>
                <w:bCs/>
                <w:szCs w:val="22"/>
              </w:rPr>
              <w:t>–</w:t>
            </w:r>
            <w:r>
              <w:rPr>
                <w:bCs/>
                <w:szCs w:val="22"/>
              </w:rPr>
              <w:t xml:space="preserve"> </w:t>
            </w:r>
            <w:r w:rsidRPr="00553CF3">
              <w:rPr>
                <w:bCs/>
                <w:szCs w:val="22"/>
              </w:rPr>
              <w:t xml:space="preserve">Amériques </w:t>
            </w:r>
            <w:r w:rsidRPr="00553CF3">
              <w:rPr>
                <w:bCs/>
                <w:i/>
                <w:iCs/>
                <w:szCs w:val="22"/>
              </w:rPr>
              <w:t>(9 sièges)</w:t>
            </w:r>
          </w:p>
          <w:p w:rsidR="0088070A" w:rsidRDefault="0088070A" w:rsidP="000A4EC4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Argentine (République)</w:t>
            </w:r>
          </w:p>
          <w:p w:rsidR="0088070A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Bahamas (Commonwealth des)</w:t>
            </w:r>
          </w:p>
          <w:p w:rsidR="0088070A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 w:rsidRPr="00553CF3"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Brésil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 xml:space="preserve"> (République fédérative du)</w:t>
            </w:r>
          </w:p>
          <w:p w:rsidR="0088070A" w:rsidRPr="00BC3682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</w:pPr>
            <w:r w:rsidRPr="00BC3682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>Canada</w:t>
            </w:r>
          </w:p>
          <w:p w:rsidR="0088070A" w:rsidRPr="00BC3682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</w:pPr>
            <w:r w:rsidRPr="00BC3682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>Cuba</w:t>
            </w:r>
          </w:p>
          <w:p w:rsidR="0088070A" w:rsidRPr="00BC3682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</w:pPr>
            <w:r w:rsidRPr="00BC3682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 xml:space="preserve">El Salvador </w:t>
            </w:r>
            <w:r w:rsidRPr="00E50E5B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>(République</w:t>
            </w:r>
            <w:r w:rsidRPr="00BC3682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 xml:space="preserve"> d</w:t>
            </w:r>
            <w:r w:rsidR="000B1CBB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>'</w:t>
            </w:r>
            <w:r w:rsidRPr="00BC3682">
              <w:rPr>
                <w:rFonts w:ascii="Calibri" w:eastAsia="Times New Roman" w:hAnsi="Calibri" w:cs="Times New Roman"/>
                <w:sz w:val="22"/>
                <w:szCs w:val="22"/>
                <w:lang w:val="es-ES"/>
              </w:rPr>
              <w:t>)</w:t>
            </w:r>
          </w:p>
          <w:p w:rsidR="0088070A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 w:rsidRPr="00553CF3"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Etats-Unis d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'Amérique</w:t>
            </w:r>
          </w:p>
          <w:p w:rsidR="0088070A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Mexique</w:t>
            </w:r>
          </w:p>
          <w:p w:rsidR="0088070A" w:rsidRDefault="0088070A" w:rsidP="000A4EC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</w:pPr>
            <w:r w:rsidRPr="00553CF3"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>Paraguay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fr-FR"/>
              </w:rPr>
              <w:t xml:space="preserve"> (République du)</w:t>
            </w:r>
          </w:p>
          <w:p w:rsidR="0088070A" w:rsidRPr="00553CF3" w:rsidRDefault="0088070A" w:rsidP="000A4EC4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bCs/>
                <w:szCs w:val="22"/>
              </w:rPr>
            </w:pPr>
            <w:r w:rsidRPr="00553CF3">
              <w:rPr>
                <w:bCs/>
                <w:szCs w:val="22"/>
              </w:rPr>
              <w:t>Région B –</w:t>
            </w:r>
            <w:r>
              <w:rPr>
                <w:bCs/>
                <w:szCs w:val="22"/>
              </w:rPr>
              <w:t xml:space="preserve"> </w:t>
            </w:r>
            <w:r w:rsidRPr="00553CF3">
              <w:rPr>
                <w:bCs/>
                <w:szCs w:val="22"/>
              </w:rPr>
              <w:t xml:space="preserve">Europe occidentale </w:t>
            </w:r>
            <w:r w:rsidRPr="00553CF3">
              <w:rPr>
                <w:bCs/>
                <w:i/>
                <w:iCs/>
                <w:szCs w:val="22"/>
              </w:rPr>
              <w:t>(8 sièges)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Allemagne (République fédérale d</w:t>
            </w:r>
            <w:r>
              <w:rPr>
                <w:sz w:val="22"/>
                <w:szCs w:val="22"/>
              </w:rPr>
              <w:t>')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Espagne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Grèce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Hongrie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Lituani</w:t>
            </w:r>
            <w:r>
              <w:rPr>
                <w:sz w:val="22"/>
                <w:szCs w:val="22"/>
              </w:rPr>
              <w:t>e (République de)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Suisse (Confédération)</w:t>
            </w:r>
          </w:p>
          <w:p w:rsidR="0088070A" w:rsidRPr="00553CF3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Turquie</w:t>
            </w:r>
          </w:p>
        </w:tc>
        <w:tc>
          <w:tcPr>
            <w:tcW w:w="5670" w:type="dxa"/>
          </w:tcPr>
          <w:p w:rsidR="0088070A" w:rsidRPr="00553CF3" w:rsidRDefault="0088070A" w:rsidP="000A4EC4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bCs/>
                <w:szCs w:val="22"/>
              </w:rPr>
            </w:pPr>
            <w:r w:rsidRPr="00553CF3">
              <w:rPr>
                <w:bCs/>
                <w:szCs w:val="22"/>
              </w:rPr>
              <w:t xml:space="preserve">Région C </w:t>
            </w:r>
            <w:r w:rsidRPr="00EE4FA0">
              <w:rPr>
                <w:bCs/>
                <w:szCs w:val="22"/>
              </w:rPr>
              <w:t>–</w:t>
            </w:r>
            <w:r>
              <w:rPr>
                <w:bCs/>
                <w:szCs w:val="22"/>
              </w:rPr>
              <w:t xml:space="preserve"> </w:t>
            </w:r>
            <w:r w:rsidRPr="00553CF3">
              <w:rPr>
                <w:bCs/>
                <w:szCs w:val="22"/>
              </w:rPr>
              <w:t xml:space="preserve">Europe orientale et Asie septentrionale </w:t>
            </w:r>
            <w:r w:rsidRPr="00553CF3">
              <w:rPr>
                <w:bCs/>
                <w:i/>
                <w:iCs/>
                <w:szCs w:val="22"/>
              </w:rPr>
              <w:t>(5 sièges)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Azerbaïdjan</w:t>
            </w:r>
            <w:r w:rsidRPr="00553CF3">
              <w:rPr>
                <w:sz w:val="22"/>
                <w:szCs w:val="22"/>
              </w:rPr>
              <w:t xml:space="preserve"> (République</w:t>
            </w:r>
            <w:r>
              <w:rPr>
                <w:sz w:val="22"/>
                <w:szCs w:val="22"/>
              </w:rPr>
              <w:t xml:space="preserve"> d')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Bulgarie (République de)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Fédération de Russie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Pologne (République de)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République kirghize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République tchèque</w:t>
            </w:r>
          </w:p>
          <w:p w:rsidR="0088070A" w:rsidRPr="00553CF3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Roumanie</w:t>
            </w:r>
          </w:p>
          <w:p w:rsidR="0088070A" w:rsidRPr="00553CF3" w:rsidRDefault="005704F1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Région </w:t>
            </w:r>
            <w:r w:rsidR="0088070A" w:rsidRPr="00553CF3">
              <w:rPr>
                <w:b/>
                <w:bCs/>
                <w:sz w:val="22"/>
                <w:szCs w:val="22"/>
              </w:rPr>
              <w:t xml:space="preserve">D – Afrique </w:t>
            </w:r>
            <w:r w:rsidR="0088070A" w:rsidRPr="00553CF3">
              <w:rPr>
                <w:b/>
                <w:bCs/>
                <w:i/>
                <w:iCs/>
                <w:sz w:val="22"/>
                <w:szCs w:val="22"/>
              </w:rPr>
              <w:t>(13 sièges)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Algérie (République algéri</w:t>
            </w:r>
            <w:r>
              <w:rPr>
                <w:sz w:val="22"/>
                <w:szCs w:val="22"/>
              </w:rPr>
              <w:t>enne démocratique et populaire)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Burkina Faso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Cameroun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Côte d</w:t>
            </w:r>
            <w:r>
              <w:rPr>
                <w:sz w:val="22"/>
                <w:szCs w:val="22"/>
              </w:rPr>
              <w:t>'Ivoire (République de)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Egypte (République arabe d</w:t>
            </w:r>
            <w:r>
              <w:rPr>
                <w:sz w:val="22"/>
                <w:szCs w:val="22"/>
              </w:rPr>
              <w:t>')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Ghana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Kenya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Maroc (</w:t>
            </w:r>
            <w:r w:rsidRPr="00553CF3">
              <w:rPr>
                <w:rFonts w:asciiTheme="minorHAnsi" w:hAnsiTheme="minorHAnsi"/>
                <w:sz w:val="22"/>
                <w:szCs w:val="22"/>
              </w:rPr>
              <w:t>Royaume du</w:t>
            </w:r>
            <w:r w:rsidRPr="00553CF3">
              <w:rPr>
                <w:sz w:val="22"/>
                <w:szCs w:val="22"/>
              </w:rPr>
              <w:t>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Mauritanie (République islamique de)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rFonts w:asciiTheme="minorHAnsi" w:hAnsiTheme="minorHAnsi"/>
                <w:sz w:val="22"/>
                <w:szCs w:val="22"/>
              </w:rPr>
              <w:t xml:space="preserve">Nigéria </w:t>
            </w:r>
            <w:r w:rsidRPr="00553CF3">
              <w:rPr>
                <w:sz w:val="22"/>
                <w:szCs w:val="22"/>
              </w:rPr>
              <w:t>(</w:t>
            </w:r>
            <w:r w:rsidRPr="00553CF3">
              <w:rPr>
                <w:rFonts w:asciiTheme="minorHAnsi" w:hAnsiTheme="minorHAnsi"/>
                <w:sz w:val="22"/>
                <w:szCs w:val="22"/>
              </w:rPr>
              <w:t>République fédérale du</w:t>
            </w:r>
            <w:r w:rsidRPr="00553CF3">
              <w:rPr>
                <w:sz w:val="22"/>
                <w:szCs w:val="22"/>
              </w:rPr>
              <w:t>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rFonts w:asciiTheme="minorHAnsi" w:hAnsiTheme="minorHAnsi"/>
                <w:sz w:val="22"/>
                <w:szCs w:val="22"/>
              </w:rPr>
              <w:t>Ouganda (République de l</w:t>
            </w:r>
            <w:r>
              <w:rPr>
                <w:rFonts w:asciiTheme="minorHAnsi" w:hAnsiTheme="minorHAnsi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Rwanda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sz w:val="22"/>
                <w:szCs w:val="22"/>
              </w:rPr>
              <w:t>Sénégal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Soudan (République du)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rFonts w:asciiTheme="minorHAnsi" w:hAnsiTheme="minorHAnsi"/>
                <w:sz w:val="22"/>
                <w:szCs w:val="22"/>
              </w:rPr>
              <w:t>Sudafricaine (République</w:t>
            </w:r>
            <w:r w:rsidRPr="00553CF3">
              <w:rPr>
                <w:sz w:val="22"/>
                <w:szCs w:val="22"/>
              </w:rPr>
              <w:t>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553CF3">
              <w:rPr>
                <w:rFonts w:asciiTheme="minorHAnsi" w:hAnsiTheme="minorHAnsi"/>
                <w:sz w:val="22"/>
                <w:szCs w:val="22"/>
              </w:rPr>
              <w:t>Tanzanie (République-Unie de</w:t>
            </w:r>
            <w:r>
              <w:rPr>
                <w:sz w:val="22"/>
                <w:szCs w:val="22"/>
              </w:rPr>
              <w:t>)</w:t>
            </w:r>
          </w:p>
          <w:p w:rsidR="0088070A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Togolaise (République)</w:t>
            </w:r>
          </w:p>
          <w:p w:rsidR="0088070A" w:rsidRPr="00553CF3" w:rsidRDefault="0088070A" w:rsidP="000A4EC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Tunisie</w:t>
            </w:r>
          </w:p>
        </w:tc>
        <w:tc>
          <w:tcPr>
            <w:tcW w:w="4253" w:type="dxa"/>
          </w:tcPr>
          <w:p w:rsidR="0088070A" w:rsidRPr="00553CF3" w:rsidRDefault="0088070A" w:rsidP="000A4EC4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szCs w:val="22"/>
              </w:rPr>
            </w:pPr>
            <w:r w:rsidRPr="00553CF3">
              <w:rPr>
                <w:szCs w:val="22"/>
              </w:rPr>
              <w:t xml:space="preserve">Région E – </w:t>
            </w:r>
            <w:r w:rsidRPr="00553CF3">
              <w:rPr>
                <w:rFonts w:asciiTheme="minorHAnsi" w:hAnsiTheme="minorHAnsi"/>
                <w:szCs w:val="22"/>
              </w:rPr>
              <w:t xml:space="preserve">Asie et Australasie </w:t>
            </w:r>
            <w:r w:rsidRPr="00553CF3">
              <w:rPr>
                <w:i/>
                <w:iCs/>
                <w:szCs w:val="22"/>
              </w:rPr>
              <w:t>(13 sièges)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Arabie saoudite (Royaume d</w:t>
            </w:r>
            <w:r>
              <w:rPr>
                <w:rFonts w:asciiTheme="minorHAnsi" w:hAnsiTheme="minorHAnsi"/>
                <w:szCs w:val="22"/>
              </w:rPr>
              <w:t>'</w:t>
            </w:r>
            <w:r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>
              <w:rPr>
                <w:szCs w:val="22"/>
              </w:rPr>
              <w:t>Australie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Chine (République populaire de</w:t>
            </w:r>
            <w:r w:rsidRPr="00553CF3"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Corée (République de</w:t>
            </w:r>
            <w:r w:rsidRPr="00553CF3"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Emirats arabes unis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Inde (République de l</w:t>
            </w:r>
            <w:r>
              <w:rPr>
                <w:rFonts w:asciiTheme="minorHAnsi" w:hAnsiTheme="minorHAnsi"/>
                <w:szCs w:val="22"/>
              </w:rPr>
              <w:t>'</w:t>
            </w:r>
            <w:r w:rsidRPr="00553CF3"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>Indonésie (République d</w:t>
            </w:r>
            <w:r>
              <w:rPr>
                <w:rFonts w:asciiTheme="minorHAnsi" w:hAnsiTheme="minorHAnsi"/>
                <w:szCs w:val="22"/>
              </w:rPr>
              <w:t>'</w:t>
            </w:r>
            <w:r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szCs w:val="22"/>
              </w:rPr>
              <w:t>Iran (République islamique d</w:t>
            </w:r>
            <w:r>
              <w:rPr>
                <w:szCs w:val="22"/>
              </w:rPr>
              <w:t>')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szCs w:val="22"/>
              </w:rPr>
              <w:t>Japon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rFonts w:asciiTheme="minorHAnsi" w:hAnsiTheme="minorHAnsi"/>
                <w:szCs w:val="22"/>
              </w:rPr>
              <w:t xml:space="preserve">Koweït </w:t>
            </w:r>
            <w:r w:rsidRPr="00553CF3">
              <w:rPr>
                <w:szCs w:val="22"/>
              </w:rPr>
              <w:t>(Etat du)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szCs w:val="22"/>
              </w:rPr>
              <w:t>Pakistan (</w:t>
            </w:r>
            <w:r w:rsidRPr="00553CF3">
              <w:rPr>
                <w:rFonts w:asciiTheme="minorHAnsi" w:hAnsiTheme="minorHAnsi"/>
                <w:szCs w:val="22"/>
              </w:rPr>
              <w:t>République islamique du</w:t>
            </w:r>
            <w:r>
              <w:rPr>
                <w:szCs w:val="22"/>
              </w:rPr>
              <w:t>)</w:t>
            </w:r>
          </w:p>
          <w:p w:rsidR="0088070A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szCs w:val="22"/>
              </w:rPr>
              <w:t>Philippines (</w:t>
            </w:r>
            <w:r w:rsidRPr="00553CF3">
              <w:rPr>
                <w:rFonts w:asciiTheme="minorHAnsi" w:hAnsiTheme="minorHAnsi"/>
                <w:szCs w:val="22"/>
              </w:rPr>
              <w:t>République des</w:t>
            </w:r>
            <w:r>
              <w:rPr>
                <w:szCs w:val="22"/>
              </w:rPr>
              <w:t>)</w:t>
            </w:r>
          </w:p>
          <w:p w:rsidR="0088070A" w:rsidRPr="00553CF3" w:rsidRDefault="0088070A" w:rsidP="000A4EC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553CF3">
              <w:rPr>
                <w:szCs w:val="22"/>
              </w:rPr>
              <w:t>Thaïlande</w:t>
            </w:r>
          </w:p>
        </w:tc>
      </w:tr>
    </w:tbl>
    <w:p w:rsidR="0088070A" w:rsidRDefault="00A35425" w:rsidP="00A35425">
      <w:pPr>
        <w:tabs>
          <w:tab w:val="clear" w:pos="567"/>
          <w:tab w:val="left" w:pos="142"/>
        </w:tabs>
        <w:spacing w:before="0"/>
        <w:rPr>
          <w:rStyle w:val="Hyperlink"/>
          <w:bCs/>
          <w:i/>
          <w:iCs/>
          <w:sz w:val="20"/>
          <w:lang w:val="fr-CH"/>
        </w:rPr>
      </w:pPr>
      <w:r>
        <w:rPr>
          <w:bCs/>
          <w:i/>
          <w:iCs/>
          <w:sz w:val="20"/>
          <w:lang w:val="fr-CH"/>
        </w:rPr>
        <w:t>*</w:t>
      </w:r>
      <w:r>
        <w:rPr>
          <w:bCs/>
          <w:i/>
          <w:iCs/>
          <w:sz w:val="20"/>
          <w:lang w:val="fr-CH"/>
        </w:rPr>
        <w:tab/>
      </w:r>
      <w:r w:rsidR="0088070A" w:rsidRPr="00A00F47">
        <w:rPr>
          <w:bCs/>
          <w:i/>
          <w:iCs/>
          <w:sz w:val="20"/>
          <w:lang w:val="fr-CH"/>
        </w:rPr>
        <w:t>La liste des Etats membres de l</w:t>
      </w:r>
      <w:r w:rsidR="000B1CBB">
        <w:rPr>
          <w:bCs/>
          <w:i/>
          <w:iCs/>
          <w:sz w:val="20"/>
          <w:lang w:val="fr-CH"/>
        </w:rPr>
        <w:t>'</w:t>
      </w:r>
      <w:r w:rsidR="0088070A" w:rsidRPr="00A00F47">
        <w:rPr>
          <w:bCs/>
          <w:i/>
          <w:iCs/>
          <w:sz w:val="20"/>
          <w:lang w:val="fr-CH"/>
        </w:rPr>
        <w:t xml:space="preserve">UIT par région administrative est disponible </w:t>
      </w:r>
      <w:r w:rsidR="0088070A">
        <w:rPr>
          <w:bCs/>
          <w:i/>
          <w:iCs/>
          <w:sz w:val="20"/>
          <w:lang w:val="fr-CH"/>
        </w:rPr>
        <w:t>à l</w:t>
      </w:r>
      <w:r w:rsidR="000B1CBB">
        <w:rPr>
          <w:bCs/>
          <w:i/>
          <w:iCs/>
          <w:sz w:val="20"/>
          <w:lang w:val="fr-CH"/>
        </w:rPr>
        <w:t>'</w:t>
      </w:r>
      <w:r w:rsidR="0088070A">
        <w:rPr>
          <w:bCs/>
          <w:i/>
          <w:iCs/>
          <w:sz w:val="20"/>
          <w:lang w:val="fr-CH"/>
        </w:rPr>
        <w:t>adresse</w:t>
      </w:r>
      <w:r w:rsidR="0088070A" w:rsidRPr="00A00F47">
        <w:rPr>
          <w:bCs/>
          <w:i/>
          <w:iCs/>
          <w:sz w:val="20"/>
          <w:lang w:val="fr-CH"/>
        </w:rPr>
        <w:t xml:space="preserve"> suivant</w:t>
      </w:r>
      <w:r w:rsidR="0088070A">
        <w:rPr>
          <w:bCs/>
          <w:i/>
          <w:iCs/>
          <w:sz w:val="20"/>
          <w:lang w:val="fr-CH"/>
        </w:rPr>
        <w:t>e</w:t>
      </w:r>
      <w:r w:rsidR="0088070A" w:rsidRPr="00A00F47">
        <w:rPr>
          <w:bCs/>
          <w:i/>
          <w:iCs/>
          <w:sz w:val="20"/>
          <w:lang w:val="fr-CH"/>
        </w:rPr>
        <w:t xml:space="preserve">: </w:t>
      </w:r>
      <w:hyperlink r:id="rId15" w:history="1">
        <w:r>
          <w:rPr>
            <w:rStyle w:val="Hyperlink"/>
            <w:bCs/>
            <w:i/>
            <w:iCs/>
            <w:sz w:val="20"/>
            <w:lang w:val="fr-CH"/>
          </w:rPr>
          <w:t>http://www.itu.int/online/mm/scripts/gensel29?lang=fr&amp;_search_region=</w:t>
        </w:r>
      </w:hyperlink>
    </w:p>
    <w:p w:rsidR="00DA1CB1" w:rsidRPr="00BD1614" w:rsidRDefault="00DA1CB1" w:rsidP="00DA1CB1">
      <w:pPr>
        <w:spacing w:before="0"/>
        <w:jc w:val="center"/>
      </w:pPr>
      <w:r>
        <w:t>______________</w:t>
      </w:r>
    </w:p>
    <w:sectPr w:rsidR="00DA1CB1" w:rsidRPr="00BD1614" w:rsidSect="0088070A">
      <w:headerReference w:type="default" r:id="rId16"/>
      <w:footerReference w:type="default" r:id="rId17"/>
      <w:footerReference w:type="first" r:id="rId18"/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0A" w:rsidRDefault="0088070A">
      <w:r>
        <w:separator/>
      </w:r>
    </w:p>
  </w:endnote>
  <w:endnote w:type="continuationSeparator" w:id="0">
    <w:p w:rsidR="0088070A" w:rsidRDefault="0088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5B" w:rsidRDefault="00E50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5B" w:rsidRDefault="00E50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0A" w:rsidRDefault="0088070A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8070A" w:rsidRDefault="0088070A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E50E5B" w:rsidRDefault="00E50E5B" w:rsidP="0088070A">
    <w:pPr>
      <w:pStyle w:val="Footer"/>
      <w:rPr>
        <w:color w:val="D9D9D9" w:themeColor="background1" w:themeShade="D9"/>
      </w:rPr>
    </w:pPr>
    <w:r w:rsidRPr="00E50E5B">
      <w:rPr>
        <w:color w:val="D9D9D9" w:themeColor="background1" w:themeShade="D9"/>
      </w:rPr>
      <w:fldChar w:fldCharType="begin"/>
    </w:r>
    <w:r w:rsidRPr="00E50E5B">
      <w:rPr>
        <w:color w:val="D9D9D9" w:themeColor="background1" w:themeShade="D9"/>
      </w:rPr>
      <w:instrText xml:space="preserve"> FILENAME \p  \* MERGEFORMAT </w:instrText>
    </w:r>
    <w:r w:rsidRPr="00E50E5B">
      <w:rPr>
        <w:color w:val="D9D9D9" w:themeColor="background1" w:themeShade="D9"/>
      </w:rPr>
      <w:fldChar w:fldCharType="separate"/>
    </w:r>
    <w:r w:rsidR="00CA289B" w:rsidRPr="00E50E5B">
      <w:rPr>
        <w:color w:val="D9D9D9" w:themeColor="background1" w:themeShade="D9"/>
      </w:rPr>
      <w:t>P:\FRA\SG\CONF-SG\PP18\000\061F.docx</w:t>
    </w:r>
    <w:r w:rsidRPr="00E50E5B">
      <w:rPr>
        <w:color w:val="D9D9D9" w:themeColor="background1" w:themeShade="D9"/>
      </w:rPr>
      <w:fldChar w:fldCharType="end"/>
    </w:r>
    <w:r w:rsidR="00CA289B" w:rsidRPr="00E50E5B">
      <w:rPr>
        <w:color w:val="D9D9D9" w:themeColor="background1" w:themeShade="D9"/>
      </w:rPr>
      <w:t xml:space="preserve"> (444516</w:t>
    </w:r>
    <w:r w:rsidR="0088070A" w:rsidRPr="00E50E5B">
      <w:rPr>
        <w:color w:val="D9D9D9" w:themeColor="background1" w:themeShade="D9"/>
      </w:rPr>
      <w:t>)</w:t>
    </w:r>
    <w:bookmarkStart w:id="8" w:name="_GoBack"/>
    <w:bookmarkEnd w:id="8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0A" w:rsidRDefault="0088070A">
      <w:r>
        <w:t>____________________</w:t>
      </w:r>
    </w:p>
  </w:footnote>
  <w:footnote w:type="continuationSeparator" w:id="0">
    <w:p w:rsidR="0088070A" w:rsidRDefault="0088070A">
      <w:r>
        <w:continuationSeparator/>
      </w:r>
    </w:p>
  </w:footnote>
  <w:footnote w:id="1">
    <w:p w:rsidR="0088070A" w:rsidRDefault="0088070A" w:rsidP="0088070A">
      <w:pPr>
        <w:pStyle w:val="FootnoteText"/>
        <w:spacing w:before="0" w:after="120"/>
        <w:ind w:left="259" w:hanging="259"/>
        <w:rPr>
          <w:sz w:val="20"/>
        </w:rPr>
      </w:pPr>
      <w:r w:rsidRPr="00B4404C">
        <w:rPr>
          <w:rStyle w:val="FootnoteReference"/>
        </w:rPr>
        <w:footnoteRef/>
      </w:r>
      <w:r>
        <w:rPr>
          <w:sz w:val="16"/>
          <w:szCs w:val="16"/>
        </w:rPr>
        <w:tab/>
      </w:r>
      <w:r>
        <w:t>Dans l'ordre alphabétique français.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5B" w:rsidRDefault="00E50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0A" w:rsidRDefault="0088070A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8070A" w:rsidRDefault="0088070A" w:rsidP="005D65C8">
    <w:pPr>
      <w:pStyle w:val="Header"/>
    </w:pPr>
    <w:r>
      <w:t>PP18/61-F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5B" w:rsidRDefault="00E50E5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50E5B">
      <w:rPr>
        <w:noProof/>
      </w:rPr>
      <w:t>2</w:t>
    </w:r>
    <w:r>
      <w:fldChar w:fldCharType="end"/>
    </w:r>
  </w:p>
  <w:p w:rsidR="003E6549" w:rsidRDefault="00BD1614" w:rsidP="00DA1CB1">
    <w:pPr>
      <w:pStyle w:val="Header"/>
    </w:pPr>
    <w:r>
      <w:t>PP1</w:t>
    </w:r>
    <w:r w:rsidR="001E2226">
      <w:t>8</w:t>
    </w:r>
    <w:r w:rsidR="00417658">
      <w:t>/</w:t>
    </w:r>
    <w:r w:rsidR="0088070A">
      <w:t>61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A"/>
    <w:rsid w:val="000054D8"/>
    <w:rsid w:val="00060D74"/>
    <w:rsid w:val="00072D5C"/>
    <w:rsid w:val="0008398C"/>
    <w:rsid w:val="00084308"/>
    <w:rsid w:val="000B14B6"/>
    <w:rsid w:val="000B1CBB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C1059"/>
    <w:rsid w:val="002C2F9C"/>
    <w:rsid w:val="00301651"/>
    <w:rsid w:val="00322DEA"/>
    <w:rsid w:val="00355FBD"/>
    <w:rsid w:val="00381461"/>
    <w:rsid w:val="003A0B7D"/>
    <w:rsid w:val="003A45C2"/>
    <w:rsid w:val="003C4BE2"/>
    <w:rsid w:val="003D147D"/>
    <w:rsid w:val="003D637A"/>
    <w:rsid w:val="003E6549"/>
    <w:rsid w:val="00417658"/>
    <w:rsid w:val="00430015"/>
    <w:rsid w:val="004678D0"/>
    <w:rsid w:val="00482954"/>
    <w:rsid w:val="004951C0"/>
    <w:rsid w:val="00524001"/>
    <w:rsid w:val="00564B63"/>
    <w:rsid w:val="005704F1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8070A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35425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A289B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1CB1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0E5B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E4ACD19-855B-4F43-8DF7-2ED61C9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apple-converted-space">
    <w:name w:val="apple-converted-space"/>
    <w:basedOn w:val="DefaultParagraphFont"/>
    <w:rsid w:val="0088070A"/>
  </w:style>
  <w:style w:type="paragraph" w:styleId="NormalWeb">
    <w:name w:val="Normal (Web)"/>
    <w:basedOn w:val="Normal"/>
    <w:rsid w:val="0088070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A35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nline/mm/scripts/gensel29?lang=fr&amp;_search_region=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online/mm/scripts/gensel29?lang=fr&amp;_search_region=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25</TotalTime>
  <Pages>2</Pages>
  <Words>280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for the elections to the ITU Council</dc:title>
  <dc:subject>Plenipotentiary Conference (PP-18)</dc:subject>
  <dc:creator>Geneux, Aude</dc:creator>
  <cp:keywords>PP-18, Plenipotentiary</cp:keywords>
  <dc:description/>
  <cp:lastModifiedBy>Botalla, Sabine</cp:lastModifiedBy>
  <cp:revision>7</cp:revision>
  <dcterms:created xsi:type="dcterms:W3CDTF">2018-10-08T09:10:00Z</dcterms:created>
  <dcterms:modified xsi:type="dcterms:W3CDTF">2018-10-08T15:04:00Z</dcterms:modified>
  <cp:category>Conference document</cp:category>
</cp:coreProperties>
</file>