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EC772A">
        <w:trPr>
          <w:cantSplit/>
        </w:trPr>
        <w:tc>
          <w:tcPr>
            <w:tcW w:w="6911" w:type="dxa"/>
            <w:vAlign w:val="center"/>
          </w:tcPr>
          <w:p w:rsidR="00BD1614" w:rsidRPr="00960D89" w:rsidRDefault="00BD1614" w:rsidP="00EC772A">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proofErr w:type="gramStart"/>
            <w:r w:rsidRPr="000F6395">
              <w:rPr>
                <w:b/>
                <w:smallCaps/>
                <w:sz w:val="30"/>
                <w:szCs w:val="30"/>
                <w:lang w:val="fr-CH"/>
              </w:rPr>
              <w:t>)</w:t>
            </w:r>
            <w:proofErr w:type="gramEnd"/>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w:t>
            </w:r>
            <w:r w:rsidR="00796705">
              <w:rPr>
                <w:rFonts w:cs="Times New Roman Bold"/>
                <w:b/>
                <w:bCs/>
                <w:szCs w:val="24"/>
                <w:lang w:val="fr-CH"/>
              </w:rPr>
              <w:t>-</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EE3543">
            <w:pPr>
              <w:spacing w:before="0" w:line="240" w:lineRule="atLeast"/>
              <w:rPr>
                <w:rFonts w:cstheme="minorHAnsi"/>
                <w:lang w:val="en-US"/>
              </w:rPr>
            </w:pPr>
            <w:bookmarkStart w:id="3" w:name="ditulogo"/>
            <w:bookmarkEnd w:id="3"/>
            <w:r w:rsidRPr="008C10D9">
              <w:rPr>
                <w:rFonts w:cstheme="minorHAnsi"/>
                <w:b/>
                <w:bCs/>
                <w:noProof/>
                <w:lang w:val="en-GB"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EE3543">
        <w:trPr>
          <w:cantSplit/>
        </w:trPr>
        <w:tc>
          <w:tcPr>
            <w:tcW w:w="6911" w:type="dxa"/>
            <w:tcBorders>
              <w:bottom w:val="single" w:sz="12" w:space="0" w:color="auto"/>
            </w:tcBorders>
          </w:tcPr>
          <w:p w:rsidR="00BD1614" w:rsidRPr="008C10D9" w:rsidRDefault="00BD1614" w:rsidP="00EE3543">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EE3543">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EE3543">
        <w:trPr>
          <w:cantSplit/>
        </w:trPr>
        <w:tc>
          <w:tcPr>
            <w:tcW w:w="6911" w:type="dxa"/>
          </w:tcPr>
          <w:p w:rsidR="00BD1614" w:rsidRPr="008C10D9" w:rsidRDefault="00417658"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417658" w:rsidP="00F3710B">
            <w:pPr>
              <w:spacing w:before="0"/>
              <w:rPr>
                <w:rFonts w:cstheme="minorHAnsi"/>
                <w:szCs w:val="24"/>
                <w:lang w:val="en-US"/>
              </w:rPr>
            </w:pPr>
            <w:r>
              <w:rPr>
                <w:rFonts w:cstheme="minorHAnsi"/>
                <w:b/>
                <w:szCs w:val="24"/>
                <w:lang w:val="en-US"/>
              </w:rPr>
              <w:t xml:space="preserve">Document </w:t>
            </w:r>
            <w:r w:rsidR="00F3710B">
              <w:rPr>
                <w:rFonts w:cstheme="minorHAnsi"/>
                <w:b/>
                <w:szCs w:val="24"/>
                <w:lang w:val="en-US"/>
              </w:rPr>
              <w:t>59</w:t>
            </w:r>
            <w:r>
              <w:rPr>
                <w:rFonts w:cstheme="minorHAnsi"/>
                <w:b/>
                <w:szCs w:val="24"/>
                <w:lang w:val="en-US"/>
              </w:rPr>
              <w:t>-F</w:t>
            </w:r>
          </w:p>
        </w:tc>
      </w:tr>
      <w:tr w:rsidR="00BD1614" w:rsidRPr="002A6F8F" w:rsidTr="00EE3543">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F3710B" w:rsidP="00F3710B">
            <w:pPr>
              <w:spacing w:before="0"/>
              <w:rPr>
                <w:rFonts w:cstheme="minorHAnsi"/>
                <w:b/>
                <w:szCs w:val="24"/>
                <w:lang w:val="en-US"/>
              </w:rPr>
            </w:pPr>
            <w:r>
              <w:rPr>
                <w:rFonts w:cstheme="minorHAnsi"/>
                <w:b/>
                <w:szCs w:val="24"/>
                <w:lang w:val="en-US"/>
              </w:rPr>
              <w:t>1</w:t>
            </w:r>
            <w:r w:rsidR="006E6F5F">
              <w:rPr>
                <w:rFonts w:cstheme="minorHAnsi"/>
                <w:b/>
                <w:szCs w:val="24"/>
                <w:lang w:val="en-US"/>
              </w:rPr>
              <w:t>er</w:t>
            </w:r>
            <w:r>
              <w:rPr>
                <w:rFonts w:cstheme="minorHAnsi"/>
                <w:b/>
                <w:szCs w:val="24"/>
                <w:lang w:val="en-US"/>
              </w:rPr>
              <w:t xml:space="preserve"> </w:t>
            </w:r>
            <w:proofErr w:type="spellStart"/>
            <w:r>
              <w:rPr>
                <w:rFonts w:cstheme="minorHAnsi"/>
                <w:b/>
                <w:szCs w:val="24"/>
                <w:lang w:val="en-US"/>
              </w:rPr>
              <w:t>octobre</w:t>
            </w:r>
            <w:proofErr w:type="spellEnd"/>
            <w:r w:rsidR="00417658" w:rsidRPr="008C10D9">
              <w:rPr>
                <w:rFonts w:cstheme="minorHAnsi"/>
                <w:b/>
                <w:szCs w:val="24"/>
                <w:lang w:val="en-US"/>
              </w:rPr>
              <w:t xml:space="preserve"> 201</w:t>
            </w:r>
            <w:r>
              <w:rPr>
                <w:rFonts w:cstheme="minorHAnsi"/>
                <w:b/>
                <w:szCs w:val="24"/>
                <w:lang w:val="en-US"/>
              </w:rPr>
              <w:t>8</w:t>
            </w:r>
          </w:p>
        </w:tc>
      </w:tr>
      <w:tr w:rsidR="00BD1614" w:rsidRPr="002A6F8F" w:rsidTr="00EE3543">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417658" w:rsidP="003D637A">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r w:rsidR="00F3710B">
              <w:rPr>
                <w:rFonts w:cstheme="minorHAnsi"/>
                <w:b/>
                <w:szCs w:val="24"/>
                <w:lang w:val="en-US"/>
              </w:rPr>
              <w:t>/</w:t>
            </w:r>
            <w:proofErr w:type="spellStart"/>
            <w:r w:rsidR="00F3710B">
              <w:rPr>
                <w:rFonts w:cstheme="minorHAnsi"/>
                <w:b/>
                <w:szCs w:val="24"/>
                <w:lang w:val="en-US"/>
              </w:rPr>
              <w:t>espagnol</w:t>
            </w:r>
            <w:proofErr w:type="spellEnd"/>
          </w:p>
        </w:tc>
      </w:tr>
      <w:tr w:rsidR="00BD1614" w:rsidRPr="002A6F8F" w:rsidTr="00EE3543">
        <w:trPr>
          <w:cantSplit/>
        </w:trPr>
        <w:tc>
          <w:tcPr>
            <w:tcW w:w="10031" w:type="dxa"/>
            <w:gridSpan w:val="2"/>
          </w:tcPr>
          <w:p w:rsidR="00BD1614" w:rsidRPr="008C10D9" w:rsidRDefault="00BD1614" w:rsidP="00EE3543">
            <w:pPr>
              <w:spacing w:before="0" w:line="240" w:lineRule="atLeast"/>
              <w:rPr>
                <w:rFonts w:cstheme="minorHAnsi"/>
                <w:b/>
                <w:szCs w:val="24"/>
                <w:lang w:val="en-US"/>
              </w:rPr>
            </w:pPr>
          </w:p>
        </w:tc>
      </w:tr>
      <w:tr w:rsidR="00BD1614" w:rsidRPr="002A6F8F" w:rsidTr="00EE3543">
        <w:trPr>
          <w:cantSplit/>
        </w:trPr>
        <w:tc>
          <w:tcPr>
            <w:tcW w:w="10031" w:type="dxa"/>
            <w:gridSpan w:val="2"/>
          </w:tcPr>
          <w:p w:rsidR="00BD1614" w:rsidRPr="002A6F8F" w:rsidRDefault="00F3710B" w:rsidP="00EE3543">
            <w:pPr>
              <w:pStyle w:val="Source"/>
              <w:rPr>
                <w:lang w:val="en-US"/>
              </w:rPr>
            </w:pPr>
            <w:bookmarkStart w:id="5" w:name="dsource" w:colFirst="0" w:colLast="0"/>
            <w:bookmarkEnd w:id="4"/>
            <w:r w:rsidRPr="00F3710B">
              <w:rPr>
                <w:lang w:val="en-US"/>
              </w:rPr>
              <w:t xml:space="preserve">Note du </w:t>
            </w:r>
            <w:proofErr w:type="spellStart"/>
            <w:r w:rsidRPr="00F3710B">
              <w:rPr>
                <w:lang w:val="en-US"/>
              </w:rPr>
              <w:t>Secrétaire</w:t>
            </w:r>
            <w:proofErr w:type="spellEnd"/>
            <w:r w:rsidRPr="00F3710B">
              <w:rPr>
                <w:lang w:val="en-US"/>
              </w:rPr>
              <w:t xml:space="preserve"> </w:t>
            </w:r>
            <w:proofErr w:type="spellStart"/>
            <w:r w:rsidRPr="00F3710B">
              <w:rPr>
                <w:lang w:val="en-US"/>
              </w:rPr>
              <w:t>général</w:t>
            </w:r>
            <w:proofErr w:type="spellEnd"/>
          </w:p>
        </w:tc>
      </w:tr>
      <w:tr w:rsidR="00BD1614" w:rsidRPr="002A6F8F" w:rsidTr="00EE3543">
        <w:trPr>
          <w:cantSplit/>
        </w:trPr>
        <w:tc>
          <w:tcPr>
            <w:tcW w:w="10031" w:type="dxa"/>
            <w:gridSpan w:val="2"/>
          </w:tcPr>
          <w:p w:rsidR="00BD1614" w:rsidRPr="00F3710B" w:rsidRDefault="00F3710B" w:rsidP="00F3710B">
            <w:pPr>
              <w:pStyle w:val="Title1"/>
              <w:rPr>
                <w:lang w:val="fr-CH"/>
              </w:rPr>
            </w:pPr>
            <w:bookmarkStart w:id="6" w:name="dtitle1" w:colFirst="0" w:colLast="0"/>
            <w:bookmarkEnd w:id="5"/>
            <w:r w:rsidRPr="00F3710B">
              <w:rPr>
                <w:lang w:val="fr-CH"/>
              </w:rPr>
              <w:t xml:space="preserve">CANDIDATURE AU POSTE DE DIRECTEUR DU BUREAU </w:t>
            </w:r>
            <w:r>
              <w:rPr>
                <w:lang w:val="fr-CH"/>
              </w:rPr>
              <w:br/>
            </w:r>
            <w:r w:rsidRPr="00F3710B">
              <w:rPr>
                <w:lang w:val="fr-CH"/>
              </w:rPr>
              <w:t>DES RADIOCOMMUNICATIONS (BR)</w:t>
            </w:r>
          </w:p>
        </w:tc>
      </w:tr>
      <w:tr w:rsidR="00BD1614" w:rsidTr="00EE3543">
        <w:trPr>
          <w:cantSplit/>
        </w:trPr>
        <w:tc>
          <w:tcPr>
            <w:tcW w:w="10031" w:type="dxa"/>
            <w:gridSpan w:val="2"/>
          </w:tcPr>
          <w:p w:rsidR="00BD1614" w:rsidRDefault="00BD1614" w:rsidP="00EE3543">
            <w:pPr>
              <w:pStyle w:val="Agendaitem"/>
            </w:pPr>
            <w:bookmarkStart w:id="7" w:name="dtitle3" w:colFirst="0" w:colLast="0"/>
            <w:bookmarkEnd w:id="6"/>
          </w:p>
        </w:tc>
      </w:tr>
    </w:tbl>
    <w:bookmarkEnd w:id="7"/>
    <w:p w:rsidR="00F3710B" w:rsidRPr="005000E5" w:rsidRDefault="005000E5" w:rsidP="00123D89">
      <w:pPr>
        <w:rPr>
          <w:highlight w:val="yellow"/>
          <w:lang w:val="fr-CH"/>
        </w:rPr>
      </w:pPr>
      <w:r w:rsidRPr="00B91EF7">
        <w:t>En complément des informations publiées dans le Document 3, j</w:t>
      </w:r>
      <w:r w:rsidR="00E3516B">
        <w:t>'</w:t>
      </w:r>
      <w:r w:rsidRPr="00B91EF7">
        <w:t>ai l</w:t>
      </w:r>
      <w:r w:rsidR="00E3516B">
        <w:t>'</w:t>
      </w:r>
      <w:r w:rsidRPr="00B91EF7">
        <w:t>honneur de transmettre à la Conférence, en annexe, la candidature de:</w:t>
      </w:r>
    </w:p>
    <w:p w:rsidR="00F3710B" w:rsidRPr="005000E5" w:rsidRDefault="00F3710B" w:rsidP="00123D89">
      <w:pPr>
        <w:jc w:val="center"/>
        <w:rPr>
          <w:b/>
          <w:bCs/>
          <w:lang w:val="fr-CH"/>
        </w:rPr>
      </w:pPr>
      <w:r w:rsidRPr="005000E5">
        <w:rPr>
          <w:b/>
          <w:bCs/>
          <w:lang w:val="fr-CH"/>
        </w:rPr>
        <w:t>M</w:t>
      </w:r>
      <w:r w:rsidR="005000E5" w:rsidRPr="005000E5">
        <w:rPr>
          <w:b/>
          <w:bCs/>
          <w:lang w:val="fr-CH"/>
        </w:rPr>
        <w:t>.</w:t>
      </w:r>
      <w:r w:rsidRPr="005000E5">
        <w:rPr>
          <w:b/>
          <w:bCs/>
          <w:lang w:val="fr-CH"/>
        </w:rPr>
        <w:t xml:space="preserve"> Mario MANIEWICZ (</w:t>
      </w:r>
      <w:r w:rsidR="005000E5" w:rsidRPr="005000E5">
        <w:rPr>
          <w:b/>
          <w:bCs/>
          <w:lang w:val="fr-CH"/>
        </w:rPr>
        <w:t>République orientale d</w:t>
      </w:r>
      <w:r w:rsidR="00B51266">
        <w:rPr>
          <w:b/>
          <w:bCs/>
          <w:lang w:val="fr-CH"/>
        </w:rPr>
        <w:t>e l</w:t>
      </w:r>
      <w:r w:rsidR="00E3516B">
        <w:rPr>
          <w:b/>
          <w:bCs/>
          <w:lang w:val="fr-CH"/>
        </w:rPr>
        <w:t>'</w:t>
      </w:r>
      <w:r w:rsidRPr="005000E5">
        <w:rPr>
          <w:b/>
          <w:bCs/>
          <w:lang w:val="fr-CH"/>
        </w:rPr>
        <w:t>Uruguay)</w:t>
      </w:r>
    </w:p>
    <w:p w:rsidR="00F3710B" w:rsidRPr="005000E5" w:rsidRDefault="005000E5" w:rsidP="00123D89">
      <w:pPr>
        <w:rPr>
          <w:highlight w:val="yellow"/>
          <w:lang w:val="fr-CH"/>
        </w:rPr>
      </w:pPr>
      <w:proofErr w:type="gramStart"/>
      <w:r w:rsidRPr="00B91EF7">
        <w:t>au</w:t>
      </w:r>
      <w:proofErr w:type="gramEnd"/>
      <w:r w:rsidRPr="00B91EF7">
        <w:t xml:space="preserve"> poste de Directeur du Bureau des radiocommunications de l</w:t>
      </w:r>
      <w:r w:rsidR="00E3516B">
        <w:t>'</w:t>
      </w:r>
      <w:r w:rsidRPr="00B91EF7">
        <w:t>Union internationale des télécommunications.</w:t>
      </w:r>
    </w:p>
    <w:p w:rsidR="00F3710B" w:rsidRPr="005000E5" w:rsidRDefault="00F3710B" w:rsidP="00F3710B">
      <w:pPr>
        <w:rPr>
          <w:lang w:val="fr-CH"/>
        </w:rPr>
      </w:pPr>
    </w:p>
    <w:p w:rsidR="00F3710B" w:rsidRPr="005000E5" w:rsidRDefault="00F3710B" w:rsidP="00F3710B">
      <w:pPr>
        <w:rPr>
          <w:rFonts w:asciiTheme="minorHAnsi" w:hAnsiTheme="minorHAnsi" w:cstheme="minorHAnsi"/>
          <w:lang w:val="fr-CH"/>
        </w:rPr>
      </w:pPr>
    </w:p>
    <w:p w:rsidR="00F3710B" w:rsidRPr="006D100A" w:rsidRDefault="00F3710B" w:rsidP="00F3710B">
      <w:pPr>
        <w:tabs>
          <w:tab w:val="clear" w:pos="567"/>
          <w:tab w:val="clear" w:pos="1134"/>
          <w:tab w:val="clear" w:pos="1701"/>
          <w:tab w:val="clear" w:pos="2268"/>
          <w:tab w:val="clear" w:pos="2835"/>
          <w:tab w:val="center" w:pos="6804"/>
        </w:tabs>
        <w:rPr>
          <w:rFonts w:asciiTheme="minorHAnsi" w:hAnsiTheme="minorHAnsi" w:cstheme="minorHAnsi"/>
          <w:lang w:val="fr-CH"/>
        </w:rPr>
      </w:pPr>
      <w:r w:rsidRPr="005000E5">
        <w:rPr>
          <w:rFonts w:asciiTheme="minorHAnsi" w:hAnsiTheme="minorHAnsi" w:cstheme="minorHAnsi"/>
          <w:lang w:val="fr-CH"/>
        </w:rPr>
        <w:tab/>
      </w:r>
      <w:r w:rsidRPr="006D100A">
        <w:rPr>
          <w:rFonts w:asciiTheme="minorHAnsi" w:hAnsiTheme="minorHAnsi" w:cstheme="minorHAnsi"/>
          <w:lang w:val="fr-CH"/>
        </w:rPr>
        <w:t>Houlin ZHAO</w:t>
      </w:r>
      <w:r w:rsidRPr="006D100A">
        <w:rPr>
          <w:rFonts w:asciiTheme="minorHAnsi" w:hAnsiTheme="minorHAnsi" w:cstheme="minorHAnsi"/>
          <w:lang w:val="fr-CH"/>
        </w:rPr>
        <w:br/>
      </w:r>
      <w:r w:rsidRPr="006D100A">
        <w:rPr>
          <w:rFonts w:asciiTheme="minorHAnsi" w:hAnsiTheme="minorHAnsi" w:cstheme="minorHAnsi"/>
          <w:lang w:val="fr-CH"/>
        </w:rPr>
        <w:tab/>
        <w:t>Secrétaire général</w:t>
      </w:r>
    </w:p>
    <w:p w:rsidR="00F3710B" w:rsidRPr="006D100A" w:rsidRDefault="00F3710B" w:rsidP="00F3710B">
      <w:pPr>
        <w:tabs>
          <w:tab w:val="center" w:pos="6804"/>
        </w:tabs>
        <w:rPr>
          <w:rFonts w:asciiTheme="minorHAnsi" w:hAnsiTheme="minorHAnsi" w:cstheme="minorHAnsi"/>
          <w:lang w:val="fr-CH"/>
        </w:rPr>
      </w:pPr>
    </w:p>
    <w:p w:rsidR="00F3710B" w:rsidRPr="006D100A" w:rsidRDefault="00F3710B" w:rsidP="00F3710B">
      <w:pPr>
        <w:tabs>
          <w:tab w:val="center" w:pos="6804"/>
        </w:tabs>
        <w:rPr>
          <w:rFonts w:asciiTheme="minorHAnsi" w:hAnsiTheme="minorHAnsi" w:cstheme="minorHAnsi"/>
          <w:lang w:val="fr-CH"/>
        </w:rPr>
      </w:pPr>
    </w:p>
    <w:p w:rsidR="00F3710B" w:rsidRPr="006D100A" w:rsidRDefault="00F3710B" w:rsidP="00F3710B">
      <w:pPr>
        <w:tabs>
          <w:tab w:val="center" w:pos="6804"/>
        </w:tabs>
        <w:rPr>
          <w:rFonts w:asciiTheme="minorHAnsi" w:hAnsiTheme="minorHAnsi" w:cstheme="minorHAnsi"/>
          <w:lang w:val="fr-CH"/>
        </w:rPr>
      </w:pPr>
    </w:p>
    <w:p w:rsidR="00F3710B" w:rsidRPr="006D100A" w:rsidRDefault="00F3710B" w:rsidP="00F3710B">
      <w:pPr>
        <w:tabs>
          <w:tab w:val="center" w:pos="6804"/>
        </w:tabs>
        <w:rPr>
          <w:rFonts w:asciiTheme="minorHAnsi" w:hAnsiTheme="minorHAnsi" w:cstheme="minorHAnsi"/>
          <w:lang w:val="fr-CH"/>
        </w:rPr>
      </w:pPr>
    </w:p>
    <w:p w:rsidR="00F3710B" w:rsidRPr="006D100A" w:rsidRDefault="00F3710B" w:rsidP="00F3710B">
      <w:pPr>
        <w:tabs>
          <w:tab w:val="center" w:pos="6804"/>
        </w:tabs>
        <w:rPr>
          <w:rFonts w:asciiTheme="minorHAnsi" w:hAnsiTheme="minorHAnsi" w:cstheme="minorHAnsi"/>
          <w:highlight w:val="yellow"/>
          <w:lang w:val="fr-CH"/>
        </w:rPr>
      </w:pPr>
      <w:r w:rsidRPr="003E17FA">
        <w:rPr>
          <w:rFonts w:asciiTheme="minorHAnsi" w:hAnsiTheme="minorHAnsi" w:cstheme="minorHAnsi"/>
          <w:b/>
          <w:bCs/>
          <w:lang w:val="fr-CH"/>
        </w:rPr>
        <w:t>Annexe:</w:t>
      </w:r>
      <w:r w:rsidRPr="003E17FA">
        <w:rPr>
          <w:rFonts w:asciiTheme="minorHAnsi" w:hAnsiTheme="minorHAnsi" w:cstheme="minorHAnsi"/>
          <w:lang w:val="fr-CH"/>
        </w:rPr>
        <w:t xml:space="preserve"> 1</w:t>
      </w:r>
    </w:p>
    <w:p w:rsidR="00BD1614" w:rsidRPr="006D100A"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D100A">
        <w:rPr>
          <w:lang w:val="fr-CH"/>
        </w:rPr>
        <w:br w:type="page"/>
      </w:r>
    </w:p>
    <w:p w:rsidR="00500768" w:rsidRPr="006D100A" w:rsidRDefault="0050076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500768" w:rsidRPr="006D100A" w:rsidRDefault="006D100A"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r w:rsidRPr="006D100A">
        <w:rPr>
          <w:rFonts w:asciiTheme="minorHAnsi" w:hAnsiTheme="minorHAnsi" w:cstheme="minorHAnsi"/>
          <w:noProof/>
          <w:lang w:val="fr-CH" w:eastAsia="zh-CN"/>
        </w:rPr>
        <w:t>NV/213/2018</w:t>
      </w:r>
    </w:p>
    <w:p w:rsidR="00123D89" w:rsidRDefault="00123D89" w:rsidP="00B51266">
      <w:r w:rsidRPr="00B91EF7">
        <w:t xml:space="preserve">La Mission permanente de la République </w:t>
      </w:r>
      <w:r w:rsidR="006D100A">
        <w:t>orientale d</w:t>
      </w:r>
      <w:r w:rsidR="00B51266">
        <w:t>e l</w:t>
      </w:r>
      <w:r w:rsidR="006D100A">
        <w:t>’Uruguay</w:t>
      </w:r>
      <w:r w:rsidRPr="00B91EF7">
        <w:t xml:space="preserve"> auprès de l</w:t>
      </w:r>
      <w:r w:rsidR="00E3516B">
        <w:t>'</w:t>
      </w:r>
      <w:r w:rsidRPr="00B91EF7">
        <w:t xml:space="preserve">Office des Nations Unies et des autres organisations </w:t>
      </w:r>
      <w:r w:rsidR="00B51266">
        <w:t xml:space="preserve">internationales </w:t>
      </w:r>
      <w:r w:rsidRPr="00B91EF7">
        <w:t>à G</w:t>
      </w:r>
      <w:r w:rsidR="006D100A">
        <w:t>enève présente ses compliments au Secrétaire général de</w:t>
      </w:r>
      <w:r w:rsidRPr="00B91EF7">
        <w:t xml:space="preserve"> l</w:t>
      </w:r>
      <w:r w:rsidR="00E3516B">
        <w:t>'</w:t>
      </w:r>
      <w:r w:rsidRPr="00B91EF7">
        <w:t>Union internationale des télécommunications</w:t>
      </w:r>
      <w:r w:rsidR="00663843">
        <w:t>, M. Houlin Zhao,</w:t>
      </w:r>
      <w:r w:rsidRPr="00B91EF7">
        <w:t xml:space="preserve"> et a l</w:t>
      </w:r>
      <w:r w:rsidR="00E3516B">
        <w:t>'</w:t>
      </w:r>
      <w:r w:rsidRPr="00B91EF7">
        <w:t>honneur d</w:t>
      </w:r>
      <w:r w:rsidR="00E3516B">
        <w:t>'</w:t>
      </w:r>
      <w:r w:rsidRPr="00B91EF7">
        <w:t xml:space="preserve">annoncer </w:t>
      </w:r>
      <w:r w:rsidR="00164E2C">
        <w:t>que le</w:t>
      </w:r>
      <w:r w:rsidRPr="00B91EF7">
        <w:t xml:space="preserve"> Gouvernement de </w:t>
      </w:r>
      <w:r w:rsidR="00D54FD5" w:rsidRPr="00B91EF7">
        <w:t xml:space="preserve">la République </w:t>
      </w:r>
      <w:r w:rsidR="00D54FD5">
        <w:t>orientale d</w:t>
      </w:r>
      <w:r w:rsidR="00B51266">
        <w:t>e l</w:t>
      </w:r>
      <w:r w:rsidR="00D54FD5">
        <w:t>’Uruguay</w:t>
      </w:r>
      <w:r w:rsidR="00D54FD5" w:rsidRPr="00B91EF7">
        <w:t xml:space="preserve"> </w:t>
      </w:r>
      <w:r w:rsidR="00164E2C">
        <w:t xml:space="preserve">a décidé </w:t>
      </w:r>
      <w:r w:rsidRPr="00B91EF7">
        <w:t xml:space="preserve">de présenter </w:t>
      </w:r>
      <w:r w:rsidR="00D54FD5">
        <w:t xml:space="preserve">la candidature de </w:t>
      </w:r>
      <w:r w:rsidR="00164E2C">
        <w:t>M. </w:t>
      </w:r>
      <w:r w:rsidR="00D54FD5">
        <w:t>Mario Maniewicz au poste de Directeur du Bureau des radiocommunications de l’UIT pour la période 2019-2022,</w:t>
      </w:r>
      <w:r w:rsidRPr="00B91EF7">
        <w:t xml:space="preserve"> en vue des élections qui auront lieu </w:t>
      </w:r>
      <w:r w:rsidR="007F0490">
        <w:t>pendant</w:t>
      </w:r>
      <w:r w:rsidRPr="00B91EF7">
        <w:t xml:space="preserve"> la Conférence de plénipotentiaires de l</w:t>
      </w:r>
      <w:r w:rsidR="00E3516B">
        <w:t>'</w:t>
      </w:r>
      <w:r w:rsidRPr="00B91EF7">
        <w:t>UIT</w:t>
      </w:r>
      <w:r w:rsidR="007F0490">
        <w:t>,</w:t>
      </w:r>
      <w:r w:rsidRPr="00B91EF7">
        <w:t xml:space="preserve"> qui se tiendra à Dubaï (Emirats a</w:t>
      </w:r>
      <w:r w:rsidR="00802FDD">
        <w:t>rabes unis) du 29 octobre au 16 </w:t>
      </w:r>
      <w:r w:rsidRPr="00B91EF7">
        <w:t>nove</w:t>
      </w:r>
      <w:r w:rsidR="00D54FD5">
        <w:t>mbre 2018.</w:t>
      </w:r>
    </w:p>
    <w:p w:rsidR="00C8290A" w:rsidRPr="00B91EF7" w:rsidRDefault="00C8290A" w:rsidP="00B51266">
      <w:r>
        <w:t xml:space="preserve">A cet égard, la </w:t>
      </w:r>
      <w:r w:rsidRPr="00B91EF7">
        <w:t xml:space="preserve">Mission permanente de la République </w:t>
      </w:r>
      <w:r>
        <w:t>orientale d</w:t>
      </w:r>
      <w:r w:rsidR="00B51266">
        <w:t>e l</w:t>
      </w:r>
      <w:r>
        <w:t>’Uruguay</w:t>
      </w:r>
      <w:r w:rsidRPr="00B91EF7">
        <w:t xml:space="preserve"> auprès de l</w:t>
      </w:r>
      <w:r>
        <w:t>'</w:t>
      </w:r>
      <w:r w:rsidRPr="00B91EF7">
        <w:t xml:space="preserve">Office des Nations Unies et des autres organisations </w:t>
      </w:r>
      <w:r w:rsidR="00B51266">
        <w:t xml:space="preserve">internationales </w:t>
      </w:r>
      <w:r w:rsidRPr="00B91EF7">
        <w:t>à G</w:t>
      </w:r>
      <w:r>
        <w:t>enève tient à mettre en avant l</w:t>
      </w:r>
      <w:r w:rsidR="00395BEB">
        <w:t>’expérience, l</w:t>
      </w:r>
      <w:r>
        <w:t xml:space="preserve">es qualifications et les </w:t>
      </w:r>
      <w:r w:rsidR="00164E2C">
        <w:t xml:space="preserve">compétences en </w:t>
      </w:r>
      <w:r w:rsidR="001134A7">
        <w:t xml:space="preserve">matière de </w:t>
      </w:r>
      <w:r w:rsidR="00164E2C">
        <w:t>direction</w:t>
      </w:r>
      <w:r>
        <w:t xml:space="preserve"> que M. Mari</w:t>
      </w:r>
      <w:r w:rsidR="00665878">
        <w:t xml:space="preserve">o Maniewicz a </w:t>
      </w:r>
      <w:r w:rsidR="00B51266">
        <w:t xml:space="preserve">acquises </w:t>
      </w:r>
      <w:r w:rsidR="00665878">
        <w:t>ces 30 </w:t>
      </w:r>
      <w:r>
        <w:t xml:space="preserve">dernières années au service de l’UIT, ce qui fait de lui </w:t>
      </w:r>
      <w:r w:rsidR="00B51266">
        <w:t xml:space="preserve">un </w:t>
      </w:r>
      <w:r w:rsidR="008641DB">
        <w:t xml:space="preserve">candidat </w:t>
      </w:r>
      <w:r w:rsidR="00B51266">
        <w:t xml:space="preserve">tout désigné pour </w:t>
      </w:r>
      <w:r w:rsidR="007F0490">
        <w:t>occuper le</w:t>
      </w:r>
      <w:r w:rsidR="008641DB">
        <w:t xml:space="preserve"> poste de Directeur du Bureau des radiocommunications de l’UIT. Nous vous prions de trouver ci-joint </w:t>
      </w:r>
      <w:r w:rsidR="007F0490">
        <w:t>son</w:t>
      </w:r>
      <w:r w:rsidR="008641DB">
        <w:t xml:space="preserve"> curriculum vitae ainsi que </w:t>
      </w:r>
      <w:r w:rsidR="007F0490">
        <w:t>s</w:t>
      </w:r>
      <w:r w:rsidR="008641DB">
        <w:t>a déclaration d’intention.</w:t>
      </w:r>
    </w:p>
    <w:p w:rsidR="00123D89" w:rsidRDefault="00123D89" w:rsidP="00B51266">
      <w:r w:rsidRPr="00B91EF7">
        <w:t>L</w:t>
      </w:r>
      <w:r w:rsidR="00C8290A">
        <w:t>a</w:t>
      </w:r>
      <w:r w:rsidRPr="00B91EF7">
        <w:t xml:space="preserve"> Mission permanente de </w:t>
      </w:r>
      <w:r w:rsidR="00953FD7" w:rsidRPr="00B91EF7">
        <w:t xml:space="preserve">la République </w:t>
      </w:r>
      <w:r w:rsidR="00953FD7">
        <w:t>orientale d</w:t>
      </w:r>
      <w:r w:rsidR="00B51266">
        <w:t>e l</w:t>
      </w:r>
      <w:r w:rsidR="00953FD7">
        <w:t>’Uruguay</w:t>
      </w:r>
      <w:r w:rsidR="00953FD7" w:rsidRPr="00B91EF7">
        <w:t xml:space="preserve"> auprès de l</w:t>
      </w:r>
      <w:r w:rsidR="00953FD7">
        <w:t>'</w:t>
      </w:r>
      <w:r w:rsidR="00953FD7" w:rsidRPr="00B91EF7">
        <w:t xml:space="preserve">Office des Nations Unies et des autres organisations </w:t>
      </w:r>
      <w:r w:rsidR="00B51266">
        <w:t xml:space="preserve">internationales </w:t>
      </w:r>
      <w:r w:rsidR="00953FD7" w:rsidRPr="00B91EF7">
        <w:t>à G</w:t>
      </w:r>
      <w:r w:rsidR="00953FD7">
        <w:t>enève</w:t>
      </w:r>
      <w:r w:rsidR="00953FD7" w:rsidRPr="00B91EF7">
        <w:t xml:space="preserve"> </w:t>
      </w:r>
      <w:proofErr w:type="gramStart"/>
      <w:r w:rsidRPr="00B91EF7">
        <w:t>saisit</w:t>
      </w:r>
      <w:proofErr w:type="gramEnd"/>
      <w:r w:rsidRPr="00B91EF7">
        <w:t xml:space="preserve"> </w:t>
      </w:r>
      <w:r w:rsidR="00953FD7">
        <w:t>cette occasion pour renouveler au Secrétaire général de</w:t>
      </w:r>
      <w:r w:rsidRPr="00B91EF7">
        <w:t xml:space="preserve"> l</w:t>
      </w:r>
      <w:r w:rsidR="00E3516B">
        <w:t>'</w:t>
      </w:r>
      <w:r w:rsidRPr="00B91EF7">
        <w:t>Union internationale des télécommunications</w:t>
      </w:r>
      <w:r w:rsidR="00953FD7">
        <w:t>, M. Houlin Zhao,</w:t>
      </w:r>
      <w:r w:rsidRPr="00B91EF7">
        <w:t xml:space="preserve"> l</w:t>
      </w:r>
      <w:r w:rsidR="00E3516B">
        <w:t>'</w:t>
      </w:r>
      <w:r w:rsidRPr="00B91EF7">
        <w:t>assurance de sa très haute considération.</w:t>
      </w:r>
    </w:p>
    <w:p w:rsidR="00B51266" w:rsidRDefault="00B51266" w:rsidP="00B51266"/>
    <w:p w:rsidR="00B51266" w:rsidRDefault="00B51266" w:rsidP="00B51266"/>
    <w:p w:rsidR="00B51266" w:rsidRPr="00B91EF7" w:rsidRDefault="00B51266" w:rsidP="00B51266"/>
    <w:p w:rsidR="00E70011" w:rsidRDefault="00500768" w:rsidP="00B5126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noProof/>
          <w:lang w:val="fr-CH" w:eastAsia="zh-CN"/>
        </w:rPr>
      </w:pPr>
      <w:r w:rsidRPr="006D100A">
        <w:rPr>
          <w:rFonts w:asciiTheme="minorHAnsi" w:hAnsiTheme="minorHAnsi" w:cstheme="minorHAnsi"/>
          <w:noProof/>
          <w:lang w:val="fr-CH" w:eastAsia="zh-CN"/>
        </w:rPr>
        <w:t xml:space="preserve">Genève, le </w:t>
      </w:r>
      <w:r w:rsidR="00E70011" w:rsidRPr="006D100A">
        <w:rPr>
          <w:rFonts w:asciiTheme="minorHAnsi" w:hAnsiTheme="minorHAnsi" w:cstheme="minorHAnsi"/>
          <w:noProof/>
          <w:lang w:val="fr-CH" w:eastAsia="zh-CN"/>
        </w:rPr>
        <w:t>1</w:t>
      </w:r>
      <w:r w:rsidR="00FC154E">
        <w:rPr>
          <w:rFonts w:asciiTheme="minorHAnsi" w:hAnsiTheme="minorHAnsi" w:cstheme="minorHAnsi"/>
          <w:noProof/>
          <w:lang w:val="fr-CH" w:eastAsia="zh-CN"/>
        </w:rPr>
        <w:t>er</w:t>
      </w:r>
      <w:r w:rsidR="00E70011" w:rsidRPr="006D100A">
        <w:rPr>
          <w:rFonts w:asciiTheme="minorHAnsi" w:hAnsiTheme="minorHAnsi" w:cstheme="minorHAnsi"/>
          <w:noProof/>
          <w:lang w:val="fr-CH" w:eastAsia="zh-CN"/>
        </w:rPr>
        <w:t xml:space="preserve"> octobre </w:t>
      </w:r>
      <w:r w:rsidRPr="006D100A">
        <w:rPr>
          <w:rFonts w:asciiTheme="minorHAnsi" w:hAnsiTheme="minorHAnsi" w:cstheme="minorHAnsi"/>
          <w:noProof/>
          <w:lang w:val="fr-CH" w:eastAsia="zh-CN"/>
        </w:rPr>
        <w:t>201</w:t>
      </w:r>
      <w:r w:rsidR="00E70011" w:rsidRPr="006D100A">
        <w:rPr>
          <w:rFonts w:asciiTheme="minorHAnsi" w:hAnsiTheme="minorHAnsi" w:cstheme="minorHAnsi"/>
          <w:noProof/>
          <w:lang w:val="fr-CH" w:eastAsia="zh-CN"/>
        </w:rPr>
        <w:t>8</w:t>
      </w:r>
    </w:p>
    <w:p w:rsidR="007F0490" w:rsidRDefault="007F0490"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B51266" w:rsidRDefault="00B51266"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p>
    <w:p w:rsidR="007F0490" w:rsidRPr="00B51266" w:rsidRDefault="007F0490"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spacing w:val="-3"/>
          <w:lang w:val="fr-CH" w:eastAsia="zh-CN"/>
        </w:rPr>
      </w:pPr>
      <w:r w:rsidRPr="00B51266">
        <w:rPr>
          <w:rFonts w:asciiTheme="minorHAnsi" w:hAnsiTheme="minorHAnsi" w:cstheme="minorHAnsi"/>
          <w:noProof/>
          <w:spacing w:val="-3"/>
          <w:lang w:val="fr-CH" w:eastAsia="zh-CN"/>
        </w:rPr>
        <w:t>A l’intention du Secrétaire général de l’Union internatio</w:t>
      </w:r>
      <w:r w:rsidR="00B34C47" w:rsidRPr="00B51266">
        <w:rPr>
          <w:rFonts w:asciiTheme="minorHAnsi" w:hAnsiTheme="minorHAnsi" w:cstheme="minorHAnsi"/>
          <w:noProof/>
          <w:spacing w:val="-3"/>
          <w:lang w:val="fr-CH" w:eastAsia="zh-CN"/>
        </w:rPr>
        <w:t>nale des télécommunications, M. </w:t>
      </w:r>
      <w:r w:rsidR="00EE2231" w:rsidRPr="00B51266">
        <w:rPr>
          <w:rFonts w:asciiTheme="minorHAnsi" w:hAnsiTheme="minorHAnsi" w:cstheme="minorHAnsi"/>
          <w:noProof/>
          <w:spacing w:val="-3"/>
          <w:lang w:val="fr-CH" w:eastAsia="zh-CN"/>
        </w:rPr>
        <w:t>Houlin </w:t>
      </w:r>
      <w:r w:rsidRPr="00B51266">
        <w:rPr>
          <w:rFonts w:asciiTheme="minorHAnsi" w:hAnsiTheme="minorHAnsi" w:cstheme="minorHAnsi"/>
          <w:noProof/>
          <w:spacing w:val="-3"/>
          <w:lang w:val="fr-CH" w:eastAsia="zh-CN"/>
        </w:rPr>
        <w:t>Zhao</w:t>
      </w:r>
      <w:r w:rsidR="00B51266">
        <w:rPr>
          <w:rFonts w:asciiTheme="minorHAnsi" w:hAnsiTheme="minorHAnsi" w:cstheme="minorHAnsi"/>
          <w:noProof/>
          <w:spacing w:val="-3"/>
          <w:lang w:val="fr-CH" w:eastAsia="zh-CN"/>
        </w:rPr>
        <w:t>.</w:t>
      </w:r>
    </w:p>
    <w:p w:rsidR="007F0490" w:rsidRDefault="007F0490"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lang w:val="fr-CH" w:eastAsia="zh-CN"/>
        </w:rPr>
      </w:pPr>
      <w:r>
        <w:rPr>
          <w:rFonts w:asciiTheme="minorHAnsi" w:hAnsiTheme="minorHAnsi" w:cstheme="minorHAnsi"/>
          <w:noProof/>
          <w:lang w:val="fr-CH" w:eastAsia="zh-CN"/>
        </w:rPr>
        <w:t>Union internationale des télécommunications</w:t>
      </w:r>
    </w:p>
    <w:p w:rsidR="007F0490" w:rsidRPr="007F0490" w:rsidRDefault="007F0490" w:rsidP="00B5126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noProof/>
          <w:u w:val="single"/>
          <w:lang w:val="fr-CH" w:eastAsia="zh-CN"/>
        </w:rPr>
      </w:pPr>
      <w:r w:rsidRPr="007F0490">
        <w:rPr>
          <w:rFonts w:asciiTheme="minorHAnsi" w:hAnsiTheme="minorHAnsi" w:cstheme="minorHAnsi"/>
          <w:noProof/>
          <w:u w:val="single"/>
          <w:lang w:val="fr-CH" w:eastAsia="zh-CN"/>
        </w:rPr>
        <w:t>Genève</w:t>
      </w:r>
    </w:p>
    <w:p w:rsidR="005000E5" w:rsidRPr="006D100A" w:rsidRDefault="005000E5" w:rsidP="00E70011">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D100A">
        <w:rPr>
          <w:lang w:val="fr-CH"/>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6509"/>
      </w:tblGrid>
      <w:tr w:rsidR="00EC772A" w:rsidTr="00EC772A">
        <w:tc>
          <w:tcPr>
            <w:tcW w:w="3273" w:type="dxa"/>
          </w:tcPr>
          <w:p w:rsidR="00EC772A" w:rsidRDefault="00EC772A" w:rsidP="00EC772A">
            <w:pPr>
              <w:spacing w:before="0"/>
              <w:jc w:val="center"/>
              <w:rPr>
                <w:rFonts w:cs="Arial"/>
                <w:lang w:val="fr-CH"/>
              </w:rPr>
            </w:pPr>
            <w:r>
              <w:rPr>
                <w:rFonts w:cs="Arial"/>
                <w:noProof/>
                <w:lang w:val="en-GB" w:eastAsia="zh-CN"/>
              </w:rPr>
              <w:lastRenderedPageBreak/>
              <w:drawing>
                <wp:inline distT="0" distB="0" distL="0" distR="0" wp14:anchorId="31AA06A8" wp14:editId="62CE2057">
                  <wp:extent cx="1847215" cy="235331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2353310"/>
                          </a:xfrm>
                          <a:prstGeom prst="rect">
                            <a:avLst/>
                          </a:prstGeom>
                          <a:noFill/>
                        </pic:spPr>
                      </pic:pic>
                    </a:graphicData>
                  </a:graphic>
                </wp:inline>
              </w:drawing>
            </w:r>
          </w:p>
        </w:tc>
        <w:tc>
          <w:tcPr>
            <w:tcW w:w="6509" w:type="dxa"/>
            <w:vAlign w:val="center"/>
          </w:tcPr>
          <w:p w:rsidR="00EC772A" w:rsidRPr="00EC772A" w:rsidRDefault="00EC772A" w:rsidP="00EC772A">
            <w:pPr>
              <w:spacing w:after="240" w:line="276" w:lineRule="auto"/>
              <w:jc w:val="center"/>
              <w:rPr>
                <w:rFonts w:ascii="Cambria" w:eastAsia="SimSun" w:hAnsi="Cambria" w:cs="Arial"/>
                <w:b/>
                <w:bCs/>
                <w:color w:val="2E74B5"/>
                <w:sz w:val="48"/>
                <w:szCs w:val="48"/>
                <w:lang w:val="fr-CH"/>
              </w:rPr>
            </w:pPr>
            <w:r w:rsidRPr="00EC772A">
              <w:rPr>
                <w:rFonts w:ascii="Cambria" w:eastAsia="SimSun" w:hAnsi="Cambria" w:cs="Arial"/>
                <w:b/>
                <w:bCs/>
                <w:color w:val="2E74B5"/>
                <w:sz w:val="48"/>
                <w:szCs w:val="48"/>
                <w:lang w:val="fr-CH"/>
              </w:rPr>
              <w:t>Mario Maniewicz</w:t>
            </w:r>
          </w:p>
          <w:p w:rsidR="00EC772A" w:rsidRDefault="00EC772A" w:rsidP="00EC772A">
            <w:pPr>
              <w:spacing w:after="240"/>
              <w:jc w:val="center"/>
              <w:rPr>
                <w:rFonts w:cs="Arial"/>
                <w:lang w:val="fr-CH"/>
              </w:rPr>
            </w:pPr>
            <w:r w:rsidRPr="00EC772A">
              <w:rPr>
                <w:rFonts w:ascii="Cambria" w:eastAsia="SimSun" w:hAnsi="Cambria" w:cs="Arial"/>
                <w:color w:val="2E74B5"/>
                <w:sz w:val="48"/>
                <w:szCs w:val="48"/>
                <w:lang w:val="fr-CH"/>
              </w:rPr>
              <w:t xml:space="preserve">Candidat de l'Uruguay au poste de Directeur du Bureau des radiocommunications </w:t>
            </w:r>
            <w:r w:rsidRPr="00EC772A">
              <w:rPr>
                <w:rFonts w:ascii="Cambria" w:eastAsia="SimSun" w:hAnsi="Cambria" w:cs="Arial"/>
                <w:color w:val="2E74B5"/>
                <w:sz w:val="48"/>
                <w:szCs w:val="48"/>
                <w:lang w:val="fr-CH"/>
              </w:rPr>
              <w:br/>
              <w:t>de l'UIT 2019-2022</w:t>
            </w:r>
          </w:p>
        </w:tc>
      </w:tr>
    </w:tbl>
    <w:p w:rsidR="005000E5" w:rsidRPr="005000E5" w:rsidRDefault="005000E5" w:rsidP="005000E5">
      <w:pPr>
        <w:spacing w:before="240"/>
        <w:jc w:val="lowKashida"/>
        <w:rPr>
          <w:rFonts w:cs="Arial"/>
          <w:lang w:val="fr-CH"/>
        </w:rPr>
      </w:pPr>
      <w:r w:rsidRPr="005000E5">
        <w:rPr>
          <w:rFonts w:cs="Arial"/>
          <w:lang w:val="fr-CH"/>
        </w:rPr>
        <w:t>L</w:t>
      </w:r>
      <w:r w:rsidR="00E3516B">
        <w:rPr>
          <w:rFonts w:cs="Arial"/>
          <w:lang w:val="fr-CH"/>
        </w:rPr>
        <w:t>'</w:t>
      </w:r>
      <w:r w:rsidRPr="005000E5">
        <w:rPr>
          <w:rFonts w:cs="Arial"/>
          <w:lang w:val="fr-CH"/>
        </w:rPr>
        <w:t>engagement de Mario Maniewicz à l</w:t>
      </w:r>
      <w:r w:rsidR="00E3516B">
        <w:rPr>
          <w:rFonts w:cs="Arial"/>
          <w:lang w:val="fr-CH"/>
        </w:rPr>
        <w:t>'</w:t>
      </w:r>
      <w:r w:rsidRPr="005000E5">
        <w:rPr>
          <w:rFonts w:cs="Arial"/>
          <w:lang w:val="fr-CH"/>
        </w:rPr>
        <w:t>UIT a été apprécié pendant les 30 dernières années qu</w:t>
      </w:r>
      <w:r w:rsidR="00E3516B">
        <w:rPr>
          <w:rFonts w:cs="Arial"/>
          <w:lang w:val="fr-CH"/>
        </w:rPr>
        <w:t>'</w:t>
      </w:r>
      <w:r w:rsidRPr="005000E5">
        <w:rPr>
          <w:rFonts w:cs="Arial"/>
          <w:lang w:val="fr-CH"/>
        </w:rPr>
        <w:t>il a consacrées au service de cette institution</w:t>
      </w:r>
      <w:r>
        <w:rPr>
          <w:rFonts w:cs="Arial"/>
          <w:lang w:val="fr-CH"/>
        </w:rPr>
        <w:t>.</w:t>
      </w:r>
    </w:p>
    <w:p w:rsidR="005000E5" w:rsidRPr="00D9238B" w:rsidRDefault="00004418" w:rsidP="00004418">
      <w:pPr>
        <w:pStyle w:val="enumlev1"/>
        <w:rPr>
          <w:highlight w:val="yellow"/>
        </w:rPr>
      </w:pPr>
      <w:r>
        <w:t>•</w:t>
      </w:r>
      <w:r>
        <w:tab/>
      </w:r>
      <w:r w:rsidR="005000E5" w:rsidRPr="005000E5">
        <w:t>Il est actuellement le directeur adjoint du Bureau des radiocommunications (BR) de l</w:t>
      </w:r>
      <w:r w:rsidR="00E3516B">
        <w:t>'</w:t>
      </w:r>
      <w:r w:rsidR="005000E5" w:rsidRPr="005000E5">
        <w:t>UIT, ce qui le place dans la meilleure position pour appréhender ses divers rôles. Pendant les quatre dernières années, il a en particulier apporté son appui au Directeur ainsi qu</w:t>
      </w:r>
      <w:r w:rsidR="00E3516B">
        <w:t>'</w:t>
      </w:r>
      <w:r w:rsidR="005000E5" w:rsidRPr="005000E5">
        <w:t>aux Membres dans l</w:t>
      </w:r>
      <w:r w:rsidR="00E3516B">
        <w:t>'</w:t>
      </w:r>
      <w:r w:rsidR="005000E5" w:rsidRPr="005000E5">
        <w:t>accomplissement de la fonction essentielle de gestion du spectre de radiofréquences et des orbites satellitaires. Ayant collaboré avec toutes les administrations, il sera un acteur important dans le soutien de leurs efforts de transition à l</w:t>
      </w:r>
      <w:r w:rsidR="00E3516B">
        <w:t>'</w:t>
      </w:r>
      <w:r w:rsidR="005000E5" w:rsidRPr="005000E5">
        <w:t>économie numérique</w:t>
      </w:r>
      <w:r w:rsidR="005C15DF">
        <w:t>.</w:t>
      </w:r>
    </w:p>
    <w:p w:rsidR="005000E5" w:rsidRPr="00D9238B" w:rsidRDefault="00004418" w:rsidP="00EC772A">
      <w:pPr>
        <w:pStyle w:val="enumlev1"/>
        <w:spacing w:before="40"/>
        <w:rPr>
          <w:highlight w:val="yellow"/>
        </w:rPr>
      </w:pPr>
      <w:r>
        <w:t>•</w:t>
      </w:r>
      <w:r>
        <w:tab/>
      </w:r>
      <w:r w:rsidRPr="00004418">
        <w:t>M. Maniewicz a précédemment servi auprès du Bureau de développement des télécommunications (BDT) de l</w:t>
      </w:r>
      <w:r w:rsidR="00E3516B">
        <w:t>'</w:t>
      </w:r>
      <w:r w:rsidRPr="00004418">
        <w:t xml:space="preserve">UIT, ce qui lui a conféré une compréhension approfondie des besoins de toutes les nations. Eu égard à sa vaste expérience dans le renforcement des capacités, il </w:t>
      </w:r>
      <w:proofErr w:type="spellStart"/>
      <w:r w:rsidRPr="00004418">
        <w:t>oeuvrera</w:t>
      </w:r>
      <w:proofErr w:type="spellEnd"/>
      <w:r w:rsidRPr="00004418">
        <w:t xml:space="preserve"> à la promotion du développement des ressources humaines et assistera les pays en voie de développement à encourager la croissance des services de radiocommunication, ces derniers étant la force motrice derrière l</w:t>
      </w:r>
      <w:r w:rsidR="00E3516B">
        <w:t>'</w:t>
      </w:r>
      <w:r w:rsidRPr="00004418">
        <w:t>écosystème numérique.</w:t>
      </w:r>
    </w:p>
    <w:p w:rsidR="005000E5" w:rsidRPr="00D9238B" w:rsidRDefault="00004418" w:rsidP="00EC772A">
      <w:pPr>
        <w:pStyle w:val="enumlev1"/>
        <w:spacing w:before="40"/>
        <w:rPr>
          <w:rFonts w:cs="Arial"/>
          <w:highlight w:val="yellow"/>
        </w:rPr>
      </w:pPr>
      <w:r w:rsidRPr="00004418">
        <w:rPr>
          <w:rFonts w:cs="Arial"/>
        </w:rPr>
        <w:t>•</w:t>
      </w:r>
      <w:r>
        <w:rPr>
          <w:rFonts w:cs="Arial"/>
        </w:rPr>
        <w:tab/>
      </w:r>
      <w:r w:rsidRPr="00004418">
        <w:rPr>
          <w:rFonts w:cs="Arial"/>
        </w:rPr>
        <w:t>Dans le cadre de ses fonctions auprès des bureaux régionaux de l</w:t>
      </w:r>
      <w:r w:rsidR="00E3516B">
        <w:rPr>
          <w:rFonts w:cs="Arial"/>
        </w:rPr>
        <w:t>'</w:t>
      </w:r>
      <w:r w:rsidRPr="00004418">
        <w:rPr>
          <w:rFonts w:cs="Arial"/>
        </w:rPr>
        <w:t>UIT, il a collaboré étroitement avec les gouvernements, régulateurs et opérateurs afin de développer des stratégies, des politiques et des règlementations pour moderniser le secteur des télécommunications dans les pays latino-américains. En mettant sa capacité à favoriser la collaboration entre les différentes parties prenantes au service du BR, il veillera à ce que ce dernier soit capable de soutenir les acteurs pertinents dans leurs efforts pour réduire la fracture numérique.</w:t>
      </w:r>
    </w:p>
    <w:p w:rsidR="005000E5" w:rsidRPr="00D9238B" w:rsidRDefault="00004418" w:rsidP="00EC772A">
      <w:pPr>
        <w:pStyle w:val="enumlev1"/>
        <w:spacing w:before="40"/>
        <w:rPr>
          <w:highlight w:val="yellow"/>
        </w:rPr>
      </w:pPr>
      <w:r>
        <w:t>•</w:t>
      </w:r>
      <w:r>
        <w:tab/>
      </w:r>
      <w:r w:rsidRPr="00004418">
        <w:t>M. Maniewicz est ingénieur en électronique, spécialisé dans les télécommunications. Il a travaillé en tant que Professeur Assistant à la Faculté d</w:t>
      </w:r>
      <w:r w:rsidR="00E3516B">
        <w:t>'</w:t>
      </w:r>
      <w:r w:rsidRPr="00004418">
        <w:t>Ingénierie au sein de la plus prestigieuse université de l</w:t>
      </w:r>
      <w:r w:rsidR="00E3516B">
        <w:t>'</w:t>
      </w:r>
      <w:r w:rsidRPr="00004418">
        <w:t>Uruguay et a également été actif au sein du principal opérateur de télécommunications de ce pays. Ceci lui apporte la compétence technique et l</w:t>
      </w:r>
      <w:r w:rsidR="00E3516B">
        <w:t>'</w:t>
      </w:r>
      <w:r w:rsidRPr="00004418">
        <w:t>expérience nécessaire pour comprendre les développements technologiques actuels dans le secteur des radiocommunications, ainsi que les dispositions réglementaires relevant du mandat du BR.</w:t>
      </w:r>
    </w:p>
    <w:p w:rsidR="005C15DF" w:rsidRDefault="00004418" w:rsidP="0044453C">
      <w:pPr>
        <w:rPr>
          <w:lang w:val="fr-CH"/>
        </w:rPr>
      </w:pPr>
      <w:r w:rsidRPr="00004418">
        <w:rPr>
          <w:lang w:val="fr-CH"/>
        </w:rPr>
        <w:t>Mario Maniewicz dispose d</w:t>
      </w:r>
      <w:r w:rsidR="00E3516B">
        <w:rPr>
          <w:lang w:val="fr-CH"/>
        </w:rPr>
        <w:t>'</w:t>
      </w:r>
      <w:r w:rsidRPr="00004418">
        <w:rPr>
          <w:lang w:val="fr-CH"/>
        </w:rPr>
        <w:t>une connaissance approfondie de l</w:t>
      </w:r>
      <w:r w:rsidR="00E3516B">
        <w:rPr>
          <w:lang w:val="fr-CH"/>
        </w:rPr>
        <w:t>'</w:t>
      </w:r>
      <w:r w:rsidRPr="00004418">
        <w:rPr>
          <w:lang w:val="fr-CH"/>
        </w:rPr>
        <w:t>UIT, ainsi que d</w:t>
      </w:r>
      <w:r w:rsidR="00E3516B">
        <w:rPr>
          <w:lang w:val="fr-CH"/>
        </w:rPr>
        <w:t>'</w:t>
      </w:r>
      <w:r w:rsidRPr="00004418">
        <w:rPr>
          <w:lang w:val="fr-CH"/>
        </w:rPr>
        <w:t>une large expérience dans le secteur des télécommunications. Ayant travaillé au sein du BR, du BDT et des bureaux régionaux de l</w:t>
      </w:r>
      <w:r w:rsidR="00E3516B">
        <w:rPr>
          <w:lang w:val="fr-CH"/>
        </w:rPr>
        <w:t>'</w:t>
      </w:r>
      <w:r w:rsidRPr="00004418">
        <w:rPr>
          <w:lang w:val="fr-CH"/>
        </w:rPr>
        <w:t>UIT, il comprend l</w:t>
      </w:r>
      <w:r w:rsidR="00E3516B">
        <w:rPr>
          <w:lang w:val="fr-CH"/>
        </w:rPr>
        <w:t>'</w:t>
      </w:r>
      <w:r w:rsidRPr="00004418">
        <w:rPr>
          <w:lang w:val="fr-CH"/>
        </w:rPr>
        <w:t>environnement en pleine évolution des TIC ainsi que les divers défis inhérents au secteur. Il possède les compétences de direction et de gestion nécessaires pour assumer le poste de Directeur du BR et répondre aux attentes des États Membres, des Membres de Secteur et du monde académique</w:t>
      </w:r>
      <w:r w:rsidR="005C15DF">
        <w:rPr>
          <w:lang w:val="fr-CH"/>
        </w:rPr>
        <w:t>.</w:t>
      </w:r>
    </w:p>
    <w:p w:rsidR="005000E5" w:rsidRPr="00EC772A" w:rsidRDefault="00796705" w:rsidP="00DF09CA">
      <w:pPr>
        <w:jc w:val="center"/>
        <w:rPr>
          <w:rFonts w:ascii="Cambria" w:eastAsia="SimSun" w:hAnsi="Cambria" w:cs="Arial"/>
          <w:b/>
          <w:bCs/>
          <w:color w:val="2E74B5"/>
          <w:sz w:val="48"/>
          <w:szCs w:val="48"/>
          <w:lang w:val="fr-CH"/>
        </w:rPr>
      </w:pPr>
      <w:r w:rsidRPr="00EC772A">
        <w:rPr>
          <w:rFonts w:ascii="Cambria" w:eastAsia="SimSun" w:hAnsi="Cambria" w:cs="Arial"/>
          <w:b/>
          <w:bCs/>
          <w:color w:val="2E74B5"/>
          <w:sz w:val="48"/>
          <w:szCs w:val="48"/>
          <w:lang w:val="fr-CH"/>
        </w:rPr>
        <w:lastRenderedPageBreak/>
        <w:t>Parcours professionnel</w:t>
      </w:r>
    </w:p>
    <w:p w:rsidR="005000E5" w:rsidRPr="00EC772A" w:rsidRDefault="005000E5" w:rsidP="00DF09CA">
      <w:pPr>
        <w:rPr>
          <w:color w:val="800000"/>
          <w:sz w:val="22"/>
          <w:highlight w:val="yellow"/>
          <w:lang w:val="fr-CH"/>
        </w:rPr>
      </w:pPr>
      <w:r w:rsidRPr="00EC772A">
        <w:rPr>
          <w:lang w:val="fr-CH"/>
        </w:rPr>
        <w:t xml:space="preserve">Nationalité: </w:t>
      </w:r>
      <w:r w:rsidR="00ED59C0" w:rsidRPr="00EC772A">
        <w:rPr>
          <w:lang w:val="fr-CH"/>
        </w:rPr>
        <w:t>uruguayenne</w:t>
      </w:r>
    </w:p>
    <w:p w:rsidR="005000E5" w:rsidRPr="00ED59C0" w:rsidRDefault="005000E5" w:rsidP="00DF09CA">
      <w:pPr>
        <w:rPr>
          <w:lang w:val="fr-CH"/>
        </w:rPr>
      </w:pPr>
      <w:r w:rsidRPr="00ED59C0">
        <w:rPr>
          <w:lang w:val="fr-CH"/>
        </w:rPr>
        <w:t>Date de naissance: 13 novembre 1958</w:t>
      </w:r>
    </w:p>
    <w:p w:rsidR="005000E5" w:rsidRPr="00ED59C0" w:rsidRDefault="00ED59C0" w:rsidP="00DF09CA">
      <w:pPr>
        <w:rPr>
          <w:lang w:val="fr-CH"/>
        </w:rPr>
      </w:pPr>
      <w:r w:rsidRPr="00ED59C0">
        <w:rPr>
          <w:lang w:val="fr-CH"/>
        </w:rPr>
        <w:t>État civil:</w:t>
      </w:r>
      <w:r w:rsidR="005000E5" w:rsidRPr="00ED59C0">
        <w:rPr>
          <w:lang w:val="fr-CH"/>
        </w:rPr>
        <w:t xml:space="preserve"> mari</w:t>
      </w:r>
      <w:r w:rsidRPr="00ED59C0">
        <w:rPr>
          <w:lang w:val="fr-CH"/>
        </w:rPr>
        <w:t>é</w:t>
      </w:r>
      <w:r w:rsidR="005000E5" w:rsidRPr="00ED59C0">
        <w:rPr>
          <w:lang w:val="fr-CH"/>
        </w:rPr>
        <w:t xml:space="preserve">, </w:t>
      </w:r>
      <w:r>
        <w:rPr>
          <w:lang w:val="fr-CH"/>
        </w:rPr>
        <w:t>deux enfants</w:t>
      </w:r>
    </w:p>
    <w:p w:rsidR="005000E5" w:rsidRPr="00ED59C0" w:rsidRDefault="005000E5" w:rsidP="00DF09CA">
      <w:pPr>
        <w:rPr>
          <w:lang w:val="fr-CH"/>
        </w:rPr>
      </w:pPr>
      <w:r w:rsidRPr="00ED59C0">
        <w:rPr>
          <w:lang w:val="fr-CH"/>
        </w:rPr>
        <w:t xml:space="preserve">Langues: </w:t>
      </w:r>
      <w:r w:rsidR="00ED59C0" w:rsidRPr="00ED59C0">
        <w:rPr>
          <w:lang w:val="fr-CH"/>
        </w:rPr>
        <w:t>Espagnol</w:t>
      </w:r>
      <w:r w:rsidRPr="00ED59C0">
        <w:rPr>
          <w:lang w:val="fr-CH"/>
        </w:rPr>
        <w:t xml:space="preserve">, </w:t>
      </w:r>
      <w:r w:rsidR="00ED59C0">
        <w:rPr>
          <w:lang w:val="fr-CH"/>
        </w:rPr>
        <w:t>Anglais</w:t>
      </w:r>
      <w:r w:rsidRPr="00ED59C0">
        <w:rPr>
          <w:lang w:val="fr-CH"/>
        </w:rPr>
        <w:t xml:space="preserve">, </w:t>
      </w:r>
      <w:r w:rsidR="00ED59C0">
        <w:rPr>
          <w:lang w:val="fr-CH"/>
        </w:rPr>
        <w:t>Français et Portugais</w:t>
      </w:r>
    </w:p>
    <w:p w:rsidR="005000E5" w:rsidRPr="00EC772A" w:rsidRDefault="00ED59C0" w:rsidP="00DF09CA">
      <w:pPr>
        <w:pStyle w:val="Heading1"/>
        <w:rPr>
          <w:rFonts w:ascii="Cambria" w:eastAsia="SimSun" w:hAnsi="Cambria" w:cs="Arial"/>
          <w:bCs/>
          <w:color w:val="2E74B5"/>
          <w:szCs w:val="28"/>
          <w:lang w:val="fr-CH"/>
        </w:rPr>
      </w:pPr>
      <w:r w:rsidRPr="00EC772A">
        <w:rPr>
          <w:rFonts w:ascii="Cambria" w:eastAsia="SimSun" w:hAnsi="Cambria" w:cs="Arial"/>
          <w:bCs/>
          <w:color w:val="2E74B5"/>
          <w:szCs w:val="28"/>
          <w:lang w:val="fr-CH"/>
        </w:rPr>
        <w:t>ÉDUCATION</w:t>
      </w:r>
    </w:p>
    <w:p w:rsidR="005000E5" w:rsidRPr="00ED59C0" w:rsidRDefault="00ED59C0" w:rsidP="00DF09CA">
      <w:pPr>
        <w:pStyle w:val="enumlev1"/>
        <w:rPr>
          <w:highlight w:val="yellow"/>
          <w:lang w:val="fr-CH" w:eastAsia="zh-CN"/>
        </w:rPr>
      </w:pPr>
      <w:r w:rsidRPr="00ED59C0">
        <w:rPr>
          <w:lang w:val="fr-CH" w:eastAsia="zh-CN"/>
        </w:rPr>
        <w:t>•</w:t>
      </w:r>
      <w:r>
        <w:rPr>
          <w:lang w:val="fr-CH" w:eastAsia="zh-CN"/>
        </w:rPr>
        <w:tab/>
      </w:r>
      <w:r w:rsidRPr="00ED59C0">
        <w:rPr>
          <w:lang w:val="fr-CH" w:eastAsia="zh-CN"/>
        </w:rPr>
        <w:t>Ingénieur en électronique spécialisé dans les télécommunications, diplômé de l</w:t>
      </w:r>
      <w:r w:rsidR="00E3516B">
        <w:rPr>
          <w:lang w:val="fr-CH" w:eastAsia="zh-CN"/>
        </w:rPr>
        <w:t>'</w:t>
      </w:r>
      <w:proofErr w:type="spellStart"/>
      <w:r w:rsidRPr="00ED59C0">
        <w:rPr>
          <w:lang w:val="fr-CH" w:eastAsia="zh-CN"/>
        </w:rPr>
        <w:t>Universidad</w:t>
      </w:r>
      <w:proofErr w:type="spellEnd"/>
      <w:r w:rsidRPr="00ED59C0">
        <w:rPr>
          <w:lang w:val="fr-CH" w:eastAsia="zh-CN"/>
        </w:rPr>
        <w:t xml:space="preserve"> de la República – Montevideo, Uruguay (1984)</w:t>
      </w:r>
    </w:p>
    <w:p w:rsidR="005000E5" w:rsidRPr="00EC772A" w:rsidRDefault="00ED59C0" w:rsidP="00DF09CA">
      <w:pPr>
        <w:pStyle w:val="Heading1"/>
        <w:rPr>
          <w:rFonts w:ascii="Cambria" w:eastAsia="SimSun" w:hAnsi="Cambria" w:cs="Arial"/>
          <w:bCs/>
          <w:color w:val="2E74B5"/>
          <w:szCs w:val="28"/>
          <w:lang w:val="fr-CH"/>
        </w:rPr>
      </w:pPr>
      <w:r w:rsidRPr="00EC772A">
        <w:rPr>
          <w:rFonts w:ascii="Cambria" w:eastAsia="SimSun" w:hAnsi="Cambria" w:cs="Arial"/>
          <w:bCs/>
          <w:color w:val="2E74B5"/>
          <w:szCs w:val="28"/>
          <w:lang w:val="fr-CH"/>
        </w:rPr>
        <w:t>ACTIVITÉS ET ACCOMPLISSEMENTS PROFESSIONNELS</w:t>
      </w:r>
    </w:p>
    <w:p w:rsidR="005000E5" w:rsidRPr="00ED59C0" w:rsidRDefault="00ED59C0" w:rsidP="00DF09CA">
      <w:pPr>
        <w:pStyle w:val="Heading2"/>
        <w:rPr>
          <w:highlight w:val="yellow"/>
          <w:lang w:val="fr-CH"/>
        </w:rPr>
      </w:pPr>
      <w:r w:rsidRPr="00ED59C0">
        <w:rPr>
          <w:lang w:val="fr-CH"/>
        </w:rPr>
        <w:t>Union internationale des télécommunications (1988</w:t>
      </w:r>
      <w:r w:rsidR="00796705">
        <w:rPr>
          <w:lang w:val="fr-CH"/>
        </w:rPr>
        <w:t>-</w:t>
      </w:r>
      <w:r w:rsidRPr="00ED59C0">
        <w:rPr>
          <w:lang w:val="fr-CH"/>
        </w:rPr>
        <w:t>aujourd</w:t>
      </w:r>
      <w:r w:rsidR="00E3516B">
        <w:rPr>
          <w:lang w:val="fr-CH"/>
        </w:rPr>
        <w:t>'</w:t>
      </w:r>
      <w:r w:rsidRPr="00ED59C0">
        <w:rPr>
          <w:lang w:val="fr-CH"/>
        </w:rPr>
        <w:t>hui)</w:t>
      </w:r>
    </w:p>
    <w:p w:rsidR="005000E5" w:rsidRPr="00ED59C0" w:rsidRDefault="00ED59C0" w:rsidP="00DF09CA">
      <w:pPr>
        <w:rPr>
          <w:highlight w:val="yellow"/>
          <w:lang w:val="fr-CH"/>
        </w:rPr>
      </w:pPr>
      <w:r w:rsidRPr="00ED59C0">
        <w:rPr>
          <w:lang w:val="fr-CH"/>
        </w:rPr>
        <w:t>Directeur adjoint du Bureau des radiocommunications (depuis 2014)</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Assiste le Directeur du BR, les États Membres, les Membres de Secteur, les Associés et les acteurs académiques dans la fonction essentielle de gestion du spectre de radiofréquences et des orbites satellitaires.</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Occupe la tête du département de l</w:t>
      </w:r>
      <w:r w:rsidR="00E3516B">
        <w:rPr>
          <w:lang w:val="fr-CH" w:eastAsia="zh-CN"/>
        </w:rPr>
        <w:t>'</w:t>
      </w:r>
      <w:r w:rsidRPr="00796705">
        <w:rPr>
          <w:lang w:val="fr-CH" w:eastAsia="zh-CN"/>
        </w:rPr>
        <w:t>Informatique, Administration and Publications.</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Fut l</w:t>
      </w:r>
      <w:r w:rsidR="00E3516B">
        <w:rPr>
          <w:lang w:val="fr-CH" w:eastAsia="zh-CN"/>
        </w:rPr>
        <w:t>'</w:t>
      </w:r>
      <w:r w:rsidRPr="00796705">
        <w:rPr>
          <w:lang w:val="fr-CH" w:eastAsia="zh-CN"/>
        </w:rPr>
        <w:t xml:space="preserve">organisateur général de la Conférence Mondiale </w:t>
      </w:r>
      <w:r>
        <w:rPr>
          <w:lang w:val="fr-CH" w:eastAsia="zh-CN"/>
        </w:rPr>
        <w:t xml:space="preserve">de Télécommunications 2015 </w:t>
      </w:r>
      <w:r>
        <w:rPr>
          <w:lang w:val="fr-CH" w:eastAsia="zh-CN"/>
        </w:rPr>
        <w:br/>
        <w:t>(CMR</w:t>
      </w:r>
      <w:r w:rsidRPr="00796705">
        <w:rPr>
          <w:lang w:val="fr-CH" w:eastAsia="zh-CN"/>
        </w:rPr>
        <w:t>–15)</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Joua un rôle clef dans la CMR-15 en tant que secrétaire exécutif de la conférence</w:t>
      </w:r>
    </w:p>
    <w:p w:rsidR="005000E5" w:rsidRPr="00ED59C0" w:rsidRDefault="00ED59C0" w:rsidP="00DF09CA">
      <w:pPr>
        <w:pStyle w:val="Headingb"/>
        <w:ind w:left="0" w:firstLine="0"/>
        <w:rPr>
          <w:highlight w:val="yellow"/>
          <w:lang w:val="fr-CH"/>
        </w:rPr>
      </w:pPr>
      <w:r w:rsidRPr="00ED59C0">
        <w:rPr>
          <w:lang w:val="fr-CH"/>
        </w:rPr>
        <w:t xml:space="preserve">Chef du </w:t>
      </w:r>
      <w:r w:rsidRPr="00123D89">
        <w:t>département</w:t>
      </w:r>
      <w:r w:rsidRPr="00ED59C0">
        <w:rPr>
          <w:lang w:val="fr-CH"/>
        </w:rPr>
        <w:t xml:space="preserve"> des Infrastructures, de l</w:t>
      </w:r>
      <w:r w:rsidR="00E3516B">
        <w:rPr>
          <w:lang w:val="fr-CH"/>
        </w:rPr>
        <w:t>'</w:t>
      </w:r>
      <w:r w:rsidRPr="00ED59C0">
        <w:rPr>
          <w:lang w:val="fr-CH"/>
        </w:rPr>
        <w:t>environnement propice</w:t>
      </w:r>
      <w:r>
        <w:rPr>
          <w:lang w:val="fr-CH"/>
        </w:rPr>
        <w:t xml:space="preserve"> </w:t>
      </w:r>
      <w:r w:rsidRPr="00ED59C0">
        <w:rPr>
          <w:lang w:val="fr-CH"/>
        </w:rPr>
        <w:t>et des cyber-applications (2011</w:t>
      </w:r>
      <w:r w:rsidR="00796705">
        <w:rPr>
          <w:lang w:val="fr-CH"/>
        </w:rPr>
        <w:t>-</w:t>
      </w:r>
      <w:r w:rsidRPr="00ED59C0">
        <w:rPr>
          <w:lang w:val="fr-CH"/>
        </w:rPr>
        <w:t>2014)</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Dirigea les efforts pour assister les pays en voie de développement à réduire la fracture numérique en promouvant l</w:t>
      </w:r>
      <w:r w:rsidR="00E3516B">
        <w:rPr>
          <w:lang w:val="fr-CH" w:eastAsia="zh-CN"/>
        </w:rPr>
        <w:t>'</w:t>
      </w:r>
      <w:r w:rsidRPr="00796705">
        <w:rPr>
          <w:lang w:val="fr-CH" w:eastAsia="zh-CN"/>
        </w:rPr>
        <w:t>utilisation de réseaux, services et applications basées sur les TIC, tout en assurant l</w:t>
      </w:r>
      <w:r w:rsidR="00E3516B">
        <w:rPr>
          <w:lang w:val="fr-CH" w:eastAsia="zh-CN"/>
        </w:rPr>
        <w:t>'</w:t>
      </w:r>
      <w:r w:rsidRPr="00796705">
        <w:rPr>
          <w:lang w:val="fr-CH" w:eastAsia="zh-CN"/>
        </w:rPr>
        <w:t>utilisation de technologies appropriées pour construire ou étendre leur infrastructure d</w:t>
      </w:r>
      <w:r w:rsidR="00E3516B">
        <w:rPr>
          <w:lang w:val="fr-CH" w:eastAsia="zh-CN"/>
        </w:rPr>
        <w:t>'</w:t>
      </w:r>
      <w:r w:rsidRPr="00796705">
        <w:rPr>
          <w:lang w:val="fr-CH" w:eastAsia="zh-CN"/>
        </w:rPr>
        <w:t>information et communication, ainsi que s</w:t>
      </w:r>
      <w:r w:rsidR="00E3516B">
        <w:rPr>
          <w:lang w:val="fr-CH" w:eastAsia="zh-CN"/>
        </w:rPr>
        <w:t>'</w:t>
      </w:r>
      <w:r w:rsidRPr="00796705">
        <w:rPr>
          <w:lang w:val="fr-CH" w:eastAsia="zh-CN"/>
        </w:rPr>
        <w:t>adapter les rapides évolutions du secteur et des TIC.</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Pilota des activités visant à fournir des lignes directrices et des outils pour le développement de politiques globales et de cadres règlementaires, de politiques de financement et de stratégies de développement. Celles-ci inclurent le déploiement généralisé de réseau à haut débit, la transition de la radiodiffusion analogue à digitale, la gestion et le contrôle de spectre, ainsi que d</w:t>
      </w:r>
      <w:r w:rsidR="00E3516B">
        <w:rPr>
          <w:lang w:val="fr-CH" w:eastAsia="zh-CN"/>
        </w:rPr>
        <w:t>'</w:t>
      </w:r>
      <w:r w:rsidRPr="00796705">
        <w:rPr>
          <w:lang w:val="fr-CH" w:eastAsia="zh-CN"/>
        </w:rPr>
        <w:t>autres domaines de développement des TIC tels que le déploiement de réseaux de télécommunication et l</w:t>
      </w:r>
      <w:r w:rsidR="00E3516B">
        <w:rPr>
          <w:lang w:val="fr-CH" w:eastAsia="zh-CN"/>
        </w:rPr>
        <w:t>'</w:t>
      </w:r>
      <w:r w:rsidRPr="00796705">
        <w:rPr>
          <w:lang w:val="fr-CH" w:eastAsia="zh-CN"/>
        </w:rPr>
        <w:t>utilisation d</w:t>
      </w:r>
      <w:r w:rsidR="00E3516B">
        <w:rPr>
          <w:lang w:val="fr-CH" w:eastAsia="zh-CN"/>
        </w:rPr>
        <w:t>'</w:t>
      </w:r>
      <w:r w:rsidRPr="00796705">
        <w:rPr>
          <w:lang w:val="fr-CH" w:eastAsia="zh-CN"/>
        </w:rPr>
        <w:t>applications TIC fiables et abordables, tout en renforçant la cyber-sécurité.</w:t>
      </w:r>
    </w:p>
    <w:p w:rsidR="005000E5" w:rsidRPr="00796705" w:rsidRDefault="00796705" w:rsidP="00DF09CA">
      <w:pPr>
        <w:pStyle w:val="enumlev1"/>
        <w:keepNext/>
        <w:keepLines/>
        <w:rPr>
          <w:highlight w:val="yellow"/>
          <w:lang w:val="fr-CH" w:eastAsia="zh-CN"/>
        </w:rPr>
      </w:pPr>
      <w:r w:rsidRPr="00796705">
        <w:rPr>
          <w:lang w:val="fr-CH" w:eastAsia="zh-CN"/>
        </w:rPr>
        <w:lastRenderedPageBreak/>
        <w:t>•</w:t>
      </w:r>
      <w:r w:rsidRPr="00796705">
        <w:rPr>
          <w:lang w:val="fr-CH" w:eastAsia="zh-CN"/>
        </w:rPr>
        <w:tab/>
        <w:t>Promut l</w:t>
      </w:r>
      <w:r w:rsidR="00E3516B">
        <w:rPr>
          <w:lang w:val="fr-CH" w:eastAsia="zh-CN"/>
        </w:rPr>
        <w:t>'</w:t>
      </w:r>
      <w:r w:rsidRPr="00796705">
        <w:rPr>
          <w:lang w:val="fr-CH" w:eastAsia="zh-CN"/>
        </w:rPr>
        <w:t>accès et l</w:t>
      </w:r>
      <w:r w:rsidR="00E3516B">
        <w:rPr>
          <w:lang w:val="fr-CH" w:eastAsia="zh-CN"/>
        </w:rPr>
        <w:t>'</w:t>
      </w:r>
      <w:r w:rsidRPr="00796705">
        <w:rPr>
          <w:lang w:val="fr-CH" w:eastAsia="zh-CN"/>
        </w:rPr>
        <w:t>utilisation de télécommunications et des TIC pour des groupes dont l</w:t>
      </w:r>
      <w:r w:rsidR="00E3516B">
        <w:rPr>
          <w:lang w:val="fr-CH" w:eastAsia="zh-CN"/>
        </w:rPr>
        <w:t>'</w:t>
      </w:r>
      <w:r w:rsidRPr="00796705">
        <w:rPr>
          <w:lang w:val="fr-CH" w:eastAsia="zh-CN"/>
        </w:rPr>
        <w:t>accès aux services TIC a été marginalisé, incluant les femmes, les jeunes, les peuples indigènes, les personnes handicapées et les personnes vivant dans des communautés rurales ou isolées.</w:t>
      </w:r>
    </w:p>
    <w:p w:rsidR="005000E5" w:rsidRPr="00ED59C0" w:rsidRDefault="00ED59C0" w:rsidP="00DF09CA">
      <w:pPr>
        <w:rPr>
          <w:highlight w:val="yellow"/>
          <w:lang w:val="fr-CH"/>
        </w:rPr>
      </w:pPr>
      <w:r w:rsidRPr="00ED59C0">
        <w:rPr>
          <w:lang w:val="fr-CH"/>
        </w:rPr>
        <w:t>Chef du département des Politiques et Stratégies (2007</w:t>
      </w:r>
      <w:r w:rsidR="00796705">
        <w:rPr>
          <w:lang w:val="fr-CH"/>
        </w:rPr>
        <w:t>-</w:t>
      </w:r>
      <w:r w:rsidRPr="00ED59C0">
        <w:rPr>
          <w:lang w:val="fr-CH"/>
        </w:rPr>
        <w:t>2011)</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Dirigea le développement de politiques en matière de télécommunications et de TIC, ainsi que des règlementations pour assister les pays en voie de développement à attirer l</w:t>
      </w:r>
      <w:r w:rsidR="00E3516B">
        <w:rPr>
          <w:lang w:val="fr-CH" w:eastAsia="zh-CN"/>
        </w:rPr>
        <w:t>'</w:t>
      </w:r>
      <w:r w:rsidRPr="00796705">
        <w:rPr>
          <w:lang w:val="fr-CH" w:eastAsia="zh-CN"/>
        </w:rPr>
        <w:t>investissement et à renforcer leurs réseaux et services.</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Responsable de l</w:t>
      </w:r>
      <w:r w:rsidR="00E3516B">
        <w:rPr>
          <w:lang w:val="fr-CH" w:eastAsia="zh-CN"/>
        </w:rPr>
        <w:t>'</w:t>
      </w:r>
      <w:r w:rsidRPr="00796705">
        <w:rPr>
          <w:lang w:val="fr-CH" w:eastAsia="zh-CN"/>
        </w:rPr>
        <w:t>organisation du Colloque mondial des régulateurs, il a assuré l</w:t>
      </w:r>
      <w:r w:rsidR="00E3516B">
        <w:rPr>
          <w:lang w:val="fr-CH" w:eastAsia="zh-CN"/>
        </w:rPr>
        <w:t>'</w:t>
      </w:r>
      <w:r w:rsidRPr="00796705">
        <w:rPr>
          <w:lang w:val="fr-CH" w:eastAsia="zh-CN"/>
        </w:rPr>
        <w:t>augmentation de l</w:t>
      </w:r>
      <w:r w:rsidR="00E3516B">
        <w:rPr>
          <w:lang w:val="fr-CH" w:eastAsia="zh-CN"/>
        </w:rPr>
        <w:t>'</w:t>
      </w:r>
      <w:r w:rsidRPr="00796705">
        <w:rPr>
          <w:lang w:val="fr-CH" w:eastAsia="zh-CN"/>
        </w:rPr>
        <w:t>attractivité dudit événement en y incorporant les réunions des cadres dirigeants du secteur privé ainsi que celle des associations régionales de régulateurs.</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Dirigea d</w:t>
      </w:r>
      <w:r w:rsidR="00E3516B">
        <w:rPr>
          <w:lang w:val="fr-CH" w:eastAsia="zh-CN"/>
        </w:rPr>
        <w:t>'</w:t>
      </w:r>
      <w:r w:rsidRPr="00796705">
        <w:rPr>
          <w:lang w:val="fr-CH" w:eastAsia="zh-CN"/>
        </w:rPr>
        <w:t>autres activités dans le domaine des politiques et de réglementation, ainsi qu</w:t>
      </w:r>
      <w:r w:rsidR="00E3516B">
        <w:rPr>
          <w:lang w:val="fr-CH" w:eastAsia="zh-CN"/>
        </w:rPr>
        <w:t>'</w:t>
      </w:r>
      <w:r w:rsidRPr="00796705">
        <w:rPr>
          <w:lang w:val="fr-CH" w:eastAsia="zh-CN"/>
        </w:rPr>
        <w:t>en lien avec la collecte et l</w:t>
      </w:r>
      <w:r w:rsidR="00E3516B">
        <w:rPr>
          <w:lang w:val="fr-CH" w:eastAsia="zh-CN"/>
        </w:rPr>
        <w:t>'</w:t>
      </w:r>
      <w:r w:rsidRPr="00796705">
        <w:rPr>
          <w:lang w:val="fr-CH" w:eastAsia="zh-CN"/>
        </w:rPr>
        <w:t>analyse de données statistiques concernant les TIC, le développement d</w:t>
      </w:r>
      <w:r w:rsidR="00E3516B">
        <w:rPr>
          <w:lang w:val="fr-CH" w:eastAsia="zh-CN"/>
        </w:rPr>
        <w:t>'</w:t>
      </w:r>
      <w:r w:rsidRPr="00796705">
        <w:rPr>
          <w:lang w:val="fr-CH" w:eastAsia="zh-CN"/>
        </w:rPr>
        <w:t>internet et de réseaux IP, et le développement des ressources humaines.</w:t>
      </w:r>
    </w:p>
    <w:p w:rsidR="005000E5" w:rsidRPr="00ED59C0" w:rsidRDefault="00ED59C0" w:rsidP="00DF09CA">
      <w:pPr>
        <w:rPr>
          <w:highlight w:val="yellow"/>
          <w:lang w:val="fr-CH"/>
        </w:rPr>
      </w:pPr>
      <w:r w:rsidRPr="00ED59C0">
        <w:rPr>
          <w:lang w:val="fr-CH"/>
        </w:rPr>
        <w:t>Chef de la division du développement des ressources humaines (2000</w:t>
      </w:r>
      <w:r w:rsidR="00796705">
        <w:rPr>
          <w:lang w:val="fr-CH"/>
        </w:rPr>
        <w:t>-</w:t>
      </w:r>
      <w:r w:rsidRPr="00ED59C0">
        <w:rPr>
          <w:lang w:val="fr-CH"/>
        </w:rPr>
        <w:t>2007)</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Conçut des stratégies et mis en œuvre des projets ayant trait à la formation, la gestion et le développement des ressources humaines, ainsi que le développement organisationnel et de cadres dirigeants en télécommunications</w:t>
      </w:r>
      <w:r>
        <w:rPr>
          <w:lang w:val="fr-CH" w:eastAsia="zh-CN"/>
        </w:rPr>
        <w:t>.</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Assista les gouvernements, régulateurs et opérateurs de pays en voie de développement dans la définition de leurs stratégies et politiques organisationnelles et de direction, l</w:t>
      </w:r>
      <w:r w:rsidR="00E3516B">
        <w:rPr>
          <w:lang w:val="fr-CH" w:eastAsia="zh-CN"/>
        </w:rPr>
        <w:t>'</w:t>
      </w:r>
      <w:r w:rsidRPr="00796705">
        <w:rPr>
          <w:lang w:val="fr-CH" w:eastAsia="zh-CN"/>
        </w:rPr>
        <w:t>identification de leurs besoins en matière de ressources humaines et de développement organisationnel, incluant la formation de cadres dirigeants de haut niveau dans les techniques de gestion moderne et les aspects relatifs à la transformation compétitive.</w:t>
      </w:r>
    </w:p>
    <w:p w:rsidR="005000E5" w:rsidRPr="00ED59C0" w:rsidRDefault="00ED59C0" w:rsidP="00DF09CA">
      <w:pPr>
        <w:rPr>
          <w:highlight w:val="yellow"/>
          <w:lang w:val="fr-CH"/>
        </w:rPr>
      </w:pPr>
      <w:r w:rsidRPr="00ED59C0">
        <w:rPr>
          <w:lang w:val="fr-CH"/>
        </w:rPr>
        <w:t>Administrateur régional, bureau régional du Brésil (1993</w:t>
      </w:r>
      <w:r w:rsidR="00796705">
        <w:rPr>
          <w:lang w:val="fr-CH"/>
        </w:rPr>
        <w:t>-</w:t>
      </w:r>
      <w:r w:rsidRPr="00ED59C0">
        <w:rPr>
          <w:lang w:val="fr-CH"/>
        </w:rPr>
        <w:t>2000)</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Géra des projets dans divers domaines, tels que le développement de télécommunications en milieu rural, la gestion et le contrôle de fréquences, la transformation du secteur de télécommunications, le renforcement d</w:t>
      </w:r>
      <w:r w:rsidR="00E3516B">
        <w:rPr>
          <w:lang w:val="fr-CH" w:eastAsia="zh-CN"/>
        </w:rPr>
        <w:t>'</w:t>
      </w:r>
      <w:r w:rsidRPr="00796705">
        <w:rPr>
          <w:lang w:val="fr-CH" w:eastAsia="zh-CN"/>
        </w:rPr>
        <w:t>agences de règlementation et la transformation d</w:t>
      </w:r>
      <w:r w:rsidR="00E3516B">
        <w:rPr>
          <w:lang w:val="fr-CH" w:eastAsia="zh-CN"/>
        </w:rPr>
        <w:t>'</w:t>
      </w:r>
      <w:r w:rsidRPr="00796705">
        <w:rPr>
          <w:lang w:val="fr-CH" w:eastAsia="zh-CN"/>
        </w:rPr>
        <w:t>opérateurs de télécommunications, parmi d</w:t>
      </w:r>
      <w:r w:rsidR="00E3516B">
        <w:rPr>
          <w:lang w:val="fr-CH" w:eastAsia="zh-CN"/>
        </w:rPr>
        <w:t>'</w:t>
      </w:r>
      <w:r w:rsidRPr="00796705">
        <w:rPr>
          <w:lang w:val="fr-CH" w:eastAsia="zh-CN"/>
        </w:rPr>
        <w:t>autres.</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Joua un rôle clef dans la définition de politiques et de cadres règlementaires pour l</w:t>
      </w:r>
      <w:r w:rsidR="00E3516B">
        <w:rPr>
          <w:lang w:val="fr-CH" w:eastAsia="zh-CN"/>
        </w:rPr>
        <w:t>'</w:t>
      </w:r>
      <w:r w:rsidRPr="00796705">
        <w:rPr>
          <w:lang w:val="fr-CH" w:eastAsia="zh-CN"/>
        </w:rPr>
        <w:t>ouverture du secteur de télécommunications à la concurrence dans la région des Amériques.</w:t>
      </w:r>
    </w:p>
    <w:p w:rsidR="005000E5" w:rsidRPr="00ED59C0" w:rsidRDefault="00ED59C0" w:rsidP="00DF09CA">
      <w:pPr>
        <w:rPr>
          <w:highlight w:val="yellow"/>
          <w:lang w:val="fr-CH"/>
        </w:rPr>
      </w:pPr>
      <w:r w:rsidRPr="00ED59C0">
        <w:rPr>
          <w:lang w:val="fr-CH"/>
        </w:rPr>
        <w:t>Administrateur régional, bureau de zone du Chili (1990</w:t>
      </w:r>
      <w:r w:rsidR="00796705">
        <w:rPr>
          <w:lang w:val="fr-CH"/>
        </w:rPr>
        <w:t>-</w:t>
      </w:r>
      <w:r w:rsidRPr="00ED59C0">
        <w:rPr>
          <w:lang w:val="fr-CH"/>
        </w:rPr>
        <w:t>1993)</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Géra divers projets visant la modernisation et la réorganisation d</w:t>
      </w:r>
      <w:r w:rsidR="00E3516B">
        <w:rPr>
          <w:lang w:val="fr-CH" w:eastAsia="zh-CN"/>
        </w:rPr>
        <w:t>'</w:t>
      </w:r>
      <w:r w:rsidRPr="00796705">
        <w:rPr>
          <w:lang w:val="fr-CH" w:eastAsia="zh-CN"/>
        </w:rPr>
        <w:t>opérateurs historiques de télécommunications dans la région Amériques.</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Répondit aux besoins de développement sectoriel des pays de la région.</w:t>
      </w:r>
    </w:p>
    <w:p w:rsidR="005000E5" w:rsidRPr="00ED59C0" w:rsidRDefault="00ED59C0" w:rsidP="00DF09CA">
      <w:pPr>
        <w:rPr>
          <w:highlight w:val="yellow"/>
          <w:lang w:val="fr-CH"/>
        </w:rPr>
      </w:pPr>
      <w:r w:rsidRPr="00ED59C0">
        <w:rPr>
          <w:lang w:val="fr-CH"/>
        </w:rPr>
        <w:t>Expert régional, bureau hors siège du Pérou (1988</w:t>
      </w:r>
      <w:r w:rsidR="00796705">
        <w:rPr>
          <w:lang w:val="fr-CH"/>
        </w:rPr>
        <w:t>-</w:t>
      </w:r>
      <w:r w:rsidRPr="00ED59C0">
        <w:rPr>
          <w:lang w:val="fr-CH"/>
        </w:rPr>
        <w:t>1990)</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Assista les opérateurs et régulateurs dans le développement et la mise en œuvre de méthodologies pour la production et l</w:t>
      </w:r>
      <w:r w:rsidR="00E3516B">
        <w:rPr>
          <w:lang w:val="fr-CH" w:eastAsia="zh-CN"/>
        </w:rPr>
        <w:t>'</w:t>
      </w:r>
      <w:r w:rsidRPr="00796705">
        <w:rPr>
          <w:lang w:val="fr-CH" w:eastAsia="zh-CN"/>
        </w:rPr>
        <w:t>exécution de formations modulaires concernant les télécommunications.</w:t>
      </w:r>
    </w:p>
    <w:p w:rsidR="005000E5" w:rsidRPr="00796705" w:rsidRDefault="00796705" w:rsidP="00DF09CA">
      <w:pPr>
        <w:pStyle w:val="enumlev1"/>
        <w:rPr>
          <w:highlight w:val="yellow"/>
          <w:lang w:val="fr-CH" w:eastAsia="zh-CN"/>
        </w:rPr>
      </w:pPr>
      <w:r w:rsidRPr="00796705">
        <w:rPr>
          <w:lang w:val="fr-CH" w:eastAsia="zh-CN"/>
        </w:rPr>
        <w:t>•</w:t>
      </w:r>
      <w:r w:rsidRPr="00796705">
        <w:rPr>
          <w:lang w:val="fr-CH" w:eastAsia="zh-CN"/>
        </w:rPr>
        <w:tab/>
        <w:t>Aida les pays de la région à préparer leurs cadres supérieurs à faire face aux changements dans le secteur, tels que la convergence et l</w:t>
      </w:r>
      <w:r w:rsidR="00E3516B">
        <w:rPr>
          <w:lang w:val="fr-CH" w:eastAsia="zh-CN"/>
        </w:rPr>
        <w:t>'</w:t>
      </w:r>
      <w:r w:rsidRPr="00796705">
        <w:rPr>
          <w:lang w:val="fr-CH" w:eastAsia="zh-CN"/>
        </w:rPr>
        <w:t>ouverture à la concurrence.</w:t>
      </w:r>
    </w:p>
    <w:p w:rsidR="005000E5" w:rsidRPr="00ED59C0" w:rsidRDefault="00ED59C0" w:rsidP="00DF09CA">
      <w:pPr>
        <w:pStyle w:val="Heading2"/>
        <w:rPr>
          <w:highlight w:val="yellow"/>
          <w:lang w:val="fr-CH"/>
        </w:rPr>
      </w:pPr>
      <w:r w:rsidRPr="00ED59C0">
        <w:rPr>
          <w:lang w:val="fr-CH"/>
        </w:rPr>
        <w:lastRenderedPageBreak/>
        <w:t>ANTEL (Opérateur de télécommunications de l</w:t>
      </w:r>
      <w:r w:rsidR="00E3516B">
        <w:rPr>
          <w:lang w:val="fr-CH"/>
        </w:rPr>
        <w:t>'</w:t>
      </w:r>
      <w:r w:rsidRPr="00ED59C0">
        <w:rPr>
          <w:lang w:val="fr-CH"/>
        </w:rPr>
        <w:t>Uruguay) (1979</w:t>
      </w:r>
      <w:r w:rsidR="00796705">
        <w:rPr>
          <w:lang w:val="fr-CH"/>
        </w:rPr>
        <w:t>-</w:t>
      </w:r>
      <w:r w:rsidRPr="00ED59C0">
        <w:rPr>
          <w:lang w:val="fr-CH"/>
        </w:rPr>
        <w:t>1988)</w:t>
      </w:r>
    </w:p>
    <w:p w:rsidR="005000E5" w:rsidRPr="00ED59C0" w:rsidRDefault="00ED59C0" w:rsidP="00DF09CA">
      <w:pPr>
        <w:rPr>
          <w:highlight w:val="yellow"/>
          <w:lang w:val="fr-CH"/>
        </w:rPr>
      </w:pPr>
      <w:r w:rsidRPr="00ED59C0">
        <w:rPr>
          <w:lang w:val="fr-CH"/>
        </w:rPr>
        <w:t>Directeur, Centre de Formation de l</w:t>
      </w:r>
      <w:r w:rsidR="00E3516B">
        <w:rPr>
          <w:lang w:val="fr-CH"/>
        </w:rPr>
        <w:t>'</w:t>
      </w:r>
      <w:r w:rsidRPr="00ED59C0">
        <w:rPr>
          <w:lang w:val="fr-CH"/>
        </w:rPr>
        <w:t>ANTEL (1987</w:t>
      </w:r>
      <w:r w:rsidR="00796705">
        <w:rPr>
          <w:lang w:val="fr-CH"/>
        </w:rPr>
        <w:t>-</w:t>
      </w:r>
      <w:r w:rsidRPr="00ED59C0">
        <w:rPr>
          <w:lang w:val="fr-CH"/>
        </w:rPr>
        <w:t>1988)</w:t>
      </w:r>
    </w:p>
    <w:p w:rsidR="005000E5" w:rsidRPr="00ED59C0" w:rsidRDefault="00ED59C0" w:rsidP="00DF09CA">
      <w:pPr>
        <w:rPr>
          <w:highlight w:val="yellow"/>
          <w:lang w:val="fr-CH"/>
        </w:rPr>
      </w:pPr>
      <w:r w:rsidRPr="00ED59C0">
        <w:rPr>
          <w:lang w:val="fr-CH"/>
        </w:rPr>
        <w:t>Ingénieur en télécommunications (1985</w:t>
      </w:r>
      <w:r w:rsidR="00796705">
        <w:rPr>
          <w:lang w:val="fr-CH"/>
        </w:rPr>
        <w:t>-</w:t>
      </w:r>
      <w:r w:rsidRPr="00ED59C0">
        <w:rPr>
          <w:lang w:val="fr-CH"/>
        </w:rPr>
        <w:t>1987)</w:t>
      </w:r>
    </w:p>
    <w:p w:rsidR="005000E5" w:rsidRPr="00ED59C0" w:rsidRDefault="00ED59C0" w:rsidP="00DF09CA">
      <w:pPr>
        <w:rPr>
          <w:highlight w:val="yellow"/>
          <w:lang w:val="fr-CH"/>
        </w:rPr>
      </w:pPr>
      <w:r w:rsidRPr="00ED59C0">
        <w:rPr>
          <w:lang w:val="fr-CH"/>
        </w:rPr>
        <w:t>Assistant en ingénierie (1979</w:t>
      </w:r>
      <w:r w:rsidR="00796705">
        <w:rPr>
          <w:lang w:val="fr-CH"/>
        </w:rPr>
        <w:t>-</w:t>
      </w:r>
      <w:r w:rsidRPr="00ED59C0">
        <w:rPr>
          <w:lang w:val="fr-CH"/>
        </w:rPr>
        <w:t>1985)</w:t>
      </w:r>
    </w:p>
    <w:p w:rsidR="005000E5" w:rsidRPr="005A1A79" w:rsidRDefault="00ED59C0" w:rsidP="00DF09CA">
      <w:pPr>
        <w:pStyle w:val="Heading2"/>
        <w:rPr>
          <w:highlight w:val="yellow"/>
          <w:lang w:val="es-ES_tradnl"/>
        </w:rPr>
      </w:pPr>
      <w:r w:rsidRPr="00ED59C0">
        <w:rPr>
          <w:lang w:val="es-ES_tradnl"/>
        </w:rPr>
        <w:t>Universidad de la República (Uruguay) (1984</w:t>
      </w:r>
      <w:r w:rsidR="00796705">
        <w:rPr>
          <w:lang w:val="es-ES_tradnl"/>
        </w:rPr>
        <w:t>-</w:t>
      </w:r>
      <w:r w:rsidRPr="00ED59C0">
        <w:rPr>
          <w:lang w:val="es-ES_tradnl"/>
        </w:rPr>
        <w:t>1986)</w:t>
      </w:r>
    </w:p>
    <w:p w:rsidR="005000E5" w:rsidRPr="004408EB" w:rsidRDefault="004408EB" w:rsidP="00DF09CA">
      <w:pPr>
        <w:rPr>
          <w:rFonts w:asciiTheme="minorHAnsi" w:hAnsiTheme="minorHAnsi" w:cstheme="minorHAnsi"/>
          <w:lang w:val="fr-CH"/>
        </w:rPr>
      </w:pPr>
      <w:r w:rsidRPr="004408EB">
        <w:rPr>
          <w:lang w:val="fr-CH"/>
        </w:rPr>
        <w:t>Professeur Assistant auprès de la Faculté d</w:t>
      </w:r>
      <w:r w:rsidR="00E3516B">
        <w:rPr>
          <w:lang w:val="fr-CH"/>
        </w:rPr>
        <w:t>'</w:t>
      </w:r>
      <w:r w:rsidRPr="004408EB">
        <w:rPr>
          <w:lang w:val="fr-CH"/>
        </w:rPr>
        <w:t>Ingénierie, pour la Chaire d</w:t>
      </w:r>
      <w:r w:rsidR="00E3516B">
        <w:rPr>
          <w:lang w:val="fr-CH"/>
        </w:rPr>
        <w:t>'</w:t>
      </w:r>
      <w:r w:rsidRPr="004408EB">
        <w:rPr>
          <w:lang w:val="fr-CH"/>
        </w:rPr>
        <w:t>Électronique &amp; Circuits, ainsi que</w:t>
      </w:r>
      <w:r>
        <w:rPr>
          <w:lang w:val="fr-CH"/>
        </w:rPr>
        <w:t xml:space="preserve"> </w:t>
      </w:r>
      <w:r w:rsidRPr="004408EB">
        <w:rPr>
          <w:lang w:val="fr-CH"/>
        </w:rPr>
        <w:t>pour la Chaire de Circuits &amp; Mesures Électriques (1984</w:t>
      </w:r>
      <w:r w:rsidR="00796705">
        <w:rPr>
          <w:lang w:val="fr-CH"/>
        </w:rPr>
        <w:t>-</w:t>
      </w:r>
      <w:r w:rsidRPr="004408EB">
        <w:rPr>
          <w:lang w:val="fr-CH"/>
        </w:rPr>
        <w:t>1986)</w:t>
      </w:r>
      <w:r w:rsidR="005000E5" w:rsidRPr="004408EB">
        <w:rPr>
          <w:rFonts w:asciiTheme="minorHAnsi" w:hAnsiTheme="minorHAnsi" w:cstheme="minorHAnsi"/>
          <w:lang w:val="fr-CH"/>
        </w:rPr>
        <w:br w:type="page"/>
      </w:r>
    </w:p>
    <w:p w:rsidR="00DF09CA" w:rsidRDefault="00DF09CA" w:rsidP="00DF09CA">
      <w:pPr>
        <w:jc w:val="center"/>
        <w:rPr>
          <w:b/>
          <w:bCs/>
          <w:sz w:val="44"/>
          <w:szCs w:val="44"/>
          <w:lang w:val="fr-CH"/>
        </w:rPr>
      </w:pPr>
    </w:p>
    <w:p w:rsidR="005000E5" w:rsidRPr="00EC772A" w:rsidRDefault="00C92D0E" w:rsidP="00DF09CA">
      <w:pPr>
        <w:jc w:val="center"/>
        <w:rPr>
          <w:rFonts w:ascii="Cambria" w:eastAsia="SimSun" w:hAnsi="Cambria" w:cs="Arial"/>
          <w:b/>
          <w:bCs/>
          <w:color w:val="2E74B5"/>
          <w:sz w:val="48"/>
          <w:szCs w:val="48"/>
          <w:lang w:val="fr-CH"/>
        </w:rPr>
      </w:pPr>
      <w:r w:rsidRPr="00EC772A">
        <w:rPr>
          <w:rFonts w:ascii="Cambria" w:eastAsia="SimSun" w:hAnsi="Cambria" w:cs="Arial"/>
          <w:b/>
          <w:bCs/>
          <w:color w:val="2E74B5"/>
          <w:sz w:val="48"/>
          <w:szCs w:val="48"/>
          <w:lang w:val="fr-CH"/>
        </w:rPr>
        <w:t>Déclaration d’intention</w:t>
      </w:r>
    </w:p>
    <w:p w:rsidR="005000E5" w:rsidRPr="004408EB" w:rsidRDefault="004408EB" w:rsidP="00EE3543">
      <w:pPr>
        <w:spacing w:before="1120"/>
        <w:rPr>
          <w:highlight w:val="yellow"/>
          <w:lang w:val="fr-CH"/>
        </w:rPr>
      </w:pPr>
      <w:r w:rsidRPr="004408EB">
        <w:rPr>
          <w:lang w:val="fr-CH"/>
        </w:rPr>
        <w:t>Les télécommunic</w:t>
      </w:r>
      <w:r w:rsidR="00E3516B">
        <w:rPr>
          <w:lang w:val="fr-CH"/>
        </w:rPr>
        <w:t>ations/</w:t>
      </w:r>
      <w:r w:rsidRPr="004408EB">
        <w:rPr>
          <w:lang w:val="fr-CH"/>
        </w:rPr>
        <w:t>TIC sont un facteur clé pour atteindre les objectifs de</w:t>
      </w:r>
      <w:r>
        <w:rPr>
          <w:lang w:val="fr-CH"/>
        </w:rPr>
        <w:t xml:space="preserve"> </w:t>
      </w:r>
      <w:r w:rsidRPr="004408EB">
        <w:rPr>
          <w:lang w:val="fr-CH"/>
        </w:rPr>
        <w:t>développement durable (ODD) et pour construire un monde où le développement</w:t>
      </w:r>
      <w:r>
        <w:rPr>
          <w:lang w:val="fr-CH"/>
        </w:rPr>
        <w:t xml:space="preserve"> </w:t>
      </w:r>
      <w:r w:rsidRPr="004408EB">
        <w:rPr>
          <w:lang w:val="fr-CH"/>
        </w:rPr>
        <w:t>social, économique, environnemental et technologique est durable et accessible</w:t>
      </w:r>
      <w:r>
        <w:rPr>
          <w:lang w:val="fr-CH"/>
        </w:rPr>
        <w:t xml:space="preserve"> </w:t>
      </w:r>
      <w:r w:rsidRPr="004408EB">
        <w:rPr>
          <w:lang w:val="fr-CH"/>
        </w:rPr>
        <w:t>à tous, partout.</w:t>
      </w:r>
    </w:p>
    <w:p w:rsidR="005000E5" w:rsidRPr="004408EB" w:rsidRDefault="004408EB" w:rsidP="00123D89">
      <w:pPr>
        <w:rPr>
          <w:highlight w:val="yellow"/>
          <w:lang w:val="fr-CH"/>
        </w:rPr>
      </w:pPr>
      <w:r w:rsidRPr="004408EB">
        <w:rPr>
          <w:lang w:val="fr-CH"/>
        </w:rPr>
        <w:t>Les technologies telles que les communications mobiles, l</w:t>
      </w:r>
      <w:r w:rsidR="00E3516B">
        <w:rPr>
          <w:lang w:val="fr-CH"/>
        </w:rPr>
        <w:t>'</w:t>
      </w:r>
      <w:r w:rsidRPr="004408EB">
        <w:rPr>
          <w:lang w:val="fr-CH"/>
        </w:rPr>
        <w:t>internet des objets,</w:t>
      </w:r>
      <w:r>
        <w:rPr>
          <w:lang w:val="fr-CH"/>
        </w:rPr>
        <w:t xml:space="preserve"> </w:t>
      </w:r>
      <w:r w:rsidRPr="004408EB">
        <w:rPr>
          <w:lang w:val="fr-CH"/>
        </w:rPr>
        <w:t>les voitures et villes connectées, la quatrième révolution industrielle et</w:t>
      </w:r>
      <w:r>
        <w:rPr>
          <w:lang w:val="fr-CH"/>
        </w:rPr>
        <w:t xml:space="preserve"> </w:t>
      </w:r>
      <w:r w:rsidRPr="004408EB">
        <w:rPr>
          <w:lang w:val="fr-CH"/>
        </w:rPr>
        <w:t>l</w:t>
      </w:r>
      <w:r w:rsidR="00E3516B">
        <w:rPr>
          <w:lang w:val="fr-CH"/>
        </w:rPr>
        <w:t>'</w:t>
      </w:r>
      <w:r w:rsidRPr="004408EB">
        <w:rPr>
          <w:lang w:val="fr-CH"/>
        </w:rPr>
        <w:t>intelligence artificielle dépendent toutes des réseaux, services et applications</w:t>
      </w:r>
      <w:r>
        <w:rPr>
          <w:lang w:val="fr-CH"/>
        </w:rPr>
        <w:t xml:space="preserve"> </w:t>
      </w:r>
      <w:r w:rsidRPr="004408EB">
        <w:rPr>
          <w:lang w:val="fr-CH"/>
        </w:rPr>
        <w:t>de télécommunication et s</w:t>
      </w:r>
      <w:r w:rsidR="00E3516B">
        <w:rPr>
          <w:lang w:val="fr-CH"/>
        </w:rPr>
        <w:t>'</w:t>
      </w:r>
      <w:r w:rsidRPr="004408EB">
        <w:rPr>
          <w:lang w:val="fr-CH"/>
        </w:rPr>
        <w:t>appuient de plus en plus sur les radiocommunications</w:t>
      </w:r>
      <w:r>
        <w:rPr>
          <w:lang w:val="fr-CH"/>
        </w:rPr>
        <w:t xml:space="preserve"> </w:t>
      </w:r>
      <w:r w:rsidRPr="004408EB">
        <w:rPr>
          <w:lang w:val="fr-CH"/>
        </w:rPr>
        <w:t>pour fournir la base d</w:t>
      </w:r>
      <w:r w:rsidR="00E3516B">
        <w:rPr>
          <w:lang w:val="fr-CH"/>
        </w:rPr>
        <w:t>'</w:t>
      </w:r>
      <w:r w:rsidRPr="004408EB">
        <w:rPr>
          <w:lang w:val="fr-CH"/>
        </w:rPr>
        <w:t>une connectivité omniprésente.</w:t>
      </w:r>
    </w:p>
    <w:p w:rsidR="005000E5" w:rsidRPr="004408EB" w:rsidRDefault="004408EB" w:rsidP="00123D89">
      <w:pPr>
        <w:rPr>
          <w:highlight w:val="yellow"/>
          <w:lang w:val="fr-CH"/>
        </w:rPr>
      </w:pPr>
      <w:r w:rsidRPr="004408EB">
        <w:rPr>
          <w:lang w:val="fr-CH"/>
        </w:rPr>
        <w:t>Le Secteur des radiocommunications de l</w:t>
      </w:r>
      <w:r w:rsidR="00E3516B">
        <w:rPr>
          <w:lang w:val="fr-CH"/>
        </w:rPr>
        <w:t>'</w:t>
      </w:r>
      <w:r w:rsidRPr="004408EB">
        <w:rPr>
          <w:lang w:val="fr-CH"/>
        </w:rPr>
        <w:t>UIT joue un rôle essentiel dans cet</w:t>
      </w:r>
      <w:r>
        <w:rPr>
          <w:lang w:val="fr-CH"/>
        </w:rPr>
        <w:t xml:space="preserve"> </w:t>
      </w:r>
      <w:r w:rsidRPr="004408EB">
        <w:rPr>
          <w:lang w:val="fr-CH"/>
        </w:rPr>
        <w:t>écosystème: la gestion du spectre des fréquences et des orbites satellitaires,</w:t>
      </w:r>
      <w:r>
        <w:rPr>
          <w:lang w:val="fr-CH"/>
        </w:rPr>
        <w:t xml:space="preserve"> </w:t>
      </w:r>
      <w:r w:rsidRPr="004408EB">
        <w:rPr>
          <w:lang w:val="fr-CH"/>
        </w:rPr>
        <w:t>ainsi que l</w:t>
      </w:r>
      <w:r w:rsidR="00E3516B">
        <w:rPr>
          <w:lang w:val="fr-CH"/>
        </w:rPr>
        <w:t>'</w:t>
      </w:r>
      <w:r w:rsidRPr="004408EB">
        <w:rPr>
          <w:lang w:val="fr-CH"/>
        </w:rPr>
        <w:t>élaboration de réglementations et de normes harmonisées à l</w:t>
      </w:r>
      <w:r w:rsidR="00E3516B">
        <w:rPr>
          <w:lang w:val="fr-CH"/>
        </w:rPr>
        <w:t>'</w:t>
      </w:r>
      <w:r w:rsidRPr="004408EB">
        <w:rPr>
          <w:lang w:val="fr-CH"/>
        </w:rPr>
        <w:t>échelle</w:t>
      </w:r>
      <w:r>
        <w:rPr>
          <w:lang w:val="fr-CH"/>
        </w:rPr>
        <w:t xml:space="preserve"> </w:t>
      </w:r>
      <w:r w:rsidRPr="004408EB">
        <w:rPr>
          <w:lang w:val="fr-CH"/>
        </w:rPr>
        <w:t>mondiale sont fondamentales pour assurer des télécommunications accessibles</w:t>
      </w:r>
      <w:r>
        <w:rPr>
          <w:lang w:val="fr-CH"/>
        </w:rPr>
        <w:t xml:space="preserve"> </w:t>
      </w:r>
      <w:r w:rsidRPr="004408EB">
        <w:rPr>
          <w:lang w:val="fr-CH"/>
        </w:rPr>
        <w:t>et abordables pour tous.</w:t>
      </w:r>
    </w:p>
    <w:p w:rsidR="005000E5" w:rsidRPr="004408EB" w:rsidRDefault="004408EB" w:rsidP="00123D89">
      <w:pPr>
        <w:rPr>
          <w:rFonts w:cs="Arial"/>
          <w:highlight w:val="yellow"/>
          <w:lang w:val="fr-CH"/>
        </w:rPr>
      </w:pPr>
      <w:r w:rsidRPr="004408EB">
        <w:rPr>
          <w:rFonts w:cs="Arial"/>
          <w:lang w:val="fr-CH"/>
        </w:rPr>
        <w:t>Pour atteindre cet objectif, nous avons de nombreux défis à relever</w:t>
      </w:r>
      <w:r>
        <w:rPr>
          <w:rFonts w:cs="Arial"/>
          <w:lang w:val="fr-CH"/>
        </w:rPr>
        <w:t>:</w:t>
      </w:r>
    </w:p>
    <w:p w:rsidR="005000E5" w:rsidRPr="006C2D99" w:rsidRDefault="004408EB" w:rsidP="004408EB">
      <w:pPr>
        <w:pStyle w:val="enumlev1"/>
        <w:rPr>
          <w:highlight w:val="yellow"/>
        </w:rPr>
      </w:pPr>
      <w:r>
        <w:t>•</w:t>
      </w:r>
      <w:r>
        <w:tab/>
      </w:r>
      <w:r w:rsidRPr="004408EB">
        <w:t>Réduire la fracture numérique et f</w:t>
      </w:r>
      <w:r>
        <w:t>ournir une connectivité globale</w:t>
      </w:r>
    </w:p>
    <w:p w:rsidR="005000E5" w:rsidRPr="004408EB" w:rsidRDefault="004408EB" w:rsidP="004408EB">
      <w:pPr>
        <w:pStyle w:val="enumlev1"/>
        <w:rPr>
          <w:highlight w:val="yellow"/>
        </w:rPr>
      </w:pPr>
      <w:r>
        <w:t>•</w:t>
      </w:r>
      <w:r>
        <w:tab/>
      </w:r>
      <w:r w:rsidRPr="004408EB">
        <w:t>Trouver le juste équilibre entre la protection des investissements et la promotion de l</w:t>
      </w:r>
      <w:r w:rsidR="00E3516B">
        <w:t>'</w:t>
      </w:r>
      <w:r w:rsidRPr="004408EB">
        <w:t>innovation</w:t>
      </w:r>
    </w:p>
    <w:p w:rsidR="005000E5" w:rsidRPr="006C2D99" w:rsidRDefault="004408EB" w:rsidP="004408EB">
      <w:pPr>
        <w:pStyle w:val="enumlev1"/>
        <w:rPr>
          <w:highlight w:val="yellow"/>
        </w:rPr>
      </w:pPr>
      <w:r>
        <w:t>•</w:t>
      </w:r>
      <w:r>
        <w:tab/>
      </w:r>
      <w:r w:rsidRPr="004408EB">
        <w:t>Fournir un accès rapide aux ressources spectre/orbite.</w:t>
      </w:r>
    </w:p>
    <w:p w:rsidR="005000E5" w:rsidRPr="004408EB" w:rsidRDefault="004408EB" w:rsidP="00123D89">
      <w:pPr>
        <w:rPr>
          <w:highlight w:val="yellow"/>
          <w:lang w:val="fr-CH"/>
        </w:rPr>
      </w:pPr>
      <w:r w:rsidRPr="004408EB">
        <w:rPr>
          <w:lang w:val="fr-CH"/>
        </w:rPr>
        <w:t>Ayant travaillé dans le secteur des télécommunications pendant plus de 30</w:t>
      </w:r>
      <w:r>
        <w:rPr>
          <w:lang w:val="fr-CH"/>
        </w:rPr>
        <w:t xml:space="preserve"> </w:t>
      </w:r>
      <w:r w:rsidRPr="004408EB">
        <w:rPr>
          <w:lang w:val="fr-CH"/>
        </w:rPr>
        <w:t>ans, je comprends et j</w:t>
      </w:r>
      <w:r w:rsidR="00E3516B">
        <w:rPr>
          <w:lang w:val="fr-CH"/>
        </w:rPr>
        <w:t>'</w:t>
      </w:r>
      <w:r w:rsidRPr="004408EB">
        <w:rPr>
          <w:lang w:val="fr-CH"/>
        </w:rPr>
        <w:t>assume ces défis. De plus, mon leadership respectera les</w:t>
      </w:r>
      <w:r>
        <w:rPr>
          <w:lang w:val="fr-CH"/>
        </w:rPr>
        <w:t xml:space="preserve"> </w:t>
      </w:r>
      <w:r w:rsidRPr="004408EB">
        <w:rPr>
          <w:lang w:val="fr-CH"/>
        </w:rPr>
        <w:t>principes de transparence, d</w:t>
      </w:r>
      <w:r w:rsidR="00E3516B">
        <w:rPr>
          <w:lang w:val="fr-CH"/>
        </w:rPr>
        <w:t>'</w:t>
      </w:r>
      <w:r w:rsidRPr="004408EB">
        <w:rPr>
          <w:lang w:val="fr-CH"/>
        </w:rPr>
        <w:t>efficacité et de participation en:</w:t>
      </w:r>
    </w:p>
    <w:p w:rsidR="005000E5" w:rsidRPr="004408EB" w:rsidRDefault="004408EB" w:rsidP="004408EB">
      <w:pPr>
        <w:pStyle w:val="enumlev1"/>
        <w:rPr>
          <w:lang w:val="fr-CH"/>
        </w:rPr>
      </w:pPr>
      <w:r w:rsidRPr="004408EB">
        <w:rPr>
          <w:lang w:val="fr-CH"/>
        </w:rPr>
        <w:t>•</w:t>
      </w:r>
      <w:r w:rsidRPr="004408EB">
        <w:rPr>
          <w:lang w:val="fr-CH"/>
        </w:rPr>
        <w:tab/>
      </w:r>
      <w:r>
        <w:rPr>
          <w:lang w:val="fr-CH"/>
        </w:rPr>
        <w:t>a</w:t>
      </w:r>
      <w:r w:rsidRPr="004408EB">
        <w:rPr>
          <w:lang w:val="fr-CH"/>
        </w:rPr>
        <w:t>ppliquant le Règlement des radiocommunications de manière juste et transparente</w:t>
      </w:r>
      <w:r>
        <w:rPr>
          <w:lang w:val="fr-CH"/>
        </w:rPr>
        <w:t>,</w:t>
      </w:r>
    </w:p>
    <w:p w:rsidR="005000E5" w:rsidRPr="004408EB" w:rsidRDefault="004408EB" w:rsidP="004408EB">
      <w:pPr>
        <w:pStyle w:val="enumlev1"/>
        <w:rPr>
          <w:lang w:val="fr-CH"/>
        </w:rPr>
      </w:pPr>
      <w:r w:rsidRPr="004408EB">
        <w:rPr>
          <w:lang w:val="fr-CH"/>
        </w:rPr>
        <w:t>•</w:t>
      </w:r>
      <w:r w:rsidRPr="004408EB">
        <w:rPr>
          <w:lang w:val="fr-CH"/>
        </w:rPr>
        <w:tab/>
      </w:r>
      <w:r>
        <w:rPr>
          <w:lang w:val="fr-CH"/>
        </w:rPr>
        <w:t>m</w:t>
      </w:r>
      <w:r w:rsidRPr="004408EB">
        <w:rPr>
          <w:lang w:val="fr-CH"/>
        </w:rPr>
        <w:t xml:space="preserve">ettant en </w:t>
      </w:r>
      <w:proofErr w:type="spellStart"/>
      <w:r w:rsidRPr="004408EB">
        <w:rPr>
          <w:lang w:val="fr-CH"/>
        </w:rPr>
        <w:t>oeuvre</w:t>
      </w:r>
      <w:proofErr w:type="spellEnd"/>
      <w:r w:rsidRPr="004408EB">
        <w:rPr>
          <w:lang w:val="fr-CH"/>
        </w:rPr>
        <w:t xml:space="preserve"> une transformation numérique pour accroître l</w:t>
      </w:r>
      <w:r w:rsidR="00E3516B">
        <w:rPr>
          <w:lang w:val="fr-CH"/>
        </w:rPr>
        <w:t>'</w:t>
      </w:r>
      <w:r w:rsidRPr="004408EB">
        <w:rPr>
          <w:lang w:val="fr-CH"/>
        </w:rPr>
        <w:t>efficacité</w:t>
      </w:r>
      <w:r>
        <w:rPr>
          <w:lang w:val="fr-CH"/>
        </w:rPr>
        <w:t xml:space="preserve"> </w:t>
      </w:r>
      <w:r w:rsidRPr="004408EB">
        <w:rPr>
          <w:lang w:val="fr-CH"/>
        </w:rPr>
        <w:t>du BR</w:t>
      </w:r>
      <w:r>
        <w:rPr>
          <w:lang w:val="fr-CH"/>
        </w:rPr>
        <w:t>,</w:t>
      </w:r>
    </w:p>
    <w:p w:rsidR="005000E5" w:rsidRPr="004408EB" w:rsidRDefault="004408EB" w:rsidP="004408EB">
      <w:pPr>
        <w:pStyle w:val="enumlev1"/>
        <w:rPr>
          <w:lang w:val="fr-CH"/>
        </w:rPr>
      </w:pPr>
      <w:r w:rsidRPr="004408EB">
        <w:rPr>
          <w:lang w:val="fr-CH"/>
        </w:rPr>
        <w:t>•</w:t>
      </w:r>
      <w:r w:rsidRPr="004408EB">
        <w:rPr>
          <w:lang w:val="fr-CH"/>
        </w:rPr>
        <w:tab/>
        <w:t>Soutenant les pays en voie de développement, les pays les moins avancés et</w:t>
      </w:r>
      <w:r>
        <w:rPr>
          <w:lang w:val="fr-CH"/>
        </w:rPr>
        <w:t xml:space="preserve"> </w:t>
      </w:r>
      <w:r w:rsidRPr="004408EB">
        <w:rPr>
          <w:lang w:val="fr-CH"/>
        </w:rPr>
        <w:t>les petits États insulaires.</w:t>
      </w:r>
    </w:p>
    <w:p w:rsidR="005000E5" w:rsidRPr="004408EB" w:rsidRDefault="004408EB" w:rsidP="00123D89">
      <w:pPr>
        <w:rPr>
          <w:highlight w:val="yellow"/>
          <w:lang w:val="fr-CH"/>
        </w:rPr>
      </w:pPr>
      <w:r w:rsidRPr="004408EB">
        <w:rPr>
          <w:lang w:val="fr-CH"/>
        </w:rPr>
        <w:t>L</w:t>
      </w:r>
      <w:r w:rsidR="00E3516B">
        <w:rPr>
          <w:lang w:val="fr-CH"/>
        </w:rPr>
        <w:t>'</w:t>
      </w:r>
      <w:r w:rsidRPr="004408EB">
        <w:rPr>
          <w:lang w:val="fr-CH"/>
        </w:rPr>
        <w:t>accomplissement des ODD ne peut être réalisé que par le travail conjoint</w:t>
      </w:r>
      <w:r>
        <w:rPr>
          <w:lang w:val="fr-CH"/>
        </w:rPr>
        <w:t xml:space="preserve"> </w:t>
      </w:r>
      <w:r w:rsidRPr="004408EB">
        <w:rPr>
          <w:lang w:val="fr-CH"/>
        </w:rPr>
        <w:t>des gouvernements et du secteur privé, avec le soutien du Bureau des</w:t>
      </w:r>
      <w:r>
        <w:rPr>
          <w:lang w:val="fr-CH"/>
        </w:rPr>
        <w:t xml:space="preserve"> </w:t>
      </w:r>
      <w:r w:rsidRPr="004408EB">
        <w:rPr>
          <w:lang w:val="fr-CH"/>
        </w:rPr>
        <w:t>radiocommunications et en étroite collaboration avec le Bureau de</w:t>
      </w:r>
      <w:r>
        <w:rPr>
          <w:lang w:val="fr-CH"/>
        </w:rPr>
        <w:t xml:space="preserve"> </w:t>
      </w:r>
      <w:r w:rsidRPr="004408EB">
        <w:rPr>
          <w:lang w:val="fr-CH"/>
        </w:rPr>
        <w:t>développement des télécommunications.</w:t>
      </w:r>
    </w:p>
    <w:p w:rsidR="005000E5" w:rsidRPr="004408EB" w:rsidRDefault="004408EB" w:rsidP="00123D89">
      <w:pPr>
        <w:rPr>
          <w:highlight w:val="yellow"/>
          <w:lang w:val="fr-CH"/>
        </w:rPr>
      </w:pPr>
      <w:r w:rsidRPr="004408EB">
        <w:rPr>
          <w:lang w:val="fr-CH"/>
        </w:rPr>
        <w:t>Unissons nos forces pour favoriser une connectivité abordable pour tous les</w:t>
      </w:r>
      <w:r>
        <w:rPr>
          <w:lang w:val="fr-CH"/>
        </w:rPr>
        <w:t xml:space="preserve"> </w:t>
      </w:r>
      <w:r w:rsidRPr="004408EB">
        <w:rPr>
          <w:lang w:val="fr-CH"/>
        </w:rPr>
        <w:t>citoyens, pour permettre la connexion de milliards d</w:t>
      </w:r>
      <w:r w:rsidR="00E3516B">
        <w:rPr>
          <w:lang w:val="fr-CH"/>
        </w:rPr>
        <w:t>'</w:t>
      </w:r>
      <w:r w:rsidRPr="004408EB">
        <w:rPr>
          <w:lang w:val="fr-CH"/>
        </w:rPr>
        <w:t>appareils et pour accélérer</w:t>
      </w:r>
      <w:r>
        <w:rPr>
          <w:lang w:val="fr-CH"/>
        </w:rPr>
        <w:t xml:space="preserve"> </w:t>
      </w:r>
      <w:r w:rsidRPr="004408EB">
        <w:rPr>
          <w:lang w:val="fr-CH"/>
        </w:rPr>
        <w:t>la réalisation des ODD en utilisant les télécommunications et les TIC.</w:t>
      </w:r>
    </w:p>
    <w:p w:rsidR="005000E5" w:rsidRPr="00E3516B" w:rsidRDefault="005000E5" w:rsidP="005000E5">
      <w:pPr>
        <w:tabs>
          <w:tab w:val="clear" w:pos="567"/>
          <w:tab w:val="clear" w:pos="1134"/>
          <w:tab w:val="clear" w:pos="1701"/>
          <w:tab w:val="clear" w:pos="2268"/>
          <w:tab w:val="clear" w:pos="2835"/>
        </w:tabs>
        <w:overflowPunct/>
        <w:autoSpaceDE/>
        <w:autoSpaceDN/>
        <w:adjustRightInd/>
        <w:spacing w:before="0"/>
        <w:textAlignment w:val="auto"/>
        <w:rPr>
          <w:rFonts w:cs="Arial"/>
          <w:lang w:val="fr-CH"/>
        </w:rPr>
      </w:pPr>
      <w:r w:rsidRPr="00E3516B">
        <w:rPr>
          <w:rFonts w:cs="Arial"/>
          <w:lang w:val="fr-CH"/>
        </w:rPr>
        <w:br w:type="page"/>
      </w:r>
    </w:p>
    <w:p w:rsidR="00DF09CA" w:rsidRDefault="00DF09CA" w:rsidP="00DF09CA">
      <w:pPr>
        <w:jc w:val="center"/>
        <w:rPr>
          <w:b/>
          <w:bCs/>
          <w:sz w:val="44"/>
          <w:szCs w:val="44"/>
          <w:lang w:val="fr-CH"/>
        </w:rPr>
      </w:pPr>
    </w:p>
    <w:p w:rsidR="005000E5" w:rsidRPr="00EC772A" w:rsidRDefault="004408EB" w:rsidP="00DF09CA">
      <w:pPr>
        <w:jc w:val="center"/>
        <w:rPr>
          <w:rFonts w:ascii="Cambria" w:eastAsia="SimSun" w:hAnsi="Cambria" w:cs="Arial"/>
          <w:b/>
          <w:bCs/>
          <w:color w:val="2E74B5"/>
          <w:sz w:val="48"/>
          <w:szCs w:val="48"/>
          <w:lang w:val="fr-CH"/>
        </w:rPr>
      </w:pPr>
      <w:r w:rsidRPr="00EC772A">
        <w:rPr>
          <w:rFonts w:ascii="Cambria" w:eastAsia="SimSun" w:hAnsi="Cambria" w:cs="Arial"/>
          <w:b/>
          <w:bCs/>
          <w:color w:val="2E74B5"/>
          <w:sz w:val="48"/>
          <w:szCs w:val="48"/>
          <w:lang w:val="fr-CH"/>
        </w:rPr>
        <w:t>E</w:t>
      </w:r>
      <w:r w:rsidR="00DF09CA" w:rsidRPr="00EC772A">
        <w:rPr>
          <w:rFonts w:ascii="Cambria" w:eastAsia="SimSun" w:hAnsi="Cambria" w:cs="Arial"/>
          <w:b/>
          <w:bCs/>
          <w:color w:val="2E74B5"/>
          <w:sz w:val="48"/>
          <w:szCs w:val="48"/>
          <w:lang w:val="fr-CH"/>
        </w:rPr>
        <w:t>ngagements</w:t>
      </w:r>
    </w:p>
    <w:p w:rsidR="005000E5" w:rsidRPr="0044453C" w:rsidRDefault="0044453C" w:rsidP="00EE3543">
      <w:pPr>
        <w:pStyle w:val="Heading2"/>
        <w:rPr>
          <w:rFonts w:eastAsiaTheme="majorEastAsia"/>
          <w:highlight w:val="green"/>
          <w:lang w:val="fr-CH"/>
        </w:rPr>
      </w:pPr>
      <w:r w:rsidRPr="00EE3543">
        <w:rPr>
          <w:rFonts w:eastAsiaTheme="majorEastAsia"/>
        </w:rPr>
        <w:t>Transparence</w:t>
      </w:r>
    </w:p>
    <w:p w:rsidR="005000E5" w:rsidRPr="0044453C" w:rsidRDefault="0044453C" w:rsidP="0044453C">
      <w:pPr>
        <w:pStyle w:val="enumlev1"/>
        <w:rPr>
          <w:lang w:val="fr-CH" w:eastAsia="zh-CN"/>
        </w:rPr>
      </w:pPr>
      <w:r w:rsidRPr="0044453C">
        <w:rPr>
          <w:lang w:val="fr-CH" w:eastAsia="zh-CN"/>
        </w:rPr>
        <w:t>•</w:t>
      </w:r>
      <w:r w:rsidRPr="0044453C">
        <w:rPr>
          <w:lang w:val="fr-CH" w:eastAsia="zh-CN"/>
        </w:rPr>
        <w:tab/>
        <w:t>Se concentrer sur le mandat principal de l</w:t>
      </w:r>
      <w:r w:rsidR="00E3516B">
        <w:rPr>
          <w:lang w:val="fr-CH" w:eastAsia="zh-CN"/>
        </w:rPr>
        <w:t>'</w:t>
      </w:r>
      <w:r w:rsidRPr="0044453C">
        <w:rPr>
          <w:lang w:val="fr-CH" w:eastAsia="zh-CN"/>
        </w:rPr>
        <w:t>UIT-R</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Veiller à ce que les procédures du Règlement des radiocommunications soient appliquées de</w:t>
      </w:r>
      <w:r>
        <w:rPr>
          <w:lang w:val="fr-CH" w:eastAsia="zh-CN"/>
        </w:rPr>
        <w:t xml:space="preserve"> </w:t>
      </w:r>
      <w:r w:rsidRPr="0044453C">
        <w:rPr>
          <w:lang w:val="fr-CH" w:eastAsia="zh-CN"/>
        </w:rPr>
        <w:t>manière équitable et transparente</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Faire bon usage de l</w:t>
      </w:r>
      <w:r w:rsidR="00E3516B">
        <w:rPr>
          <w:lang w:val="fr-CH" w:eastAsia="zh-CN"/>
        </w:rPr>
        <w:t>'</w:t>
      </w:r>
      <w:r w:rsidRPr="0044453C">
        <w:rPr>
          <w:lang w:val="fr-CH" w:eastAsia="zh-CN"/>
        </w:rPr>
        <w:t>expertise, de l</w:t>
      </w:r>
      <w:r w:rsidR="00E3516B">
        <w:rPr>
          <w:lang w:val="fr-CH" w:eastAsia="zh-CN"/>
        </w:rPr>
        <w:t>'</w:t>
      </w:r>
      <w:r w:rsidRPr="0044453C">
        <w:rPr>
          <w:lang w:val="fr-CH" w:eastAsia="zh-CN"/>
        </w:rPr>
        <w:t>impartialité et de la fiabilité de l</w:t>
      </w:r>
      <w:r w:rsidR="00E3516B">
        <w:rPr>
          <w:lang w:val="fr-CH" w:eastAsia="zh-CN"/>
        </w:rPr>
        <w:t>'</w:t>
      </w:r>
      <w:r w:rsidRPr="0044453C">
        <w:rPr>
          <w:lang w:val="fr-CH" w:eastAsia="zh-CN"/>
        </w:rPr>
        <w:t>UIT-R</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Fournir une plateforme de collaboration neutre pour tous les pays</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Soutenir le développement de réglementations et de normes harmonisées à l</w:t>
      </w:r>
      <w:r w:rsidR="00E3516B">
        <w:rPr>
          <w:lang w:val="fr-CH" w:eastAsia="zh-CN"/>
        </w:rPr>
        <w:t>'</w:t>
      </w:r>
      <w:r w:rsidRPr="0044453C">
        <w:rPr>
          <w:lang w:val="fr-CH" w:eastAsia="zh-CN"/>
        </w:rPr>
        <w:t>échelle mondiale</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Fournir l</w:t>
      </w:r>
      <w:r w:rsidR="00E3516B">
        <w:rPr>
          <w:lang w:val="fr-CH" w:eastAsia="zh-CN"/>
        </w:rPr>
        <w:t>'</w:t>
      </w:r>
      <w:r w:rsidRPr="0044453C">
        <w:rPr>
          <w:lang w:val="fr-CH" w:eastAsia="zh-CN"/>
        </w:rPr>
        <w:t>assistance technique requise par les États Membres</w:t>
      </w:r>
    </w:p>
    <w:p w:rsidR="005000E5" w:rsidRPr="0044453C" w:rsidRDefault="0044453C" w:rsidP="00EE3543">
      <w:pPr>
        <w:pStyle w:val="Heading2"/>
        <w:rPr>
          <w:rFonts w:eastAsiaTheme="majorEastAsia"/>
          <w:highlight w:val="green"/>
          <w:lang w:val="fr-CH"/>
        </w:rPr>
      </w:pPr>
      <w:r w:rsidRPr="00EE3543">
        <w:rPr>
          <w:rFonts w:eastAsiaTheme="majorEastAsia"/>
        </w:rPr>
        <w:t>Efficacité</w:t>
      </w:r>
    </w:p>
    <w:p w:rsidR="005000E5" w:rsidRPr="0044453C" w:rsidRDefault="0044453C" w:rsidP="0044453C">
      <w:pPr>
        <w:pStyle w:val="enumlev1"/>
        <w:rPr>
          <w:lang w:val="fr-CH" w:eastAsia="zh-CN"/>
        </w:rPr>
      </w:pPr>
      <w:r w:rsidRPr="0044453C">
        <w:rPr>
          <w:lang w:val="fr-CH" w:eastAsia="zh-CN"/>
        </w:rPr>
        <w:t>•</w:t>
      </w:r>
      <w:r w:rsidRPr="0044453C">
        <w:rPr>
          <w:lang w:val="fr-CH" w:eastAsia="zh-CN"/>
        </w:rPr>
        <w:tab/>
        <w:t xml:space="preserve">Mettre en </w:t>
      </w:r>
      <w:proofErr w:type="spellStart"/>
      <w:r w:rsidRPr="0044453C">
        <w:rPr>
          <w:lang w:val="fr-CH" w:eastAsia="zh-CN"/>
        </w:rPr>
        <w:t>oeuvre</w:t>
      </w:r>
      <w:proofErr w:type="spellEnd"/>
      <w:r w:rsidRPr="0044453C">
        <w:rPr>
          <w:lang w:val="fr-CH" w:eastAsia="zh-CN"/>
        </w:rPr>
        <w:t xml:space="preserve"> une transformation numérique et accroître la souplesse des processus de l</w:t>
      </w:r>
      <w:r w:rsidR="00E3516B">
        <w:rPr>
          <w:lang w:val="fr-CH" w:eastAsia="zh-CN"/>
        </w:rPr>
        <w:t>'</w:t>
      </w:r>
      <w:r w:rsidRPr="0044453C">
        <w:rPr>
          <w:lang w:val="fr-CH" w:eastAsia="zh-CN"/>
        </w:rPr>
        <w:t>UIT-R</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Moderniser les bases de données et les pratiques de l</w:t>
      </w:r>
      <w:r w:rsidR="00E3516B">
        <w:rPr>
          <w:lang w:val="fr-CH" w:eastAsia="zh-CN"/>
        </w:rPr>
        <w:t>'</w:t>
      </w:r>
      <w:r w:rsidRPr="0044453C">
        <w:rPr>
          <w:lang w:val="fr-CH" w:eastAsia="zh-CN"/>
        </w:rPr>
        <w:t>UIT-R</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Améliorer les temps de réponse, dans le respect des délais réglementaires</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Incorporer des méthodes d</w:t>
      </w:r>
      <w:r w:rsidR="00E3516B">
        <w:rPr>
          <w:lang w:val="fr-CH" w:eastAsia="zh-CN"/>
        </w:rPr>
        <w:t>'</w:t>
      </w:r>
      <w:r w:rsidRPr="0044453C">
        <w:rPr>
          <w:lang w:val="fr-CH" w:eastAsia="zh-CN"/>
        </w:rPr>
        <w:t>analyse des données au processus de prise de décision</w:t>
      </w:r>
    </w:p>
    <w:p w:rsidR="005000E5" w:rsidRPr="0044453C" w:rsidRDefault="0044453C" w:rsidP="00EE3543">
      <w:pPr>
        <w:pStyle w:val="Heading2"/>
        <w:rPr>
          <w:rFonts w:eastAsiaTheme="majorEastAsia"/>
          <w:lang w:val="fr-CH"/>
        </w:rPr>
      </w:pPr>
      <w:r w:rsidRPr="00EE3543">
        <w:rPr>
          <w:rFonts w:eastAsiaTheme="majorEastAsia"/>
        </w:rPr>
        <w:t>Participation</w:t>
      </w:r>
    </w:p>
    <w:p w:rsidR="005000E5" w:rsidRPr="0044453C" w:rsidRDefault="0044453C" w:rsidP="0044453C">
      <w:pPr>
        <w:pStyle w:val="enumlev1"/>
        <w:rPr>
          <w:lang w:val="fr-CH" w:eastAsia="zh-CN"/>
        </w:rPr>
      </w:pPr>
      <w:r w:rsidRPr="0044453C">
        <w:rPr>
          <w:lang w:val="fr-CH" w:eastAsia="zh-CN"/>
        </w:rPr>
        <w:t>•</w:t>
      </w:r>
      <w:r w:rsidRPr="0044453C">
        <w:rPr>
          <w:lang w:val="fr-CH" w:eastAsia="zh-CN"/>
        </w:rPr>
        <w:tab/>
        <w:t>Améliorer la réceptivité du Bureau aux besoins de tous les membres</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Promouvoir davantage la participation des pays en voie de développement, des pays les moins</w:t>
      </w:r>
      <w:r>
        <w:rPr>
          <w:lang w:val="fr-CH" w:eastAsia="zh-CN"/>
        </w:rPr>
        <w:t xml:space="preserve"> </w:t>
      </w:r>
      <w:r w:rsidRPr="0044453C">
        <w:rPr>
          <w:lang w:val="fr-CH" w:eastAsia="zh-CN"/>
        </w:rPr>
        <w:t>avancés et des petits États insulaires aux travaux de l</w:t>
      </w:r>
      <w:r w:rsidR="00E3516B">
        <w:rPr>
          <w:lang w:val="fr-CH" w:eastAsia="zh-CN"/>
        </w:rPr>
        <w:t>'</w:t>
      </w:r>
      <w:r w:rsidRPr="0044453C">
        <w:rPr>
          <w:lang w:val="fr-CH" w:eastAsia="zh-CN"/>
        </w:rPr>
        <w:t>UIT-R</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Donner aux Membres de l</w:t>
      </w:r>
      <w:r w:rsidR="00E3516B">
        <w:rPr>
          <w:lang w:val="fr-CH" w:eastAsia="zh-CN"/>
        </w:rPr>
        <w:t>'</w:t>
      </w:r>
      <w:r w:rsidRPr="0044453C">
        <w:rPr>
          <w:lang w:val="fr-CH" w:eastAsia="zh-CN"/>
        </w:rPr>
        <w:t>UIT-R les moyens de prendre des décisions qui auront un impact positif</w:t>
      </w:r>
      <w:r>
        <w:rPr>
          <w:lang w:val="fr-CH" w:eastAsia="zh-CN"/>
        </w:rPr>
        <w:t xml:space="preserve"> </w:t>
      </w:r>
      <w:r w:rsidRPr="0044453C">
        <w:rPr>
          <w:lang w:val="fr-CH" w:eastAsia="zh-CN"/>
        </w:rPr>
        <w:t>sur les TIC et l</w:t>
      </w:r>
      <w:r w:rsidR="00E3516B">
        <w:rPr>
          <w:lang w:val="fr-CH" w:eastAsia="zh-CN"/>
        </w:rPr>
        <w:t>'</w:t>
      </w:r>
      <w:r w:rsidRPr="0044453C">
        <w:rPr>
          <w:lang w:val="fr-CH" w:eastAsia="zh-CN"/>
        </w:rPr>
        <w:t>écosystème numérique</w:t>
      </w:r>
    </w:p>
    <w:p w:rsidR="005000E5" w:rsidRPr="0044453C" w:rsidRDefault="0044453C" w:rsidP="00EE3543">
      <w:pPr>
        <w:pStyle w:val="enumlev1"/>
        <w:spacing w:before="60"/>
        <w:rPr>
          <w:lang w:val="fr-CH" w:eastAsia="zh-CN"/>
        </w:rPr>
      </w:pPr>
      <w:r w:rsidRPr="0044453C">
        <w:rPr>
          <w:lang w:val="fr-CH" w:eastAsia="zh-CN"/>
        </w:rPr>
        <w:t>•</w:t>
      </w:r>
      <w:r w:rsidRPr="0044453C">
        <w:rPr>
          <w:lang w:val="fr-CH" w:eastAsia="zh-CN"/>
        </w:rPr>
        <w:tab/>
        <w:t>Veiller à ce que les informations produites par l</w:t>
      </w:r>
      <w:r w:rsidR="00E3516B">
        <w:rPr>
          <w:lang w:val="fr-CH" w:eastAsia="zh-CN"/>
        </w:rPr>
        <w:t>'</w:t>
      </w:r>
      <w:r w:rsidRPr="0044453C">
        <w:rPr>
          <w:lang w:val="fr-CH" w:eastAsia="zh-CN"/>
        </w:rPr>
        <w:t>UIT-R, le Règlement des radiocommunications,</w:t>
      </w:r>
      <w:r>
        <w:rPr>
          <w:lang w:val="fr-CH" w:eastAsia="zh-CN"/>
        </w:rPr>
        <w:t xml:space="preserve"> </w:t>
      </w:r>
      <w:r w:rsidRPr="0044453C">
        <w:rPr>
          <w:lang w:val="fr-CH" w:eastAsia="zh-CN"/>
        </w:rPr>
        <w:t>les Résolutions, les Rapports, les Recommandations et les Manuels soient diffusés dans tous les</w:t>
      </w:r>
      <w:r>
        <w:rPr>
          <w:lang w:val="fr-CH" w:eastAsia="zh-CN"/>
        </w:rPr>
        <w:t xml:space="preserve"> </w:t>
      </w:r>
      <w:r w:rsidRPr="0044453C">
        <w:rPr>
          <w:lang w:val="fr-CH" w:eastAsia="zh-CN"/>
        </w:rPr>
        <w:t>pays</w:t>
      </w:r>
    </w:p>
    <w:p w:rsidR="005000E5" w:rsidRDefault="0044453C" w:rsidP="00EE3543">
      <w:pPr>
        <w:pStyle w:val="enumlev1"/>
        <w:spacing w:before="60"/>
        <w:rPr>
          <w:lang w:val="fr-CH" w:eastAsia="zh-CN"/>
        </w:rPr>
      </w:pPr>
      <w:r w:rsidRPr="0044453C">
        <w:rPr>
          <w:lang w:val="fr-CH" w:eastAsia="zh-CN"/>
        </w:rPr>
        <w:t>•</w:t>
      </w:r>
      <w:r w:rsidRPr="0044453C">
        <w:rPr>
          <w:lang w:val="fr-CH" w:eastAsia="zh-CN"/>
        </w:rPr>
        <w:tab/>
        <w:t>Soutenir des projets et initiatives concrets visant à réduire la fracture numérique</w:t>
      </w:r>
    </w:p>
    <w:p w:rsidR="006E6F5F" w:rsidRPr="0044453C" w:rsidRDefault="006E6F5F" w:rsidP="00EE3543">
      <w:pPr>
        <w:pStyle w:val="enumlev1"/>
        <w:spacing w:before="60"/>
        <w:rPr>
          <w:lang w:val="fr-CH"/>
        </w:rPr>
      </w:pPr>
    </w:p>
    <w:p w:rsidR="00F221FF" w:rsidRDefault="00F221FF">
      <w:pPr>
        <w:jc w:val="center"/>
      </w:pPr>
      <w:r>
        <w:t>______________</w:t>
      </w:r>
    </w:p>
    <w:sectPr w:rsidR="00F221FF" w:rsidSect="003A0B7D">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B5" w:rsidRDefault="003B24B5">
      <w:r>
        <w:separator/>
      </w:r>
    </w:p>
  </w:endnote>
  <w:endnote w:type="continuationSeparator" w:id="0">
    <w:p w:rsidR="003B24B5" w:rsidRDefault="003B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F3710B" w:rsidRDefault="000C467B" w:rsidP="005358E4">
    <w:pPr>
      <w:pStyle w:val="Footer"/>
      <w:tabs>
        <w:tab w:val="clear" w:pos="5954"/>
        <w:tab w:val="clear" w:pos="9639"/>
        <w:tab w:val="left" w:pos="7655"/>
        <w:tab w:val="right" w:pos="949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B5" w:rsidRDefault="003B24B5">
      <w:r>
        <w:t>____________________</w:t>
      </w:r>
    </w:p>
  </w:footnote>
  <w:footnote w:type="continuationSeparator" w:id="0">
    <w:p w:rsidR="003B24B5" w:rsidRDefault="003B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7B3358">
      <w:rPr>
        <w:noProof/>
      </w:rPr>
      <w:t>7</w:t>
    </w:r>
    <w:r>
      <w:fldChar w:fldCharType="end"/>
    </w:r>
  </w:p>
  <w:p w:rsidR="00BD1614" w:rsidRPr="00F3710B" w:rsidRDefault="00BD1614" w:rsidP="00123D89">
    <w:pPr>
      <w:pStyle w:val="Header"/>
      <w:rPr>
        <w:sz w:val="16"/>
        <w:szCs w:val="16"/>
      </w:rPr>
    </w:pPr>
    <w:r w:rsidRPr="00F3710B">
      <w:rPr>
        <w:sz w:val="16"/>
        <w:szCs w:val="16"/>
      </w:rPr>
      <w:t>PP1</w:t>
    </w:r>
    <w:r w:rsidR="001E2226" w:rsidRPr="00F3710B">
      <w:rPr>
        <w:sz w:val="16"/>
        <w:szCs w:val="16"/>
      </w:rPr>
      <w:t>8</w:t>
    </w:r>
    <w:r w:rsidR="00417658" w:rsidRPr="00F3710B">
      <w:rPr>
        <w:sz w:val="16"/>
        <w:szCs w:val="16"/>
      </w:rPr>
      <w:t>/</w:t>
    </w:r>
    <w:r w:rsidR="00F3710B" w:rsidRPr="00F3710B">
      <w:rPr>
        <w:sz w:val="16"/>
        <w:szCs w:val="16"/>
      </w:rPr>
      <w:t>59</w:t>
    </w:r>
    <w:r w:rsidR="00417658" w:rsidRPr="00F3710B">
      <w:rPr>
        <w:sz w:val="16"/>
        <w:szCs w:val="16"/>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0496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86D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AE8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C6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ACD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6438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2E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3682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267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7430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D66DE"/>
    <w:multiLevelType w:val="hybridMultilevel"/>
    <w:tmpl w:val="6368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3A36"/>
    <w:multiLevelType w:val="hybridMultilevel"/>
    <w:tmpl w:val="19F05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41D6F"/>
    <w:multiLevelType w:val="hybridMultilevel"/>
    <w:tmpl w:val="CF4E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E3411"/>
    <w:multiLevelType w:val="hybridMultilevel"/>
    <w:tmpl w:val="7A48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56C5F"/>
    <w:multiLevelType w:val="hybridMultilevel"/>
    <w:tmpl w:val="0976620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B5"/>
    <w:rsid w:val="00004418"/>
    <w:rsid w:val="000054D8"/>
    <w:rsid w:val="00060D74"/>
    <w:rsid w:val="00072D5C"/>
    <w:rsid w:val="0008398C"/>
    <w:rsid w:val="00084308"/>
    <w:rsid w:val="000B14B6"/>
    <w:rsid w:val="000C467B"/>
    <w:rsid w:val="000D15FB"/>
    <w:rsid w:val="000F58F7"/>
    <w:rsid w:val="001051E4"/>
    <w:rsid w:val="001134A7"/>
    <w:rsid w:val="00123D89"/>
    <w:rsid w:val="001354EA"/>
    <w:rsid w:val="00136FCE"/>
    <w:rsid w:val="00153BA4"/>
    <w:rsid w:val="00164E2C"/>
    <w:rsid w:val="001941AD"/>
    <w:rsid w:val="001A0682"/>
    <w:rsid w:val="001B4D8D"/>
    <w:rsid w:val="001D31B2"/>
    <w:rsid w:val="001E1B9B"/>
    <w:rsid w:val="001E2226"/>
    <w:rsid w:val="001F6233"/>
    <w:rsid w:val="002355CD"/>
    <w:rsid w:val="00270B2F"/>
    <w:rsid w:val="002A0E1B"/>
    <w:rsid w:val="002C1059"/>
    <w:rsid w:val="002C2F9C"/>
    <w:rsid w:val="002F7159"/>
    <w:rsid w:val="00322DEA"/>
    <w:rsid w:val="003467AF"/>
    <w:rsid w:val="00355FBD"/>
    <w:rsid w:val="00381461"/>
    <w:rsid w:val="00395BEB"/>
    <w:rsid w:val="003A0B7D"/>
    <w:rsid w:val="003A45C2"/>
    <w:rsid w:val="003B24B5"/>
    <w:rsid w:val="003C4BE2"/>
    <w:rsid w:val="003D147D"/>
    <w:rsid w:val="003D637A"/>
    <w:rsid w:val="003D6B9E"/>
    <w:rsid w:val="003E17FA"/>
    <w:rsid w:val="00417658"/>
    <w:rsid w:val="00430015"/>
    <w:rsid w:val="004408EB"/>
    <w:rsid w:val="0044453C"/>
    <w:rsid w:val="00445CB1"/>
    <w:rsid w:val="004678D0"/>
    <w:rsid w:val="00482954"/>
    <w:rsid w:val="004951C0"/>
    <w:rsid w:val="005000E5"/>
    <w:rsid w:val="00500768"/>
    <w:rsid w:val="00524001"/>
    <w:rsid w:val="005358E4"/>
    <w:rsid w:val="00564B63"/>
    <w:rsid w:val="00575DC7"/>
    <w:rsid w:val="005836C2"/>
    <w:rsid w:val="005A4EFD"/>
    <w:rsid w:val="005A5ABE"/>
    <w:rsid w:val="005C15DF"/>
    <w:rsid w:val="005C2ECC"/>
    <w:rsid w:val="005C6744"/>
    <w:rsid w:val="005E419E"/>
    <w:rsid w:val="005F63BD"/>
    <w:rsid w:val="00611CF1"/>
    <w:rsid w:val="006201D9"/>
    <w:rsid w:val="006277DB"/>
    <w:rsid w:val="00635B7B"/>
    <w:rsid w:val="00637D49"/>
    <w:rsid w:val="00655B98"/>
    <w:rsid w:val="00663843"/>
    <w:rsid w:val="00665878"/>
    <w:rsid w:val="006710E6"/>
    <w:rsid w:val="00686973"/>
    <w:rsid w:val="006A2656"/>
    <w:rsid w:val="006A6342"/>
    <w:rsid w:val="006B6C9C"/>
    <w:rsid w:val="006C7AE3"/>
    <w:rsid w:val="006D100A"/>
    <w:rsid w:val="006D55E8"/>
    <w:rsid w:val="006E1921"/>
    <w:rsid w:val="006E6F5F"/>
    <w:rsid w:val="006F36F9"/>
    <w:rsid w:val="0070576B"/>
    <w:rsid w:val="00713335"/>
    <w:rsid w:val="00727C2F"/>
    <w:rsid w:val="00735F13"/>
    <w:rsid w:val="007717F2"/>
    <w:rsid w:val="00772E3B"/>
    <w:rsid w:val="0078134C"/>
    <w:rsid w:val="00796705"/>
    <w:rsid w:val="007A5830"/>
    <w:rsid w:val="007B3358"/>
    <w:rsid w:val="007F0490"/>
    <w:rsid w:val="00801256"/>
    <w:rsid w:val="00802FDD"/>
    <w:rsid w:val="008641DB"/>
    <w:rsid w:val="008703CB"/>
    <w:rsid w:val="008B61AF"/>
    <w:rsid w:val="008C33C2"/>
    <w:rsid w:val="008C6137"/>
    <w:rsid w:val="008E2DB4"/>
    <w:rsid w:val="00901DD5"/>
    <w:rsid w:val="0090735B"/>
    <w:rsid w:val="00912D5E"/>
    <w:rsid w:val="00934340"/>
    <w:rsid w:val="00953FD7"/>
    <w:rsid w:val="00956DC7"/>
    <w:rsid w:val="00966CD3"/>
    <w:rsid w:val="00987A20"/>
    <w:rsid w:val="009A0E15"/>
    <w:rsid w:val="009C7F37"/>
    <w:rsid w:val="009D4037"/>
    <w:rsid w:val="009F0592"/>
    <w:rsid w:val="00A20E72"/>
    <w:rsid w:val="00A246DC"/>
    <w:rsid w:val="00A47BAF"/>
    <w:rsid w:val="00A542D3"/>
    <w:rsid w:val="00A5784F"/>
    <w:rsid w:val="00A8436E"/>
    <w:rsid w:val="00A95B66"/>
    <w:rsid w:val="00AE0667"/>
    <w:rsid w:val="00B34C47"/>
    <w:rsid w:val="00B41E0A"/>
    <w:rsid w:val="00B51266"/>
    <w:rsid w:val="00B56DE0"/>
    <w:rsid w:val="00B71F12"/>
    <w:rsid w:val="00B96B1E"/>
    <w:rsid w:val="00BB2A6F"/>
    <w:rsid w:val="00BD1614"/>
    <w:rsid w:val="00BD5DA6"/>
    <w:rsid w:val="00BF7D25"/>
    <w:rsid w:val="00C010C0"/>
    <w:rsid w:val="00C40CB5"/>
    <w:rsid w:val="00C54CE6"/>
    <w:rsid w:val="00C575E2"/>
    <w:rsid w:val="00C7368B"/>
    <w:rsid w:val="00C8290A"/>
    <w:rsid w:val="00C92746"/>
    <w:rsid w:val="00C92D0E"/>
    <w:rsid w:val="00CC239B"/>
    <w:rsid w:val="00CC2D97"/>
    <w:rsid w:val="00CC4DC5"/>
    <w:rsid w:val="00CE1A7C"/>
    <w:rsid w:val="00D0464B"/>
    <w:rsid w:val="00D12C74"/>
    <w:rsid w:val="00D2263F"/>
    <w:rsid w:val="00D54FD5"/>
    <w:rsid w:val="00D56483"/>
    <w:rsid w:val="00D5658F"/>
    <w:rsid w:val="00D56AD6"/>
    <w:rsid w:val="00D70019"/>
    <w:rsid w:val="00D74B58"/>
    <w:rsid w:val="00D82ABE"/>
    <w:rsid w:val="00DA4ABA"/>
    <w:rsid w:val="00DA685B"/>
    <w:rsid w:val="00DA742B"/>
    <w:rsid w:val="00DF09CA"/>
    <w:rsid w:val="00DF25C1"/>
    <w:rsid w:val="00DF48F7"/>
    <w:rsid w:val="00DF4964"/>
    <w:rsid w:val="00DF4D73"/>
    <w:rsid w:val="00DF79B0"/>
    <w:rsid w:val="00E1047D"/>
    <w:rsid w:val="00E34BBF"/>
    <w:rsid w:val="00E3516B"/>
    <w:rsid w:val="00E443FA"/>
    <w:rsid w:val="00E54FCE"/>
    <w:rsid w:val="00E60DA1"/>
    <w:rsid w:val="00E70011"/>
    <w:rsid w:val="00E93D35"/>
    <w:rsid w:val="00EA45DB"/>
    <w:rsid w:val="00EC772A"/>
    <w:rsid w:val="00ED2CD9"/>
    <w:rsid w:val="00ED59C0"/>
    <w:rsid w:val="00EE2231"/>
    <w:rsid w:val="00EE3543"/>
    <w:rsid w:val="00F07DA7"/>
    <w:rsid w:val="00F1360B"/>
    <w:rsid w:val="00F221FF"/>
    <w:rsid w:val="00F3710B"/>
    <w:rsid w:val="00F564C1"/>
    <w:rsid w:val="00F739B9"/>
    <w:rsid w:val="00F77FA2"/>
    <w:rsid w:val="00F8357A"/>
    <w:rsid w:val="00FA1B77"/>
    <w:rsid w:val="00FB4B65"/>
    <w:rsid w:val="00FB5741"/>
    <w:rsid w:val="00FB74B8"/>
    <w:rsid w:val="00FC154E"/>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1A365035-81CD-4071-A7CD-8D354EF4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5000E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 w:val="22"/>
      <w:szCs w:val="22"/>
      <w:lang w:val="lt-LT"/>
    </w:rPr>
  </w:style>
  <w:style w:type="table" w:styleId="TableGrid">
    <w:name w:val="Table Grid"/>
    <w:basedOn w:val="TableNormal"/>
    <w:rsid w:val="00EC7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ana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F86A-F277-4F4D-93CA-A3E2A39C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10</TotalTime>
  <Pages>8</Pages>
  <Words>2055</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14579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of BR-Uruguay</dc:title>
  <dc:subject>Plenipotentiary Conference (PP-18)</dc:subject>
  <dc:creator>Campana, Lina</dc:creator>
  <cp:keywords>PP-18, Plenipotentiary</cp:keywords>
  <dc:description/>
  <cp:lastModifiedBy>Botalla, Sabine</cp:lastModifiedBy>
  <cp:revision>4</cp:revision>
  <cp:lastPrinted>2018-10-03T07:54:00Z</cp:lastPrinted>
  <dcterms:created xsi:type="dcterms:W3CDTF">2018-10-04T07:23:00Z</dcterms:created>
  <dcterms:modified xsi:type="dcterms:W3CDTF">2018-10-04T07:37:00Z</dcterms:modified>
  <cp:category>Conference document</cp:category>
</cp:coreProperties>
</file>