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C21A6F" w14:paraId="733D1432" w14:textId="77777777" w:rsidTr="00C06796">
        <w:trPr>
          <w:cantSplit/>
        </w:trPr>
        <w:tc>
          <w:tcPr>
            <w:tcW w:w="6911" w:type="dxa"/>
          </w:tcPr>
          <w:p w14:paraId="62167362" w14:textId="77777777" w:rsidR="00BD1614" w:rsidRPr="00C21A6F" w:rsidRDefault="00BD1614" w:rsidP="0066183D">
            <w:pPr>
              <w:rPr>
                <w:b/>
                <w:bCs/>
                <w:position w:val="6"/>
                <w:szCs w:val="24"/>
                <w:lang w:val="fr-CH"/>
              </w:rPr>
            </w:pPr>
            <w:bookmarkStart w:id="0" w:name="dbreak"/>
            <w:bookmarkStart w:id="1" w:name="dpp"/>
            <w:bookmarkEnd w:id="0"/>
            <w:bookmarkEnd w:id="1"/>
            <w:r w:rsidRPr="00C21A6F">
              <w:rPr>
                <w:rFonts w:cs="Times"/>
                <w:b/>
                <w:sz w:val="30"/>
                <w:szCs w:val="30"/>
                <w:lang w:val="fr-CH"/>
              </w:rPr>
              <w:t>Conférence de plénipotentiaires</w:t>
            </w:r>
            <w:r w:rsidRPr="00C21A6F">
              <w:rPr>
                <w:b/>
                <w:smallCaps/>
                <w:sz w:val="30"/>
                <w:szCs w:val="30"/>
                <w:lang w:val="fr-CH"/>
              </w:rPr>
              <w:t xml:space="preserve"> (PP-1</w:t>
            </w:r>
            <w:r w:rsidR="001E2226" w:rsidRPr="00C21A6F">
              <w:rPr>
                <w:b/>
                <w:smallCaps/>
                <w:sz w:val="30"/>
                <w:szCs w:val="30"/>
                <w:lang w:val="fr-CH"/>
              </w:rPr>
              <w:t>8</w:t>
            </w:r>
            <w:r w:rsidRPr="00C21A6F">
              <w:rPr>
                <w:b/>
                <w:smallCaps/>
                <w:sz w:val="30"/>
                <w:szCs w:val="30"/>
                <w:lang w:val="fr-CH"/>
              </w:rPr>
              <w:t>)</w:t>
            </w:r>
            <w:r w:rsidRPr="00C21A6F">
              <w:rPr>
                <w:b/>
                <w:smallCaps/>
                <w:sz w:val="36"/>
                <w:lang w:val="fr-CH"/>
              </w:rPr>
              <w:br/>
            </w:r>
            <w:r w:rsidR="001E2226" w:rsidRPr="00C21A6F">
              <w:rPr>
                <w:rFonts w:cs="Times New Roman Bold"/>
                <w:b/>
                <w:bCs/>
                <w:szCs w:val="24"/>
                <w:lang w:val="fr-CH"/>
              </w:rPr>
              <w:t>Dubaï</w:t>
            </w:r>
            <w:r w:rsidRPr="00C21A6F">
              <w:rPr>
                <w:rFonts w:cs="Times New Roman Bold"/>
                <w:b/>
                <w:bCs/>
                <w:szCs w:val="24"/>
                <w:lang w:val="fr-CH"/>
              </w:rPr>
              <w:t>, 2</w:t>
            </w:r>
            <w:r w:rsidR="001E2226" w:rsidRPr="00C21A6F">
              <w:rPr>
                <w:rFonts w:cs="Times New Roman Bold"/>
                <w:b/>
                <w:bCs/>
                <w:szCs w:val="24"/>
                <w:lang w:val="fr-CH"/>
              </w:rPr>
              <w:t>9</w:t>
            </w:r>
            <w:r w:rsidRPr="00C21A6F">
              <w:rPr>
                <w:rFonts w:cs="Times New Roman Bold"/>
                <w:b/>
                <w:bCs/>
                <w:szCs w:val="24"/>
                <w:lang w:val="fr-CH"/>
              </w:rPr>
              <w:t xml:space="preserve"> octobre </w:t>
            </w:r>
            <w:r w:rsidR="001E2226" w:rsidRPr="00C21A6F">
              <w:rPr>
                <w:rFonts w:cs="Times New Roman Bold"/>
                <w:b/>
                <w:bCs/>
                <w:szCs w:val="24"/>
                <w:lang w:val="fr-CH"/>
              </w:rPr>
              <w:t>–</w:t>
            </w:r>
            <w:r w:rsidRPr="00C21A6F">
              <w:rPr>
                <w:rFonts w:cs="Times New Roman Bold"/>
                <w:b/>
                <w:bCs/>
                <w:szCs w:val="24"/>
                <w:lang w:val="fr-CH"/>
              </w:rPr>
              <w:t xml:space="preserve"> </w:t>
            </w:r>
            <w:r w:rsidR="001E2226" w:rsidRPr="00C21A6F">
              <w:rPr>
                <w:rFonts w:cs="Times New Roman Bold"/>
                <w:b/>
                <w:bCs/>
                <w:szCs w:val="24"/>
                <w:lang w:val="fr-CH"/>
              </w:rPr>
              <w:t>16</w:t>
            </w:r>
            <w:r w:rsidRPr="00C21A6F">
              <w:rPr>
                <w:rFonts w:cs="Times New Roman Bold"/>
                <w:b/>
                <w:bCs/>
                <w:szCs w:val="24"/>
                <w:lang w:val="fr-CH"/>
              </w:rPr>
              <w:t xml:space="preserve"> novembre 201</w:t>
            </w:r>
            <w:r w:rsidR="001E2226" w:rsidRPr="00C21A6F">
              <w:rPr>
                <w:rFonts w:cs="Times New Roman Bold"/>
                <w:b/>
                <w:bCs/>
                <w:szCs w:val="24"/>
                <w:lang w:val="fr-CH"/>
              </w:rPr>
              <w:t>8</w:t>
            </w:r>
          </w:p>
        </w:tc>
        <w:tc>
          <w:tcPr>
            <w:tcW w:w="3120" w:type="dxa"/>
          </w:tcPr>
          <w:p w14:paraId="12557383" w14:textId="77777777" w:rsidR="00BD1614" w:rsidRPr="00C21A6F" w:rsidRDefault="00BD1614" w:rsidP="0066183D">
            <w:pPr>
              <w:spacing w:before="0"/>
              <w:rPr>
                <w:rFonts w:cstheme="minorHAnsi"/>
                <w:lang w:val="fr-CH"/>
              </w:rPr>
            </w:pPr>
            <w:bookmarkStart w:id="2" w:name="ditulogo"/>
            <w:bookmarkEnd w:id="2"/>
            <w:r w:rsidRPr="00C21A6F">
              <w:rPr>
                <w:rFonts w:cstheme="minorHAnsi"/>
                <w:b/>
                <w:bCs/>
                <w:noProof/>
                <w:lang w:val="en-GB" w:eastAsia="zh-CN"/>
              </w:rPr>
              <w:drawing>
                <wp:inline distT="0" distB="0" distL="0" distR="0" wp14:anchorId="048F933E" wp14:editId="1310721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C21A6F" w14:paraId="68050A83" w14:textId="77777777" w:rsidTr="00C06796">
        <w:trPr>
          <w:cantSplit/>
        </w:trPr>
        <w:tc>
          <w:tcPr>
            <w:tcW w:w="6911" w:type="dxa"/>
            <w:tcBorders>
              <w:bottom w:val="single" w:sz="12" w:space="0" w:color="auto"/>
            </w:tcBorders>
          </w:tcPr>
          <w:p w14:paraId="093CB76E" w14:textId="77777777" w:rsidR="00BD1614" w:rsidRPr="00C21A6F" w:rsidRDefault="00BD1614" w:rsidP="0066183D">
            <w:pPr>
              <w:spacing w:before="0" w:after="48"/>
              <w:rPr>
                <w:rFonts w:cstheme="minorHAnsi"/>
                <w:b/>
                <w:smallCaps/>
                <w:szCs w:val="24"/>
                <w:lang w:val="fr-CH"/>
              </w:rPr>
            </w:pPr>
            <w:bookmarkStart w:id="3" w:name="dhead"/>
          </w:p>
        </w:tc>
        <w:tc>
          <w:tcPr>
            <w:tcW w:w="3120" w:type="dxa"/>
            <w:tcBorders>
              <w:bottom w:val="single" w:sz="12" w:space="0" w:color="auto"/>
            </w:tcBorders>
          </w:tcPr>
          <w:p w14:paraId="7955B4C6" w14:textId="77777777" w:rsidR="00BD1614" w:rsidRPr="00C21A6F" w:rsidRDefault="00BD1614" w:rsidP="0066183D">
            <w:pPr>
              <w:spacing w:before="0" w:after="48"/>
              <w:rPr>
                <w:rFonts w:cstheme="minorHAnsi"/>
                <w:b/>
                <w:smallCaps/>
                <w:szCs w:val="24"/>
                <w:lang w:val="fr-CH"/>
              </w:rPr>
            </w:pPr>
          </w:p>
        </w:tc>
      </w:tr>
      <w:tr w:rsidR="00BD1614" w:rsidRPr="00C21A6F" w14:paraId="3F8B9D0F" w14:textId="77777777" w:rsidTr="00C06796">
        <w:trPr>
          <w:cantSplit/>
        </w:trPr>
        <w:tc>
          <w:tcPr>
            <w:tcW w:w="6911" w:type="dxa"/>
            <w:tcBorders>
              <w:top w:val="single" w:sz="12" w:space="0" w:color="auto"/>
            </w:tcBorders>
          </w:tcPr>
          <w:p w14:paraId="247123BA" w14:textId="77777777" w:rsidR="00BD1614" w:rsidRPr="00C21A6F" w:rsidRDefault="00BD1614" w:rsidP="0066183D">
            <w:pPr>
              <w:spacing w:before="0"/>
              <w:rPr>
                <w:rFonts w:cstheme="minorHAnsi"/>
                <w:b/>
                <w:smallCaps/>
                <w:szCs w:val="24"/>
                <w:lang w:val="fr-CH"/>
              </w:rPr>
            </w:pPr>
          </w:p>
        </w:tc>
        <w:tc>
          <w:tcPr>
            <w:tcW w:w="3120" w:type="dxa"/>
            <w:tcBorders>
              <w:top w:val="single" w:sz="12" w:space="0" w:color="auto"/>
            </w:tcBorders>
          </w:tcPr>
          <w:p w14:paraId="23744BC5" w14:textId="77777777" w:rsidR="00BD1614" w:rsidRPr="00C21A6F" w:rsidRDefault="00BD1614" w:rsidP="0066183D">
            <w:pPr>
              <w:spacing w:before="0"/>
              <w:rPr>
                <w:rFonts w:cstheme="minorHAnsi"/>
                <w:szCs w:val="24"/>
                <w:lang w:val="fr-CH"/>
              </w:rPr>
            </w:pPr>
          </w:p>
        </w:tc>
      </w:tr>
      <w:tr w:rsidR="00BD1614" w:rsidRPr="00C21A6F" w14:paraId="5C02EFFB" w14:textId="77777777" w:rsidTr="00C06796">
        <w:trPr>
          <w:cantSplit/>
        </w:trPr>
        <w:tc>
          <w:tcPr>
            <w:tcW w:w="6911" w:type="dxa"/>
          </w:tcPr>
          <w:p w14:paraId="6A150FC7" w14:textId="77777777" w:rsidR="00BD1614" w:rsidRPr="00C21A6F" w:rsidRDefault="00417658" w:rsidP="0066183D">
            <w:pPr>
              <w:pStyle w:val="Committee"/>
              <w:framePr w:hSpace="0" w:wrap="auto" w:hAnchor="text" w:yAlign="inline"/>
              <w:spacing w:after="0" w:line="240" w:lineRule="auto"/>
              <w:rPr>
                <w:lang w:val="fr-CH"/>
              </w:rPr>
            </w:pPr>
            <w:r w:rsidRPr="00C21A6F">
              <w:rPr>
                <w:lang w:val="fr-CH"/>
              </w:rPr>
              <w:t>SÉANCE PLÉNIÈRE</w:t>
            </w:r>
          </w:p>
        </w:tc>
        <w:tc>
          <w:tcPr>
            <w:tcW w:w="3120" w:type="dxa"/>
          </w:tcPr>
          <w:p w14:paraId="450B4280" w14:textId="77777777" w:rsidR="00BD1614" w:rsidRPr="00C21A6F" w:rsidRDefault="00CF058C" w:rsidP="0066183D">
            <w:pPr>
              <w:spacing w:before="0"/>
              <w:rPr>
                <w:rFonts w:cstheme="minorHAnsi"/>
                <w:szCs w:val="24"/>
                <w:lang w:val="fr-CH"/>
              </w:rPr>
            </w:pPr>
            <w:r w:rsidRPr="00C21A6F">
              <w:rPr>
                <w:rFonts w:cstheme="minorHAnsi"/>
                <w:b/>
                <w:szCs w:val="24"/>
                <w:lang w:val="fr-CH"/>
              </w:rPr>
              <w:t>Document 53</w:t>
            </w:r>
            <w:r w:rsidR="00417658" w:rsidRPr="00C21A6F">
              <w:rPr>
                <w:rFonts w:cstheme="minorHAnsi"/>
                <w:b/>
                <w:szCs w:val="24"/>
                <w:lang w:val="fr-CH"/>
              </w:rPr>
              <w:t>-F</w:t>
            </w:r>
          </w:p>
        </w:tc>
      </w:tr>
      <w:tr w:rsidR="00BD1614" w:rsidRPr="00C21A6F" w14:paraId="55BC7D9F" w14:textId="77777777" w:rsidTr="00C06796">
        <w:trPr>
          <w:cantSplit/>
        </w:trPr>
        <w:tc>
          <w:tcPr>
            <w:tcW w:w="6911" w:type="dxa"/>
          </w:tcPr>
          <w:p w14:paraId="77BD54F6" w14:textId="77777777" w:rsidR="00BD1614" w:rsidRPr="00C21A6F" w:rsidRDefault="00BD1614" w:rsidP="0066183D">
            <w:pPr>
              <w:spacing w:before="0"/>
              <w:rPr>
                <w:rFonts w:cstheme="minorHAnsi"/>
                <w:b/>
                <w:szCs w:val="24"/>
                <w:lang w:val="fr-CH"/>
              </w:rPr>
            </w:pPr>
          </w:p>
        </w:tc>
        <w:tc>
          <w:tcPr>
            <w:tcW w:w="3120" w:type="dxa"/>
          </w:tcPr>
          <w:p w14:paraId="357146F9" w14:textId="77777777" w:rsidR="00BD1614" w:rsidRPr="00C21A6F" w:rsidRDefault="00CF058C" w:rsidP="0066183D">
            <w:pPr>
              <w:spacing w:before="0"/>
              <w:rPr>
                <w:rFonts w:cstheme="minorHAnsi"/>
                <w:b/>
                <w:szCs w:val="24"/>
                <w:lang w:val="fr-CH"/>
              </w:rPr>
            </w:pPr>
            <w:r w:rsidRPr="00C21A6F">
              <w:rPr>
                <w:rFonts w:cstheme="minorHAnsi"/>
                <w:b/>
                <w:szCs w:val="24"/>
                <w:lang w:val="fr-CH"/>
              </w:rPr>
              <w:t>10 septembre</w:t>
            </w:r>
            <w:r w:rsidR="00417658" w:rsidRPr="00C21A6F">
              <w:rPr>
                <w:rFonts w:cstheme="minorHAnsi"/>
                <w:b/>
                <w:szCs w:val="24"/>
                <w:lang w:val="fr-CH"/>
              </w:rPr>
              <w:t xml:space="preserve"> 201</w:t>
            </w:r>
            <w:r w:rsidRPr="00C21A6F">
              <w:rPr>
                <w:rFonts w:cstheme="minorHAnsi"/>
                <w:b/>
                <w:szCs w:val="24"/>
                <w:lang w:val="fr-CH"/>
              </w:rPr>
              <w:t>8</w:t>
            </w:r>
          </w:p>
        </w:tc>
      </w:tr>
      <w:tr w:rsidR="00BD1614" w:rsidRPr="00C21A6F" w14:paraId="5A5C0CE6" w14:textId="77777777" w:rsidTr="00C06796">
        <w:trPr>
          <w:cantSplit/>
        </w:trPr>
        <w:tc>
          <w:tcPr>
            <w:tcW w:w="6911" w:type="dxa"/>
          </w:tcPr>
          <w:p w14:paraId="3B2C1B52" w14:textId="77777777" w:rsidR="00BD1614" w:rsidRPr="00C21A6F" w:rsidRDefault="00BD1614" w:rsidP="0066183D">
            <w:pPr>
              <w:spacing w:before="0"/>
              <w:rPr>
                <w:rFonts w:cstheme="minorHAnsi"/>
                <w:b/>
                <w:smallCaps/>
                <w:szCs w:val="24"/>
                <w:lang w:val="fr-CH"/>
              </w:rPr>
            </w:pPr>
          </w:p>
        </w:tc>
        <w:tc>
          <w:tcPr>
            <w:tcW w:w="3120" w:type="dxa"/>
          </w:tcPr>
          <w:p w14:paraId="2620FB79" w14:textId="77777777" w:rsidR="00BD1614" w:rsidRPr="00C21A6F" w:rsidRDefault="00417658" w:rsidP="0066183D">
            <w:pPr>
              <w:spacing w:before="0"/>
              <w:rPr>
                <w:rFonts w:cstheme="minorHAnsi"/>
                <w:b/>
                <w:szCs w:val="24"/>
                <w:lang w:val="fr-CH"/>
              </w:rPr>
            </w:pPr>
            <w:r w:rsidRPr="00C21A6F">
              <w:rPr>
                <w:rFonts w:cstheme="minorHAnsi"/>
                <w:b/>
                <w:szCs w:val="24"/>
                <w:lang w:val="fr-CH"/>
              </w:rPr>
              <w:t>Original: anglais</w:t>
            </w:r>
          </w:p>
        </w:tc>
      </w:tr>
      <w:tr w:rsidR="00BD1614" w:rsidRPr="00C21A6F" w14:paraId="5E3FB8AB" w14:textId="77777777" w:rsidTr="00C06796">
        <w:trPr>
          <w:cantSplit/>
        </w:trPr>
        <w:tc>
          <w:tcPr>
            <w:tcW w:w="10031" w:type="dxa"/>
            <w:gridSpan w:val="2"/>
          </w:tcPr>
          <w:p w14:paraId="1867B963" w14:textId="77777777" w:rsidR="00BD1614" w:rsidRPr="00C21A6F" w:rsidRDefault="00BD1614" w:rsidP="0066183D">
            <w:pPr>
              <w:spacing w:before="0"/>
              <w:rPr>
                <w:rFonts w:cstheme="minorHAnsi"/>
                <w:b/>
                <w:szCs w:val="24"/>
                <w:lang w:val="fr-CH"/>
              </w:rPr>
            </w:pPr>
          </w:p>
        </w:tc>
      </w:tr>
      <w:tr w:rsidR="00BD1614" w:rsidRPr="00C21A6F" w14:paraId="059BA705" w14:textId="77777777" w:rsidTr="00C06796">
        <w:trPr>
          <w:cantSplit/>
        </w:trPr>
        <w:tc>
          <w:tcPr>
            <w:tcW w:w="10031" w:type="dxa"/>
            <w:gridSpan w:val="2"/>
          </w:tcPr>
          <w:p w14:paraId="4D9C70AE" w14:textId="77777777" w:rsidR="00BD1614" w:rsidRPr="00C21A6F" w:rsidRDefault="00CF058C" w:rsidP="0066183D">
            <w:pPr>
              <w:pStyle w:val="Source"/>
              <w:rPr>
                <w:lang w:val="fr-CH"/>
              </w:rPr>
            </w:pPr>
            <w:bookmarkStart w:id="4" w:name="dsource" w:colFirst="0" w:colLast="0"/>
            <w:bookmarkEnd w:id="3"/>
            <w:r w:rsidRPr="00C21A6F">
              <w:rPr>
                <w:lang w:val="fr-CH"/>
              </w:rPr>
              <w:t>Rapport du Secrétaire général</w:t>
            </w:r>
          </w:p>
        </w:tc>
      </w:tr>
      <w:tr w:rsidR="00BD1614" w:rsidRPr="00C21A6F" w14:paraId="583D788A" w14:textId="77777777" w:rsidTr="00C06796">
        <w:trPr>
          <w:cantSplit/>
        </w:trPr>
        <w:tc>
          <w:tcPr>
            <w:tcW w:w="10031" w:type="dxa"/>
            <w:gridSpan w:val="2"/>
          </w:tcPr>
          <w:p w14:paraId="3F631C32" w14:textId="3F3008A7" w:rsidR="00BD1614" w:rsidRPr="00C21A6F" w:rsidRDefault="00CF058C" w:rsidP="0066183D">
            <w:pPr>
              <w:pStyle w:val="Title1"/>
              <w:rPr>
                <w:lang w:val="fr-CH"/>
              </w:rPr>
            </w:pPr>
            <w:bookmarkStart w:id="5" w:name="dtitle1" w:colFirst="0" w:colLast="0"/>
            <w:bookmarkEnd w:id="4"/>
            <w:r w:rsidRPr="00C21A6F">
              <w:rPr>
                <w:lang w:val="fr-CH"/>
              </w:rPr>
              <w:t>RÔLE DE L</w:t>
            </w:r>
            <w:r w:rsidR="0066183D" w:rsidRPr="00C21A6F">
              <w:rPr>
                <w:lang w:val="fr-CH"/>
              </w:rPr>
              <w:t>'</w:t>
            </w:r>
            <w:r w:rsidRPr="00C21A6F">
              <w:rPr>
                <w:lang w:val="fr-CH"/>
              </w:rPr>
              <w:t>UIT EN TANT QU</w:t>
            </w:r>
            <w:r w:rsidR="0066183D" w:rsidRPr="00C21A6F">
              <w:rPr>
                <w:lang w:val="fr-CH"/>
              </w:rPr>
              <w:t>'</w:t>
            </w:r>
            <w:r w:rsidRPr="00C21A6F">
              <w:rPr>
                <w:lang w:val="fr-CH"/>
              </w:rPr>
              <w:t xml:space="preserve">AUTORITÉ DE SURVEILLANCE DU SYSTÈME </w:t>
            </w:r>
            <w:r w:rsidRPr="00C21A6F">
              <w:rPr>
                <w:lang w:val="fr-CH"/>
              </w:rPr>
              <w:br/>
              <w:t>INTERNATIONAL D</w:t>
            </w:r>
            <w:r w:rsidR="0066183D" w:rsidRPr="00C21A6F">
              <w:rPr>
                <w:lang w:val="fr-CH"/>
              </w:rPr>
              <w:t>'</w:t>
            </w:r>
            <w:r w:rsidRPr="00C21A6F">
              <w:rPr>
                <w:lang w:val="fr-CH"/>
              </w:rPr>
              <w:t xml:space="preserve">INSCRIPTION POUR LES BIENS SPATIAUX </w:t>
            </w:r>
            <w:r w:rsidRPr="00C21A6F">
              <w:rPr>
                <w:lang w:val="fr-CH"/>
              </w:rPr>
              <w:br/>
              <w:t xml:space="preserve">CONFORMÉMENT AU PROTOCOLE PORTANT </w:t>
            </w:r>
            <w:r w:rsidRPr="00C21A6F">
              <w:rPr>
                <w:lang w:val="fr-CH"/>
              </w:rPr>
              <w:br/>
              <w:t>SUR LES BIENS SPATIAUX</w:t>
            </w:r>
          </w:p>
        </w:tc>
      </w:tr>
      <w:bookmarkEnd w:id="5"/>
    </w:tbl>
    <w:p w14:paraId="7EB8A898" w14:textId="77777777" w:rsidR="00CF058C" w:rsidRPr="00C21A6F" w:rsidRDefault="00CF058C" w:rsidP="0066183D">
      <w:pPr>
        <w:tabs>
          <w:tab w:val="clear" w:pos="567"/>
          <w:tab w:val="clear" w:pos="1134"/>
          <w:tab w:val="clear" w:pos="1701"/>
          <w:tab w:val="clear" w:pos="2268"/>
          <w:tab w:val="clear" w:pos="2835"/>
        </w:tabs>
        <w:overflowPunct/>
        <w:autoSpaceDE/>
        <w:autoSpaceDN/>
        <w:adjustRightInd/>
        <w:spacing w:before="0"/>
        <w:textAlignment w:val="auto"/>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F058C" w:rsidRPr="00C21A6F" w14:paraId="2A9C4000" w14:textId="77777777" w:rsidTr="00C06796">
        <w:trPr>
          <w:trHeight w:val="3372"/>
        </w:trPr>
        <w:tc>
          <w:tcPr>
            <w:tcW w:w="8080" w:type="dxa"/>
            <w:tcBorders>
              <w:top w:val="single" w:sz="12" w:space="0" w:color="auto"/>
              <w:left w:val="single" w:sz="12" w:space="0" w:color="auto"/>
              <w:bottom w:val="single" w:sz="12" w:space="0" w:color="auto"/>
              <w:right w:val="single" w:sz="12" w:space="0" w:color="auto"/>
            </w:tcBorders>
          </w:tcPr>
          <w:p w14:paraId="0D28C310" w14:textId="77777777" w:rsidR="00CF058C" w:rsidRPr="00C21A6F" w:rsidRDefault="00CF058C" w:rsidP="003E28B5">
            <w:pPr>
              <w:pStyle w:val="Headingb"/>
              <w:keepNext w:val="0"/>
              <w:keepLines w:val="0"/>
              <w:spacing w:before="120" w:after="120"/>
              <w:rPr>
                <w:rFonts w:asciiTheme="minorHAnsi" w:hAnsiTheme="minorHAnsi"/>
                <w:szCs w:val="24"/>
                <w:lang w:val="fr-CH"/>
              </w:rPr>
            </w:pPr>
            <w:r w:rsidRPr="00C21A6F">
              <w:rPr>
                <w:rFonts w:asciiTheme="minorHAnsi" w:hAnsiTheme="minorHAnsi"/>
                <w:szCs w:val="24"/>
                <w:lang w:val="fr-CH"/>
              </w:rPr>
              <w:t>Résumé</w:t>
            </w:r>
          </w:p>
          <w:p w14:paraId="6FCFE964" w14:textId="23F17BAF" w:rsidR="007809F6" w:rsidRPr="00C21A6F" w:rsidRDefault="007809F6" w:rsidP="003E28B5">
            <w:pPr>
              <w:rPr>
                <w:lang w:val="fr-CH"/>
              </w:rPr>
            </w:pPr>
            <w:r w:rsidRPr="00C21A6F">
              <w:rPr>
                <w:lang w:val="fr-CH"/>
              </w:rPr>
              <w:t>Depuis 2011</w:t>
            </w:r>
            <w:r w:rsidR="00CF058C" w:rsidRPr="00C21A6F">
              <w:rPr>
                <w:lang w:val="fr-CH"/>
              </w:rPr>
              <w:t>, l</w:t>
            </w:r>
            <w:r w:rsidR="0066183D" w:rsidRPr="00C21A6F">
              <w:rPr>
                <w:lang w:val="fr-CH"/>
              </w:rPr>
              <w:t>'</w:t>
            </w:r>
            <w:r w:rsidR="00CF058C" w:rsidRPr="00C21A6F">
              <w:rPr>
                <w:lang w:val="fr-CH"/>
              </w:rPr>
              <w:t xml:space="preserve">Union internationale des télécommunications (UIT) </w:t>
            </w:r>
            <w:r w:rsidRPr="00C21A6F">
              <w:rPr>
                <w:lang w:val="fr-CH"/>
              </w:rPr>
              <w:t>réfléchit au rôle qu</w:t>
            </w:r>
            <w:r w:rsidR="0066183D" w:rsidRPr="00C21A6F">
              <w:rPr>
                <w:lang w:val="fr-CH"/>
              </w:rPr>
              <w:t>'</w:t>
            </w:r>
            <w:r w:rsidRPr="00C21A6F">
              <w:rPr>
                <w:lang w:val="fr-CH"/>
              </w:rPr>
              <w:t>elle pourrait jouer en tant qu</w:t>
            </w:r>
            <w:r w:rsidR="0066183D" w:rsidRPr="00C21A6F">
              <w:rPr>
                <w:lang w:val="fr-CH"/>
              </w:rPr>
              <w:t>'</w:t>
            </w:r>
            <w:r w:rsidR="00CF058C" w:rsidRPr="00C21A6F">
              <w:rPr>
                <w:lang w:val="fr-CH"/>
              </w:rPr>
              <w:t>Autorité de surveillance du système international d</w:t>
            </w:r>
            <w:r w:rsidR="0066183D" w:rsidRPr="00C21A6F">
              <w:rPr>
                <w:lang w:val="fr-CH"/>
              </w:rPr>
              <w:t>'</w:t>
            </w:r>
            <w:r w:rsidR="00CF058C" w:rsidRPr="00C21A6F">
              <w:rPr>
                <w:lang w:val="fr-CH"/>
              </w:rPr>
              <w:t>insc</w:t>
            </w:r>
            <w:r w:rsidRPr="00C21A6F">
              <w:rPr>
                <w:lang w:val="fr-CH"/>
              </w:rPr>
              <w:t>ription pour les biens spatiaux,</w:t>
            </w:r>
            <w:r w:rsidR="00CF058C" w:rsidRPr="00C21A6F">
              <w:rPr>
                <w:lang w:val="fr-CH"/>
              </w:rPr>
              <w:t xml:space="preserve"> conformément au Protocole portant sur les biens spatiaux. </w:t>
            </w:r>
            <w:r w:rsidRPr="00C21A6F">
              <w:rPr>
                <w:lang w:val="fr-CH"/>
              </w:rPr>
              <w:t>Le présent document a pour objet de rendre compte des activités menées lors des sessions de 2015, 2016 et 2017 du Conseil, ainsi qu</w:t>
            </w:r>
            <w:r w:rsidR="0066183D" w:rsidRPr="00C21A6F">
              <w:rPr>
                <w:lang w:val="fr-CH"/>
              </w:rPr>
              <w:t>'</w:t>
            </w:r>
            <w:r w:rsidRPr="00C21A6F">
              <w:rPr>
                <w:lang w:val="fr-CH"/>
              </w:rPr>
              <w:t>au cours des quatrième et cinquième sessions de la Commission préparatoire concernant le rôle que pourrait jouer l</w:t>
            </w:r>
            <w:r w:rsidR="0066183D" w:rsidRPr="00C21A6F">
              <w:rPr>
                <w:lang w:val="fr-CH"/>
              </w:rPr>
              <w:t>'</w:t>
            </w:r>
            <w:r w:rsidRPr="00C21A6F">
              <w:rPr>
                <w:lang w:val="fr-CH"/>
              </w:rPr>
              <w:t>UIT en tant qu</w:t>
            </w:r>
            <w:r w:rsidR="0066183D" w:rsidRPr="00C21A6F">
              <w:rPr>
                <w:lang w:val="fr-CH"/>
              </w:rPr>
              <w:t>'</w:t>
            </w:r>
            <w:r w:rsidRPr="00C21A6F">
              <w:rPr>
                <w:lang w:val="fr-CH"/>
              </w:rPr>
              <w:t>Autorité de surveillance du système international d</w:t>
            </w:r>
            <w:r w:rsidR="0066183D" w:rsidRPr="00C21A6F">
              <w:rPr>
                <w:lang w:val="fr-CH"/>
              </w:rPr>
              <w:t>'</w:t>
            </w:r>
            <w:r w:rsidRPr="00C21A6F">
              <w:rPr>
                <w:lang w:val="fr-CH"/>
              </w:rPr>
              <w:t>inscription pour les biens spatiaux.</w:t>
            </w:r>
            <w:r w:rsidR="008C3750" w:rsidRPr="00C21A6F">
              <w:rPr>
                <w:lang w:val="fr-CH"/>
              </w:rPr>
              <w:t xml:space="preserve"> On trouvera </w:t>
            </w:r>
            <w:r w:rsidRPr="00C21A6F">
              <w:rPr>
                <w:lang w:val="fr-CH"/>
              </w:rPr>
              <w:t>également</w:t>
            </w:r>
            <w:r w:rsidR="008C3750" w:rsidRPr="00C21A6F">
              <w:rPr>
                <w:lang w:val="fr-CH"/>
              </w:rPr>
              <w:t xml:space="preserve"> dans le présent rapport</w:t>
            </w:r>
            <w:r w:rsidRPr="00C21A6F">
              <w:rPr>
                <w:lang w:val="fr-CH"/>
              </w:rPr>
              <w:t xml:space="preserve"> les conclusions et </w:t>
            </w:r>
            <w:r w:rsidR="008C3750" w:rsidRPr="00C21A6F">
              <w:rPr>
                <w:lang w:val="fr-CH"/>
              </w:rPr>
              <w:t xml:space="preserve">les </w:t>
            </w:r>
            <w:r w:rsidRPr="00C21A6F">
              <w:rPr>
                <w:lang w:val="fr-CH"/>
              </w:rPr>
              <w:t>recommandations</w:t>
            </w:r>
            <w:r w:rsidR="008C3750" w:rsidRPr="00C21A6F">
              <w:rPr>
                <w:lang w:val="fr-CH"/>
              </w:rPr>
              <w:t xml:space="preserve"> formulées par le Conseil à sa session de 2017.</w:t>
            </w:r>
          </w:p>
          <w:p w14:paraId="1639A475" w14:textId="77777777" w:rsidR="00CF058C" w:rsidRPr="00C21A6F" w:rsidRDefault="00CF058C" w:rsidP="003E28B5">
            <w:pPr>
              <w:pStyle w:val="Headingb"/>
              <w:keepNext w:val="0"/>
              <w:keepLines w:val="0"/>
              <w:spacing w:before="120" w:after="120"/>
              <w:rPr>
                <w:rFonts w:asciiTheme="minorHAnsi" w:hAnsiTheme="minorHAnsi"/>
                <w:szCs w:val="24"/>
                <w:lang w:val="fr-CH"/>
              </w:rPr>
            </w:pPr>
            <w:r w:rsidRPr="00C21A6F">
              <w:rPr>
                <w:rFonts w:asciiTheme="minorHAnsi" w:hAnsiTheme="minorHAnsi"/>
                <w:szCs w:val="24"/>
                <w:lang w:val="fr-CH"/>
              </w:rPr>
              <w:t>Suite à donner</w:t>
            </w:r>
          </w:p>
          <w:p w14:paraId="3C66CB2F" w14:textId="294A9761" w:rsidR="008C3750" w:rsidRPr="00C21A6F" w:rsidRDefault="008C3750" w:rsidP="003E28B5">
            <w:pPr>
              <w:rPr>
                <w:lang w:val="fr-CH"/>
              </w:rPr>
            </w:pPr>
            <w:r w:rsidRPr="00C21A6F">
              <w:rPr>
                <w:lang w:val="fr-CH"/>
              </w:rPr>
              <w:t xml:space="preserve">Sur la base des recommandations </w:t>
            </w:r>
            <w:r w:rsidR="00CF24C8" w:rsidRPr="00C21A6F">
              <w:rPr>
                <w:lang w:val="fr-CH"/>
              </w:rPr>
              <w:t>formulées par le</w:t>
            </w:r>
            <w:r w:rsidRPr="00C21A6F">
              <w:rPr>
                <w:lang w:val="fr-CH"/>
              </w:rPr>
              <w:t xml:space="preserve"> Conseil à sa session de 2017, </w:t>
            </w:r>
            <w:r w:rsidR="00046861" w:rsidRPr="00C21A6F">
              <w:rPr>
                <w:lang w:val="fr-CH"/>
              </w:rPr>
              <w:t xml:space="preserve">la Conférence de plénipotentiaires est invitée à </w:t>
            </w:r>
            <w:r w:rsidR="00046861" w:rsidRPr="00C21A6F">
              <w:rPr>
                <w:b/>
                <w:bCs/>
                <w:lang w:val="fr-CH"/>
              </w:rPr>
              <w:t>examiner</w:t>
            </w:r>
            <w:r w:rsidR="00046861" w:rsidRPr="00C21A6F">
              <w:rPr>
                <w:lang w:val="fr-CH"/>
              </w:rPr>
              <w:t xml:space="preserve"> le présent rapport et à </w:t>
            </w:r>
            <w:r w:rsidR="00401705" w:rsidRPr="00C21A6F">
              <w:rPr>
                <w:b/>
                <w:bCs/>
                <w:lang w:val="fr-CH"/>
              </w:rPr>
              <w:t>prendre une décision</w:t>
            </w:r>
            <w:r w:rsidR="00046861" w:rsidRPr="00C21A6F">
              <w:rPr>
                <w:lang w:val="fr-CH"/>
              </w:rPr>
              <w:t xml:space="preserve"> sur la question de savoir si l</w:t>
            </w:r>
            <w:r w:rsidR="0066183D" w:rsidRPr="00C21A6F">
              <w:rPr>
                <w:lang w:val="fr-CH"/>
              </w:rPr>
              <w:t>'</w:t>
            </w:r>
            <w:r w:rsidR="00CF24C8" w:rsidRPr="00C21A6F">
              <w:rPr>
                <w:lang w:val="fr-CH"/>
              </w:rPr>
              <w:t>UIT devrait devenir</w:t>
            </w:r>
            <w:r w:rsidR="00046861" w:rsidRPr="00C21A6F">
              <w:rPr>
                <w:lang w:val="fr-CH"/>
              </w:rPr>
              <w:t xml:space="preserve"> </w:t>
            </w:r>
            <w:r w:rsidR="00CF24C8" w:rsidRPr="00C21A6F">
              <w:rPr>
                <w:lang w:val="fr-CH"/>
              </w:rPr>
              <w:t>l</w:t>
            </w:r>
            <w:r w:rsidR="0066183D" w:rsidRPr="00C21A6F">
              <w:rPr>
                <w:lang w:val="fr-CH"/>
              </w:rPr>
              <w:t>'</w:t>
            </w:r>
            <w:r w:rsidR="00CF24C8" w:rsidRPr="00C21A6F">
              <w:rPr>
                <w:lang w:val="fr-CH"/>
              </w:rPr>
              <w:t xml:space="preserve">Autorité </w:t>
            </w:r>
            <w:r w:rsidR="00656733" w:rsidRPr="00C21A6F">
              <w:rPr>
                <w:lang w:val="fr-CH"/>
              </w:rPr>
              <w:t>de surveillance du système international d</w:t>
            </w:r>
            <w:r w:rsidR="0066183D" w:rsidRPr="00C21A6F">
              <w:rPr>
                <w:lang w:val="fr-CH"/>
              </w:rPr>
              <w:t>'</w:t>
            </w:r>
            <w:r w:rsidR="00656733" w:rsidRPr="00C21A6F">
              <w:rPr>
                <w:lang w:val="fr-CH"/>
              </w:rPr>
              <w:t xml:space="preserve">inscription pour les biens spatiaux, conformément au </w:t>
            </w:r>
            <w:bookmarkStart w:id="6" w:name="_GoBack"/>
            <w:r w:rsidR="00656733" w:rsidRPr="00C21A6F">
              <w:rPr>
                <w:lang w:val="fr-CH"/>
              </w:rPr>
              <w:t>Protocole portant sur les biens spatiaux</w:t>
            </w:r>
            <w:bookmarkEnd w:id="6"/>
            <w:r w:rsidR="00656733" w:rsidRPr="00C21A6F">
              <w:rPr>
                <w:lang w:val="fr-CH"/>
              </w:rPr>
              <w:t>.</w:t>
            </w:r>
          </w:p>
          <w:p w14:paraId="4E8DAA22" w14:textId="77777777" w:rsidR="00CF058C" w:rsidRPr="00C21A6F" w:rsidRDefault="00CF058C" w:rsidP="003E28B5">
            <w:pPr>
              <w:pStyle w:val="Table"/>
              <w:keepNext w:val="0"/>
              <w:spacing w:before="120"/>
              <w:rPr>
                <w:rFonts w:asciiTheme="minorHAnsi" w:hAnsiTheme="minorHAnsi"/>
                <w:caps w:val="0"/>
                <w:szCs w:val="24"/>
                <w:lang w:val="fr-CH"/>
              </w:rPr>
            </w:pPr>
            <w:r w:rsidRPr="00C21A6F">
              <w:rPr>
                <w:rFonts w:asciiTheme="minorHAnsi" w:hAnsiTheme="minorHAnsi"/>
                <w:caps w:val="0"/>
                <w:szCs w:val="24"/>
                <w:lang w:val="fr-CH"/>
              </w:rPr>
              <w:t>____________</w:t>
            </w:r>
          </w:p>
          <w:p w14:paraId="2BC4AEF2" w14:textId="77777777" w:rsidR="00CF058C" w:rsidRPr="00C21A6F" w:rsidRDefault="00CF058C" w:rsidP="003E28B5">
            <w:pPr>
              <w:pStyle w:val="Headingb"/>
              <w:keepNext w:val="0"/>
              <w:keepLines w:val="0"/>
              <w:spacing w:before="120" w:after="120"/>
              <w:rPr>
                <w:rFonts w:asciiTheme="minorHAnsi" w:hAnsiTheme="minorHAnsi"/>
                <w:szCs w:val="24"/>
                <w:lang w:val="fr-CH"/>
              </w:rPr>
            </w:pPr>
            <w:r w:rsidRPr="00C21A6F">
              <w:rPr>
                <w:rFonts w:asciiTheme="minorHAnsi" w:hAnsiTheme="minorHAnsi"/>
                <w:szCs w:val="24"/>
                <w:lang w:val="fr-CH"/>
              </w:rPr>
              <w:t>Références</w:t>
            </w:r>
          </w:p>
          <w:p w14:paraId="33785687" w14:textId="66DD1E4B" w:rsidR="00CF058C" w:rsidRPr="00C21A6F" w:rsidRDefault="00CF058C" w:rsidP="003E28B5">
            <w:pPr>
              <w:spacing w:after="120"/>
              <w:rPr>
                <w:rFonts w:cstheme="minorHAnsi"/>
                <w:bCs/>
                <w:i/>
                <w:iCs/>
                <w:lang w:val="fr-CH"/>
              </w:rPr>
            </w:pPr>
            <w:r w:rsidRPr="00C21A6F">
              <w:rPr>
                <w:rFonts w:asciiTheme="minorHAnsi" w:hAnsiTheme="minorHAnsi"/>
                <w:i/>
                <w:iCs/>
                <w:szCs w:val="24"/>
                <w:lang w:val="fr-CH"/>
              </w:rPr>
              <w:t xml:space="preserve">Documents </w:t>
            </w:r>
            <w:hyperlink r:id="rId9" w:history="1">
              <w:r w:rsidRPr="00C21A6F">
                <w:rPr>
                  <w:rStyle w:val="Hyperlink"/>
                  <w:rFonts w:asciiTheme="minorHAnsi" w:hAnsiTheme="minorHAnsi"/>
                  <w:i/>
                  <w:iCs/>
                  <w:szCs w:val="24"/>
                  <w:lang w:val="fr-CH"/>
                </w:rPr>
                <w:t>C11/26</w:t>
              </w:r>
            </w:hyperlink>
            <w:r w:rsidRPr="00C21A6F">
              <w:rPr>
                <w:rFonts w:asciiTheme="minorHAnsi" w:hAnsiTheme="minorHAnsi"/>
                <w:i/>
                <w:iCs/>
                <w:szCs w:val="24"/>
                <w:lang w:val="fr-CH"/>
              </w:rPr>
              <w:t xml:space="preserve">, </w:t>
            </w:r>
            <w:hyperlink r:id="rId10" w:history="1">
              <w:r w:rsidRPr="00C21A6F">
                <w:rPr>
                  <w:rStyle w:val="Hyperlink"/>
                  <w:rFonts w:asciiTheme="minorHAnsi" w:hAnsiTheme="minorHAnsi"/>
                  <w:i/>
                  <w:iCs/>
                  <w:szCs w:val="24"/>
                  <w:lang w:val="fr-CH"/>
                </w:rPr>
                <w:t>C11/92</w:t>
              </w:r>
            </w:hyperlink>
            <w:r w:rsidRPr="00C21A6F">
              <w:rPr>
                <w:rFonts w:asciiTheme="minorHAnsi" w:hAnsiTheme="minorHAnsi"/>
                <w:i/>
                <w:iCs/>
                <w:szCs w:val="24"/>
                <w:lang w:val="fr-CH"/>
              </w:rPr>
              <w:t xml:space="preserve">, </w:t>
            </w:r>
            <w:hyperlink r:id="rId11" w:history="1">
              <w:r w:rsidR="008531D2" w:rsidRPr="00C21A6F">
                <w:rPr>
                  <w:rStyle w:val="Hyperlink"/>
                  <w:rFonts w:asciiTheme="minorHAnsi" w:hAnsiTheme="minorHAnsi"/>
                  <w:i/>
                  <w:iCs/>
                  <w:szCs w:val="24"/>
                  <w:lang w:val="fr-CH"/>
                </w:rPr>
                <w:t>C11/100(Ré</w:t>
              </w:r>
              <w:r w:rsidRPr="00C21A6F">
                <w:rPr>
                  <w:rStyle w:val="Hyperlink"/>
                  <w:rFonts w:asciiTheme="minorHAnsi" w:hAnsiTheme="minorHAnsi"/>
                  <w:i/>
                  <w:iCs/>
                  <w:szCs w:val="24"/>
                  <w:lang w:val="fr-CH"/>
                </w:rPr>
                <w:t>v.1)</w:t>
              </w:r>
            </w:hyperlink>
            <w:r w:rsidRPr="00C21A6F">
              <w:rPr>
                <w:rFonts w:asciiTheme="minorHAnsi" w:hAnsiTheme="minorHAnsi"/>
                <w:i/>
                <w:iCs/>
                <w:szCs w:val="24"/>
                <w:lang w:val="fr-CH"/>
              </w:rPr>
              <w:t xml:space="preserve">, </w:t>
            </w:r>
            <w:hyperlink r:id="rId12" w:history="1">
              <w:r w:rsidRPr="00C21A6F">
                <w:rPr>
                  <w:rStyle w:val="Hyperlink"/>
                  <w:rFonts w:asciiTheme="minorHAnsi" w:hAnsiTheme="minorHAnsi"/>
                  <w:i/>
                  <w:iCs/>
                  <w:szCs w:val="24"/>
                  <w:lang w:val="fr-CH"/>
                </w:rPr>
                <w:t>C11/120</w:t>
              </w:r>
            </w:hyperlink>
            <w:r w:rsidRPr="00C21A6F">
              <w:rPr>
                <w:rFonts w:asciiTheme="minorHAnsi" w:hAnsiTheme="minorHAnsi"/>
                <w:i/>
                <w:iCs/>
                <w:szCs w:val="24"/>
                <w:lang w:val="fr-CH"/>
              </w:rPr>
              <w:t xml:space="preserve">, </w:t>
            </w:r>
            <w:hyperlink r:id="rId13" w:history="1">
              <w:r w:rsidRPr="00C21A6F">
                <w:rPr>
                  <w:rStyle w:val="Hyperlink"/>
                  <w:rFonts w:asciiTheme="minorHAnsi" w:hAnsiTheme="minorHAnsi"/>
                  <w:i/>
                  <w:iCs/>
                  <w:szCs w:val="24"/>
                  <w:lang w:val="fr-CH"/>
                </w:rPr>
                <w:t>C11/121</w:t>
              </w:r>
            </w:hyperlink>
            <w:r w:rsidRPr="00C21A6F">
              <w:rPr>
                <w:rFonts w:asciiTheme="minorHAnsi" w:hAnsiTheme="minorHAnsi"/>
                <w:i/>
                <w:iCs/>
                <w:szCs w:val="24"/>
                <w:lang w:val="fr-CH"/>
              </w:rPr>
              <w:t xml:space="preserve">, </w:t>
            </w:r>
            <w:hyperlink r:id="rId14" w:history="1">
              <w:r w:rsidRPr="00C21A6F">
                <w:rPr>
                  <w:rStyle w:val="Hyperlink"/>
                  <w:rFonts w:asciiTheme="minorHAnsi" w:hAnsiTheme="minorHAnsi"/>
                  <w:i/>
                  <w:iCs/>
                  <w:szCs w:val="24"/>
                  <w:lang w:val="fr-CH"/>
                </w:rPr>
                <w:t>C12/36</w:t>
              </w:r>
            </w:hyperlink>
            <w:r w:rsidRPr="00C21A6F">
              <w:rPr>
                <w:rFonts w:asciiTheme="minorHAnsi" w:hAnsiTheme="minorHAnsi"/>
                <w:i/>
                <w:iCs/>
                <w:szCs w:val="24"/>
                <w:lang w:val="fr-CH"/>
              </w:rPr>
              <w:t xml:space="preserve">, </w:t>
            </w:r>
            <w:hyperlink r:id="rId15" w:history="1">
              <w:r w:rsidRPr="00C21A6F">
                <w:rPr>
                  <w:rStyle w:val="Hyperlink"/>
                  <w:rFonts w:asciiTheme="minorHAnsi" w:hAnsiTheme="minorHAnsi"/>
                  <w:i/>
                  <w:iCs/>
                  <w:szCs w:val="24"/>
                  <w:lang w:val="fr-CH"/>
                </w:rPr>
                <w:t>C12/68</w:t>
              </w:r>
            </w:hyperlink>
            <w:r w:rsidRPr="00C21A6F">
              <w:rPr>
                <w:rFonts w:asciiTheme="minorHAnsi" w:hAnsiTheme="minorHAnsi"/>
                <w:i/>
                <w:iCs/>
                <w:szCs w:val="24"/>
                <w:lang w:val="fr-CH"/>
              </w:rPr>
              <w:t xml:space="preserve">, </w:t>
            </w:r>
            <w:hyperlink r:id="rId16" w:history="1">
              <w:r w:rsidRPr="00C21A6F">
                <w:rPr>
                  <w:rStyle w:val="Hyperlink"/>
                  <w:rFonts w:asciiTheme="minorHAnsi" w:hAnsiTheme="minorHAnsi"/>
                  <w:i/>
                  <w:iCs/>
                  <w:szCs w:val="24"/>
                  <w:lang w:val="fr-CH"/>
                </w:rPr>
                <w:t>C12/77</w:t>
              </w:r>
            </w:hyperlink>
            <w:r w:rsidR="00561C14" w:rsidRPr="00C21A6F">
              <w:rPr>
                <w:i/>
                <w:iCs/>
                <w:lang w:val="fr-CH"/>
              </w:rPr>
              <w:t>,</w:t>
            </w:r>
            <w:r w:rsidRPr="00C21A6F">
              <w:rPr>
                <w:rFonts w:asciiTheme="minorHAnsi" w:hAnsiTheme="minorHAnsi"/>
                <w:i/>
                <w:iCs/>
                <w:szCs w:val="24"/>
                <w:lang w:val="fr-CH"/>
              </w:rPr>
              <w:t xml:space="preserve"> </w:t>
            </w:r>
            <w:hyperlink r:id="rId17" w:history="1">
              <w:r w:rsidRPr="00C21A6F">
                <w:rPr>
                  <w:rStyle w:val="Hyperlink"/>
                  <w:rFonts w:asciiTheme="minorHAnsi" w:hAnsiTheme="minorHAnsi"/>
                  <w:i/>
                  <w:iCs/>
                  <w:szCs w:val="24"/>
                  <w:lang w:val="fr-CH"/>
                </w:rPr>
                <w:t>C12/94</w:t>
              </w:r>
            </w:hyperlink>
            <w:r w:rsidRPr="00C21A6F">
              <w:rPr>
                <w:rFonts w:asciiTheme="minorHAnsi" w:hAnsiTheme="minorHAnsi"/>
                <w:i/>
                <w:iCs/>
                <w:szCs w:val="24"/>
                <w:lang w:val="fr-CH"/>
              </w:rPr>
              <w:t xml:space="preserve">, </w:t>
            </w:r>
            <w:hyperlink r:id="rId18" w:history="1">
              <w:r w:rsidRPr="00C21A6F">
                <w:rPr>
                  <w:rStyle w:val="Hyperlink"/>
                  <w:rFonts w:asciiTheme="minorHAnsi" w:hAnsiTheme="minorHAnsi"/>
                  <w:i/>
                  <w:iCs/>
                  <w:szCs w:val="24"/>
                  <w:lang w:val="fr-CH"/>
                </w:rPr>
                <w:t>C13/15</w:t>
              </w:r>
            </w:hyperlink>
            <w:r w:rsidR="00561C14" w:rsidRPr="00C21A6F">
              <w:rPr>
                <w:i/>
                <w:iCs/>
                <w:lang w:val="fr-CH"/>
              </w:rPr>
              <w:t>,</w:t>
            </w:r>
            <w:r w:rsidRPr="00C21A6F">
              <w:rPr>
                <w:rFonts w:asciiTheme="minorHAnsi" w:hAnsiTheme="minorHAnsi"/>
                <w:i/>
                <w:iCs/>
                <w:szCs w:val="24"/>
                <w:lang w:val="fr-CH"/>
              </w:rPr>
              <w:t xml:space="preserve"> </w:t>
            </w:r>
            <w:hyperlink r:id="rId19" w:history="1">
              <w:r w:rsidRPr="00C21A6F">
                <w:rPr>
                  <w:rStyle w:val="Hyperlink"/>
                  <w:rFonts w:asciiTheme="minorHAnsi" w:hAnsiTheme="minorHAnsi"/>
                  <w:i/>
                  <w:iCs/>
                  <w:szCs w:val="24"/>
                  <w:lang w:val="fr-CH"/>
                </w:rPr>
                <w:t>C13/55</w:t>
              </w:r>
            </w:hyperlink>
            <w:r w:rsidRPr="00C21A6F">
              <w:rPr>
                <w:rFonts w:asciiTheme="minorHAnsi" w:hAnsiTheme="minorHAnsi"/>
                <w:i/>
                <w:iCs/>
                <w:szCs w:val="24"/>
                <w:lang w:val="fr-CH"/>
              </w:rPr>
              <w:t xml:space="preserve">, </w:t>
            </w:r>
            <w:hyperlink r:id="rId20" w:history="1">
              <w:r w:rsidRPr="00C21A6F">
                <w:rPr>
                  <w:rStyle w:val="Hyperlink"/>
                  <w:rFonts w:asciiTheme="minorHAnsi" w:hAnsiTheme="minorHAnsi"/>
                  <w:i/>
                  <w:iCs/>
                  <w:szCs w:val="24"/>
                  <w:lang w:val="fr-CH"/>
                </w:rPr>
                <w:t>C13/78</w:t>
              </w:r>
            </w:hyperlink>
            <w:r w:rsidRPr="00C21A6F">
              <w:rPr>
                <w:rFonts w:asciiTheme="minorHAnsi" w:hAnsiTheme="minorHAnsi"/>
                <w:i/>
                <w:iCs/>
                <w:szCs w:val="24"/>
                <w:lang w:val="fr-CH"/>
              </w:rPr>
              <w:t xml:space="preserve">, </w:t>
            </w:r>
            <w:hyperlink r:id="rId21" w:history="1">
              <w:r w:rsidRPr="00C21A6F">
                <w:rPr>
                  <w:rStyle w:val="Hyperlink"/>
                  <w:rFonts w:asciiTheme="minorHAnsi" w:hAnsiTheme="minorHAnsi"/>
                  <w:i/>
                  <w:iCs/>
                  <w:szCs w:val="24"/>
                  <w:lang w:val="fr-CH"/>
                </w:rPr>
                <w:t>C13/107</w:t>
              </w:r>
            </w:hyperlink>
            <w:r w:rsidRPr="00C21A6F">
              <w:rPr>
                <w:i/>
                <w:iCs/>
                <w:lang w:val="fr-CH"/>
              </w:rPr>
              <w:t xml:space="preserve">, </w:t>
            </w:r>
            <w:hyperlink r:id="rId22" w:history="1">
              <w:r w:rsidRPr="00C21A6F">
                <w:rPr>
                  <w:rStyle w:val="Hyperlink"/>
                  <w:rFonts w:asciiTheme="minorHAnsi" w:hAnsiTheme="minorHAnsi" w:cstheme="minorHAnsi"/>
                  <w:bCs/>
                  <w:i/>
                  <w:iCs/>
                  <w:szCs w:val="24"/>
                  <w:lang w:val="fr-CH"/>
                </w:rPr>
                <w:t>C13/119</w:t>
              </w:r>
            </w:hyperlink>
            <w:r w:rsidRPr="00C21A6F">
              <w:rPr>
                <w:rFonts w:asciiTheme="minorHAnsi" w:hAnsiTheme="minorHAnsi" w:cstheme="minorHAnsi"/>
                <w:bCs/>
                <w:szCs w:val="24"/>
                <w:lang w:val="fr-CH"/>
              </w:rPr>
              <w:t xml:space="preserve">, </w:t>
            </w:r>
            <w:hyperlink r:id="rId23" w:history="1">
              <w:r w:rsidRPr="00C21A6F">
                <w:rPr>
                  <w:rStyle w:val="Hyperlink"/>
                  <w:rFonts w:asciiTheme="minorHAnsi" w:hAnsiTheme="minorHAnsi" w:cstheme="minorHAnsi"/>
                  <w:bCs/>
                  <w:i/>
                  <w:iCs/>
                  <w:szCs w:val="24"/>
                  <w:lang w:val="fr-CH"/>
                </w:rPr>
                <w:t>C13/120</w:t>
              </w:r>
            </w:hyperlink>
            <w:r w:rsidR="00561C14" w:rsidRPr="00C21A6F">
              <w:rPr>
                <w:i/>
                <w:iCs/>
                <w:lang w:val="fr-CH"/>
              </w:rPr>
              <w:t>,</w:t>
            </w:r>
            <w:r w:rsidRPr="00C21A6F">
              <w:rPr>
                <w:rFonts w:asciiTheme="minorHAnsi" w:hAnsiTheme="minorHAnsi" w:cstheme="minorHAnsi"/>
                <w:bCs/>
                <w:szCs w:val="24"/>
                <w:lang w:val="fr-CH"/>
              </w:rPr>
              <w:t xml:space="preserve"> </w:t>
            </w:r>
            <w:hyperlink r:id="rId24" w:history="1">
              <w:r w:rsidRPr="00C21A6F">
                <w:rPr>
                  <w:rStyle w:val="Hyperlink"/>
                  <w:rFonts w:asciiTheme="minorHAnsi" w:hAnsiTheme="minorHAnsi" w:cstheme="minorHAnsi"/>
                  <w:bCs/>
                  <w:i/>
                  <w:iCs/>
                  <w:szCs w:val="24"/>
                  <w:lang w:val="fr-CH"/>
                </w:rPr>
                <w:t>C13/121</w:t>
              </w:r>
            </w:hyperlink>
            <w:r w:rsidRPr="00C21A6F">
              <w:rPr>
                <w:rFonts w:asciiTheme="minorHAnsi" w:hAnsiTheme="minorHAnsi" w:cstheme="minorHAnsi"/>
                <w:bCs/>
                <w:szCs w:val="24"/>
                <w:lang w:val="fr-CH"/>
              </w:rPr>
              <w:t xml:space="preserve">, </w:t>
            </w:r>
            <w:hyperlink r:id="rId25" w:history="1">
              <w:r w:rsidRPr="00C21A6F">
                <w:rPr>
                  <w:rStyle w:val="Hyperlink"/>
                  <w:rFonts w:asciiTheme="minorHAnsi" w:hAnsiTheme="minorHAnsi"/>
                  <w:i/>
                  <w:iCs/>
                  <w:szCs w:val="24"/>
                  <w:lang w:val="fr-CH"/>
                </w:rPr>
                <w:t>C14/13</w:t>
              </w:r>
            </w:hyperlink>
            <w:r w:rsidR="00561C14" w:rsidRPr="00C21A6F">
              <w:rPr>
                <w:i/>
                <w:iCs/>
                <w:lang w:val="fr-CH"/>
              </w:rPr>
              <w:t>,</w:t>
            </w:r>
            <w:r w:rsidRPr="00C21A6F">
              <w:rPr>
                <w:lang w:val="fr-CH"/>
              </w:rPr>
              <w:t xml:space="preserve"> </w:t>
            </w:r>
            <w:hyperlink r:id="rId26" w:history="1">
              <w:r w:rsidRPr="00C21A6F">
                <w:rPr>
                  <w:rStyle w:val="Hyperlink"/>
                  <w:rFonts w:asciiTheme="minorHAnsi" w:hAnsiTheme="minorHAnsi"/>
                  <w:i/>
                  <w:iCs/>
                  <w:szCs w:val="24"/>
                  <w:lang w:val="fr-CH"/>
                </w:rPr>
                <w:t>C14/INF/12</w:t>
              </w:r>
            </w:hyperlink>
            <w:r w:rsidR="00561C14" w:rsidRPr="00C21A6F">
              <w:rPr>
                <w:i/>
                <w:iCs/>
                <w:lang w:val="fr-CH"/>
              </w:rPr>
              <w:t>,</w:t>
            </w:r>
            <w:r w:rsidRPr="00C21A6F">
              <w:rPr>
                <w:lang w:val="fr-CH"/>
              </w:rPr>
              <w:t xml:space="preserve"> </w:t>
            </w:r>
            <w:hyperlink r:id="rId27" w:history="1">
              <w:r w:rsidRPr="00C21A6F">
                <w:rPr>
                  <w:rStyle w:val="Hyperlink"/>
                  <w:rFonts w:asciiTheme="minorHAnsi" w:hAnsiTheme="minorHAnsi"/>
                  <w:i/>
                  <w:iCs/>
                  <w:szCs w:val="24"/>
                  <w:lang w:val="fr-CH"/>
                </w:rPr>
                <w:t>C14/51</w:t>
              </w:r>
            </w:hyperlink>
            <w:r w:rsidR="00561C14" w:rsidRPr="00C21A6F">
              <w:rPr>
                <w:i/>
                <w:iCs/>
                <w:lang w:val="fr-CH"/>
              </w:rPr>
              <w:t>,</w:t>
            </w:r>
            <w:r w:rsidRPr="00C21A6F">
              <w:rPr>
                <w:lang w:val="fr-CH"/>
              </w:rPr>
              <w:t xml:space="preserve"> </w:t>
            </w:r>
            <w:hyperlink r:id="rId28" w:history="1">
              <w:r w:rsidRPr="00C21A6F">
                <w:rPr>
                  <w:rStyle w:val="Hyperlink"/>
                  <w:rFonts w:asciiTheme="minorHAnsi" w:hAnsiTheme="minorHAnsi"/>
                  <w:i/>
                  <w:iCs/>
                  <w:szCs w:val="24"/>
                  <w:lang w:val="fr-CH"/>
                </w:rPr>
                <w:t>C14/65</w:t>
              </w:r>
            </w:hyperlink>
            <w:r w:rsidR="00561C14" w:rsidRPr="00C21A6F">
              <w:rPr>
                <w:i/>
                <w:iCs/>
                <w:lang w:val="fr-CH"/>
              </w:rPr>
              <w:t>,</w:t>
            </w:r>
            <w:r w:rsidRPr="00C21A6F">
              <w:rPr>
                <w:lang w:val="fr-CH"/>
              </w:rPr>
              <w:t xml:space="preserve"> </w:t>
            </w:r>
            <w:hyperlink r:id="rId29" w:history="1">
              <w:r w:rsidRPr="00C21A6F">
                <w:rPr>
                  <w:rStyle w:val="Hyperlink"/>
                  <w:rFonts w:asciiTheme="minorHAnsi" w:hAnsiTheme="minorHAnsi"/>
                  <w:i/>
                  <w:iCs/>
                  <w:szCs w:val="24"/>
                  <w:lang w:val="fr-CH"/>
                </w:rPr>
                <w:t>C14/71</w:t>
              </w:r>
            </w:hyperlink>
            <w:r w:rsidRPr="00C21A6F">
              <w:rPr>
                <w:i/>
                <w:iCs/>
                <w:lang w:val="fr-CH"/>
              </w:rPr>
              <w:t>,</w:t>
            </w:r>
            <w:r w:rsidRPr="00C21A6F">
              <w:rPr>
                <w:lang w:val="fr-CH"/>
              </w:rPr>
              <w:t xml:space="preserve"> </w:t>
            </w:r>
            <w:hyperlink r:id="rId30" w:history="1">
              <w:r w:rsidRPr="00C21A6F">
                <w:rPr>
                  <w:rStyle w:val="Hyperlink"/>
                  <w:rFonts w:asciiTheme="minorHAnsi" w:hAnsiTheme="minorHAnsi"/>
                  <w:i/>
                  <w:iCs/>
                  <w:szCs w:val="24"/>
                  <w:lang w:val="fr-CH"/>
                </w:rPr>
                <w:t>C14/94</w:t>
              </w:r>
            </w:hyperlink>
            <w:r w:rsidRPr="00C21A6F">
              <w:rPr>
                <w:i/>
                <w:iCs/>
                <w:lang w:val="fr-CH"/>
              </w:rPr>
              <w:t>,</w:t>
            </w:r>
            <w:r w:rsidRPr="00C21A6F">
              <w:rPr>
                <w:lang w:val="fr-CH"/>
              </w:rPr>
              <w:t xml:space="preserve"> </w:t>
            </w:r>
            <w:hyperlink r:id="rId31" w:history="1">
              <w:r w:rsidRPr="00C21A6F">
                <w:rPr>
                  <w:rStyle w:val="Hyperlink"/>
                  <w:rFonts w:asciiTheme="minorHAnsi" w:hAnsiTheme="minorHAnsi"/>
                  <w:i/>
                  <w:iCs/>
                  <w:szCs w:val="24"/>
                  <w:lang w:val="fr-CH"/>
                </w:rPr>
                <w:t>C14/96</w:t>
              </w:r>
            </w:hyperlink>
            <w:r w:rsidRPr="00C21A6F">
              <w:rPr>
                <w:i/>
                <w:iCs/>
                <w:lang w:val="fr-CH"/>
              </w:rPr>
              <w:t>,</w:t>
            </w:r>
            <w:r w:rsidRPr="00C21A6F">
              <w:rPr>
                <w:lang w:val="fr-CH"/>
              </w:rPr>
              <w:t xml:space="preserve"> </w:t>
            </w:r>
            <w:hyperlink r:id="rId32" w:history="1">
              <w:r w:rsidRPr="00C21A6F">
                <w:rPr>
                  <w:rStyle w:val="Hyperlink"/>
                  <w:rFonts w:asciiTheme="minorHAnsi" w:eastAsiaTheme="minorEastAsia" w:hAnsiTheme="minorHAnsi" w:cstheme="minorBidi"/>
                  <w:i/>
                  <w:iCs/>
                  <w:szCs w:val="24"/>
                  <w:lang w:val="fr-CH" w:eastAsia="zh-CN"/>
                </w:rPr>
                <w:t>PP</w:t>
              </w:r>
              <w:r w:rsidR="00561C14" w:rsidRPr="00C21A6F">
                <w:rPr>
                  <w:rStyle w:val="Hyperlink"/>
                  <w:rFonts w:asciiTheme="minorHAnsi" w:eastAsiaTheme="minorEastAsia" w:hAnsiTheme="minorHAnsi" w:cstheme="minorBidi"/>
                  <w:i/>
                  <w:iCs/>
                  <w:szCs w:val="24"/>
                  <w:lang w:val="fr-CH" w:eastAsia="zh-CN"/>
                </w:rPr>
                <w:noBreakHyphen/>
              </w:r>
              <w:r w:rsidRPr="00C21A6F">
                <w:rPr>
                  <w:rStyle w:val="Hyperlink"/>
                  <w:rFonts w:asciiTheme="minorHAnsi" w:eastAsiaTheme="minorEastAsia" w:hAnsiTheme="minorHAnsi" w:cstheme="minorBidi"/>
                  <w:i/>
                  <w:iCs/>
                  <w:szCs w:val="24"/>
                  <w:lang w:val="fr-CH" w:eastAsia="zh-CN"/>
                </w:rPr>
                <w:t>14/62 + Add.1</w:t>
              </w:r>
            </w:hyperlink>
            <w:r w:rsidRPr="00C21A6F">
              <w:rPr>
                <w:rFonts w:asciiTheme="minorHAnsi" w:eastAsiaTheme="minorEastAsia" w:hAnsiTheme="minorHAnsi" w:cstheme="minorBidi"/>
                <w:i/>
                <w:iCs/>
                <w:szCs w:val="24"/>
                <w:lang w:val="fr-CH" w:eastAsia="zh-CN"/>
              </w:rPr>
              <w:t xml:space="preserve">, </w:t>
            </w:r>
            <w:hyperlink r:id="rId33" w:history="1">
              <w:r w:rsidRPr="00C21A6F">
                <w:rPr>
                  <w:rStyle w:val="Hyperlink"/>
                  <w:rFonts w:asciiTheme="minorHAnsi" w:eastAsiaTheme="minorEastAsia" w:hAnsiTheme="minorHAnsi" w:cstheme="minorBidi"/>
                  <w:i/>
                  <w:iCs/>
                  <w:szCs w:val="24"/>
                  <w:lang w:val="fr-CH" w:eastAsia="zh-CN"/>
                </w:rPr>
                <w:t>PP-14/INF/1</w:t>
              </w:r>
            </w:hyperlink>
            <w:r w:rsidRPr="00C21A6F">
              <w:rPr>
                <w:rFonts w:asciiTheme="minorHAnsi" w:eastAsiaTheme="minorEastAsia" w:hAnsiTheme="minorHAnsi" w:cstheme="minorBidi"/>
                <w:i/>
                <w:iCs/>
                <w:szCs w:val="24"/>
                <w:lang w:val="fr-CH" w:eastAsia="zh-CN"/>
              </w:rPr>
              <w:t xml:space="preserve">, </w:t>
            </w:r>
            <w:hyperlink r:id="rId34" w:history="1">
              <w:r w:rsidR="00561C14" w:rsidRPr="00C21A6F">
                <w:rPr>
                  <w:rStyle w:val="Hyperlink"/>
                  <w:rFonts w:asciiTheme="minorHAnsi" w:eastAsiaTheme="minorEastAsia" w:hAnsiTheme="minorHAnsi" w:cstheme="minorBidi"/>
                  <w:i/>
                  <w:iCs/>
                  <w:szCs w:val="24"/>
                  <w:lang w:val="fr-CH" w:eastAsia="zh-CN"/>
                </w:rPr>
                <w:t>PP-14/161(Ré</w:t>
              </w:r>
              <w:r w:rsidRPr="00C21A6F">
                <w:rPr>
                  <w:rStyle w:val="Hyperlink"/>
                  <w:rFonts w:asciiTheme="minorHAnsi" w:eastAsiaTheme="minorEastAsia" w:hAnsiTheme="minorHAnsi" w:cstheme="minorBidi"/>
                  <w:i/>
                  <w:iCs/>
                  <w:szCs w:val="24"/>
                  <w:lang w:val="fr-CH" w:eastAsia="zh-CN"/>
                </w:rPr>
                <w:t>v.1)</w:t>
              </w:r>
            </w:hyperlink>
            <w:r w:rsidRPr="00C21A6F">
              <w:rPr>
                <w:rFonts w:asciiTheme="minorHAnsi" w:eastAsiaTheme="minorEastAsia" w:hAnsiTheme="minorHAnsi" w:cstheme="minorBidi"/>
                <w:i/>
                <w:iCs/>
                <w:szCs w:val="24"/>
                <w:lang w:val="fr-CH" w:eastAsia="zh-CN"/>
              </w:rPr>
              <w:t xml:space="preserve">, </w:t>
            </w:r>
            <w:hyperlink r:id="rId35" w:history="1">
              <w:r w:rsidRPr="00C21A6F">
                <w:rPr>
                  <w:rStyle w:val="Hyperlink"/>
                  <w:rFonts w:asciiTheme="minorHAnsi" w:eastAsiaTheme="minorEastAsia" w:hAnsiTheme="minorHAnsi" w:cstheme="minorBidi"/>
                  <w:i/>
                  <w:iCs/>
                  <w:szCs w:val="24"/>
                  <w:lang w:val="fr-CH" w:eastAsia="zh-CN"/>
                </w:rPr>
                <w:t>PP-14/175</w:t>
              </w:r>
            </w:hyperlink>
            <w:r w:rsidRPr="00C21A6F">
              <w:rPr>
                <w:rFonts w:asciiTheme="minorHAnsi" w:eastAsiaTheme="minorEastAsia" w:hAnsiTheme="minorHAnsi" w:cstheme="minorBidi"/>
                <w:i/>
                <w:iCs/>
                <w:szCs w:val="24"/>
                <w:lang w:val="fr-CH" w:eastAsia="zh-CN"/>
              </w:rPr>
              <w:t xml:space="preserve">, </w:t>
            </w:r>
            <w:hyperlink r:id="rId36" w:history="1">
              <w:r w:rsidRPr="00C21A6F">
                <w:rPr>
                  <w:rStyle w:val="Hyperlink"/>
                  <w:rFonts w:asciiTheme="minorHAnsi" w:eastAsiaTheme="minorEastAsia" w:hAnsiTheme="minorHAnsi" w:cstheme="minorBidi"/>
                  <w:i/>
                  <w:iCs/>
                  <w:szCs w:val="24"/>
                  <w:lang w:val="fr-CH" w:eastAsia="zh-CN"/>
                </w:rPr>
                <w:t>C15/26</w:t>
              </w:r>
            </w:hyperlink>
            <w:r w:rsidRPr="00C21A6F">
              <w:rPr>
                <w:rFonts w:asciiTheme="minorHAnsi" w:eastAsiaTheme="minorEastAsia" w:hAnsiTheme="minorHAnsi" w:cstheme="minorBidi"/>
                <w:i/>
                <w:iCs/>
                <w:szCs w:val="24"/>
                <w:lang w:val="fr-CH" w:eastAsia="zh-CN"/>
              </w:rPr>
              <w:t xml:space="preserve">, </w:t>
            </w:r>
            <w:hyperlink r:id="rId37" w:history="1">
              <w:r w:rsidRPr="00C21A6F">
                <w:rPr>
                  <w:rStyle w:val="Hyperlink"/>
                  <w:rFonts w:asciiTheme="minorHAnsi" w:eastAsiaTheme="minorEastAsia" w:hAnsiTheme="minorHAnsi" w:cstheme="minorBidi"/>
                  <w:i/>
                  <w:iCs/>
                  <w:szCs w:val="24"/>
                  <w:lang w:val="fr-CH" w:eastAsia="zh-CN"/>
                </w:rPr>
                <w:t>C15/123</w:t>
              </w:r>
            </w:hyperlink>
            <w:r w:rsidRPr="00C21A6F">
              <w:rPr>
                <w:rFonts w:eastAsiaTheme="minorEastAsia"/>
                <w:i/>
                <w:iCs/>
                <w:lang w:val="fr-CH"/>
              </w:rPr>
              <w:t>,</w:t>
            </w:r>
            <w:r w:rsidRPr="00C21A6F">
              <w:rPr>
                <w:rFonts w:cstheme="minorHAnsi"/>
                <w:bCs/>
                <w:i/>
                <w:iCs/>
                <w:lang w:val="fr-CH"/>
              </w:rPr>
              <w:t xml:space="preserve"> </w:t>
            </w:r>
            <w:hyperlink r:id="rId38" w:history="1">
              <w:r w:rsidRPr="00C21A6F">
                <w:rPr>
                  <w:rStyle w:val="Hyperlink"/>
                  <w:rFonts w:asciiTheme="minorHAnsi" w:eastAsiaTheme="minorEastAsia" w:hAnsiTheme="minorHAnsi" w:cstheme="minorBidi"/>
                  <w:i/>
                  <w:iCs/>
                  <w:szCs w:val="24"/>
                  <w:lang w:val="fr-CH" w:eastAsia="zh-CN"/>
                </w:rPr>
                <w:t>C16/36</w:t>
              </w:r>
            </w:hyperlink>
            <w:r w:rsidR="00561C14" w:rsidRPr="00C21A6F">
              <w:rPr>
                <w:i/>
                <w:iCs/>
                <w:lang w:val="fr-CH"/>
              </w:rPr>
              <w:t>,</w:t>
            </w:r>
            <w:r w:rsidRPr="00C21A6F">
              <w:rPr>
                <w:rFonts w:cstheme="minorHAnsi"/>
                <w:bCs/>
                <w:i/>
                <w:iCs/>
                <w:lang w:val="fr-CH"/>
              </w:rPr>
              <w:t xml:space="preserve"> </w:t>
            </w:r>
            <w:hyperlink r:id="rId39" w:history="1">
              <w:r w:rsidRPr="00C21A6F">
                <w:rPr>
                  <w:rStyle w:val="Hyperlink"/>
                  <w:rFonts w:cstheme="minorHAnsi"/>
                  <w:bCs/>
                  <w:i/>
                  <w:iCs/>
                  <w:lang w:val="fr-CH"/>
                </w:rPr>
                <w:t>C16/82</w:t>
              </w:r>
            </w:hyperlink>
            <w:r w:rsidRPr="00C21A6F">
              <w:rPr>
                <w:rFonts w:cstheme="minorHAnsi"/>
                <w:bCs/>
                <w:i/>
                <w:iCs/>
                <w:lang w:val="fr-CH"/>
              </w:rPr>
              <w:t xml:space="preserve">, </w:t>
            </w:r>
            <w:hyperlink r:id="rId40" w:history="1">
              <w:r w:rsidRPr="00C21A6F">
                <w:rPr>
                  <w:rStyle w:val="Hyperlink"/>
                  <w:rFonts w:cstheme="minorHAnsi"/>
                  <w:bCs/>
                  <w:i/>
                  <w:iCs/>
                  <w:lang w:val="fr-CH"/>
                </w:rPr>
                <w:t>C16/118</w:t>
              </w:r>
            </w:hyperlink>
            <w:r w:rsidRPr="00C21A6F">
              <w:rPr>
                <w:rFonts w:cstheme="minorHAnsi"/>
                <w:bCs/>
                <w:i/>
                <w:iCs/>
                <w:lang w:val="fr-CH"/>
              </w:rPr>
              <w:t xml:space="preserve">, </w:t>
            </w:r>
            <w:hyperlink r:id="rId41" w:history="1">
              <w:r w:rsidRPr="00C21A6F">
                <w:rPr>
                  <w:rStyle w:val="Hyperlink"/>
                  <w:rFonts w:cstheme="minorHAnsi"/>
                  <w:bCs/>
                  <w:i/>
                  <w:iCs/>
                  <w:lang w:val="fr-CH"/>
                </w:rPr>
                <w:t>C16/119</w:t>
              </w:r>
            </w:hyperlink>
            <w:r w:rsidRPr="00C21A6F">
              <w:rPr>
                <w:rFonts w:cstheme="minorHAnsi"/>
                <w:bCs/>
                <w:i/>
                <w:iCs/>
                <w:lang w:val="fr-CH"/>
              </w:rPr>
              <w:t xml:space="preserve">, </w:t>
            </w:r>
            <w:hyperlink r:id="rId42" w:history="1">
              <w:r w:rsidRPr="00C21A6F">
                <w:rPr>
                  <w:rStyle w:val="Hyperlink"/>
                  <w:rFonts w:asciiTheme="minorHAnsi" w:eastAsiaTheme="minorEastAsia" w:hAnsiTheme="minorHAnsi" w:cstheme="minorBidi"/>
                  <w:i/>
                  <w:iCs/>
                  <w:szCs w:val="24"/>
                  <w:lang w:val="fr-CH" w:eastAsia="zh-CN"/>
                </w:rPr>
                <w:t>C16/120</w:t>
              </w:r>
            </w:hyperlink>
            <w:r w:rsidRPr="00C21A6F">
              <w:rPr>
                <w:rFonts w:cstheme="minorHAnsi"/>
                <w:bCs/>
                <w:i/>
                <w:iCs/>
                <w:lang w:val="fr-CH"/>
              </w:rPr>
              <w:t xml:space="preserve">, </w:t>
            </w:r>
            <w:hyperlink r:id="rId43" w:history="1">
              <w:r w:rsidR="00561C14" w:rsidRPr="00C21A6F">
                <w:rPr>
                  <w:rStyle w:val="Hyperlink"/>
                  <w:rFonts w:cstheme="minorHAnsi"/>
                  <w:bCs/>
                  <w:i/>
                  <w:iCs/>
                  <w:lang w:val="fr-CH"/>
                </w:rPr>
                <w:t>C17/36(Ré</w:t>
              </w:r>
              <w:r w:rsidRPr="00C21A6F">
                <w:rPr>
                  <w:rStyle w:val="Hyperlink"/>
                  <w:rFonts w:cstheme="minorHAnsi"/>
                  <w:bCs/>
                  <w:i/>
                  <w:iCs/>
                  <w:lang w:val="fr-CH"/>
                </w:rPr>
                <w:t>v.1)</w:t>
              </w:r>
            </w:hyperlink>
            <w:r w:rsidRPr="00C21A6F">
              <w:rPr>
                <w:rFonts w:cstheme="minorHAnsi"/>
                <w:bCs/>
                <w:i/>
                <w:iCs/>
                <w:lang w:val="fr-CH"/>
              </w:rPr>
              <w:t xml:space="preserve">, </w:t>
            </w:r>
            <w:hyperlink r:id="rId44" w:history="1">
              <w:r w:rsidRPr="00C21A6F">
                <w:rPr>
                  <w:rStyle w:val="Hyperlink"/>
                  <w:rFonts w:cstheme="minorHAnsi"/>
                  <w:bCs/>
                  <w:i/>
                  <w:iCs/>
                  <w:lang w:val="fr-CH"/>
                </w:rPr>
                <w:t>C17/94</w:t>
              </w:r>
            </w:hyperlink>
            <w:r w:rsidRPr="00C21A6F">
              <w:rPr>
                <w:rFonts w:cstheme="minorHAnsi"/>
                <w:bCs/>
                <w:i/>
                <w:iCs/>
                <w:lang w:val="fr-CH"/>
              </w:rPr>
              <w:t xml:space="preserve">, </w:t>
            </w:r>
            <w:hyperlink r:id="rId45" w:history="1">
              <w:r w:rsidRPr="00C21A6F">
                <w:rPr>
                  <w:rStyle w:val="Hyperlink"/>
                  <w:rFonts w:cstheme="minorHAnsi"/>
                  <w:bCs/>
                  <w:i/>
                  <w:iCs/>
                  <w:lang w:val="fr-CH"/>
                </w:rPr>
                <w:t>C17/111</w:t>
              </w:r>
            </w:hyperlink>
            <w:r w:rsidRPr="00C21A6F">
              <w:rPr>
                <w:rFonts w:cstheme="minorHAnsi"/>
                <w:bCs/>
                <w:i/>
                <w:iCs/>
                <w:lang w:val="fr-CH"/>
              </w:rPr>
              <w:t xml:space="preserve">, </w:t>
            </w:r>
            <w:hyperlink r:id="rId46" w:history="1">
              <w:r w:rsidRPr="00C21A6F">
                <w:rPr>
                  <w:rStyle w:val="Hyperlink"/>
                  <w:rFonts w:cstheme="minorHAnsi"/>
                  <w:bCs/>
                  <w:i/>
                  <w:iCs/>
                  <w:lang w:val="fr-CH"/>
                </w:rPr>
                <w:t>C17/128</w:t>
              </w:r>
            </w:hyperlink>
            <w:r w:rsidRPr="00C21A6F">
              <w:rPr>
                <w:rFonts w:cstheme="minorHAnsi"/>
                <w:bCs/>
                <w:i/>
                <w:iCs/>
                <w:lang w:val="fr-CH"/>
              </w:rPr>
              <w:t>.</w:t>
            </w:r>
          </w:p>
        </w:tc>
      </w:tr>
    </w:tbl>
    <w:p w14:paraId="67103DDF" w14:textId="77777777" w:rsidR="00BD1614" w:rsidRPr="00C21A6F" w:rsidRDefault="00CF058C" w:rsidP="0066183D">
      <w:pPr>
        <w:pStyle w:val="Heading1"/>
        <w:rPr>
          <w:lang w:val="fr-CH"/>
        </w:rPr>
      </w:pPr>
      <w:r w:rsidRPr="00C21A6F">
        <w:rPr>
          <w:lang w:val="fr-CH"/>
        </w:rPr>
        <w:lastRenderedPageBreak/>
        <w:t>1</w:t>
      </w:r>
      <w:r w:rsidRPr="00C21A6F">
        <w:rPr>
          <w:lang w:val="fr-CH"/>
        </w:rPr>
        <w:tab/>
        <w:t>Introduction</w:t>
      </w:r>
    </w:p>
    <w:p w14:paraId="26F0B1FC" w14:textId="3F4BE9F1" w:rsidR="008915E8" w:rsidRPr="00C21A6F" w:rsidRDefault="00CF058C" w:rsidP="009D29C5">
      <w:pPr>
        <w:rPr>
          <w:lang w:val="fr-CH"/>
        </w:rPr>
      </w:pPr>
      <w:r w:rsidRPr="00C21A6F">
        <w:rPr>
          <w:lang w:val="fr-CH"/>
        </w:rPr>
        <w:t>1.1</w:t>
      </w:r>
      <w:r w:rsidRPr="00C21A6F">
        <w:rPr>
          <w:lang w:val="fr-CH"/>
        </w:rPr>
        <w:tab/>
      </w:r>
      <w:r w:rsidR="00892AC4" w:rsidRPr="00C21A6F">
        <w:rPr>
          <w:lang w:val="fr-CH"/>
        </w:rPr>
        <w:t>La</w:t>
      </w:r>
      <w:r w:rsidR="0066183D" w:rsidRPr="00C21A6F">
        <w:rPr>
          <w:lang w:val="fr-CH"/>
        </w:rPr>
        <w:t xml:space="preserve"> </w:t>
      </w:r>
      <w:r w:rsidR="00892AC4" w:rsidRPr="00C21A6F">
        <w:rPr>
          <w:color w:val="000000"/>
          <w:lang w:val="fr-CH"/>
        </w:rPr>
        <w:t>Conférence de plénipotentiaires de 2014</w:t>
      </w:r>
      <w:r w:rsidR="00892AC4" w:rsidRPr="00C21A6F">
        <w:rPr>
          <w:lang w:val="fr-CH"/>
        </w:rPr>
        <w:t xml:space="preserve"> a </w:t>
      </w:r>
      <w:r w:rsidR="009D29C5" w:rsidRPr="00C21A6F">
        <w:rPr>
          <w:lang w:val="fr-CH"/>
        </w:rPr>
        <w:t>décidé que</w:t>
      </w:r>
      <w:r w:rsidR="00886B00" w:rsidRPr="00C21A6F">
        <w:rPr>
          <w:lang w:val="fr-CH"/>
        </w:rPr>
        <w:t xml:space="preserve"> </w:t>
      </w:r>
      <w:r w:rsidR="00344BDB" w:rsidRPr="00C21A6F">
        <w:rPr>
          <w:lang w:val="fr-CH"/>
        </w:rPr>
        <w:t xml:space="preserve">le Conseil </w:t>
      </w:r>
      <w:r w:rsidR="009D29C5" w:rsidRPr="00C21A6F">
        <w:rPr>
          <w:lang w:val="fr-CH"/>
        </w:rPr>
        <w:t xml:space="preserve">devrait </w:t>
      </w:r>
      <w:r w:rsidR="00892AC4" w:rsidRPr="00C21A6F">
        <w:rPr>
          <w:lang w:val="fr-CH"/>
        </w:rPr>
        <w:t>continue</w:t>
      </w:r>
      <w:r w:rsidR="009D29C5" w:rsidRPr="00C21A6F">
        <w:rPr>
          <w:lang w:val="fr-CH"/>
        </w:rPr>
        <w:t>r</w:t>
      </w:r>
      <w:r w:rsidR="00892AC4" w:rsidRPr="00C21A6F">
        <w:rPr>
          <w:lang w:val="fr-CH"/>
        </w:rPr>
        <w:t xml:space="preserve"> de suivre les éventuels faits nouveaux concernant la question du rôle de l</w:t>
      </w:r>
      <w:r w:rsidR="0066183D" w:rsidRPr="00C21A6F">
        <w:rPr>
          <w:lang w:val="fr-CH"/>
        </w:rPr>
        <w:t>'</w:t>
      </w:r>
      <w:r w:rsidR="00892AC4" w:rsidRPr="00C21A6F">
        <w:rPr>
          <w:lang w:val="fr-CH"/>
        </w:rPr>
        <w:t>UIT</w:t>
      </w:r>
      <w:r w:rsidR="0066183D" w:rsidRPr="00C21A6F">
        <w:rPr>
          <w:lang w:val="fr-CH"/>
        </w:rPr>
        <w:t xml:space="preserve"> </w:t>
      </w:r>
      <w:r w:rsidR="00892AC4" w:rsidRPr="00C21A6F">
        <w:rPr>
          <w:rFonts w:asciiTheme="minorHAnsi" w:hAnsiTheme="minorHAnsi"/>
          <w:szCs w:val="24"/>
          <w:lang w:val="fr-CH"/>
        </w:rPr>
        <w:t>en tant qu</w:t>
      </w:r>
      <w:r w:rsidR="0066183D" w:rsidRPr="00C21A6F">
        <w:rPr>
          <w:rFonts w:asciiTheme="minorHAnsi" w:hAnsiTheme="minorHAnsi"/>
          <w:szCs w:val="24"/>
          <w:lang w:val="fr-CH"/>
        </w:rPr>
        <w:t>'</w:t>
      </w:r>
      <w:r w:rsidR="00892AC4" w:rsidRPr="00C21A6F">
        <w:rPr>
          <w:rFonts w:asciiTheme="minorHAnsi" w:hAnsiTheme="minorHAnsi"/>
          <w:szCs w:val="24"/>
          <w:lang w:val="fr-CH"/>
        </w:rPr>
        <w:t>Autorité de surveillance du système international d</w:t>
      </w:r>
      <w:r w:rsidR="0066183D" w:rsidRPr="00C21A6F">
        <w:rPr>
          <w:rFonts w:asciiTheme="minorHAnsi" w:hAnsiTheme="minorHAnsi"/>
          <w:szCs w:val="24"/>
          <w:lang w:val="fr-CH"/>
        </w:rPr>
        <w:t>'</w:t>
      </w:r>
      <w:r w:rsidR="00892AC4" w:rsidRPr="00C21A6F">
        <w:rPr>
          <w:rFonts w:asciiTheme="minorHAnsi" w:hAnsiTheme="minorHAnsi"/>
          <w:szCs w:val="24"/>
          <w:lang w:val="fr-CH"/>
        </w:rPr>
        <w:t>inscription pour les biens spatiaux, conformément au Protocole portant sur les biens spatiaux,</w:t>
      </w:r>
      <w:r w:rsidR="00892AC4" w:rsidRPr="00C21A6F">
        <w:rPr>
          <w:lang w:val="fr-CH"/>
        </w:rPr>
        <w:t xml:space="preserve"> et que le Secrétariat </w:t>
      </w:r>
      <w:r w:rsidR="009D29C5" w:rsidRPr="00C21A6F">
        <w:rPr>
          <w:lang w:val="fr-CH"/>
        </w:rPr>
        <w:t xml:space="preserve">devrait </w:t>
      </w:r>
      <w:r w:rsidR="00892AC4" w:rsidRPr="00C21A6F">
        <w:rPr>
          <w:lang w:val="fr-CH"/>
        </w:rPr>
        <w:t>continue</w:t>
      </w:r>
      <w:r w:rsidR="009D29C5" w:rsidRPr="00C21A6F">
        <w:rPr>
          <w:lang w:val="fr-CH"/>
        </w:rPr>
        <w:t>r</w:t>
      </w:r>
      <w:r w:rsidR="00892AC4" w:rsidRPr="00C21A6F">
        <w:rPr>
          <w:lang w:val="fr-CH"/>
        </w:rPr>
        <w:t xml:space="preserve"> de faire part de l</w:t>
      </w:r>
      <w:r w:rsidR="0066183D" w:rsidRPr="00C21A6F">
        <w:rPr>
          <w:lang w:val="fr-CH"/>
        </w:rPr>
        <w:t>'</w:t>
      </w:r>
      <w:r w:rsidR="00892AC4" w:rsidRPr="00C21A6F">
        <w:rPr>
          <w:lang w:val="fr-CH"/>
        </w:rPr>
        <w:t>intérêt manifesté par l</w:t>
      </w:r>
      <w:r w:rsidR="0066183D" w:rsidRPr="00C21A6F">
        <w:rPr>
          <w:lang w:val="fr-CH"/>
        </w:rPr>
        <w:t>'</w:t>
      </w:r>
      <w:r w:rsidR="00892AC4" w:rsidRPr="00C21A6F">
        <w:rPr>
          <w:lang w:val="fr-CH"/>
        </w:rPr>
        <w:t>UIT pour devenir l</w:t>
      </w:r>
      <w:r w:rsidR="0066183D" w:rsidRPr="00C21A6F">
        <w:rPr>
          <w:lang w:val="fr-CH"/>
        </w:rPr>
        <w:t>'</w:t>
      </w:r>
      <w:r w:rsidR="00892AC4" w:rsidRPr="00C21A6F">
        <w:rPr>
          <w:lang w:val="fr-CH"/>
        </w:rPr>
        <w:t>Autorité de surveillance et répond</w:t>
      </w:r>
      <w:r w:rsidR="009D29C5" w:rsidRPr="00C21A6F">
        <w:rPr>
          <w:lang w:val="fr-CH"/>
        </w:rPr>
        <w:t>r</w:t>
      </w:r>
      <w:r w:rsidR="00892AC4" w:rsidRPr="00C21A6F">
        <w:rPr>
          <w:lang w:val="fr-CH"/>
        </w:rPr>
        <w:t>e aux questions que pourr</w:t>
      </w:r>
      <w:r w:rsidR="009D29C5" w:rsidRPr="00C21A6F">
        <w:rPr>
          <w:lang w:val="fr-CH"/>
        </w:rPr>
        <w:t>ont soulever les Etats Membres d'ici à</w:t>
      </w:r>
      <w:r w:rsidR="00892AC4" w:rsidRPr="00C21A6F">
        <w:rPr>
          <w:lang w:val="fr-CH"/>
        </w:rPr>
        <w:t xml:space="preserve"> la prochaine Conférence de plénipotentiaires.</w:t>
      </w:r>
    </w:p>
    <w:p w14:paraId="5263C16F" w14:textId="4DCA075B" w:rsidR="008915E8" w:rsidRPr="00C21A6F" w:rsidRDefault="00CF058C" w:rsidP="009D29C5">
      <w:pPr>
        <w:rPr>
          <w:lang w:val="fr-CH"/>
        </w:rPr>
      </w:pPr>
      <w:r w:rsidRPr="00C21A6F">
        <w:rPr>
          <w:lang w:val="fr-CH"/>
        </w:rPr>
        <w:t>1.2</w:t>
      </w:r>
      <w:r w:rsidRPr="00C21A6F">
        <w:rPr>
          <w:lang w:val="fr-CH"/>
        </w:rPr>
        <w:tab/>
      </w:r>
      <w:r w:rsidR="008915E8" w:rsidRPr="00C21A6F">
        <w:rPr>
          <w:lang w:val="fr-CH"/>
        </w:rPr>
        <w:t xml:space="preserve">Depuis la dernière Conférence de plénipotentiaires, </w:t>
      </w:r>
      <w:r w:rsidR="00871BD8" w:rsidRPr="00C21A6F">
        <w:rPr>
          <w:lang w:val="fr-CH"/>
        </w:rPr>
        <w:t xml:space="preserve">le Conseil </w:t>
      </w:r>
      <w:r w:rsidR="009D29C5" w:rsidRPr="00C21A6F">
        <w:rPr>
          <w:lang w:val="fr-CH"/>
        </w:rPr>
        <w:t xml:space="preserve">a examiné cette question </w:t>
      </w:r>
      <w:r w:rsidR="00871BD8" w:rsidRPr="00C21A6F">
        <w:rPr>
          <w:lang w:val="fr-CH"/>
        </w:rPr>
        <w:t>à ses sessions de 2015, 2016 et 2017</w:t>
      </w:r>
      <w:r w:rsidR="009D29C5" w:rsidRPr="00C21A6F">
        <w:rPr>
          <w:lang w:val="fr-CH"/>
        </w:rPr>
        <w:t xml:space="preserve"> et </w:t>
      </w:r>
      <w:r w:rsidR="00485CA0" w:rsidRPr="00C21A6F">
        <w:rPr>
          <w:lang w:val="fr-CH"/>
        </w:rPr>
        <w:t>est parvenu à une conclusion qui est soumis</w:t>
      </w:r>
      <w:r w:rsidR="006E00F0" w:rsidRPr="00C21A6F">
        <w:rPr>
          <w:lang w:val="fr-CH"/>
        </w:rPr>
        <w:t xml:space="preserve">e </w:t>
      </w:r>
      <w:r w:rsidR="000F06F1" w:rsidRPr="00C21A6F">
        <w:rPr>
          <w:lang w:val="fr-CH"/>
        </w:rPr>
        <w:t xml:space="preserve">à la Conférence </w:t>
      </w:r>
      <w:r w:rsidR="00485CA0" w:rsidRPr="00C21A6F">
        <w:rPr>
          <w:lang w:val="fr-CH"/>
        </w:rPr>
        <w:t>pour décision.</w:t>
      </w:r>
      <w:r w:rsidR="000F06F1" w:rsidRPr="00C21A6F">
        <w:rPr>
          <w:lang w:val="fr-CH"/>
        </w:rPr>
        <w:t xml:space="preserve"> </w:t>
      </w:r>
    </w:p>
    <w:p w14:paraId="0FE4CBE3" w14:textId="213C8040" w:rsidR="00CF058C" w:rsidRPr="00C21A6F" w:rsidRDefault="00CF058C" w:rsidP="0066183D">
      <w:pPr>
        <w:pStyle w:val="Heading1"/>
        <w:rPr>
          <w:lang w:val="fr-CH"/>
        </w:rPr>
      </w:pPr>
      <w:r w:rsidRPr="00C21A6F">
        <w:rPr>
          <w:lang w:val="fr-CH"/>
        </w:rPr>
        <w:t>2</w:t>
      </w:r>
      <w:r w:rsidRPr="00C21A6F">
        <w:rPr>
          <w:lang w:val="fr-CH"/>
        </w:rPr>
        <w:tab/>
      </w:r>
      <w:r w:rsidR="004D12DA" w:rsidRPr="00C21A6F">
        <w:rPr>
          <w:lang w:val="fr-CH"/>
        </w:rPr>
        <w:t>Rappel</w:t>
      </w:r>
    </w:p>
    <w:p w14:paraId="576E7943" w14:textId="1286074F" w:rsidR="00CF058C" w:rsidRPr="00C21A6F" w:rsidRDefault="001B3E1B" w:rsidP="009D29C5">
      <w:pPr>
        <w:rPr>
          <w:lang w:val="fr-CH"/>
        </w:rPr>
      </w:pPr>
      <w:r w:rsidRPr="00C21A6F">
        <w:rPr>
          <w:lang w:val="fr-CH"/>
        </w:rPr>
        <w:t>2.1</w:t>
      </w:r>
      <w:r w:rsidRPr="00C21A6F">
        <w:rPr>
          <w:lang w:val="fr-CH"/>
        </w:rPr>
        <w:tab/>
      </w:r>
      <w:r w:rsidR="00CF058C" w:rsidRPr="00C21A6F">
        <w:rPr>
          <w:lang w:val="fr-CH"/>
        </w:rPr>
        <w:t xml:space="preserve">Le projet de </w:t>
      </w:r>
      <w:hyperlink r:id="rId47" w:history="1">
        <w:r w:rsidR="00CF058C" w:rsidRPr="00C21A6F">
          <w:rPr>
            <w:rStyle w:val="Hyperlink"/>
            <w:lang w:val="fr-CH"/>
          </w:rPr>
          <w:t>Protocole portant sur les biens spatiaux</w:t>
        </w:r>
      </w:hyperlink>
      <w:r w:rsidR="00CF058C" w:rsidRPr="00C21A6F">
        <w:rPr>
          <w:lang w:val="fr-CH"/>
        </w:rPr>
        <w:t xml:space="preserve"> fait partie d</w:t>
      </w:r>
      <w:r w:rsidR="0066183D" w:rsidRPr="00C21A6F">
        <w:rPr>
          <w:lang w:val="fr-CH"/>
        </w:rPr>
        <w:t>'</w:t>
      </w:r>
      <w:r w:rsidR="00CF058C" w:rsidRPr="00C21A6F">
        <w:rPr>
          <w:lang w:val="fr-CH"/>
        </w:rPr>
        <w:t xml:space="preserve">un ensemble de traités internationaux, dont les premiers ont été la </w:t>
      </w:r>
      <w:hyperlink r:id="rId48" w:history="1">
        <w:r w:rsidR="00CF058C" w:rsidRPr="00C21A6F">
          <w:rPr>
            <w:rStyle w:val="Hyperlink"/>
            <w:lang w:val="fr-CH"/>
          </w:rPr>
          <w:t>Convention relative aux garanties internationales portant sur des matériels d</w:t>
        </w:r>
        <w:r w:rsidR="0066183D" w:rsidRPr="00C21A6F">
          <w:rPr>
            <w:rStyle w:val="Hyperlink"/>
            <w:lang w:val="fr-CH"/>
          </w:rPr>
          <w:t>'</w:t>
        </w:r>
        <w:r w:rsidR="00CF058C" w:rsidRPr="00C21A6F">
          <w:rPr>
            <w:rStyle w:val="Hyperlink"/>
            <w:lang w:val="fr-CH"/>
          </w:rPr>
          <w:t>équipement mobiles</w:t>
        </w:r>
      </w:hyperlink>
      <w:r w:rsidR="00CF058C" w:rsidRPr="00C21A6F">
        <w:rPr>
          <w:lang w:val="fr-CH"/>
        </w:rPr>
        <w:t xml:space="preserve"> (ci-après désignée la Convention) et le </w:t>
      </w:r>
      <w:hyperlink r:id="rId49" w:history="1">
        <w:r w:rsidR="00CF058C" w:rsidRPr="00C21A6F">
          <w:rPr>
            <w:rStyle w:val="Hyperlink"/>
            <w:lang w:val="fr-CH"/>
          </w:rPr>
          <w:t>Protocole portant sur les questions spécifiques aux matériels d</w:t>
        </w:r>
        <w:r w:rsidR="0066183D" w:rsidRPr="00C21A6F">
          <w:rPr>
            <w:rStyle w:val="Hyperlink"/>
            <w:lang w:val="fr-CH"/>
          </w:rPr>
          <w:t>'</w:t>
        </w:r>
        <w:r w:rsidR="00CF058C" w:rsidRPr="00C21A6F">
          <w:rPr>
            <w:rStyle w:val="Hyperlink"/>
            <w:lang w:val="fr-CH"/>
          </w:rPr>
          <w:t>équipement aéronautiques</w:t>
        </w:r>
      </w:hyperlink>
      <w:r w:rsidR="00CF058C" w:rsidRPr="00C21A6F">
        <w:rPr>
          <w:lang w:val="fr-CH"/>
        </w:rPr>
        <w:t>, tous deux ouverts à la signature le 16 novembre 2001 au Cap. Le Protocole portant sur les biens spatiaux est un instrument destiné à faciliter le financement garanti par un actif pour l</w:t>
      </w:r>
      <w:r w:rsidR="0066183D" w:rsidRPr="00C21A6F">
        <w:rPr>
          <w:lang w:val="fr-CH"/>
        </w:rPr>
        <w:t>'</w:t>
      </w:r>
      <w:r w:rsidR="00CF058C" w:rsidRPr="00C21A6F">
        <w:rPr>
          <w:lang w:val="fr-CH"/>
        </w:rPr>
        <w:t>acquisition et l</w:t>
      </w:r>
      <w:r w:rsidR="0066183D" w:rsidRPr="00C21A6F">
        <w:rPr>
          <w:lang w:val="fr-CH"/>
        </w:rPr>
        <w:t>'</w:t>
      </w:r>
      <w:r w:rsidR="00CF058C" w:rsidRPr="00C21A6F">
        <w:rPr>
          <w:lang w:val="fr-CH"/>
        </w:rPr>
        <w:t>utilisation de biens spatiaux tels que les satellites et les répéteurs, qui ignorent les frontières.</w:t>
      </w:r>
      <w:r w:rsidR="001849AE" w:rsidRPr="00C21A6F">
        <w:rPr>
          <w:lang w:val="fr-CH"/>
        </w:rPr>
        <w:t xml:space="preserve"> Les textes du Protocole portant sur les biens spatiaux et des</w:t>
      </w:r>
      <w:r w:rsidR="0066183D" w:rsidRPr="00C21A6F">
        <w:rPr>
          <w:lang w:val="fr-CH"/>
        </w:rPr>
        <w:t xml:space="preserve"> </w:t>
      </w:r>
      <w:r w:rsidR="001849AE" w:rsidRPr="00C21A6F">
        <w:rPr>
          <w:lang w:val="fr-CH"/>
        </w:rPr>
        <w:t>Résolutions associées peuvent être consultés à l</w:t>
      </w:r>
      <w:r w:rsidR="0066183D" w:rsidRPr="00C21A6F">
        <w:rPr>
          <w:lang w:val="fr-CH"/>
        </w:rPr>
        <w:t>'</w:t>
      </w:r>
      <w:r w:rsidR="001849AE" w:rsidRPr="00C21A6F">
        <w:rPr>
          <w:lang w:val="fr-CH"/>
        </w:rPr>
        <w:t>adresse suivante</w:t>
      </w:r>
      <w:r w:rsidR="00561C14" w:rsidRPr="00C21A6F">
        <w:rPr>
          <w:lang w:val="fr-CH"/>
        </w:rPr>
        <w:t>:</w:t>
      </w:r>
      <w:r w:rsidR="001849AE" w:rsidRPr="00C21A6F">
        <w:rPr>
          <w:lang w:val="fr-CH"/>
        </w:rPr>
        <w:t xml:space="preserve"> </w:t>
      </w:r>
      <w:hyperlink r:id="rId50" w:history="1">
        <w:r w:rsidR="009D29C5" w:rsidRPr="00C21A6F">
          <w:rPr>
            <w:rStyle w:val="Hyperlink"/>
            <w:lang w:val="fr-CH"/>
          </w:rPr>
          <w:t>https://www.itu.int/en/ITU</w:t>
        </w:r>
        <w:r w:rsidR="009D29C5" w:rsidRPr="00C21A6F">
          <w:rPr>
            <w:rStyle w:val="Hyperlink"/>
            <w:lang w:val="fr-CH"/>
          </w:rPr>
          <w:noBreakHyphen/>
          <w:t>R/space/spaceAssets/Forms/spaceAssetsWebView.aspx</w:t>
        </w:r>
      </w:hyperlink>
      <w:r w:rsidR="00CF058C" w:rsidRPr="00C21A6F">
        <w:rPr>
          <w:lang w:val="fr-CH"/>
        </w:rPr>
        <w:t xml:space="preserve">. </w:t>
      </w:r>
    </w:p>
    <w:p w14:paraId="025D479D" w14:textId="1CAF15DD" w:rsidR="003F1950" w:rsidRPr="00C21A6F" w:rsidRDefault="00CF058C" w:rsidP="009D29C5">
      <w:pPr>
        <w:rPr>
          <w:lang w:val="fr-CH"/>
        </w:rPr>
      </w:pPr>
      <w:r w:rsidRPr="00C21A6F">
        <w:rPr>
          <w:lang w:val="fr-CH"/>
        </w:rPr>
        <w:t>2.2</w:t>
      </w:r>
      <w:r w:rsidRPr="00C21A6F">
        <w:rPr>
          <w:lang w:val="fr-CH"/>
        </w:rPr>
        <w:tab/>
      </w:r>
      <w:r w:rsidR="003F1950" w:rsidRPr="00C21A6F">
        <w:rPr>
          <w:lang w:val="fr-CH"/>
        </w:rPr>
        <w:t>On trouvera dans les</w:t>
      </w:r>
      <w:r w:rsidR="008C7DA7" w:rsidRPr="00C21A6F">
        <w:rPr>
          <w:lang w:val="fr-CH"/>
        </w:rPr>
        <w:t xml:space="preserve"> </w:t>
      </w:r>
      <w:r w:rsidRPr="00C21A6F">
        <w:rPr>
          <w:lang w:val="fr-CH"/>
        </w:rPr>
        <w:t xml:space="preserve">Annexes 2 </w:t>
      </w:r>
      <w:r w:rsidR="003F1950" w:rsidRPr="00C21A6F">
        <w:rPr>
          <w:lang w:val="fr-CH"/>
        </w:rPr>
        <w:t xml:space="preserve">et </w:t>
      </w:r>
      <w:r w:rsidRPr="00C21A6F">
        <w:rPr>
          <w:lang w:val="fr-CH"/>
        </w:rPr>
        <w:t xml:space="preserve">3 </w:t>
      </w:r>
      <w:r w:rsidR="00D42616" w:rsidRPr="00C21A6F">
        <w:rPr>
          <w:lang w:val="fr-CH"/>
        </w:rPr>
        <w:t>du présent r</w:t>
      </w:r>
      <w:r w:rsidR="003F1950" w:rsidRPr="00C21A6F">
        <w:rPr>
          <w:lang w:val="fr-CH"/>
        </w:rPr>
        <w:t>apport</w:t>
      </w:r>
      <w:r w:rsidRPr="00C21A6F">
        <w:rPr>
          <w:lang w:val="fr-CH"/>
        </w:rPr>
        <w:t xml:space="preserve"> </w:t>
      </w:r>
      <w:r w:rsidR="003F1950" w:rsidRPr="00C21A6F">
        <w:rPr>
          <w:lang w:val="fr-CH"/>
        </w:rPr>
        <w:t xml:space="preserve">des informations additionnelles sur le Protocole portant sur les biens spatiaux et le rôle </w:t>
      </w:r>
      <w:r w:rsidR="00F83B8E" w:rsidRPr="00C21A6F">
        <w:rPr>
          <w:lang w:val="fr-CH"/>
        </w:rPr>
        <w:t>de l</w:t>
      </w:r>
      <w:r w:rsidR="0066183D" w:rsidRPr="00C21A6F">
        <w:rPr>
          <w:lang w:val="fr-CH"/>
        </w:rPr>
        <w:t>'</w:t>
      </w:r>
      <w:r w:rsidR="00F83B8E" w:rsidRPr="00C21A6F">
        <w:rPr>
          <w:lang w:val="fr-CH"/>
        </w:rPr>
        <w:t xml:space="preserve">Autorité de surveillance </w:t>
      </w:r>
      <w:r w:rsidR="009D29C5" w:rsidRPr="00C21A6F">
        <w:rPr>
          <w:lang w:val="fr-CH"/>
        </w:rPr>
        <w:t xml:space="preserve">conformément à ce </w:t>
      </w:r>
      <w:r w:rsidR="004D0577" w:rsidRPr="00C21A6F">
        <w:rPr>
          <w:lang w:val="fr-CH"/>
        </w:rPr>
        <w:t>Protocole</w:t>
      </w:r>
      <w:r w:rsidR="00F83B8E" w:rsidRPr="00C21A6F">
        <w:rPr>
          <w:lang w:val="fr-CH"/>
        </w:rPr>
        <w:t xml:space="preserve">. </w:t>
      </w:r>
    </w:p>
    <w:p w14:paraId="13261788" w14:textId="1E31784E" w:rsidR="00753496" w:rsidRPr="00C21A6F" w:rsidRDefault="00CF058C" w:rsidP="009D29C5">
      <w:pPr>
        <w:rPr>
          <w:lang w:val="fr-CH"/>
        </w:rPr>
      </w:pPr>
      <w:r w:rsidRPr="00C21A6F">
        <w:rPr>
          <w:lang w:val="fr-CH"/>
        </w:rPr>
        <w:t>2.3</w:t>
      </w:r>
      <w:r w:rsidRPr="00C21A6F">
        <w:rPr>
          <w:lang w:val="fr-CH"/>
        </w:rPr>
        <w:tab/>
      </w:r>
      <w:r w:rsidR="00753496" w:rsidRPr="00C21A6F">
        <w:rPr>
          <w:lang w:val="fr-CH"/>
        </w:rPr>
        <w:t>L</w:t>
      </w:r>
      <w:r w:rsidR="0066183D" w:rsidRPr="00C21A6F">
        <w:rPr>
          <w:lang w:val="fr-CH"/>
        </w:rPr>
        <w:t>'</w:t>
      </w:r>
      <w:r w:rsidRPr="00C21A6F">
        <w:rPr>
          <w:lang w:val="fr-CH"/>
        </w:rPr>
        <w:t>Annex</w:t>
      </w:r>
      <w:r w:rsidR="00753496" w:rsidRPr="00C21A6F">
        <w:rPr>
          <w:lang w:val="fr-CH"/>
        </w:rPr>
        <w:t>e</w:t>
      </w:r>
      <w:r w:rsidRPr="00C21A6F">
        <w:rPr>
          <w:lang w:val="fr-CH"/>
        </w:rPr>
        <w:t xml:space="preserve"> 1 </w:t>
      </w:r>
      <w:r w:rsidR="009D29C5" w:rsidRPr="00C21A6F">
        <w:rPr>
          <w:lang w:val="fr-CH"/>
        </w:rPr>
        <w:t>est</w:t>
      </w:r>
      <w:r w:rsidR="00753496" w:rsidRPr="00C21A6F">
        <w:rPr>
          <w:lang w:val="fr-CH"/>
        </w:rPr>
        <w:t xml:space="preserve"> un résumé des </w:t>
      </w:r>
      <w:r w:rsidR="009D29C5" w:rsidRPr="00C21A6F">
        <w:rPr>
          <w:lang w:val="fr-CH"/>
        </w:rPr>
        <w:t>débats qui ont eu lieu</w:t>
      </w:r>
      <w:r w:rsidR="004D0577" w:rsidRPr="00C21A6F">
        <w:rPr>
          <w:lang w:val="fr-CH"/>
        </w:rPr>
        <w:t xml:space="preserve"> depuis 2011 au sujet du</w:t>
      </w:r>
      <w:r w:rsidR="00753496" w:rsidRPr="00C21A6F">
        <w:rPr>
          <w:lang w:val="fr-CH"/>
        </w:rPr>
        <w:t xml:space="preserve"> rôle </w:t>
      </w:r>
      <w:r w:rsidR="007957AE" w:rsidRPr="00C21A6F">
        <w:rPr>
          <w:lang w:val="fr-CH"/>
        </w:rPr>
        <w:t>de l</w:t>
      </w:r>
      <w:r w:rsidR="0066183D" w:rsidRPr="00C21A6F">
        <w:rPr>
          <w:lang w:val="fr-CH"/>
        </w:rPr>
        <w:t>'</w:t>
      </w:r>
      <w:r w:rsidR="007957AE" w:rsidRPr="00C21A6F">
        <w:rPr>
          <w:lang w:val="fr-CH"/>
        </w:rPr>
        <w:t>UIT en tant qu</w:t>
      </w:r>
      <w:r w:rsidR="0066183D" w:rsidRPr="00C21A6F">
        <w:rPr>
          <w:lang w:val="fr-CH"/>
        </w:rPr>
        <w:t>'</w:t>
      </w:r>
      <w:r w:rsidR="007957AE" w:rsidRPr="00C21A6F">
        <w:rPr>
          <w:lang w:val="fr-CH"/>
        </w:rPr>
        <w:t>A</w:t>
      </w:r>
      <w:r w:rsidR="00E14658" w:rsidRPr="00C21A6F">
        <w:rPr>
          <w:lang w:val="fr-CH"/>
        </w:rPr>
        <w:t>utorité de surveillance du système international d</w:t>
      </w:r>
      <w:r w:rsidR="0066183D" w:rsidRPr="00C21A6F">
        <w:rPr>
          <w:lang w:val="fr-CH"/>
        </w:rPr>
        <w:t>'</w:t>
      </w:r>
      <w:r w:rsidR="00E14658" w:rsidRPr="00C21A6F">
        <w:rPr>
          <w:lang w:val="fr-CH"/>
        </w:rPr>
        <w:t>inscription pour les biens spatiaux conformément au Protocole portant sur les biens spatiaux</w:t>
      </w:r>
      <w:r w:rsidR="004D0577" w:rsidRPr="00C21A6F">
        <w:rPr>
          <w:lang w:val="fr-CH"/>
        </w:rPr>
        <w:t>.</w:t>
      </w:r>
    </w:p>
    <w:p w14:paraId="13228C99" w14:textId="491CDA7F" w:rsidR="00CF058C" w:rsidRPr="00C21A6F" w:rsidRDefault="00CF058C" w:rsidP="0066183D">
      <w:pPr>
        <w:pStyle w:val="Heading1"/>
        <w:rPr>
          <w:lang w:val="fr-CH"/>
        </w:rPr>
      </w:pPr>
      <w:r w:rsidRPr="00C21A6F">
        <w:rPr>
          <w:lang w:val="fr-CH"/>
        </w:rPr>
        <w:t>3</w:t>
      </w:r>
      <w:r w:rsidRPr="00C21A6F">
        <w:rPr>
          <w:lang w:val="fr-CH"/>
        </w:rPr>
        <w:tab/>
      </w:r>
      <w:r w:rsidR="0005283E" w:rsidRPr="00C21A6F">
        <w:rPr>
          <w:rFonts w:eastAsiaTheme="minorEastAsia"/>
          <w:lang w:val="fr-CH" w:eastAsia="zh-CN"/>
        </w:rPr>
        <w:t>Recomm</w:t>
      </w:r>
      <w:r w:rsidR="00E14BAB" w:rsidRPr="00C21A6F">
        <w:rPr>
          <w:rFonts w:eastAsiaTheme="minorEastAsia"/>
          <w:lang w:val="fr-CH" w:eastAsia="zh-CN"/>
        </w:rPr>
        <w:t>andation du Conseil à sa session de 2017</w:t>
      </w:r>
    </w:p>
    <w:p w14:paraId="2F7874E4" w14:textId="189A4E0F" w:rsidR="00CF058C" w:rsidRPr="00C21A6F" w:rsidRDefault="007D2E82" w:rsidP="009D29C5">
      <w:pPr>
        <w:rPr>
          <w:lang w:val="fr-CH"/>
        </w:rPr>
      </w:pPr>
      <w:r w:rsidRPr="00C21A6F">
        <w:rPr>
          <w:lang w:val="fr-CH"/>
        </w:rPr>
        <w:t>3.1</w:t>
      </w:r>
      <w:r w:rsidRPr="00C21A6F">
        <w:rPr>
          <w:lang w:val="fr-CH"/>
        </w:rPr>
        <w:tab/>
        <w:t>A sa session de 2017, le Conseil a examiné la question du rôle</w:t>
      </w:r>
      <w:r w:rsidR="00706F9E" w:rsidRPr="00C21A6F">
        <w:rPr>
          <w:lang w:val="fr-CH"/>
        </w:rPr>
        <w:t xml:space="preserve"> de l</w:t>
      </w:r>
      <w:r w:rsidR="0066183D" w:rsidRPr="00C21A6F">
        <w:rPr>
          <w:lang w:val="fr-CH"/>
        </w:rPr>
        <w:t>'</w:t>
      </w:r>
      <w:r w:rsidR="00706F9E" w:rsidRPr="00C21A6F">
        <w:rPr>
          <w:lang w:val="fr-CH"/>
        </w:rPr>
        <w:t>UIT en tant qu</w:t>
      </w:r>
      <w:r w:rsidR="0066183D" w:rsidRPr="00C21A6F">
        <w:rPr>
          <w:lang w:val="fr-CH"/>
        </w:rPr>
        <w:t>'</w:t>
      </w:r>
      <w:r w:rsidR="00706F9E" w:rsidRPr="00C21A6F">
        <w:rPr>
          <w:lang w:val="fr-CH"/>
        </w:rPr>
        <w:t>A</w:t>
      </w:r>
      <w:r w:rsidRPr="00C21A6F">
        <w:rPr>
          <w:lang w:val="fr-CH"/>
        </w:rPr>
        <w:t>utorité de surveillance du système international d</w:t>
      </w:r>
      <w:r w:rsidR="0066183D" w:rsidRPr="00C21A6F">
        <w:rPr>
          <w:lang w:val="fr-CH"/>
        </w:rPr>
        <w:t>'</w:t>
      </w:r>
      <w:r w:rsidRPr="00C21A6F">
        <w:rPr>
          <w:lang w:val="fr-CH"/>
        </w:rPr>
        <w:t>inscription pour les biens spatiaux conformément au Protocole portant sur les biens spatiaux</w:t>
      </w:r>
      <w:r w:rsidR="004C219E" w:rsidRPr="00C21A6F">
        <w:rPr>
          <w:lang w:val="fr-CH"/>
        </w:rPr>
        <w:t xml:space="preserve">, </w:t>
      </w:r>
      <w:r w:rsidR="009D29C5" w:rsidRPr="00C21A6F">
        <w:rPr>
          <w:lang w:val="fr-CH"/>
        </w:rPr>
        <w:t xml:space="preserve">comme </w:t>
      </w:r>
      <w:r w:rsidR="004C219E" w:rsidRPr="00C21A6F">
        <w:rPr>
          <w:lang w:val="fr-CH"/>
        </w:rPr>
        <w:t xml:space="preserve">il </w:t>
      </w:r>
      <w:r w:rsidR="00D42616" w:rsidRPr="00C21A6F">
        <w:rPr>
          <w:lang w:val="fr-CH"/>
        </w:rPr>
        <w:t>le</w:t>
      </w:r>
      <w:r w:rsidR="004C219E" w:rsidRPr="00C21A6F">
        <w:rPr>
          <w:lang w:val="fr-CH"/>
        </w:rPr>
        <w:t xml:space="preserve"> fait depuis 2011</w:t>
      </w:r>
      <w:r w:rsidRPr="00C21A6F">
        <w:rPr>
          <w:lang w:val="fr-CH"/>
        </w:rPr>
        <w:t>. Au cours de cet examen, il a été rappelé que l</w:t>
      </w:r>
      <w:r w:rsidR="0066183D" w:rsidRPr="00C21A6F">
        <w:rPr>
          <w:lang w:val="fr-CH"/>
        </w:rPr>
        <w:t>'</w:t>
      </w:r>
      <w:r w:rsidRPr="00C21A6F">
        <w:rPr>
          <w:lang w:val="fr-CH"/>
        </w:rPr>
        <w:t>accept</w:t>
      </w:r>
      <w:r w:rsidR="00706F9E" w:rsidRPr="00C21A6F">
        <w:rPr>
          <w:lang w:val="fr-CH"/>
        </w:rPr>
        <w:t>ation, par l</w:t>
      </w:r>
      <w:r w:rsidR="0066183D" w:rsidRPr="00C21A6F">
        <w:rPr>
          <w:lang w:val="fr-CH"/>
        </w:rPr>
        <w:t>'</w:t>
      </w:r>
      <w:r w:rsidR="00706F9E" w:rsidRPr="00C21A6F">
        <w:rPr>
          <w:lang w:val="fr-CH"/>
        </w:rPr>
        <w:t xml:space="preserve">UIT, </w:t>
      </w:r>
      <w:r w:rsidR="009D29C5" w:rsidRPr="00C21A6F">
        <w:rPr>
          <w:lang w:val="fr-CH"/>
        </w:rPr>
        <w:t>du</w:t>
      </w:r>
      <w:r w:rsidR="00706F9E" w:rsidRPr="00C21A6F">
        <w:rPr>
          <w:lang w:val="fr-CH"/>
        </w:rPr>
        <w:t xml:space="preserve"> rôle d</w:t>
      </w:r>
      <w:r w:rsidR="0066183D" w:rsidRPr="00C21A6F">
        <w:rPr>
          <w:lang w:val="fr-CH"/>
        </w:rPr>
        <w:t>'</w:t>
      </w:r>
      <w:r w:rsidR="00706F9E" w:rsidRPr="00C21A6F">
        <w:rPr>
          <w:lang w:val="fr-CH"/>
        </w:rPr>
        <w:t>A</w:t>
      </w:r>
      <w:r w:rsidRPr="00C21A6F">
        <w:rPr>
          <w:lang w:val="fr-CH"/>
        </w:rPr>
        <w:t xml:space="preserve">utorité de surveillance devrait être </w:t>
      </w:r>
      <w:r w:rsidR="009D29C5" w:rsidRPr="00C21A6F">
        <w:rPr>
          <w:lang w:val="fr-CH"/>
        </w:rPr>
        <w:t xml:space="preserve">officialisée dans le cadre </w:t>
      </w:r>
      <w:r w:rsidRPr="00C21A6F">
        <w:rPr>
          <w:lang w:val="fr-CH"/>
        </w:rPr>
        <w:t>d</w:t>
      </w:r>
      <w:r w:rsidR="0066183D" w:rsidRPr="00C21A6F">
        <w:rPr>
          <w:lang w:val="fr-CH"/>
        </w:rPr>
        <w:t>'</w:t>
      </w:r>
      <w:r w:rsidRPr="00C21A6F">
        <w:rPr>
          <w:lang w:val="fr-CH"/>
        </w:rPr>
        <w:t>un accord entre UNIDROIT et l</w:t>
      </w:r>
      <w:r w:rsidR="0066183D" w:rsidRPr="00C21A6F">
        <w:rPr>
          <w:lang w:val="fr-CH"/>
        </w:rPr>
        <w:t>'</w:t>
      </w:r>
      <w:r w:rsidRPr="00C21A6F">
        <w:rPr>
          <w:lang w:val="fr-CH"/>
        </w:rPr>
        <w:t>UIT.</w:t>
      </w:r>
    </w:p>
    <w:p w14:paraId="46E2A9CB" w14:textId="264AC77A" w:rsidR="00FE5B8D" w:rsidRPr="00C21A6F" w:rsidRDefault="007D2E82" w:rsidP="0027479D">
      <w:pPr>
        <w:rPr>
          <w:lang w:val="fr-CH"/>
        </w:rPr>
      </w:pPr>
      <w:r w:rsidRPr="00C21A6F">
        <w:rPr>
          <w:lang w:val="fr-CH"/>
        </w:rPr>
        <w:t>3.2</w:t>
      </w:r>
      <w:r w:rsidRPr="00C21A6F">
        <w:rPr>
          <w:lang w:val="fr-CH"/>
        </w:rPr>
        <w:tab/>
        <w:t xml:space="preserve">Le Président du Conseil a </w:t>
      </w:r>
      <w:r w:rsidR="00CF3F3C" w:rsidRPr="00C21A6F">
        <w:rPr>
          <w:b/>
          <w:bCs/>
          <w:lang w:val="fr-CH"/>
        </w:rPr>
        <w:t>not</w:t>
      </w:r>
      <w:r w:rsidR="009D29C5" w:rsidRPr="00C21A6F">
        <w:rPr>
          <w:b/>
          <w:bCs/>
          <w:lang w:val="fr-CH"/>
        </w:rPr>
        <w:t>é</w:t>
      </w:r>
      <w:r w:rsidR="009D29C5" w:rsidRPr="00C21A6F">
        <w:rPr>
          <w:lang w:val="fr-CH"/>
        </w:rPr>
        <w:t>,</w:t>
      </w:r>
      <w:r w:rsidRPr="00C21A6F">
        <w:rPr>
          <w:lang w:val="fr-CH"/>
        </w:rPr>
        <w:t xml:space="preserve"> </w:t>
      </w:r>
      <w:r w:rsidR="009D29C5" w:rsidRPr="00C21A6F">
        <w:rPr>
          <w:color w:val="000000"/>
          <w:lang w:val="fr-CH"/>
        </w:rPr>
        <w:t>à la suite des débats sur ce sujet,</w:t>
      </w:r>
      <w:r w:rsidR="00CF3F3C" w:rsidRPr="00C21A6F">
        <w:rPr>
          <w:color w:val="000000"/>
          <w:lang w:val="fr-CH"/>
        </w:rPr>
        <w:t xml:space="preserve"> que </w:t>
      </w:r>
      <w:r w:rsidR="009D29C5" w:rsidRPr="00C21A6F">
        <w:rPr>
          <w:color w:val="000000"/>
          <w:lang w:val="fr-CH"/>
        </w:rPr>
        <w:t xml:space="preserve">la possibilité que </w:t>
      </w:r>
      <w:r w:rsidR="00CF3F3C" w:rsidRPr="00C21A6F">
        <w:rPr>
          <w:color w:val="000000"/>
          <w:lang w:val="fr-CH"/>
        </w:rPr>
        <w:t>l</w:t>
      </w:r>
      <w:r w:rsidR="0066183D" w:rsidRPr="00C21A6F">
        <w:rPr>
          <w:color w:val="000000"/>
          <w:lang w:val="fr-CH"/>
        </w:rPr>
        <w:t>'</w:t>
      </w:r>
      <w:r w:rsidR="00CF3F3C" w:rsidRPr="00C21A6F">
        <w:rPr>
          <w:color w:val="000000"/>
          <w:lang w:val="fr-CH"/>
        </w:rPr>
        <w:t>UIT devienne l</w:t>
      </w:r>
      <w:r w:rsidR="0066183D" w:rsidRPr="00C21A6F">
        <w:rPr>
          <w:color w:val="000000"/>
          <w:lang w:val="fr-CH"/>
        </w:rPr>
        <w:t>'</w:t>
      </w:r>
      <w:r w:rsidR="00CF3F3C" w:rsidRPr="00C21A6F">
        <w:rPr>
          <w:color w:val="000000"/>
          <w:lang w:val="fr-CH"/>
        </w:rPr>
        <w:t>Autorité de surveillance</w:t>
      </w:r>
      <w:r w:rsidR="009D29C5" w:rsidRPr="00C21A6F">
        <w:rPr>
          <w:color w:val="000000"/>
          <w:lang w:val="fr-CH"/>
        </w:rPr>
        <w:t xml:space="preserve"> n'avait donné lieu à aucune objection de principe</w:t>
      </w:r>
      <w:r w:rsidR="00CF3F3C" w:rsidRPr="00C21A6F">
        <w:rPr>
          <w:color w:val="000000"/>
          <w:lang w:val="fr-CH"/>
        </w:rPr>
        <w:t xml:space="preserve"> et que de l</w:t>
      </w:r>
      <w:r w:rsidR="0066183D" w:rsidRPr="00C21A6F">
        <w:rPr>
          <w:color w:val="000000"/>
          <w:lang w:val="fr-CH"/>
        </w:rPr>
        <w:t>'</w:t>
      </w:r>
      <w:r w:rsidR="00CF3F3C" w:rsidRPr="00C21A6F">
        <w:rPr>
          <w:color w:val="000000"/>
          <w:lang w:val="fr-CH"/>
        </w:rPr>
        <w:t xml:space="preserve">avis général, la décision finale devrait être prise par la </w:t>
      </w:r>
      <w:r w:rsidR="00CA7242" w:rsidRPr="00C21A6F">
        <w:rPr>
          <w:lang w:val="fr-CH"/>
        </w:rPr>
        <w:t>Conférence de plénipotentiaires de l</w:t>
      </w:r>
      <w:r w:rsidR="0066183D" w:rsidRPr="00C21A6F">
        <w:rPr>
          <w:lang w:val="fr-CH"/>
        </w:rPr>
        <w:t>'</w:t>
      </w:r>
      <w:r w:rsidR="00CA7242" w:rsidRPr="00C21A6F">
        <w:rPr>
          <w:lang w:val="fr-CH"/>
        </w:rPr>
        <w:t>UIT (PP-18)</w:t>
      </w:r>
      <w:r w:rsidRPr="00C21A6F">
        <w:rPr>
          <w:lang w:val="fr-CH"/>
        </w:rPr>
        <w:t xml:space="preserve"> (</w:t>
      </w:r>
      <w:r w:rsidR="007B71A1" w:rsidRPr="00C21A6F">
        <w:rPr>
          <w:lang w:val="fr-CH"/>
        </w:rPr>
        <w:t>voir le §</w:t>
      </w:r>
      <w:r w:rsidR="009D29C5" w:rsidRPr="00C21A6F">
        <w:rPr>
          <w:lang w:val="fr-CH"/>
        </w:rPr>
        <w:t xml:space="preserve"> </w:t>
      </w:r>
      <w:r w:rsidR="007B71A1" w:rsidRPr="00C21A6F">
        <w:rPr>
          <w:lang w:val="fr-CH"/>
        </w:rPr>
        <w:t>3.9 du</w:t>
      </w:r>
      <w:r w:rsidRPr="00C21A6F">
        <w:rPr>
          <w:lang w:val="fr-CH"/>
        </w:rPr>
        <w:t xml:space="preserve"> </w:t>
      </w:r>
      <w:hyperlink r:id="rId51" w:history="1">
        <w:r w:rsidRPr="00C21A6F">
          <w:rPr>
            <w:rStyle w:val="Hyperlink"/>
            <w:lang w:val="fr-CH"/>
          </w:rPr>
          <w:t>Document C17/128</w:t>
        </w:r>
      </w:hyperlink>
      <w:r w:rsidRPr="00C21A6F">
        <w:rPr>
          <w:lang w:val="fr-CH"/>
        </w:rPr>
        <w:t>).</w:t>
      </w:r>
    </w:p>
    <w:p w14:paraId="34F8BA92" w14:textId="1424F471" w:rsidR="00CF058C" w:rsidRPr="00C21A6F" w:rsidRDefault="007D2E82" w:rsidP="00EA3361">
      <w:pPr>
        <w:keepNext/>
        <w:keepLines/>
        <w:rPr>
          <w:lang w:val="fr-CH"/>
        </w:rPr>
      </w:pPr>
      <w:r w:rsidRPr="00C21A6F">
        <w:rPr>
          <w:lang w:val="fr-CH"/>
        </w:rPr>
        <w:lastRenderedPageBreak/>
        <w:t>3.3</w:t>
      </w:r>
      <w:r w:rsidRPr="00C21A6F">
        <w:rPr>
          <w:lang w:val="fr-CH"/>
        </w:rPr>
        <w:tab/>
        <w:t>Même si aucune objection n</w:t>
      </w:r>
      <w:r w:rsidR="0066183D" w:rsidRPr="00C21A6F">
        <w:rPr>
          <w:lang w:val="fr-CH"/>
        </w:rPr>
        <w:t>'</w:t>
      </w:r>
      <w:r w:rsidRPr="00C21A6F">
        <w:rPr>
          <w:lang w:val="fr-CH"/>
        </w:rPr>
        <w:t xml:space="preserve">a été formulée, le Conseil a </w:t>
      </w:r>
      <w:r w:rsidRPr="00C21A6F">
        <w:rPr>
          <w:b/>
          <w:bCs/>
          <w:lang w:val="fr-CH"/>
        </w:rPr>
        <w:t xml:space="preserve">approuvé </w:t>
      </w:r>
      <w:r w:rsidRPr="00C21A6F">
        <w:rPr>
          <w:lang w:val="fr-CH"/>
        </w:rPr>
        <w:t xml:space="preserve">un ensemble de conditions pour </w:t>
      </w:r>
      <w:r w:rsidRPr="00C21A6F">
        <w:rPr>
          <w:b/>
          <w:bCs/>
          <w:color w:val="000000"/>
          <w:lang w:val="fr-CH"/>
        </w:rPr>
        <w:t xml:space="preserve">recommandation </w:t>
      </w:r>
      <w:r w:rsidRPr="00C21A6F">
        <w:rPr>
          <w:color w:val="000000"/>
          <w:lang w:val="fr-CH"/>
        </w:rPr>
        <w:t>à la PP-18</w:t>
      </w:r>
      <w:r w:rsidRPr="00C21A6F">
        <w:rPr>
          <w:lang w:val="fr-CH"/>
        </w:rPr>
        <w:t xml:space="preserve">, </w:t>
      </w:r>
      <w:r w:rsidR="009D29C5" w:rsidRPr="00C21A6F">
        <w:rPr>
          <w:lang w:val="fr-CH"/>
        </w:rPr>
        <w:t>au</w:t>
      </w:r>
      <w:r w:rsidRPr="00C21A6F">
        <w:rPr>
          <w:lang w:val="fr-CH"/>
        </w:rPr>
        <w:t xml:space="preserve"> cas où </w:t>
      </w:r>
      <w:r w:rsidR="009D29C5" w:rsidRPr="00C21A6F">
        <w:rPr>
          <w:lang w:val="fr-CH"/>
        </w:rPr>
        <w:t>celle-ci</w:t>
      </w:r>
      <w:r w:rsidRPr="00C21A6F">
        <w:rPr>
          <w:lang w:val="fr-CH"/>
        </w:rPr>
        <w:t xml:space="preserve"> déciderai</w:t>
      </w:r>
      <w:r w:rsidR="00706F9E" w:rsidRPr="00C21A6F">
        <w:rPr>
          <w:lang w:val="fr-CH"/>
        </w:rPr>
        <w:t>t que l</w:t>
      </w:r>
      <w:r w:rsidR="0066183D" w:rsidRPr="00C21A6F">
        <w:rPr>
          <w:lang w:val="fr-CH"/>
        </w:rPr>
        <w:t>'</w:t>
      </w:r>
      <w:r w:rsidR="00706F9E" w:rsidRPr="00C21A6F">
        <w:rPr>
          <w:lang w:val="fr-CH"/>
        </w:rPr>
        <w:t>UIT assumera le rôle d</w:t>
      </w:r>
      <w:r w:rsidR="0066183D" w:rsidRPr="00C21A6F">
        <w:rPr>
          <w:lang w:val="fr-CH"/>
        </w:rPr>
        <w:t>'</w:t>
      </w:r>
      <w:r w:rsidR="00706F9E" w:rsidRPr="00C21A6F">
        <w:rPr>
          <w:lang w:val="fr-CH"/>
        </w:rPr>
        <w:t>A</w:t>
      </w:r>
      <w:r w:rsidRPr="00C21A6F">
        <w:rPr>
          <w:lang w:val="fr-CH"/>
        </w:rPr>
        <w:t xml:space="preserve">utorité de surveillance. Ces conditions sont </w:t>
      </w:r>
      <w:r w:rsidR="009D29C5" w:rsidRPr="00C21A6F">
        <w:rPr>
          <w:lang w:val="fr-CH"/>
        </w:rPr>
        <w:t>exposées aux §</w:t>
      </w:r>
      <w:r w:rsidRPr="00C21A6F">
        <w:rPr>
          <w:lang w:val="fr-CH"/>
        </w:rPr>
        <w:t xml:space="preserve"> 4 à 13 du </w:t>
      </w:r>
      <w:hyperlink r:id="rId52" w:history="1">
        <w:r w:rsidRPr="00C21A6F">
          <w:rPr>
            <w:rStyle w:val="Hyperlink"/>
            <w:lang w:val="fr-CH"/>
          </w:rPr>
          <w:t>Document</w:t>
        </w:r>
        <w:r w:rsidR="009D29C5" w:rsidRPr="00C21A6F">
          <w:rPr>
            <w:rStyle w:val="Hyperlink"/>
            <w:lang w:val="fr-CH"/>
          </w:rPr>
          <w:t> </w:t>
        </w:r>
        <w:r w:rsidRPr="00C21A6F">
          <w:rPr>
            <w:rStyle w:val="Hyperlink"/>
            <w:lang w:val="fr-CH"/>
          </w:rPr>
          <w:t>C17/36(Rév.1)</w:t>
        </w:r>
      </w:hyperlink>
      <w:r w:rsidRPr="00C21A6F">
        <w:rPr>
          <w:lang w:val="fr-CH"/>
        </w:rPr>
        <w:t xml:space="preserve"> </w:t>
      </w:r>
      <w:r w:rsidR="00FE5B8D" w:rsidRPr="00C21A6F">
        <w:rPr>
          <w:lang w:val="fr-CH"/>
        </w:rPr>
        <w:t>et reproduites ci-après</w:t>
      </w:r>
      <w:r w:rsidRPr="00C21A6F">
        <w:rPr>
          <w:lang w:val="fr-CH"/>
        </w:rPr>
        <w:t xml:space="preserve">: </w:t>
      </w:r>
    </w:p>
    <w:p w14:paraId="451A3ECB" w14:textId="5374660B" w:rsidR="005434CF" w:rsidRPr="00C21A6F" w:rsidRDefault="005434CF" w:rsidP="0066183D">
      <w:pPr>
        <w:ind w:left="567"/>
        <w:rPr>
          <w:i/>
          <w:iCs/>
          <w:lang w:val="fr-CH"/>
        </w:rPr>
      </w:pPr>
      <w:r w:rsidRPr="00C21A6F">
        <w:rPr>
          <w:i/>
          <w:iCs/>
          <w:lang w:val="fr-CH"/>
        </w:rPr>
        <w:t>"4</w:t>
      </w:r>
      <w:r w:rsidRPr="00C21A6F">
        <w:rPr>
          <w:i/>
          <w:iCs/>
          <w:lang w:val="fr-CH"/>
        </w:rPr>
        <w:tab/>
        <w:t>Pour ce qui est des questions soulevées par le Conseil à sa session de 2016 concernant les conditions et restrictions dont il faudrait peut-être assortir l</w:t>
      </w:r>
      <w:r w:rsidR="0066183D" w:rsidRPr="00C21A6F">
        <w:rPr>
          <w:i/>
          <w:iCs/>
          <w:lang w:val="fr-CH"/>
        </w:rPr>
        <w:t>'</w:t>
      </w:r>
      <w:r w:rsidRPr="00C21A6F">
        <w:rPr>
          <w:i/>
          <w:iCs/>
          <w:lang w:val="fr-CH"/>
        </w:rPr>
        <w:t>accord de l</w:t>
      </w:r>
      <w:r w:rsidR="0066183D" w:rsidRPr="00C21A6F">
        <w:rPr>
          <w:i/>
          <w:iCs/>
          <w:lang w:val="fr-CH"/>
        </w:rPr>
        <w:t>'</w:t>
      </w:r>
      <w:r w:rsidRPr="00C21A6F">
        <w:rPr>
          <w:i/>
          <w:iCs/>
          <w:lang w:val="fr-CH"/>
        </w:rPr>
        <w:t>UIT au cas où la Conférence de plénipotentiaires de 2018 déciderait que l</w:t>
      </w:r>
      <w:r w:rsidR="0066183D" w:rsidRPr="00C21A6F">
        <w:rPr>
          <w:i/>
          <w:iCs/>
          <w:lang w:val="fr-CH"/>
        </w:rPr>
        <w:t>'</w:t>
      </w:r>
      <w:r w:rsidRPr="00C21A6F">
        <w:rPr>
          <w:i/>
          <w:iCs/>
          <w:lang w:val="fr-CH"/>
        </w:rPr>
        <w:t>UIT peut assumer le rôle d</w:t>
      </w:r>
      <w:r w:rsidR="0066183D" w:rsidRPr="00C21A6F">
        <w:rPr>
          <w:i/>
          <w:iCs/>
          <w:lang w:val="fr-CH"/>
        </w:rPr>
        <w:t>'</w:t>
      </w:r>
      <w:r w:rsidRPr="00C21A6F">
        <w:rPr>
          <w:i/>
          <w:iCs/>
          <w:lang w:val="fr-CH"/>
        </w:rPr>
        <w:t>Autorité de surveillance, il importe de rappeler plusieurs éléments fondamentaux.</w:t>
      </w:r>
    </w:p>
    <w:p w14:paraId="1AE7BDBA" w14:textId="1A01776F" w:rsidR="005434CF" w:rsidRPr="00C21A6F" w:rsidRDefault="005434CF" w:rsidP="0066183D">
      <w:pPr>
        <w:ind w:left="567"/>
        <w:rPr>
          <w:i/>
          <w:iCs/>
          <w:lang w:val="fr-CH"/>
        </w:rPr>
      </w:pPr>
      <w:r w:rsidRPr="00C21A6F">
        <w:rPr>
          <w:i/>
          <w:iCs/>
          <w:lang w:val="fr-CH"/>
        </w:rPr>
        <w:t>5</w:t>
      </w:r>
      <w:r w:rsidRPr="00C21A6F">
        <w:rPr>
          <w:i/>
          <w:iCs/>
          <w:lang w:val="fr-CH"/>
        </w:rPr>
        <w:tab/>
        <w:t>En premier lieu, il est important de souligner que l</w:t>
      </w:r>
      <w:r w:rsidR="0066183D" w:rsidRPr="00C21A6F">
        <w:rPr>
          <w:i/>
          <w:iCs/>
          <w:lang w:val="fr-CH"/>
        </w:rPr>
        <w:t>'</w:t>
      </w:r>
      <w:r w:rsidRPr="00C21A6F">
        <w:rPr>
          <w:i/>
          <w:iCs/>
          <w:lang w:val="fr-CH"/>
        </w:rPr>
        <w:t>acceptation éventuelle par l</w:t>
      </w:r>
      <w:r w:rsidR="0066183D" w:rsidRPr="00C21A6F">
        <w:rPr>
          <w:i/>
          <w:iCs/>
          <w:lang w:val="fr-CH"/>
        </w:rPr>
        <w:t>'</w:t>
      </w:r>
      <w:r w:rsidRPr="00C21A6F">
        <w:rPr>
          <w:i/>
          <w:iCs/>
          <w:lang w:val="fr-CH"/>
        </w:rPr>
        <w:t>UIT de ce rôle n</w:t>
      </w:r>
      <w:r w:rsidR="0066183D" w:rsidRPr="00C21A6F">
        <w:rPr>
          <w:i/>
          <w:iCs/>
          <w:lang w:val="fr-CH"/>
        </w:rPr>
        <w:t>'</w:t>
      </w:r>
      <w:r w:rsidRPr="00C21A6F">
        <w:rPr>
          <w:i/>
          <w:iCs/>
          <w:lang w:val="fr-CH"/>
        </w:rPr>
        <w:t>entrainera aucune obligation ni responsabilité (directe ou indirecte) pour les Etats Membres de l</w:t>
      </w:r>
      <w:r w:rsidR="0066183D" w:rsidRPr="00C21A6F">
        <w:rPr>
          <w:i/>
          <w:iCs/>
          <w:lang w:val="fr-CH"/>
        </w:rPr>
        <w:t>'</w:t>
      </w:r>
      <w:r w:rsidRPr="00C21A6F">
        <w:rPr>
          <w:i/>
          <w:iCs/>
          <w:lang w:val="fr-CH"/>
        </w:rPr>
        <w:t>Union. En effet, sur le plan juridique, seule la ratification du Protocole portant sur les biens spatiaux par un Etat Membre est de nature à faire naître des obligations juridiques à l</w:t>
      </w:r>
      <w:r w:rsidR="0066183D" w:rsidRPr="00C21A6F">
        <w:rPr>
          <w:i/>
          <w:iCs/>
          <w:lang w:val="fr-CH"/>
        </w:rPr>
        <w:t>'</w:t>
      </w:r>
      <w:r w:rsidRPr="00C21A6F">
        <w:rPr>
          <w:i/>
          <w:iCs/>
          <w:lang w:val="fr-CH"/>
        </w:rPr>
        <w:t>endroit de ce dernier.</w:t>
      </w:r>
    </w:p>
    <w:p w14:paraId="47664317" w14:textId="70C05CB2" w:rsidR="005434CF" w:rsidRPr="00C21A6F" w:rsidRDefault="005434CF" w:rsidP="0066183D">
      <w:pPr>
        <w:ind w:left="567"/>
        <w:rPr>
          <w:i/>
          <w:iCs/>
          <w:lang w:val="fr-CH"/>
        </w:rPr>
      </w:pPr>
      <w:r w:rsidRPr="00C21A6F">
        <w:rPr>
          <w:i/>
          <w:iCs/>
          <w:lang w:val="fr-CH"/>
        </w:rPr>
        <w:t>6</w:t>
      </w:r>
      <w:r w:rsidRPr="00C21A6F">
        <w:rPr>
          <w:i/>
          <w:iCs/>
          <w:lang w:val="fr-CH"/>
        </w:rPr>
        <w:tab/>
        <w:t>En second lieu, pour ce qui est du rôle de l</w:t>
      </w:r>
      <w:r w:rsidR="0066183D" w:rsidRPr="00C21A6F">
        <w:rPr>
          <w:i/>
          <w:iCs/>
          <w:lang w:val="fr-CH"/>
        </w:rPr>
        <w:t>'</w:t>
      </w:r>
      <w:r w:rsidRPr="00C21A6F">
        <w:rPr>
          <w:i/>
          <w:iCs/>
          <w:lang w:val="fr-CH"/>
        </w:rPr>
        <w:t>UIT au regard dudit Protocole, il serait plus que limité, puisque l</w:t>
      </w:r>
      <w:r w:rsidR="0066183D" w:rsidRPr="00C21A6F">
        <w:rPr>
          <w:i/>
          <w:iCs/>
          <w:lang w:val="fr-CH"/>
        </w:rPr>
        <w:t>'</w:t>
      </w:r>
      <w:r w:rsidRPr="00C21A6F">
        <w:rPr>
          <w:i/>
          <w:iCs/>
          <w:lang w:val="fr-CH"/>
        </w:rPr>
        <w:t>UIT n</w:t>
      </w:r>
      <w:r w:rsidR="0066183D" w:rsidRPr="00C21A6F">
        <w:rPr>
          <w:i/>
          <w:iCs/>
          <w:lang w:val="fr-CH"/>
        </w:rPr>
        <w:t>'</w:t>
      </w:r>
      <w:r w:rsidRPr="00C21A6F">
        <w:rPr>
          <w:i/>
          <w:iCs/>
          <w:lang w:val="fr-CH"/>
        </w:rPr>
        <w:t>en serait pas le dépositaire, pas plus qu</w:t>
      </w:r>
      <w:r w:rsidR="0066183D" w:rsidRPr="00C21A6F">
        <w:rPr>
          <w:i/>
          <w:iCs/>
          <w:lang w:val="fr-CH"/>
        </w:rPr>
        <w:t>'</w:t>
      </w:r>
      <w:r w:rsidRPr="00C21A6F">
        <w:rPr>
          <w:i/>
          <w:iCs/>
          <w:lang w:val="fr-CH"/>
        </w:rPr>
        <w:t>elle ne serait garante de sa mise en oeuvre, de son application ou de son interprétation, et, bien moins encore, de celles de la Convention relative aux garanties internationales portant sur des matériels d</w:t>
      </w:r>
      <w:r w:rsidR="0066183D" w:rsidRPr="00C21A6F">
        <w:rPr>
          <w:i/>
          <w:iCs/>
          <w:lang w:val="fr-CH"/>
        </w:rPr>
        <w:t>'</w:t>
      </w:r>
      <w:r w:rsidRPr="00C21A6F">
        <w:rPr>
          <w:i/>
          <w:iCs/>
          <w:lang w:val="fr-CH"/>
        </w:rPr>
        <w:t>équipements mobiles. En revanche, en qualité d</w:t>
      </w:r>
      <w:r w:rsidR="0066183D" w:rsidRPr="00C21A6F">
        <w:rPr>
          <w:i/>
          <w:iCs/>
          <w:lang w:val="fr-CH"/>
        </w:rPr>
        <w:t>'</w:t>
      </w:r>
      <w:r w:rsidRPr="00C21A6F">
        <w:rPr>
          <w:i/>
          <w:iCs/>
          <w:lang w:val="fr-CH"/>
        </w:rPr>
        <w:t>Autorité de surveillance, elle serait en mesure de faire écho, le cas échéant, aux besoins des parties prenantes de l</w:t>
      </w:r>
      <w:r w:rsidR="0066183D" w:rsidRPr="00C21A6F">
        <w:rPr>
          <w:i/>
          <w:iCs/>
          <w:lang w:val="fr-CH"/>
        </w:rPr>
        <w:t>'</w:t>
      </w:r>
      <w:r w:rsidRPr="00C21A6F">
        <w:rPr>
          <w:i/>
          <w:iCs/>
          <w:lang w:val="fr-CH"/>
        </w:rPr>
        <w:t>UIT et de prévenir d</w:t>
      </w:r>
      <w:r w:rsidR="0066183D" w:rsidRPr="00C21A6F">
        <w:rPr>
          <w:i/>
          <w:iCs/>
          <w:lang w:val="fr-CH"/>
        </w:rPr>
        <w:t>'</w:t>
      </w:r>
      <w:r w:rsidRPr="00C21A6F">
        <w:rPr>
          <w:i/>
          <w:iCs/>
          <w:lang w:val="fr-CH"/>
        </w:rPr>
        <w:t>éventuelles divergences avec les textes fondamentaux de l</w:t>
      </w:r>
      <w:r w:rsidR="0066183D" w:rsidRPr="00C21A6F">
        <w:rPr>
          <w:i/>
          <w:iCs/>
          <w:lang w:val="fr-CH"/>
        </w:rPr>
        <w:t>'</w:t>
      </w:r>
      <w:r w:rsidRPr="00C21A6F">
        <w:rPr>
          <w:i/>
          <w:iCs/>
          <w:lang w:val="fr-CH"/>
        </w:rPr>
        <w:t>Union, dans la mesure où, en vertu de l</w:t>
      </w:r>
      <w:r w:rsidR="0066183D" w:rsidRPr="00C21A6F">
        <w:rPr>
          <w:i/>
          <w:iCs/>
          <w:lang w:val="fr-CH"/>
        </w:rPr>
        <w:t>'</w:t>
      </w:r>
      <w:r w:rsidRPr="00C21A6F">
        <w:rPr>
          <w:i/>
          <w:iCs/>
          <w:lang w:val="fr-CH"/>
        </w:rPr>
        <w:t>Article XLVII du Protocole, l</w:t>
      </w:r>
      <w:r w:rsidR="0066183D" w:rsidRPr="00C21A6F">
        <w:rPr>
          <w:i/>
          <w:iCs/>
          <w:lang w:val="fr-CH"/>
        </w:rPr>
        <w:t>'</w:t>
      </w:r>
      <w:r w:rsidRPr="00C21A6F">
        <w:rPr>
          <w:i/>
          <w:iCs/>
          <w:lang w:val="fr-CH"/>
        </w:rPr>
        <w:t>Autorité de surveillance prend une part active à l</w:t>
      </w:r>
      <w:r w:rsidR="0066183D" w:rsidRPr="00C21A6F">
        <w:rPr>
          <w:i/>
          <w:iCs/>
          <w:lang w:val="fr-CH"/>
        </w:rPr>
        <w:t>'</w:t>
      </w:r>
      <w:r w:rsidRPr="00C21A6F">
        <w:rPr>
          <w:i/>
          <w:iCs/>
          <w:lang w:val="fr-CH"/>
        </w:rPr>
        <w:t>élaboration des rapports annuels préparés par le dépositaire du Protocole et joue un rôle consultatif prégnant dans les conférences d</w:t>
      </w:r>
      <w:r w:rsidR="0066183D" w:rsidRPr="00C21A6F">
        <w:rPr>
          <w:i/>
          <w:iCs/>
          <w:lang w:val="fr-CH"/>
        </w:rPr>
        <w:t>'</w:t>
      </w:r>
      <w:r w:rsidRPr="00C21A6F">
        <w:rPr>
          <w:i/>
          <w:iCs/>
          <w:lang w:val="fr-CH"/>
        </w:rPr>
        <w:t>évaluation du Protocole chargées, en particulier d</w:t>
      </w:r>
      <w:r w:rsidR="0066183D" w:rsidRPr="00C21A6F">
        <w:rPr>
          <w:i/>
          <w:iCs/>
          <w:lang w:val="fr-CH"/>
        </w:rPr>
        <w:t>'</w:t>
      </w:r>
      <w:r w:rsidRPr="00C21A6F">
        <w:rPr>
          <w:i/>
          <w:iCs/>
          <w:lang w:val="fr-CH"/>
        </w:rPr>
        <w:t>amender ou de réviser ledit Protocole.</w:t>
      </w:r>
    </w:p>
    <w:p w14:paraId="39289DE0" w14:textId="74BD8EC1" w:rsidR="005434CF" w:rsidRPr="00C21A6F" w:rsidRDefault="005434CF" w:rsidP="0066183D">
      <w:pPr>
        <w:ind w:left="567"/>
        <w:rPr>
          <w:i/>
          <w:iCs/>
          <w:lang w:val="fr-CH"/>
        </w:rPr>
      </w:pPr>
      <w:r w:rsidRPr="00C21A6F">
        <w:rPr>
          <w:i/>
          <w:iCs/>
          <w:lang w:val="fr-CH"/>
        </w:rPr>
        <w:t>7</w:t>
      </w:r>
      <w:r w:rsidRPr="00C21A6F">
        <w:rPr>
          <w:i/>
          <w:iCs/>
          <w:lang w:val="fr-CH"/>
        </w:rPr>
        <w:tab/>
        <w:t>Toutefois, si l</w:t>
      </w:r>
      <w:r w:rsidR="0066183D" w:rsidRPr="00C21A6F">
        <w:rPr>
          <w:i/>
          <w:iCs/>
          <w:lang w:val="fr-CH"/>
        </w:rPr>
        <w:t>'</w:t>
      </w:r>
      <w:r w:rsidRPr="00C21A6F">
        <w:rPr>
          <w:i/>
          <w:iCs/>
          <w:lang w:val="fr-CH"/>
        </w:rPr>
        <w:t>UIT devait accepter le rôle d</w:t>
      </w:r>
      <w:r w:rsidR="0066183D" w:rsidRPr="00C21A6F">
        <w:rPr>
          <w:i/>
          <w:iCs/>
          <w:lang w:val="fr-CH"/>
        </w:rPr>
        <w:t>'</w:t>
      </w:r>
      <w:r w:rsidRPr="00C21A6F">
        <w:rPr>
          <w:i/>
          <w:iCs/>
          <w:lang w:val="fr-CH"/>
        </w:rPr>
        <w:t xml:space="preserve">Autorité de surveillance, elle </w:t>
      </w:r>
      <w:r w:rsidRPr="00C21A6F">
        <w:rPr>
          <w:b/>
          <w:bCs/>
          <w:i/>
          <w:iCs/>
          <w:lang w:val="fr-CH"/>
        </w:rPr>
        <w:t xml:space="preserve">devrait également assortir cette acceptation </w:t>
      </w:r>
      <w:r w:rsidRPr="00C21A6F">
        <w:rPr>
          <w:i/>
          <w:iCs/>
          <w:lang w:val="fr-CH"/>
        </w:rPr>
        <w:t>du droit plein et entier de renoncer à tout moment à ce rôle si, de l</w:t>
      </w:r>
      <w:r w:rsidR="0066183D" w:rsidRPr="00C21A6F">
        <w:rPr>
          <w:i/>
          <w:iCs/>
          <w:lang w:val="fr-CH"/>
        </w:rPr>
        <w:t>'</w:t>
      </w:r>
      <w:r w:rsidRPr="00C21A6F">
        <w:rPr>
          <w:i/>
          <w:iCs/>
          <w:lang w:val="fr-CH"/>
        </w:rPr>
        <w:t>avis de l</w:t>
      </w:r>
      <w:r w:rsidR="0066183D" w:rsidRPr="00C21A6F">
        <w:rPr>
          <w:i/>
          <w:iCs/>
          <w:lang w:val="fr-CH"/>
        </w:rPr>
        <w:t>'</w:t>
      </w:r>
      <w:r w:rsidRPr="00C21A6F">
        <w:rPr>
          <w:i/>
          <w:iCs/>
          <w:lang w:val="fr-CH"/>
        </w:rPr>
        <w:t>Union, celui-ci devenait incompatible ou contradictoire avec les textes fondamentaux de l</w:t>
      </w:r>
      <w:r w:rsidR="0066183D" w:rsidRPr="00C21A6F">
        <w:rPr>
          <w:i/>
          <w:iCs/>
          <w:lang w:val="fr-CH"/>
        </w:rPr>
        <w:t>'</w:t>
      </w:r>
      <w:r w:rsidRPr="00C21A6F">
        <w:rPr>
          <w:i/>
          <w:iCs/>
          <w:lang w:val="fr-CH"/>
        </w:rPr>
        <w:t>Union, en particulier en conséquence de l</w:t>
      </w:r>
      <w:r w:rsidR="0066183D" w:rsidRPr="00C21A6F">
        <w:rPr>
          <w:i/>
          <w:iCs/>
          <w:lang w:val="fr-CH"/>
        </w:rPr>
        <w:t>'</w:t>
      </w:r>
      <w:r w:rsidRPr="00C21A6F">
        <w:rPr>
          <w:i/>
          <w:iCs/>
          <w:lang w:val="fr-CH"/>
        </w:rPr>
        <w:t>adoption éventuelle d</w:t>
      </w:r>
      <w:r w:rsidR="0066183D" w:rsidRPr="00C21A6F">
        <w:rPr>
          <w:i/>
          <w:iCs/>
          <w:lang w:val="fr-CH"/>
        </w:rPr>
        <w:t>'</w:t>
      </w:r>
      <w:r w:rsidRPr="00C21A6F">
        <w:rPr>
          <w:i/>
          <w:iCs/>
          <w:lang w:val="fr-CH"/>
        </w:rPr>
        <w:t>amendements au Protocole. A cet égard, il n</w:t>
      </w:r>
      <w:r w:rsidR="0066183D" w:rsidRPr="00C21A6F">
        <w:rPr>
          <w:i/>
          <w:iCs/>
          <w:lang w:val="fr-CH"/>
        </w:rPr>
        <w:t>'</w:t>
      </w:r>
      <w:r w:rsidRPr="00C21A6F">
        <w:rPr>
          <w:i/>
          <w:iCs/>
          <w:lang w:val="fr-CH"/>
        </w:rPr>
        <w:t>est pas inutile de souligner que, l</w:t>
      </w:r>
      <w:r w:rsidR="0066183D" w:rsidRPr="00C21A6F">
        <w:rPr>
          <w:i/>
          <w:iCs/>
          <w:lang w:val="fr-CH"/>
        </w:rPr>
        <w:t>'</w:t>
      </w:r>
      <w:r w:rsidRPr="00C21A6F">
        <w:rPr>
          <w:i/>
          <w:iCs/>
          <w:lang w:val="fr-CH"/>
        </w:rPr>
        <w:t>UIT n</w:t>
      </w:r>
      <w:r w:rsidR="0066183D" w:rsidRPr="00C21A6F">
        <w:rPr>
          <w:i/>
          <w:iCs/>
          <w:lang w:val="fr-CH"/>
        </w:rPr>
        <w:t>'</w:t>
      </w:r>
      <w:r w:rsidRPr="00C21A6F">
        <w:rPr>
          <w:i/>
          <w:iCs/>
          <w:lang w:val="fr-CH"/>
        </w:rPr>
        <w:t>étant pas partie au Protocole, elle ne pourrait se voir opposer quelque amendement que ce soit apporté dans l</w:t>
      </w:r>
      <w:r w:rsidR="0066183D" w:rsidRPr="00C21A6F">
        <w:rPr>
          <w:i/>
          <w:iCs/>
          <w:lang w:val="fr-CH"/>
        </w:rPr>
        <w:t>'</w:t>
      </w:r>
      <w:r w:rsidRPr="00C21A6F">
        <w:rPr>
          <w:i/>
          <w:iCs/>
          <w:lang w:val="fr-CH"/>
        </w:rPr>
        <w:t xml:space="preserve">avenir à ce dernier sans son accord exprès. Là encore, </w:t>
      </w:r>
      <w:r w:rsidRPr="00C21A6F">
        <w:rPr>
          <w:b/>
          <w:bCs/>
          <w:i/>
          <w:iCs/>
          <w:lang w:val="fr-CH"/>
        </w:rPr>
        <w:t xml:space="preserve">il est recommandé </w:t>
      </w:r>
      <w:r w:rsidRPr="00C21A6F">
        <w:rPr>
          <w:i/>
          <w:iCs/>
          <w:lang w:val="fr-CH"/>
        </w:rPr>
        <w:t>que cette condition figure explicitement dans l</w:t>
      </w:r>
      <w:r w:rsidR="0066183D" w:rsidRPr="00C21A6F">
        <w:rPr>
          <w:i/>
          <w:iCs/>
          <w:lang w:val="fr-CH"/>
        </w:rPr>
        <w:t>'</w:t>
      </w:r>
      <w:r w:rsidRPr="00C21A6F">
        <w:rPr>
          <w:i/>
          <w:iCs/>
          <w:lang w:val="fr-CH"/>
        </w:rPr>
        <w:t>éventuel accord portant acceptation par l</w:t>
      </w:r>
      <w:r w:rsidR="0066183D" w:rsidRPr="00C21A6F">
        <w:rPr>
          <w:i/>
          <w:iCs/>
          <w:lang w:val="fr-CH"/>
        </w:rPr>
        <w:t>'</w:t>
      </w:r>
      <w:r w:rsidRPr="00C21A6F">
        <w:rPr>
          <w:i/>
          <w:iCs/>
          <w:lang w:val="fr-CH"/>
        </w:rPr>
        <w:t>UIT de son rôle d</w:t>
      </w:r>
      <w:r w:rsidR="0066183D" w:rsidRPr="00C21A6F">
        <w:rPr>
          <w:i/>
          <w:iCs/>
          <w:lang w:val="fr-CH"/>
        </w:rPr>
        <w:t>'</w:t>
      </w:r>
      <w:r w:rsidRPr="00C21A6F">
        <w:rPr>
          <w:i/>
          <w:iCs/>
          <w:lang w:val="fr-CH"/>
        </w:rPr>
        <w:t>Autorité de surveillance.</w:t>
      </w:r>
    </w:p>
    <w:p w14:paraId="663D7004" w14:textId="7D34FF43" w:rsidR="005434CF" w:rsidRPr="00C21A6F" w:rsidRDefault="005434CF" w:rsidP="0066183D">
      <w:pPr>
        <w:ind w:left="567"/>
        <w:rPr>
          <w:b/>
          <w:bCs/>
          <w:i/>
          <w:iCs/>
          <w:lang w:val="fr-CH"/>
        </w:rPr>
      </w:pPr>
      <w:r w:rsidRPr="00C21A6F">
        <w:rPr>
          <w:i/>
          <w:iCs/>
          <w:lang w:val="fr-CH"/>
        </w:rPr>
        <w:t>8</w:t>
      </w:r>
      <w:r w:rsidRPr="00C21A6F">
        <w:rPr>
          <w:i/>
          <w:iCs/>
          <w:lang w:val="fr-CH"/>
        </w:rPr>
        <w:tab/>
        <w:t>De même, même si l</w:t>
      </w:r>
      <w:r w:rsidR="0066183D" w:rsidRPr="00C21A6F">
        <w:rPr>
          <w:i/>
          <w:iCs/>
          <w:lang w:val="fr-CH"/>
        </w:rPr>
        <w:t>'</w:t>
      </w:r>
      <w:r w:rsidRPr="00C21A6F">
        <w:rPr>
          <w:i/>
          <w:iCs/>
          <w:lang w:val="fr-CH"/>
        </w:rPr>
        <w:t>Article XXXV du Protocole établit une hiérarchie des normes entre la Convention relative aux garanties internationales portant sur les matériels d</w:t>
      </w:r>
      <w:r w:rsidR="0066183D" w:rsidRPr="00C21A6F">
        <w:rPr>
          <w:i/>
          <w:iCs/>
          <w:lang w:val="fr-CH"/>
        </w:rPr>
        <w:t>'</w:t>
      </w:r>
      <w:r w:rsidRPr="00C21A6F">
        <w:rPr>
          <w:i/>
          <w:iCs/>
          <w:lang w:val="fr-CH"/>
        </w:rPr>
        <w:t>équipement mobiles et les instruments juridiques de l</w:t>
      </w:r>
      <w:r w:rsidR="0066183D" w:rsidRPr="00C21A6F">
        <w:rPr>
          <w:i/>
          <w:iCs/>
          <w:lang w:val="fr-CH"/>
        </w:rPr>
        <w:t>'</w:t>
      </w:r>
      <w:r w:rsidRPr="00C21A6F">
        <w:rPr>
          <w:i/>
          <w:iCs/>
          <w:lang w:val="fr-CH"/>
        </w:rPr>
        <w:t>UIT, garantissant qu</w:t>
      </w:r>
      <w:r w:rsidR="0066183D" w:rsidRPr="00C21A6F">
        <w:rPr>
          <w:i/>
          <w:iCs/>
          <w:lang w:val="fr-CH"/>
        </w:rPr>
        <w:t>'</w:t>
      </w:r>
      <w:r w:rsidRPr="00C21A6F">
        <w:rPr>
          <w:i/>
          <w:iCs/>
          <w:lang w:val="fr-CH"/>
        </w:rPr>
        <w:t>en cas de divergence, les instruments de l</w:t>
      </w:r>
      <w:r w:rsidR="0066183D" w:rsidRPr="00C21A6F">
        <w:rPr>
          <w:i/>
          <w:iCs/>
          <w:lang w:val="fr-CH"/>
        </w:rPr>
        <w:t>'</w:t>
      </w:r>
      <w:r w:rsidRPr="00C21A6F">
        <w:rPr>
          <w:i/>
          <w:iCs/>
          <w:lang w:val="fr-CH"/>
        </w:rPr>
        <w:t xml:space="preserve">Union prévaudront, </w:t>
      </w:r>
      <w:r w:rsidRPr="00C21A6F">
        <w:rPr>
          <w:b/>
          <w:bCs/>
          <w:i/>
          <w:iCs/>
          <w:lang w:val="fr-CH"/>
        </w:rPr>
        <w:t xml:space="preserve">il importera </w:t>
      </w:r>
      <w:r w:rsidRPr="00C21A6F">
        <w:rPr>
          <w:i/>
          <w:iCs/>
          <w:lang w:val="fr-CH"/>
        </w:rPr>
        <w:t>d</w:t>
      </w:r>
      <w:r w:rsidR="0066183D" w:rsidRPr="00C21A6F">
        <w:rPr>
          <w:i/>
          <w:iCs/>
          <w:lang w:val="fr-CH"/>
        </w:rPr>
        <w:t>'</w:t>
      </w:r>
      <w:r w:rsidRPr="00C21A6F">
        <w:rPr>
          <w:i/>
          <w:iCs/>
          <w:lang w:val="fr-CH"/>
        </w:rPr>
        <w:t>assortir l</w:t>
      </w:r>
      <w:r w:rsidR="0066183D" w:rsidRPr="00C21A6F">
        <w:rPr>
          <w:i/>
          <w:iCs/>
          <w:lang w:val="fr-CH"/>
        </w:rPr>
        <w:t>'</w:t>
      </w:r>
      <w:r w:rsidRPr="00C21A6F">
        <w:rPr>
          <w:i/>
          <w:iCs/>
          <w:lang w:val="fr-CH"/>
        </w:rPr>
        <w:t>éventuelle acceptation de l</w:t>
      </w:r>
      <w:r w:rsidR="0066183D" w:rsidRPr="00C21A6F">
        <w:rPr>
          <w:i/>
          <w:iCs/>
          <w:lang w:val="fr-CH"/>
        </w:rPr>
        <w:t>'</w:t>
      </w:r>
      <w:r w:rsidRPr="00C21A6F">
        <w:rPr>
          <w:i/>
          <w:iCs/>
          <w:lang w:val="fr-CH"/>
        </w:rPr>
        <w:t>UIT d</w:t>
      </w:r>
      <w:r w:rsidR="0066183D" w:rsidRPr="00C21A6F">
        <w:rPr>
          <w:i/>
          <w:iCs/>
          <w:lang w:val="fr-CH"/>
        </w:rPr>
        <w:t>'</w:t>
      </w:r>
      <w:r w:rsidRPr="00C21A6F">
        <w:rPr>
          <w:i/>
          <w:iCs/>
          <w:lang w:val="fr-CH"/>
        </w:rPr>
        <w:t>une condition rappelant ce qui suit:</w:t>
      </w:r>
    </w:p>
    <w:p w14:paraId="5DFF3AE5" w14:textId="26F224BA" w:rsidR="005434CF" w:rsidRPr="00C21A6F" w:rsidRDefault="005434CF" w:rsidP="0066183D">
      <w:pPr>
        <w:pStyle w:val="enumlev1"/>
        <w:ind w:left="1134"/>
        <w:rPr>
          <w:i/>
          <w:iCs/>
          <w:lang w:val="fr-CH"/>
        </w:rPr>
      </w:pPr>
      <w:r w:rsidRPr="00C21A6F">
        <w:rPr>
          <w:i/>
          <w:iCs/>
          <w:lang w:val="fr-CH"/>
        </w:rPr>
        <w:t>•</w:t>
      </w:r>
      <w:r w:rsidRPr="00C21A6F">
        <w:rPr>
          <w:i/>
          <w:iCs/>
          <w:lang w:val="fr-CH"/>
        </w:rPr>
        <w:tab/>
        <w:t>D</w:t>
      </w:r>
      <w:r w:rsidR="0066183D" w:rsidRPr="00C21A6F">
        <w:rPr>
          <w:i/>
          <w:iCs/>
          <w:lang w:val="fr-CH"/>
        </w:rPr>
        <w:t>'</w:t>
      </w:r>
      <w:r w:rsidRPr="00C21A6F">
        <w:rPr>
          <w:i/>
          <w:iCs/>
          <w:lang w:val="fr-CH"/>
        </w:rPr>
        <w:t>une part, en cas de divergence entre les dispositions du Protocole et celles des textes fondamentaux de l</w:t>
      </w:r>
      <w:r w:rsidR="0066183D" w:rsidRPr="00C21A6F">
        <w:rPr>
          <w:i/>
          <w:iCs/>
          <w:lang w:val="fr-CH"/>
        </w:rPr>
        <w:t>'</w:t>
      </w:r>
      <w:r w:rsidRPr="00C21A6F">
        <w:rPr>
          <w:i/>
          <w:iCs/>
          <w:lang w:val="fr-CH"/>
        </w:rPr>
        <w:t>UIT, ces derniers prévaudront.</w:t>
      </w:r>
    </w:p>
    <w:p w14:paraId="23833D2F" w14:textId="50530C6C" w:rsidR="005434CF" w:rsidRPr="00C21A6F" w:rsidRDefault="005434CF" w:rsidP="0066183D">
      <w:pPr>
        <w:pStyle w:val="enumlev1"/>
        <w:ind w:left="1134"/>
        <w:rPr>
          <w:i/>
          <w:iCs/>
          <w:lang w:val="fr-CH"/>
        </w:rPr>
      </w:pPr>
      <w:r w:rsidRPr="00C21A6F">
        <w:rPr>
          <w:i/>
          <w:iCs/>
          <w:lang w:val="fr-CH"/>
        </w:rPr>
        <w:t>•</w:t>
      </w:r>
      <w:r w:rsidRPr="00C21A6F">
        <w:rPr>
          <w:i/>
          <w:iCs/>
          <w:lang w:val="fr-CH"/>
        </w:rPr>
        <w:tab/>
        <w:t>D</w:t>
      </w:r>
      <w:r w:rsidR="0066183D" w:rsidRPr="00C21A6F">
        <w:rPr>
          <w:i/>
          <w:iCs/>
          <w:lang w:val="fr-CH"/>
        </w:rPr>
        <w:t>'</w:t>
      </w:r>
      <w:r w:rsidRPr="00C21A6F">
        <w:rPr>
          <w:i/>
          <w:iCs/>
          <w:lang w:val="fr-CH"/>
        </w:rPr>
        <w:t>autre part, que l</w:t>
      </w:r>
      <w:r w:rsidR="0066183D" w:rsidRPr="00C21A6F">
        <w:rPr>
          <w:i/>
          <w:iCs/>
          <w:lang w:val="fr-CH"/>
        </w:rPr>
        <w:t>'</w:t>
      </w:r>
      <w:r w:rsidRPr="00C21A6F">
        <w:rPr>
          <w:i/>
          <w:iCs/>
          <w:lang w:val="fr-CH"/>
        </w:rPr>
        <w:t>UIT se réserve le droit, sans que sa responsabilité puisse être engagée, de ne prendre aucune mesure en tant qu</w:t>
      </w:r>
      <w:r w:rsidR="0066183D" w:rsidRPr="00C21A6F">
        <w:rPr>
          <w:i/>
          <w:iCs/>
          <w:lang w:val="fr-CH"/>
        </w:rPr>
        <w:t>'</w:t>
      </w:r>
      <w:r w:rsidRPr="00C21A6F">
        <w:rPr>
          <w:i/>
          <w:iCs/>
          <w:lang w:val="fr-CH"/>
        </w:rPr>
        <w:t>Autorité de surveillance, qui aille à l</w:t>
      </w:r>
      <w:r w:rsidR="0066183D" w:rsidRPr="00C21A6F">
        <w:rPr>
          <w:i/>
          <w:iCs/>
          <w:lang w:val="fr-CH"/>
        </w:rPr>
        <w:t>'</w:t>
      </w:r>
      <w:r w:rsidRPr="00C21A6F">
        <w:rPr>
          <w:i/>
          <w:iCs/>
          <w:lang w:val="fr-CH"/>
        </w:rPr>
        <w:t>encontre des textes fondamentaux de l</w:t>
      </w:r>
      <w:r w:rsidR="0066183D" w:rsidRPr="00C21A6F">
        <w:rPr>
          <w:i/>
          <w:iCs/>
          <w:lang w:val="fr-CH"/>
        </w:rPr>
        <w:t>'</w:t>
      </w:r>
      <w:r w:rsidRPr="00C21A6F">
        <w:rPr>
          <w:i/>
          <w:iCs/>
          <w:lang w:val="fr-CH"/>
        </w:rPr>
        <w:t>Union.</w:t>
      </w:r>
    </w:p>
    <w:p w14:paraId="7CCEED51" w14:textId="6C215D7E" w:rsidR="005434CF" w:rsidRPr="00C21A6F" w:rsidRDefault="005434CF" w:rsidP="0066183D">
      <w:pPr>
        <w:ind w:left="567"/>
        <w:rPr>
          <w:i/>
          <w:iCs/>
          <w:lang w:val="fr-CH"/>
        </w:rPr>
      </w:pPr>
      <w:r w:rsidRPr="00C21A6F">
        <w:rPr>
          <w:i/>
          <w:iCs/>
          <w:lang w:val="fr-CH"/>
        </w:rPr>
        <w:lastRenderedPageBreak/>
        <w:t>9</w:t>
      </w:r>
      <w:r w:rsidRPr="00C21A6F">
        <w:rPr>
          <w:b/>
          <w:bCs/>
          <w:i/>
          <w:iCs/>
          <w:lang w:val="fr-CH"/>
        </w:rPr>
        <w:tab/>
      </w:r>
      <w:r w:rsidRPr="00C21A6F">
        <w:rPr>
          <w:i/>
          <w:iCs/>
          <w:lang w:val="fr-CH"/>
        </w:rPr>
        <w:t>En ce qui concerne le rôle effectif de l</w:t>
      </w:r>
      <w:r w:rsidR="0066183D" w:rsidRPr="00C21A6F">
        <w:rPr>
          <w:i/>
          <w:iCs/>
          <w:lang w:val="fr-CH"/>
        </w:rPr>
        <w:t>'</w:t>
      </w:r>
      <w:r w:rsidRPr="00C21A6F">
        <w:rPr>
          <w:i/>
          <w:iCs/>
          <w:lang w:val="fr-CH"/>
        </w:rPr>
        <w:t>Autorité de surveillance, il se limite à faire établir le Registre international, à nommer le Conservateur et à superviser ses activités, à approuver et amender le règlement portant sur le fonctionnement du Registre international ainsi qu</w:t>
      </w:r>
      <w:r w:rsidR="0066183D" w:rsidRPr="00C21A6F">
        <w:rPr>
          <w:i/>
          <w:iCs/>
          <w:lang w:val="fr-CH"/>
        </w:rPr>
        <w:t>'</w:t>
      </w:r>
      <w:r w:rsidRPr="00C21A6F">
        <w:rPr>
          <w:i/>
          <w:iCs/>
          <w:lang w:val="fr-CH"/>
        </w:rPr>
        <w:t>à fixer les tarifs d</w:t>
      </w:r>
      <w:r w:rsidR="0066183D" w:rsidRPr="00C21A6F">
        <w:rPr>
          <w:i/>
          <w:iCs/>
          <w:lang w:val="fr-CH"/>
        </w:rPr>
        <w:t>'</w:t>
      </w:r>
      <w:r w:rsidRPr="00C21A6F">
        <w:rPr>
          <w:i/>
          <w:iCs/>
          <w:lang w:val="fr-CH"/>
        </w:rPr>
        <w:t>enregistrement et le montant de l</w:t>
      </w:r>
      <w:r w:rsidR="0066183D" w:rsidRPr="00C21A6F">
        <w:rPr>
          <w:i/>
          <w:iCs/>
          <w:lang w:val="fr-CH"/>
        </w:rPr>
        <w:t>'</w:t>
      </w:r>
      <w:r w:rsidRPr="00C21A6F">
        <w:rPr>
          <w:i/>
          <w:iCs/>
          <w:lang w:val="fr-CH"/>
        </w:rPr>
        <w:t>assurance que doit souscrire le Conservateur, le tout, avec l</w:t>
      </w:r>
      <w:r w:rsidR="0066183D" w:rsidRPr="00C21A6F">
        <w:rPr>
          <w:i/>
          <w:iCs/>
          <w:lang w:val="fr-CH"/>
        </w:rPr>
        <w:t>'</w:t>
      </w:r>
      <w:r w:rsidRPr="00C21A6F">
        <w:rPr>
          <w:i/>
          <w:iCs/>
          <w:lang w:val="fr-CH"/>
        </w:rPr>
        <w:t>assistance d</w:t>
      </w:r>
      <w:r w:rsidR="0066183D" w:rsidRPr="00C21A6F">
        <w:rPr>
          <w:i/>
          <w:iCs/>
          <w:lang w:val="fr-CH"/>
        </w:rPr>
        <w:t>'</w:t>
      </w:r>
      <w:r w:rsidRPr="00C21A6F">
        <w:rPr>
          <w:i/>
          <w:iCs/>
          <w:lang w:val="fr-CH"/>
        </w:rPr>
        <w:t>une commission d</w:t>
      </w:r>
      <w:r w:rsidR="0066183D" w:rsidRPr="00C21A6F">
        <w:rPr>
          <w:i/>
          <w:iCs/>
          <w:lang w:val="fr-CH"/>
        </w:rPr>
        <w:t>'</w:t>
      </w:r>
      <w:r w:rsidRPr="00C21A6F">
        <w:rPr>
          <w:i/>
          <w:iCs/>
          <w:lang w:val="fr-CH"/>
        </w:rPr>
        <w:t>experts.</w:t>
      </w:r>
    </w:p>
    <w:p w14:paraId="297333F0" w14:textId="4A02461D" w:rsidR="005434CF" w:rsidRPr="00C21A6F" w:rsidRDefault="005434CF" w:rsidP="0066183D">
      <w:pPr>
        <w:ind w:left="567"/>
        <w:rPr>
          <w:i/>
          <w:iCs/>
          <w:lang w:val="fr-CH"/>
        </w:rPr>
      </w:pPr>
      <w:r w:rsidRPr="00C21A6F">
        <w:rPr>
          <w:i/>
          <w:iCs/>
          <w:lang w:val="fr-CH"/>
        </w:rPr>
        <w:t>10</w:t>
      </w:r>
      <w:r w:rsidRPr="00C21A6F">
        <w:rPr>
          <w:i/>
          <w:iCs/>
          <w:lang w:val="fr-CH"/>
        </w:rPr>
        <w:tab/>
        <w:t>L</w:t>
      </w:r>
      <w:r w:rsidR="0066183D" w:rsidRPr="00C21A6F">
        <w:rPr>
          <w:i/>
          <w:iCs/>
          <w:lang w:val="fr-CH"/>
        </w:rPr>
        <w:t>'</w:t>
      </w:r>
      <w:r w:rsidRPr="00C21A6F">
        <w:rPr>
          <w:i/>
          <w:iCs/>
          <w:lang w:val="fr-CH"/>
        </w:rPr>
        <w:t>UIT n</w:t>
      </w:r>
      <w:r w:rsidR="0066183D" w:rsidRPr="00C21A6F">
        <w:rPr>
          <w:i/>
          <w:iCs/>
          <w:lang w:val="fr-CH"/>
        </w:rPr>
        <w:t>'</w:t>
      </w:r>
      <w:r w:rsidRPr="00C21A6F">
        <w:rPr>
          <w:i/>
          <w:iCs/>
          <w:lang w:val="fr-CH"/>
        </w:rPr>
        <w:t>exercerait donc pas le rôle de Conservateur du Registre et, par conséquent, n</w:t>
      </w:r>
      <w:r w:rsidR="0066183D" w:rsidRPr="00C21A6F">
        <w:rPr>
          <w:i/>
          <w:iCs/>
          <w:lang w:val="fr-CH"/>
        </w:rPr>
        <w:t>'</w:t>
      </w:r>
      <w:r w:rsidRPr="00C21A6F">
        <w:rPr>
          <w:i/>
          <w:iCs/>
          <w:lang w:val="fr-CH"/>
        </w:rPr>
        <w:t>encourrait pas les responsabilités qui en découlent. De même, l</w:t>
      </w:r>
      <w:r w:rsidR="0066183D" w:rsidRPr="00C21A6F">
        <w:rPr>
          <w:i/>
          <w:iCs/>
          <w:lang w:val="fr-CH"/>
        </w:rPr>
        <w:t>'</w:t>
      </w:r>
      <w:r w:rsidRPr="00C21A6F">
        <w:rPr>
          <w:i/>
          <w:iCs/>
          <w:lang w:val="fr-CH"/>
        </w:rPr>
        <w:t>UIT ne gèrerait ni n</w:t>
      </w:r>
      <w:r w:rsidR="0066183D" w:rsidRPr="00C21A6F">
        <w:rPr>
          <w:i/>
          <w:iCs/>
          <w:lang w:val="fr-CH"/>
        </w:rPr>
        <w:t>'</w:t>
      </w:r>
      <w:r w:rsidRPr="00C21A6F">
        <w:rPr>
          <w:i/>
          <w:iCs/>
          <w:lang w:val="fr-CH"/>
        </w:rPr>
        <w:t>administrerait ce Registre pas plus, d</w:t>
      </w:r>
      <w:r w:rsidR="0066183D" w:rsidRPr="00C21A6F">
        <w:rPr>
          <w:i/>
          <w:iCs/>
          <w:lang w:val="fr-CH"/>
        </w:rPr>
        <w:t>'</w:t>
      </w:r>
      <w:r w:rsidRPr="00C21A6F">
        <w:rPr>
          <w:i/>
          <w:iCs/>
          <w:lang w:val="fr-CH"/>
        </w:rPr>
        <w:t>ailleurs, qu</w:t>
      </w:r>
      <w:r w:rsidR="0066183D" w:rsidRPr="00C21A6F">
        <w:rPr>
          <w:i/>
          <w:iCs/>
          <w:lang w:val="fr-CH"/>
        </w:rPr>
        <w:t>'</w:t>
      </w:r>
      <w:r w:rsidRPr="00C21A6F">
        <w:rPr>
          <w:i/>
          <w:iCs/>
          <w:lang w:val="fr-CH"/>
        </w:rPr>
        <w:t>elle ne le tiendrait à jour. C</w:t>
      </w:r>
      <w:r w:rsidR="0066183D" w:rsidRPr="00C21A6F">
        <w:rPr>
          <w:i/>
          <w:iCs/>
          <w:lang w:val="fr-CH"/>
        </w:rPr>
        <w:t>'</w:t>
      </w:r>
      <w:r w:rsidRPr="00C21A6F">
        <w:rPr>
          <w:i/>
          <w:iCs/>
          <w:lang w:val="fr-CH"/>
        </w:rPr>
        <w:t>est donc le Conservateur qui sera soumis à une responsabilité objective et sera, le cas échéant, tenu au paiement de dommages-intérêts compensatoires pour les pertes subies par une personne (physique ou morale) lorsque le préjudice découle directement d</w:t>
      </w:r>
      <w:r w:rsidR="0066183D" w:rsidRPr="00C21A6F">
        <w:rPr>
          <w:i/>
          <w:iCs/>
          <w:lang w:val="fr-CH"/>
        </w:rPr>
        <w:t>'</w:t>
      </w:r>
      <w:r w:rsidRPr="00C21A6F">
        <w:rPr>
          <w:i/>
          <w:iCs/>
          <w:lang w:val="fr-CH"/>
        </w:rPr>
        <w:t>une erreur ou d</w:t>
      </w:r>
      <w:r w:rsidR="0066183D" w:rsidRPr="00C21A6F">
        <w:rPr>
          <w:i/>
          <w:iCs/>
          <w:lang w:val="fr-CH"/>
        </w:rPr>
        <w:t>'</w:t>
      </w:r>
      <w:r w:rsidRPr="00C21A6F">
        <w:rPr>
          <w:i/>
          <w:iCs/>
          <w:lang w:val="fr-CH"/>
        </w:rPr>
        <w:t>une omission du Conservateur ou d</w:t>
      </w:r>
      <w:r w:rsidR="0066183D" w:rsidRPr="00C21A6F">
        <w:rPr>
          <w:i/>
          <w:iCs/>
          <w:lang w:val="fr-CH"/>
        </w:rPr>
        <w:t>'</w:t>
      </w:r>
      <w:r w:rsidRPr="00C21A6F">
        <w:rPr>
          <w:i/>
          <w:iCs/>
          <w:lang w:val="fr-CH"/>
        </w:rPr>
        <w:t>un dysfonctionnement du système international d</w:t>
      </w:r>
      <w:r w:rsidR="0066183D" w:rsidRPr="00C21A6F">
        <w:rPr>
          <w:i/>
          <w:iCs/>
          <w:lang w:val="fr-CH"/>
        </w:rPr>
        <w:t>'</w:t>
      </w:r>
      <w:r w:rsidRPr="00C21A6F">
        <w:rPr>
          <w:i/>
          <w:iCs/>
          <w:lang w:val="fr-CH"/>
        </w:rPr>
        <w:t>inscription (il devra d</w:t>
      </w:r>
      <w:r w:rsidR="0066183D" w:rsidRPr="00C21A6F">
        <w:rPr>
          <w:i/>
          <w:iCs/>
          <w:lang w:val="fr-CH"/>
        </w:rPr>
        <w:t>'</w:t>
      </w:r>
      <w:r w:rsidRPr="00C21A6F">
        <w:rPr>
          <w:i/>
          <w:iCs/>
          <w:lang w:val="fr-CH"/>
        </w:rPr>
        <w:t>ailleurs souscrire une assurance à cet égard).</w:t>
      </w:r>
    </w:p>
    <w:p w14:paraId="439C4D3D" w14:textId="771833A4" w:rsidR="005434CF" w:rsidRPr="00C21A6F" w:rsidRDefault="005434CF" w:rsidP="0066183D">
      <w:pPr>
        <w:ind w:left="567"/>
        <w:rPr>
          <w:i/>
          <w:iCs/>
          <w:lang w:val="fr-CH"/>
        </w:rPr>
      </w:pPr>
      <w:r w:rsidRPr="00C21A6F">
        <w:rPr>
          <w:i/>
          <w:iCs/>
          <w:lang w:val="fr-CH"/>
        </w:rPr>
        <w:t>11</w:t>
      </w:r>
      <w:r w:rsidRPr="00C21A6F">
        <w:rPr>
          <w:i/>
          <w:iCs/>
          <w:lang w:val="fr-CH"/>
        </w:rPr>
        <w:tab/>
        <w:t>Nonobstant ce qui précède, il faut rappeler que, conformément à l</w:t>
      </w:r>
      <w:r w:rsidR="0066183D" w:rsidRPr="00C21A6F">
        <w:rPr>
          <w:i/>
          <w:iCs/>
          <w:lang w:val="fr-CH"/>
        </w:rPr>
        <w:t>'</w:t>
      </w:r>
      <w:r w:rsidRPr="00C21A6F">
        <w:rPr>
          <w:i/>
          <w:iCs/>
          <w:lang w:val="fr-CH"/>
        </w:rPr>
        <w:t>Article XXVII (2) du Protocole, l</w:t>
      </w:r>
      <w:r w:rsidR="0066183D" w:rsidRPr="00C21A6F">
        <w:rPr>
          <w:i/>
          <w:iCs/>
          <w:lang w:val="fr-CH"/>
        </w:rPr>
        <w:t>'</w:t>
      </w:r>
      <w:r w:rsidRPr="00C21A6F">
        <w:rPr>
          <w:i/>
          <w:iCs/>
          <w:lang w:val="fr-CH"/>
        </w:rPr>
        <w:t>Autorité de surveillance ainsi que ses responsables et employés jouissent d</w:t>
      </w:r>
      <w:r w:rsidR="0066183D" w:rsidRPr="00C21A6F">
        <w:rPr>
          <w:i/>
          <w:iCs/>
          <w:lang w:val="fr-CH"/>
        </w:rPr>
        <w:t>'</w:t>
      </w:r>
      <w:r w:rsidRPr="00C21A6F">
        <w:rPr>
          <w:i/>
          <w:iCs/>
          <w:lang w:val="fr-CH"/>
        </w:rPr>
        <w:t>une immunité contre toute action judiciaire ou administrative conformément aux accords internationaux qui lui sont applicables en tant qu</w:t>
      </w:r>
      <w:r w:rsidR="0066183D" w:rsidRPr="00C21A6F">
        <w:rPr>
          <w:i/>
          <w:iCs/>
          <w:lang w:val="fr-CH"/>
        </w:rPr>
        <w:t>'</w:t>
      </w:r>
      <w:r w:rsidRPr="00C21A6F">
        <w:rPr>
          <w:i/>
          <w:iCs/>
          <w:lang w:val="fr-CH"/>
        </w:rPr>
        <w:t>organisation internationale ou à tout autre titre.</w:t>
      </w:r>
    </w:p>
    <w:p w14:paraId="5E4BE8D6" w14:textId="247F6E88" w:rsidR="005434CF" w:rsidRPr="00C21A6F" w:rsidRDefault="005434CF" w:rsidP="00B9483F">
      <w:pPr>
        <w:keepNext/>
        <w:keepLines/>
        <w:ind w:left="567"/>
        <w:rPr>
          <w:i/>
          <w:iCs/>
          <w:lang w:val="fr-CH"/>
        </w:rPr>
      </w:pPr>
      <w:r w:rsidRPr="00C21A6F">
        <w:rPr>
          <w:i/>
          <w:iCs/>
          <w:lang w:val="fr-CH"/>
        </w:rPr>
        <w:t>12</w:t>
      </w:r>
      <w:r w:rsidRPr="00C21A6F">
        <w:rPr>
          <w:i/>
          <w:iCs/>
          <w:lang w:val="fr-CH"/>
        </w:rPr>
        <w:tab/>
        <w:t xml:space="preserve">Toutefois, </w:t>
      </w:r>
      <w:r w:rsidRPr="00C21A6F">
        <w:rPr>
          <w:b/>
          <w:bCs/>
          <w:i/>
          <w:iCs/>
          <w:lang w:val="fr-CH"/>
        </w:rPr>
        <w:t xml:space="preserve">il importera </w:t>
      </w:r>
      <w:r w:rsidRPr="00C21A6F">
        <w:rPr>
          <w:i/>
          <w:iCs/>
          <w:lang w:val="fr-CH"/>
        </w:rPr>
        <w:t>d</w:t>
      </w:r>
      <w:r w:rsidR="0066183D" w:rsidRPr="00C21A6F">
        <w:rPr>
          <w:i/>
          <w:iCs/>
          <w:lang w:val="fr-CH"/>
        </w:rPr>
        <w:t>'</w:t>
      </w:r>
      <w:r w:rsidRPr="00C21A6F">
        <w:rPr>
          <w:i/>
          <w:iCs/>
          <w:lang w:val="fr-CH"/>
        </w:rPr>
        <w:t>assortir également l</w:t>
      </w:r>
      <w:r w:rsidR="0066183D" w:rsidRPr="00C21A6F">
        <w:rPr>
          <w:i/>
          <w:iCs/>
          <w:lang w:val="fr-CH"/>
        </w:rPr>
        <w:t>'</w:t>
      </w:r>
      <w:r w:rsidRPr="00C21A6F">
        <w:rPr>
          <w:i/>
          <w:iCs/>
          <w:lang w:val="fr-CH"/>
        </w:rPr>
        <w:t>éventuelle acceptation d</w:t>
      </w:r>
      <w:r w:rsidR="0066183D" w:rsidRPr="00C21A6F">
        <w:rPr>
          <w:i/>
          <w:iCs/>
          <w:lang w:val="fr-CH"/>
        </w:rPr>
        <w:t>'</w:t>
      </w:r>
      <w:r w:rsidRPr="00C21A6F">
        <w:rPr>
          <w:i/>
          <w:iCs/>
          <w:lang w:val="fr-CH"/>
        </w:rPr>
        <w:t>une condition spécifiant que l</w:t>
      </w:r>
      <w:r w:rsidR="0066183D" w:rsidRPr="00C21A6F">
        <w:rPr>
          <w:i/>
          <w:iCs/>
          <w:lang w:val="fr-CH"/>
        </w:rPr>
        <w:t>'</w:t>
      </w:r>
      <w:r w:rsidRPr="00C21A6F">
        <w:rPr>
          <w:i/>
          <w:iCs/>
          <w:lang w:val="fr-CH"/>
        </w:rPr>
        <w:t>acceptation par l</w:t>
      </w:r>
      <w:r w:rsidR="0066183D" w:rsidRPr="00C21A6F">
        <w:rPr>
          <w:i/>
          <w:iCs/>
          <w:lang w:val="fr-CH"/>
        </w:rPr>
        <w:t>'</w:t>
      </w:r>
      <w:r w:rsidRPr="00C21A6F">
        <w:rPr>
          <w:i/>
          <w:iCs/>
          <w:lang w:val="fr-CH"/>
        </w:rPr>
        <w:t>UIT du rôle d</w:t>
      </w:r>
      <w:r w:rsidR="0066183D" w:rsidRPr="00C21A6F">
        <w:rPr>
          <w:i/>
          <w:iCs/>
          <w:lang w:val="fr-CH"/>
        </w:rPr>
        <w:t>'</w:t>
      </w:r>
      <w:r w:rsidRPr="00C21A6F">
        <w:rPr>
          <w:i/>
          <w:iCs/>
          <w:lang w:val="fr-CH"/>
        </w:rPr>
        <w:t>Autorité de surveillance ne peut constituer ou être interprétée comme constituant une dérogation ou une renonciation, expresse ou tacite, aux privilèges, immunités et facilités dont jouissent l</w:t>
      </w:r>
      <w:r w:rsidR="0066183D" w:rsidRPr="00C21A6F">
        <w:rPr>
          <w:i/>
          <w:iCs/>
          <w:lang w:val="fr-CH"/>
        </w:rPr>
        <w:t>'</w:t>
      </w:r>
      <w:r w:rsidRPr="00C21A6F">
        <w:rPr>
          <w:i/>
          <w:iCs/>
          <w:lang w:val="fr-CH"/>
        </w:rPr>
        <w:t>UIT et son personnel en vertu des accords internationaux qui leur sont applicables, ni comme assujettissant l</w:t>
      </w:r>
      <w:r w:rsidR="0066183D" w:rsidRPr="00C21A6F">
        <w:rPr>
          <w:i/>
          <w:iCs/>
          <w:lang w:val="fr-CH"/>
        </w:rPr>
        <w:t>'</w:t>
      </w:r>
      <w:r w:rsidRPr="00C21A6F">
        <w:rPr>
          <w:i/>
          <w:iCs/>
          <w:lang w:val="fr-CH"/>
        </w:rPr>
        <w:t>UIT à quelque législation et juridiction nationale que ce soit.</w:t>
      </w:r>
    </w:p>
    <w:p w14:paraId="2130451E" w14:textId="4F8642BB" w:rsidR="005434CF" w:rsidRPr="00C21A6F" w:rsidRDefault="005434CF" w:rsidP="0066183D">
      <w:pPr>
        <w:ind w:left="567"/>
        <w:rPr>
          <w:lang w:val="fr-CH"/>
        </w:rPr>
      </w:pPr>
      <w:r w:rsidRPr="00C21A6F">
        <w:rPr>
          <w:i/>
          <w:iCs/>
          <w:lang w:val="fr-CH"/>
        </w:rPr>
        <w:t>13</w:t>
      </w:r>
      <w:r w:rsidRPr="00C21A6F">
        <w:rPr>
          <w:i/>
          <w:iCs/>
          <w:lang w:val="fr-CH"/>
        </w:rPr>
        <w:tab/>
        <w:t xml:space="preserve">Enfin, </w:t>
      </w:r>
      <w:r w:rsidRPr="00C21A6F">
        <w:rPr>
          <w:b/>
          <w:bCs/>
          <w:i/>
          <w:iCs/>
          <w:lang w:val="fr-CH"/>
        </w:rPr>
        <w:t xml:space="preserve">il serait souhaitable </w:t>
      </w:r>
      <w:r w:rsidRPr="00C21A6F">
        <w:rPr>
          <w:i/>
          <w:iCs/>
          <w:lang w:val="fr-CH"/>
        </w:rPr>
        <w:t>que l</w:t>
      </w:r>
      <w:r w:rsidR="0066183D" w:rsidRPr="00C21A6F">
        <w:rPr>
          <w:i/>
          <w:iCs/>
          <w:lang w:val="fr-CH"/>
        </w:rPr>
        <w:t>'</w:t>
      </w:r>
      <w:r w:rsidRPr="00C21A6F">
        <w:rPr>
          <w:i/>
          <w:iCs/>
          <w:lang w:val="fr-CH"/>
        </w:rPr>
        <w:t>accord éventuel de l</w:t>
      </w:r>
      <w:r w:rsidR="0066183D" w:rsidRPr="00C21A6F">
        <w:rPr>
          <w:i/>
          <w:iCs/>
          <w:lang w:val="fr-CH"/>
        </w:rPr>
        <w:t>'</w:t>
      </w:r>
      <w:r w:rsidRPr="00C21A6F">
        <w:rPr>
          <w:i/>
          <w:iCs/>
          <w:lang w:val="fr-CH"/>
        </w:rPr>
        <w:t>UIT pour assurer le rôle d</w:t>
      </w:r>
      <w:r w:rsidR="0066183D" w:rsidRPr="00C21A6F">
        <w:rPr>
          <w:i/>
          <w:iCs/>
          <w:lang w:val="fr-CH"/>
        </w:rPr>
        <w:t>'</w:t>
      </w:r>
      <w:r w:rsidRPr="00C21A6F">
        <w:rPr>
          <w:i/>
          <w:iCs/>
          <w:lang w:val="fr-CH"/>
        </w:rPr>
        <w:t>Autorité de surveillance soit un accord d</w:t>
      </w:r>
      <w:r w:rsidR="0066183D" w:rsidRPr="00C21A6F">
        <w:rPr>
          <w:i/>
          <w:iCs/>
          <w:lang w:val="fr-CH"/>
        </w:rPr>
        <w:t>'</w:t>
      </w:r>
      <w:r w:rsidRPr="00C21A6F">
        <w:rPr>
          <w:i/>
          <w:iCs/>
          <w:lang w:val="fr-CH"/>
        </w:rPr>
        <w:t>une durée limitée raisonnable (4 ans, par exemple, soit la durée entre deux Conférences de plénipotentiaires), non renouvelable tacitement mais uniquement avec le consentement exprès de l</w:t>
      </w:r>
      <w:r w:rsidR="0066183D" w:rsidRPr="00C21A6F">
        <w:rPr>
          <w:i/>
          <w:iCs/>
          <w:lang w:val="fr-CH"/>
        </w:rPr>
        <w:t>'</w:t>
      </w:r>
      <w:r w:rsidRPr="00C21A6F">
        <w:rPr>
          <w:i/>
          <w:iCs/>
          <w:lang w:val="fr-CH"/>
        </w:rPr>
        <w:t>UIT, ce qui permettrait à la PP-22 de pouvoir se prononcer sans pression et de manière éclairée sur l</w:t>
      </w:r>
      <w:r w:rsidR="0066183D" w:rsidRPr="00C21A6F">
        <w:rPr>
          <w:i/>
          <w:iCs/>
          <w:lang w:val="fr-CH"/>
        </w:rPr>
        <w:t>'</w:t>
      </w:r>
      <w:r w:rsidRPr="00C21A6F">
        <w:rPr>
          <w:i/>
          <w:iCs/>
          <w:lang w:val="fr-CH"/>
        </w:rPr>
        <w:t>opportunité pour l</w:t>
      </w:r>
      <w:r w:rsidR="0066183D" w:rsidRPr="00C21A6F">
        <w:rPr>
          <w:i/>
          <w:iCs/>
          <w:lang w:val="fr-CH"/>
        </w:rPr>
        <w:t>'</w:t>
      </w:r>
      <w:r w:rsidRPr="00C21A6F">
        <w:rPr>
          <w:i/>
          <w:iCs/>
          <w:lang w:val="fr-CH"/>
        </w:rPr>
        <w:t>UIT de poursuivre, ou non, cette activité."</w:t>
      </w:r>
    </w:p>
    <w:p w14:paraId="53D84E8A" w14:textId="56E276DE" w:rsidR="00CF058C" w:rsidRPr="00C21A6F" w:rsidRDefault="005434CF" w:rsidP="0066183D">
      <w:pPr>
        <w:rPr>
          <w:lang w:val="fr-CH"/>
        </w:rPr>
      </w:pPr>
      <w:r w:rsidRPr="00C21A6F">
        <w:rPr>
          <w:lang w:val="fr-CH"/>
        </w:rPr>
        <w:t>3.4</w:t>
      </w:r>
      <w:r w:rsidRPr="00C21A6F">
        <w:rPr>
          <w:lang w:val="fr-CH"/>
        </w:rPr>
        <w:tab/>
        <w:t>En outre, le Conseil a autorisé le Secrétaire général de l</w:t>
      </w:r>
      <w:r w:rsidR="0066183D" w:rsidRPr="00C21A6F">
        <w:rPr>
          <w:lang w:val="fr-CH"/>
        </w:rPr>
        <w:t>'</w:t>
      </w:r>
      <w:r w:rsidRPr="00C21A6F">
        <w:rPr>
          <w:lang w:val="fr-CH"/>
        </w:rPr>
        <w:t>UIT (ou son représentant) à continuer de participer aux travaux de la Commission préparatoire et de ses groupes de travail.</w:t>
      </w:r>
    </w:p>
    <w:p w14:paraId="2C49D847" w14:textId="77777777" w:rsidR="00CF058C" w:rsidRPr="00C21A6F" w:rsidRDefault="005434CF" w:rsidP="0066183D">
      <w:pPr>
        <w:pStyle w:val="Heading1"/>
        <w:rPr>
          <w:lang w:val="fr-CH"/>
        </w:rPr>
      </w:pPr>
      <w:r w:rsidRPr="00C21A6F">
        <w:rPr>
          <w:lang w:val="fr-CH"/>
        </w:rPr>
        <w:t>4</w:t>
      </w:r>
      <w:r w:rsidRPr="00C21A6F">
        <w:rPr>
          <w:lang w:val="fr-CH"/>
        </w:rPr>
        <w:tab/>
      </w:r>
      <w:r w:rsidRPr="00C21A6F">
        <w:rPr>
          <w:rFonts w:eastAsiaTheme="minorEastAsia"/>
          <w:lang w:val="fr-CH" w:eastAsia="zh-CN"/>
        </w:rPr>
        <w:t xml:space="preserve">Commission préparatoire (Rome, </w:t>
      </w:r>
      <w:r w:rsidR="008531D2" w:rsidRPr="00C21A6F">
        <w:rPr>
          <w:rFonts w:eastAsiaTheme="minorEastAsia"/>
          <w:lang w:val="fr-CH" w:eastAsia="zh-CN"/>
        </w:rPr>
        <w:t>cinqui</w:t>
      </w:r>
      <w:r w:rsidRPr="00C21A6F">
        <w:rPr>
          <w:rFonts w:eastAsiaTheme="minorEastAsia"/>
          <w:lang w:val="fr-CH" w:eastAsia="zh-CN"/>
        </w:rPr>
        <w:t>ème session, 6 décembre 2017)</w:t>
      </w:r>
    </w:p>
    <w:p w14:paraId="27FAF4F6" w14:textId="1D122A68" w:rsidR="00CF058C" w:rsidRPr="00C21A6F" w:rsidRDefault="005434CF" w:rsidP="00426A72">
      <w:pPr>
        <w:rPr>
          <w:color w:val="000000"/>
          <w:lang w:val="fr-CH"/>
        </w:rPr>
      </w:pPr>
      <w:r w:rsidRPr="00C21A6F">
        <w:rPr>
          <w:rFonts w:asciiTheme="minorHAnsi" w:eastAsiaTheme="minorEastAsia" w:hAnsiTheme="minorHAnsi" w:cstheme="minorBidi"/>
          <w:szCs w:val="24"/>
          <w:lang w:val="fr-CH" w:eastAsia="zh-CN"/>
        </w:rPr>
        <w:t>4.1</w:t>
      </w:r>
      <w:r w:rsidRPr="00C21A6F">
        <w:rPr>
          <w:rFonts w:asciiTheme="minorHAnsi" w:eastAsiaTheme="minorEastAsia" w:hAnsiTheme="minorHAnsi" w:cstheme="minorBidi"/>
          <w:szCs w:val="24"/>
          <w:lang w:val="fr-CH" w:eastAsia="zh-CN"/>
        </w:rPr>
        <w:tab/>
      </w:r>
      <w:r w:rsidR="00920F82" w:rsidRPr="00C21A6F">
        <w:rPr>
          <w:rFonts w:asciiTheme="minorHAnsi" w:eastAsiaTheme="minorEastAsia" w:hAnsiTheme="minorHAnsi" w:cstheme="minorBidi"/>
          <w:szCs w:val="24"/>
          <w:lang w:val="fr-CH" w:eastAsia="zh-CN"/>
        </w:rPr>
        <w:t xml:space="preserve">La Commission préparatoire </w:t>
      </w:r>
      <w:r w:rsidR="00864DD5" w:rsidRPr="00C21A6F">
        <w:rPr>
          <w:color w:val="000000"/>
          <w:lang w:val="fr-CH"/>
        </w:rPr>
        <w:t>chargée de l</w:t>
      </w:r>
      <w:r w:rsidR="0066183D" w:rsidRPr="00C21A6F">
        <w:rPr>
          <w:color w:val="000000"/>
          <w:lang w:val="fr-CH"/>
        </w:rPr>
        <w:t>'</w:t>
      </w:r>
      <w:r w:rsidR="00864DD5" w:rsidRPr="00C21A6F">
        <w:rPr>
          <w:color w:val="000000"/>
          <w:lang w:val="fr-CH"/>
        </w:rPr>
        <w:t xml:space="preserve">établissement du Registre international pour les biens spatiaux conformément au Protocole portant sur les biens spatiaux a tenu sa </w:t>
      </w:r>
      <w:r w:rsidR="00B9483F" w:rsidRPr="00C21A6F">
        <w:rPr>
          <w:color w:val="000000"/>
          <w:lang w:val="fr-CH"/>
        </w:rPr>
        <w:t>cinquième</w:t>
      </w:r>
      <w:r w:rsidR="00864DD5" w:rsidRPr="00C21A6F">
        <w:rPr>
          <w:color w:val="000000"/>
          <w:lang w:val="fr-CH"/>
        </w:rPr>
        <w:t xml:space="preserve"> </w:t>
      </w:r>
      <w:r w:rsidR="00874E27" w:rsidRPr="00C21A6F">
        <w:rPr>
          <w:color w:val="000000"/>
          <w:lang w:val="fr-CH"/>
        </w:rPr>
        <w:t>session</w:t>
      </w:r>
      <w:r w:rsidR="00864DD5" w:rsidRPr="00C21A6F">
        <w:rPr>
          <w:color w:val="000000"/>
          <w:lang w:val="fr-CH"/>
        </w:rPr>
        <w:t xml:space="preserve"> le 6 décembre 201</w:t>
      </w:r>
      <w:r w:rsidR="00A810D0" w:rsidRPr="00C21A6F">
        <w:rPr>
          <w:color w:val="000000"/>
          <w:lang w:val="fr-CH"/>
        </w:rPr>
        <w:t>7 au siège d</w:t>
      </w:r>
      <w:r w:rsidR="0066183D" w:rsidRPr="00C21A6F">
        <w:rPr>
          <w:color w:val="000000"/>
          <w:lang w:val="fr-CH"/>
        </w:rPr>
        <w:t>'</w:t>
      </w:r>
      <w:r w:rsidR="00A810D0" w:rsidRPr="00C21A6F">
        <w:rPr>
          <w:color w:val="000000"/>
          <w:lang w:val="fr-CH"/>
        </w:rPr>
        <w:t xml:space="preserve">UNIDROIT à Rome. </w:t>
      </w:r>
      <w:r w:rsidR="00206ECB" w:rsidRPr="00C21A6F">
        <w:rPr>
          <w:color w:val="000000"/>
          <w:lang w:val="fr-CH"/>
        </w:rPr>
        <w:t>Les conclusions et recommandations (notamment l</w:t>
      </w:r>
      <w:r w:rsidR="0066183D" w:rsidRPr="00C21A6F">
        <w:rPr>
          <w:color w:val="000000"/>
          <w:lang w:val="fr-CH"/>
        </w:rPr>
        <w:t>'</w:t>
      </w:r>
      <w:r w:rsidR="00206ECB" w:rsidRPr="00C21A6F">
        <w:rPr>
          <w:color w:val="000000"/>
          <w:lang w:val="fr-CH"/>
        </w:rPr>
        <w:t xml:space="preserve">ensemble de conditions énumérées au </w:t>
      </w:r>
      <w:r w:rsidR="00B9483F" w:rsidRPr="00C21A6F">
        <w:rPr>
          <w:color w:val="000000"/>
          <w:lang w:val="fr-CH"/>
        </w:rPr>
        <w:t>§</w:t>
      </w:r>
      <w:r w:rsidR="00206ECB" w:rsidRPr="00C21A6F">
        <w:rPr>
          <w:color w:val="000000"/>
          <w:lang w:val="fr-CH"/>
        </w:rPr>
        <w:t xml:space="preserve"> 3 ci-dessus)</w:t>
      </w:r>
      <w:r w:rsidR="000142D0" w:rsidRPr="00C21A6F">
        <w:rPr>
          <w:color w:val="000000"/>
          <w:lang w:val="fr-CH"/>
        </w:rPr>
        <w:t xml:space="preserve"> </w:t>
      </w:r>
      <w:r w:rsidR="00B9483F" w:rsidRPr="00C21A6F">
        <w:rPr>
          <w:color w:val="000000"/>
          <w:lang w:val="fr-CH"/>
        </w:rPr>
        <w:t>formulées par le Conseil à sa</w:t>
      </w:r>
      <w:r w:rsidR="000142D0" w:rsidRPr="00C21A6F">
        <w:rPr>
          <w:color w:val="000000"/>
          <w:lang w:val="fr-CH"/>
        </w:rPr>
        <w:t xml:space="preserve"> session de 2017 </w:t>
      </w:r>
      <w:r w:rsidR="00B9483F" w:rsidRPr="00C21A6F">
        <w:rPr>
          <w:color w:val="000000"/>
          <w:lang w:val="fr-CH"/>
        </w:rPr>
        <w:t xml:space="preserve">concernant </w:t>
      </w:r>
      <w:r w:rsidR="00912DE5" w:rsidRPr="00C21A6F">
        <w:rPr>
          <w:color w:val="000000"/>
          <w:lang w:val="fr-CH"/>
        </w:rPr>
        <w:t>la nomination de l</w:t>
      </w:r>
      <w:r w:rsidR="0066183D" w:rsidRPr="00C21A6F">
        <w:rPr>
          <w:color w:val="000000"/>
          <w:lang w:val="fr-CH"/>
        </w:rPr>
        <w:t>'</w:t>
      </w:r>
      <w:r w:rsidR="00912DE5" w:rsidRPr="00C21A6F">
        <w:rPr>
          <w:color w:val="000000"/>
          <w:lang w:val="fr-CH"/>
        </w:rPr>
        <w:t>UIT en tant qu</w:t>
      </w:r>
      <w:r w:rsidR="0066183D" w:rsidRPr="00C21A6F">
        <w:rPr>
          <w:color w:val="000000"/>
          <w:lang w:val="fr-CH"/>
        </w:rPr>
        <w:t>'</w:t>
      </w:r>
      <w:r w:rsidR="00912DE5" w:rsidRPr="00C21A6F">
        <w:rPr>
          <w:color w:val="000000"/>
          <w:lang w:val="fr-CH"/>
        </w:rPr>
        <w:t>Autorité de surveillanc</w:t>
      </w:r>
      <w:r w:rsidR="00240252" w:rsidRPr="00C21A6F">
        <w:rPr>
          <w:color w:val="000000"/>
          <w:lang w:val="fr-CH"/>
        </w:rPr>
        <w:t>e conformément au Protocole portant sur les biens spatiaux ont été présenté</w:t>
      </w:r>
      <w:r w:rsidR="00885385" w:rsidRPr="00C21A6F">
        <w:rPr>
          <w:color w:val="000000"/>
          <w:lang w:val="fr-CH"/>
        </w:rPr>
        <w:t>e</w:t>
      </w:r>
      <w:r w:rsidR="00240252" w:rsidRPr="00C21A6F">
        <w:rPr>
          <w:color w:val="000000"/>
          <w:lang w:val="fr-CH"/>
        </w:rPr>
        <w:t>s aux membres de la Commission préparatoire</w:t>
      </w:r>
      <w:r w:rsidR="00885385" w:rsidRPr="00C21A6F">
        <w:rPr>
          <w:color w:val="000000"/>
          <w:lang w:val="fr-CH"/>
        </w:rPr>
        <w:t xml:space="preserve">, qui ont accueilli ces avancées avec satisfaction. </w:t>
      </w:r>
      <w:r w:rsidRPr="00C21A6F">
        <w:rPr>
          <w:color w:val="000000"/>
          <w:lang w:val="fr-CH"/>
        </w:rPr>
        <w:t xml:space="preserve">UNIDROIT a offert son aide pour </w:t>
      </w:r>
      <w:r w:rsidR="00B9483F" w:rsidRPr="00C21A6F">
        <w:rPr>
          <w:color w:val="000000"/>
          <w:lang w:val="fr-CH"/>
        </w:rPr>
        <w:t>élaborer une documentation afin que les</w:t>
      </w:r>
      <w:r w:rsidRPr="00C21A6F">
        <w:rPr>
          <w:color w:val="000000"/>
          <w:lang w:val="fr-CH"/>
        </w:rPr>
        <w:t xml:space="preserve"> délégations </w:t>
      </w:r>
      <w:r w:rsidR="00B9483F" w:rsidRPr="00C21A6F">
        <w:rPr>
          <w:color w:val="000000"/>
          <w:lang w:val="fr-CH"/>
        </w:rPr>
        <w:t xml:space="preserve">qui </w:t>
      </w:r>
      <w:r w:rsidRPr="00C21A6F">
        <w:rPr>
          <w:color w:val="000000"/>
          <w:lang w:val="fr-CH"/>
        </w:rPr>
        <w:t>particip</w:t>
      </w:r>
      <w:r w:rsidR="00B9483F" w:rsidRPr="00C21A6F">
        <w:rPr>
          <w:color w:val="000000"/>
          <w:lang w:val="fr-CH"/>
        </w:rPr>
        <w:t>ero</w:t>
      </w:r>
      <w:r w:rsidRPr="00C21A6F">
        <w:rPr>
          <w:color w:val="000000"/>
          <w:lang w:val="fr-CH"/>
        </w:rPr>
        <w:t>nt à la</w:t>
      </w:r>
      <w:r w:rsidR="0054717F" w:rsidRPr="00C21A6F">
        <w:rPr>
          <w:color w:val="000000"/>
          <w:lang w:val="fr-CH"/>
        </w:rPr>
        <w:t xml:space="preserve"> </w:t>
      </w:r>
      <w:r w:rsidRPr="00C21A6F">
        <w:rPr>
          <w:color w:val="000000"/>
          <w:lang w:val="fr-CH"/>
        </w:rPr>
        <w:t xml:space="preserve">Conférence de plénipotentiaires de 2018 </w:t>
      </w:r>
      <w:r w:rsidR="00B9483F" w:rsidRPr="00C21A6F">
        <w:rPr>
          <w:color w:val="000000"/>
          <w:lang w:val="fr-CH"/>
        </w:rPr>
        <w:t>soient mieux informées sur le</w:t>
      </w:r>
      <w:r w:rsidRPr="00C21A6F">
        <w:rPr>
          <w:color w:val="000000"/>
          <w:lang w:val="fr-CH"/>
        </w:rPr>
        <w:t xml:space="preserve"> Protocole portant sur les biens spatiaux.</w:t>
      </w:r>
    </w:p>
    <w:p w14:paraId="4CB67C9C" w14:textId="4E932338" w:rsidR="00113D80" w:rsidRPr="00C21A6F" w:rsidRDefault="005434CF" w:rsidP="000A7D7C">
      <w:pPr>
        <w:rPr>
          <w:lang w:val="fr-CH"/>
        </w:rPr>
      </w:pPr>
      <w:r w:rsidRPr="00C21A6F">
        <w:rPr>
          <w:rFonts w:asciiTheme="minorHAnsi" w:eastAsiaTheme="minorEastAsia" w:hAnsiTheme="minorHAnsi" w:cstheme="minorBidi"/>
          <w:szCs w:val="24"/>
          <w:lang w:val="fr-CH" w:eastAsia="zh-CN"/>
        </w:rPr>
        <w:lastRenderedPageBreak/>
        <w:t>4.2</w:t>
      </w:r>
      <w:r w:rsidRPr="00C21A6F">
        <w:rPr>
          <w:rFonts w:asciiTheme="minorHAnsi" w:eastAsiaTheme="minorEastAsia" w:hAnsiTheme="minorHAnsi" w:cstheme="minorBidi"/>
          <w:szCs w:val="24"/>
          <w:lang w:val="fr-CH" w:eastAsia="zh-CN"/>
        </w:rPr>
        <w:tab/>
      </w:r>
      <w:r w:rsidR="009129E8" w:rsidRPr="00C21A6F">
        <w:rPr>
          <w:rFonts w:asciiTheme="minorHAnsi" w:eastAsiaTheme="minorEastAsia" w:hAnsiTheme="minorHAnsi" w:cstheme="minorBidi"/>
          <w:szCs w:val="24"/>
          <w:lang w:val="fr-CH" w:eastAsia="zh-CN"/>
        </w:rPr>
        <w:t xml:space="preserve">Suite à la </w:t>
      </w:r>
      <w:r w:rsidR="00FE7DF6" w:rsidRPr="00C21A6F">
        <w:rPr>
          <w:rFonts w:asciiTheme="minorHAnsi" w:eastAsiaTheme="minorEastAsia" w:hAnsiTheme="minorHAnsi" w:cstheme="minorBidi"/>
          <w:szCs w:val="24"/>
          <w:lang w:val="fr-CH" w:eastAsia="zh-CN"/>
        </w:rPr>
        <w:t>pré</w:t>
      </w:r>
      <w:r w:rsidR="009129E8" w:rsidRPr="00C21A6F">
        <w:rPr>
          <w:rFonts w:asciiTheme="minorHAnsi" w:eastAsiaTheme="minorEastAsia" w:hAnsiTheme="minorHAnsi" w:cstheme="minorBidi"/>
          <w:szCs w:val="24"/>
          <w:lang w:val="fr-CH" w:eastAsia="zh-CN"/>
        </w:rPr>
        <w:t xml:space="preserve">sentation du rapport sur les résultats </w:t>
      </w:r>
      <w:r w:rsidR="000A7D7C" w:rsidRPr="00C21A6F">
        <w:rPr>
          <w:rFonts w:asciiTheme="minorHAnsi" w:eastAsiaTheme="minorEastAsia" w:hAnsiTheme="minorHAnsi" w:cstheme="minorBidi"/>
          <w:szCs w:val="24"/>
          <w:lang w:val="fr-CH" w:eastAsia="zh-CN"/>
        </w:rPr>
        <w:t>de la</w:t>
      </w:r>
      <w:r w:rsidR="009129E8" w:rsidRPr="00C21A6F">
        <w:rPr>
          <w:rFonts w:asciiTheme="minorHAnsi" w:eastAsiaTheme="minorEastAsia" w:hAnsiTheme="minorHAnsi" w:cstheme="minorBidi"/>
          <w:szCs w:val="24"/>
          <w:lang w:val="fr-CH" w:eastAsia="zh-CN"/>
        </w:rPr>
        <w:t xml:space="preserve"> session de</w:t>
      </w:r>
      <w:r w:rsidR="000A7D7C" w:rsidRPr="00C21A6F">
        <w:rPr>
          <w:rFonts w:asciiTheme="minorHAnsi" w:eastAsiaTheme="minorEastAsia" w:hAnsiTheme="minorHAnsi" w:cstheme="minorBidi"/>
          <w:szCs w:val="24"/>
          <w:lang w:val="fr-CH" w:eastAsia="zh-CN"/>
        </w:rPr>
        <w:t> </w:t>
      </w:r>
      <w:r w:rsidR="009129E8" w:rsidRPr="00C21A6F">
        <w:rPr>
          <w:rFonts w:asciiTheme="minorHAnsi" w:eastAsiaTheme="minorEastAsia" w:hAnsiTheme="minorHAnsi" w:cstheme="minorBidi"/>
          <w:szCs w:val="24"/>
          <w:lang w:val="fr-CH" w:eastAsia="zh-CN"/>
        </w:rPr>
        <w:t>2017</w:t>
      </w:r>
      <w:r w:rsidR="000A7D7C" w:rsidRPr="00C21A6F">
        <w:rPr>
          <w:rFonts w:asciiTheme="minorHAnsi" w:eastAsiaTheme="minorEastAsia" w:hAnsiTheme="minorHAnsi" w:cstheme="minorBidi"/>
          <w:szCs w:val="24"/>
          <w:lang w:val="fr-CH" w:eastAsia="zh-CN"/>
        </w:rPr>
        <w:t xml:space="preserve"> du Conseil</w:t>
      </w:r>
      <w:r w:rsidR="009129E8" w:rsidRPr="00C21A6F">
        <w:rPr>
          <w:rFonts w:asciiTheme="minorHAnsi" w:eastAsiaTheme="minorEastAsia" w:hAnsiTheme="minorHAnsi" w:cstheme="minorBidi"/>
          <w:szCs w:val="24"/>
          <w:lang w:val="fr-CH" w:eastAsia="zh-CN"/>
        </w:rPr>
        <w:t xml:space="preserve">, </w:t>
      </w:r>
      <w:r w:rsidR="00786915" w:rsidRPr="00C21A6F">
        <w:rPr>
          <w:rFonts w:asciiTheme="minorHAnsi" w:eastAsiaTheme="minorEastAsia" w:hAnsiTheme="minorHAnsi" w:cstheme="minorBidi"/>
          <w:szCs w:val="24"/>
          <w:lang w:val="fr-CH" w:eastAsia="zh-CN"/>
        </w:rPr>
        <w:t>UNIDROIT a fait savoir à l</w:t>
      </w:r>
      <w:r w:rsidR="0066183D" w:rsidRPr="00C21A6F">
        <w:rPr>
          <w:rFonts w:asciiTheme="minorHAnsi" w:eastAsiaTheme="minorEastAsia" w:hAnsiTheme="minorHAnsi" w:cstheme="minorBidi"/>
          <w:szCs w:val="24"/>
          <w:lang w:val="fr-CH" w:eastAsia="zh-CN"/>
        </w:rPr>
        <w:t>'</w:t>
      </w:r>
      <w:r w:rsidR="00786915" w:rsidRPr="00C21A6F">
        <w:rPr>
          <w:rFonts w:asciiTheme="minorHAnsi" w:eastAsiaTheme="minorEastAsia" w:hAnsiTheme="minorHAnsi" w:cstheme="minorBidi"/>
          <w:szCs w:val="24"/>
          <w:lang w:val="fr-CH" w:eastAsia="zh-CN"/>
        </w:rPr>
        <w:t>UIT qu</w:t>
      </w:r>
      <w:r w:rsidR="0066183D" w:rsidRPr="00C21A6F">
        <w:rPr>
          <w:rFonts w:asciiTheme="minorHAnsi" w:eastAsiaTheme="minorEastAsia" w:hAnsiTheme="minorHAnsi" w:cstheme="minorBidi"/>
          <w:szCs w:val="24"/>
          <w:lang w:val="fr-CH" w:eastAsia="zh-CN"/>
        </w:rPr>
        <w:t>'</w:t>
      </w:r>
      <w:r w:rsidR="00786915" w:rsidRPr="00C21A6F">
        <w:rPr>
          <w:rFonts w:asciiTheme="minorHAnsi" w:eastAsiaTheme="minorEastAsia" w:hAnsiTheme="minorHAnsi" w:cstheme="minorBidi"/>
          <w:szCs w:val="24"/>
          <w:lang w:val="fr-CH" w:eastAsia="zh-CN"/>
        </w:rPr>
        <w:t>il n</w:t>
      </w:r>
      <w:r w:rsidR="0066183D" w:rsidRPr="00C21A6F">
        <w:rPr>
          <w:rFonts w:asciiTheme="minorHAnsi" w:eastAsiaTheme="minorEastAsia" w:hAnsiTheme="minorHAnsi" w:cstheme="minorBidi"/>
          <w:szCs w:val="24"/>
          <w:lang w:val="fr-CH" w:eastAsia="zh-CN"/>
        </w:rPr>
        <w:t>'</w:t>
      </w:r>
      <w:r w:rsidR="000A7D7C" w:rsidRPr="00C21A6F">
        <w:rPr>
          <w:rFonts w:asciiTheme="minorHAnsi" w:eastAsiaTheme="minorEastAsia" w:hAnsiTheme="minorHAnsi" w:cstheme="minorBidi"/>
          <w:szCs w:val="24"/>
          <w:lang w:val="fr-CH" w:eastAsia="zh-CN"/>
        </w:rPr>
        <w:t>avait "</w:t>
      </w:r>
      <w:r w:rsidR="00786915" w:rsidRPr="00C21A6F">
        <w:rPr>
          <w:rFonts w:asciiTheme="minorHAnsi" w:eastAsiaTheme="minorEastAsia" w:hAnsiTheme="minorHAnsi" w:cstheme="minorBidi"/>
          <w:szCs w:val="24"/>
          <w:lang w:val="fr-CH" w:eastAsia="zh-CN"/>
        </w:rPr>
        <w:t xml:space="preserve">aucune objection </w:t>
      </w:r>
      <w:r w:rsidR="000A7D7C" w:rsidRPr="00C21A6F">
        <w:rPr>
          <w:rFonts w:asciiTheme="minorHAnsi" w:eastAsiaTheme="minorEastAsia" w:hAnsiTheme="minorHAnsi" w:cstheme="minorBidi"/>
          <w:szCs w:val="24"/>
          <w:lang w:val="fr-CH" w:eastAsia="zh-CN"/>
        </w:rPr>
        <w:t>à l'encontre des</w:t>
      </w:r>
      <w:r w:rsidR="00FE7DF6" w:rsidRPr="00C21A6F">
        <w:rPr>
          <w:rFonts w:asciiTheme="minorHAnsi" w:eastAsiaTheme="minorEastAsia" w:hAnsiTheme="minorHAnsi" w:cstheme="minorBidi"/>
          <w:szCs w:val="24"/>
          <w:lang w:val="fr-CH" w:eastAsia="zh-CN"/>
        </w:rPr>
        <w:t xml:space="preserve"> conditions susmentionnées </w:t>
      </w:r>
      <w:r w:rsidR="000A7D7C" w:rsidRPr="00C21A6F">
        <w:rPr>
          <w:rFonts w:asciiTheme="minorHAnsi" w:eastAsiaTheme="minorEastAsia" w:hAnsiTheme="minorHAnsi" w:cstheme="minorBidi"/>
          <w:szCs w:val="24"/>
          <w:lang w:val="fr-CH" w:eastAsia="zh-CN"/>
        </w:rPr>
        <w:t>présentées</w:t>
      </w:r>
      <w:r w:rsidR="00FE7DF6" w:rsidRPr="00C21A6F">
        <w:rPr>
          <w:rFonts w:asciiTheme="minorHAnsi" w:eastAsiaTheme="minorEastAsia" w:hAnsiTheme="minorHAnsi" w:cstheme="minorBidi"/>
          <w:szCs w:val="24"/>
          <w:lang w:val="fr-CH" w:eastAsia="zh-CN"/>
        </w:rPr>
        <w:t xml:space="preserve"> par l</w:t>
      </w:r>
      <w:r w:rsidR="0066183D" w:rsidRPr="00C21A6F">
        <w:rPr>
          <w:rFonts w:asciiTheme="minorHAnsi" w:eastAsiaTheme="minorEastAsia" w:hAnsiTheme="minorHAnsi" w:cstheme="minorBidi"/>
          <w:szCs w:val="24"/>
          <w:lang w:val="fr-CH" w:eastAsia="zh-CN"/>
        </w:rPr>
        <w:t>'</w:t>
      </w:r>
      <w:r w:rsidR="00FE7DF6" w:rsidRPr="00C21A6F">
        <w:rPr>
          <w:rFonts w:asciiTheme="minorHAnsi" w:eastAsiaTheme="minorEastAsia" w:hAnsiTheme="minorHAnsi" w:cstheme="minorBidi"/>
          <w:szCs w:val="24"/>
          <w:lang w:val="fr-CH" w:eastAsia="zh-CN"/>
        </w:rPr>
        <w:t xml:space="preserve">UIT. Ces conditions </w:t>
      </w:r>
      <w:r w:rsidR="00AB7ADA" w:rsidRPr="00C21A6F">
        <w:rPr>
          <w:rFonts w:asciiTheme="minorHAnsi" w:eastAsiaTheme="minorEastAsia" w:hAnsiTheme="minorHAnsi" w:cstheme="minorBidi"/>
          <w:szCs w:val="24"/>
          <w:lang w:val="fr-CH" w:eastAsia="zh-CN"/>
        </w:rPr>
        <w:t>sont des reformulations</w:t>
      </w:r>
      <w:r w:rsidR="00FE7DF6" w:rsidRPr="00C21A6F">
        <w:rPr>
          <w:rFonts w:asciiTheme="minorHAnsi" w:eastAsiaTheme="minorEastAsia" w:hAnsiTheme="minorHAnsi" w:cstheme="minorBidi"/>
          <w:szCs w:val="24"/>
          <w:lang w:val="fr-CH" w:eastAsia="zh-CN"/>
        </w:rPr>
        <w:t xml:space="preserve"> </w:t>
      </w:r>
      <w:r w:rsidR="00AB7ADA" w:rsidRPr="00C21A6F">
        <w:rPr>
          <w:rFonts w:asciiTheme="minorHAnsi" w:eastAsiaTheme="minorEastAsia" w:hAnsiTheme="minorHAnsi" w:cstheme="minorBidi"/>
          <w:szCs w:val="24"/>
          <w:lang w:val="fr-CH" w:eastAsia="zh-CN"/>
        </w:rPr>
        <w:t>d</w:t>
      </w:r>
      <w:r w:rsidR="0066183D" w:rsidRPr="00C21A6F">
        <w:rPr>
          <w:rFonts w:asciiTheme="minorHAnsi" w:eastAsiaTheme="minorEastAsia" w:hAnsiTheme="minorHAnsi" w:cstheme="minorBidi"/>
          <w:szCs w:val="24"/>
          <w:lang w:val="fr-CH" w:eastAsia="zh-CN"/>
        </w:rPr>
        <w:t>'</w:t>
      </w:r>
      <w:r w:rsidR="000A7D7C" w:rsidRPr="00C21A6F">
        <w:rPr>
          <w:rFonts w:asciiTheme="minorHAnsi" w:eastAsiaTheme="minorEastAsia" w:hAnsiTheme="minorHAnsi" w:cstheme="minorBidi"/>
          <w:szCs w:val="24"/>
          <w:lang w:val="fr-CH" w:eastAsia="zh-CN"/>
        </w:rPr>
        <w:t>A</w:t>
      </w:r>
      <w:r w:rsidR="00FE7DF6" w:rsidRPr="00C21A6F">
        <w:rPr>
          <w:rFonts w:asciiTheme="minorHAnsi" w:eastAsiaTheme="minorEastAsia" w:hAnsiTheme="minorHAnsi" w:cstheme="minorBidi"/>
          <w:szCs w:val="24"/>
          <w:lang w:val="fr-CH" w:eastAsia="zh-CN"/>
        </w:rPr>
        <w:t xml:space="preserve">rticles déjà présents dans la Convention </w:t>
      </w:r>
      <w:r w:rsidR="009C1380" w:rsidRPr="00C21A6F">
        <w:rPr>
          <w:rFonts w:asciiTheme="minorHAnsi" w:eastAsiaTheme="minorEastAsia" w:hAnsiTheme="minorHAnsi" w:cstheme="minorBidi"/>
          <w:szCs w:val="24"/>
          <w:lang w:val="fr-CH" w:eastAsia="zh-CN"/>
        </w:rPr>
        <w:t xml:space="preserve">du Cap et son </w:t>
      </w:r>
      <w:r w:rsidR="009C1380" w:rsidRPr="00C21A6F">
        <w:rPr>
          <w:lang w:val="fr-CH"/>
        </w:rPr>
        <w:t>Protocole portant sur les biens spatiaux</w:t>
      </w:r>
      <w:r w:rsidR="00AB7ADA" w:rsidRPr="00C21A6F">
        <w:rPr>
          <w:lang w:val="fr-CH"/>
        </w:rPr>
        <w:t xml:space="preserve">. </w:t>
      </w:r>
      <w:r w:rsidR="00602680" w:rsidRPr="00C21A6F">
        <w:rPr>
          <w:rFonts w:asciiTheme="minorHAnsi" w:eastAsiaTheme="minorEastAsia" w:hAnsiTheme="minorHAnsi" w:cstheme="minorBidi"/>
          <w:szCs w:val="24"/>
          <w:lang w:val="fr-CH" w:eastAsia="zh-CN"/>
        </w:rPr>
        <w:t>Si l</w:t>
      </w:r>
      <w:r w:rsidR="0066183D" w:rsidRPr="00C21A6F">
        <w:rPr>
          <w:rFonts w:asciiTheme="minorHAnsi" w:eastAsiaTheme="minorEastAsia" w:hAnsiTheme="minorHAnsi" w:cstheme="minorBidi"/>
          <w:szCs w:val="24"/>
          <w:lang w:val="fr-CH" w:eastAsia="zh-CN"/>
        </w:rPr>
        <w:t>'</w:t>
      </w:r>
      <w:r w:rsidR="00602680" w:rsidRPr="00C21A6F">
        <w:rPr>
          <w:rFonts w:asciiTheme="minorHAnsi" w:eastAsiaTheme="minorEastAsia" w:hAnsiTheme="minorHAnsi" w:cstheme="minorBidi"/>
          <w:szCs w:val="24"/>
          <w:lang w:val="fr-CH" w:eastAsia="zh-CN"/>
        </w:rPr>
        <w:t>UIT devait assumer le rôle d</w:t>
      </w:r>
      <w:r w:rsidR="0066183D" w:rsidRPr="00C21A6F">
        <w:rPr>
          <w:rFonts w:asciiTheme="minorHAnsi" w:eastAsiaTheme="minorEastAsia" w:hAnsiTheme="minorHAnsi" w:cstheme="minorBidi"/>
          <w:szCs w:val="24"/>
          <w:lang w:val="fr-CH" w:eastAsia="zh-CN"/>
        </w:rPr>
        <w:t>'</w:t>
      </w:r>
      <w:r w:rsidR="00602680" w:rsidRPr="00C21A6F">
        <w:rPr>
          <w:rFonts w:asciiTheme="minorHAnsi" w:eastAsiaTheme="minorEastAsia" w:hAnsiTheme="minorHAnsi" w:cstheme="minorBidi"/>
          <w:szCs w:val="24"/>
          <w:lang w:val="fr-CH" w:eastAsia="zh-CN"/>
        </w:rPr>
        <w:t>Autorité de surveillance conformément audit Protocole, elle n</w:t>
      </w:r>
      <w:r w:rsidR="0066183D" w:rsidRPr="00C21A6F">
        <w:rPr>
          <w:rFonts w:asciiTheme="minorHAnsi" w:eastAsiaTheme="minorEastAsia" w:hAnsiTheme="minorHAnsi" w:cstheme="minorBidi"/>
          <w:szCs w:val="24"/>
          <w:lang w:val="fr-CH" w:eastAsia="zh-CN"/>
        </w:rPr>
        <w:t>'</w:t>
      </w:r>
      <w:r w:rsidR="00602680" w:rsidRPr="00C21A6F">
        <w:rPr>
          <w:rFonts w:asciiTheme="minorHAnsi" w:eastAsiaTheme="minorEastAsia" w:hAnsiTheme="minorHAnsi" w:cstheme="minorBidi"/>
          <w:szCs w:val="24"/>
          <w:lang w:val="fr-CH" w:eastAsia="zh-CN"/>
        </w:rPr>
        <w:t xml:space="preserve">assumerait que les responsabilités découlant de ce rôle, </w:t>
      </w:r>
      <w:r w:rsidR="000A7D7C" w:rsidRPr="00C21A6F">
        <w:rPr>
          <w:rFonts w:asciiTheme="minorHAnsi" w:eastAsiaTheme="minorEastAsia" w:hAnsiTheme="minorHAnsi" w:cstheme="minorBidi"/>
          <w:szCs w:val="24"/>
          <w:lang w:val="fr-CH" w:eastAsia="zh-CN"/>
        </w:rPr>
        <w:t>tel qu'énoncées respectivement</w:t>
      </w:r>
      <w:r w:rsidR="00602680" w:rsidRPr="00C21A6F">
        <w:rPr>
          <w:rFonts w:asciiTheme="minorHAnsi" w:eastAsiaTheme="minorEastAsia" w:hAnsiTheme="minorHAnsi" w:cstheme="minorBidi"/>
          <w:szCs w:val="24"/>
          <w:lang w:val="fr-CH" w:eastAsia="zh-CN"/>
        </w:rPr>
        <w:t xml:space="preserve"> aux </w:t>
      </w:r>
      <w:r w:rsidR="000A7D7C" w:rsidRPr="00C21A6F">
        <w:rPr>
          <w:rFonts w:asciiTheme="minorHAnsi" w:eastAsiaTheme="minorEastAsia" w:hAnsiTheme="minorHAnsi" w:cstheme="minorBidi"/>
          <w:szCs w:val="24"/>
          <w:lang w:val="fr-CH" w:eastAsia="zh-CN"/>
        </w:rPr>
        <w:t>A</w:t>
      </w:r>
      <w:r w:rsidR="00602680" w:rsidRPr="00C21A6F">
        <w:rPr>
          <w:rFonts w:asciiTheme="minorHAnsi" w:eastAsiaTheme="minorEastAsia" w:hAnsiTheme="minorHAnsi" w:cstheme="minorBidi"/>
          <w:szCs w:val="24"/>
          <w:lang w:val="fr-CH" w:eastAsia="zh-CN"/>
        </w:rPr>
        <w:t xml:space="preserve">rticles 17 et XXVIII de la Convention du Cap et </w:t>
      </w:r>
      <w:r w:rsidR="0006219D" w:rsidRPr="00C21A6F">
        <w:rPr>
          <w:rFonts w:asciiTheme="minorHAnsi" w:eastAsiaTheme="minorEastAsia" w:hAnsiTheme="minorHAnsi" w:cstheme="minorBidi"/>
          <w:szCs w:val="24"/>
          <w:lang w:val="fr-CH" w:eastAsia="zh-CN"/>
        </w:rPr>
        <w:t>de</w:t>
      </w:r>
      <w:r w:rsidR="00602680" w:rsidRPr="00C21A6F">
        <w:rPr>
          <w:rFonts w:asciiTheme="minorHAnsi" w:eastAsiaTheme="minorEastAsia" w:hAnsiTheme="minorHAnsi" w:cstheme="minorBidi"/>
          <w:szCs w:val="24"/>
          <w:lang w:val="fr-CH" w:eastAsia="zh-CN"/>
        </w:rPr>
        <w:t xml:space="preserve"> son Protocole </w:t>
      </w:r>
      <w:r w:rsidR="000A7D7C" w:rsidRPr="00C21A6F">
        <w:rPr>
          <w:lang w:val="fr-CH"/>
        </w:rPr>
        <w:t>portant sur les biens spatiaux".</w:t>
      </w:r>
    </w:p>
    <w:p w14:paraId="05BCFA63" w14:textId="7D59172B" w:rsidR="00113D80" w:rsidRPr="00C21A6F" w:rsidRDefault="005434CF" w:rsidP="00301B85">
      <w:pPr>
        <w:rPr>
          <w:rFonts w:asciiTheme="minorHAnsi" w:eastAsiaTheme="minorEastAsia" w:hAnsiTheme="minorHAnsi" w:cstheme="minorBidi"/>
          <w:szCs w:val="24"/>
          <w:lang w:val="fr-CH" w:eastAsia="zh-CN"/>
        </w:rPr>
      </w:pPr>
      <w:r w:rsidRPr="00C21A6F">
        <w:rPr>
          <w:rFonts w:asciiTheme="minorHAnsi" w:eastAsiaTheme="minorEastAsia" w:hAnsiTheme="minorHAnsi" w:cstheme="minorBidi"/>
          <w:szCs w:val="24"/>
          <w:lang w:val="fr-CH" w:eastAsia="zh-CN"/>
        </w:rPr>
        <w:t>4.3</w:t>
      </w:r>
      <w:r w:rsidRPr="00C21A6F">
        <w:rPr>
          <w:rFonts w:asciiTheme="minorHAnsi" w:eastAsiaTheme="minorEastAsia" w:hAnsiTheme="minorHAnsi" w:cstheme="minorBidi"/>
          <w:szCs w:val="24"/>
          <w:lang w:val="fr-CH" w:eastAsia="zh-CN"/>
        </w:rPr>
        <w:tab/>
      </w:r>
      <w:r w:rsidR="00113D80" w:rsidRPr="00C21A6F">
        <w:rPr>
          <w:rFonts w:asciiTheme="minorHAnsi" w:eastAsiaTheme="minorEastAsia" w:hAnsiTheme="minorHAnsi" w:cstheme="minorBidi"/>
          <w:szCs w:val="24"/>
          <w:lang w:val="fr-CH" w:eastAsia="zh-CN"/>
        </w:rPr>
        <w:t xml:space="preserve">UNIDROIT a également </w:t>
      </w:r>
      <w:r w:rsidR="00E42D8C" w:rsidRPr="00C21A6F">
        <w:rPr>
          <w:rFonts w:asciiTheme="minorHAnsi" w:eastAsiaTheme="minorEastAsia" w:hAnsiTheme="minorHAnsi" w:cstheme="minorBidi"/>
          <w:szCs w:val="24"/>
          <w:lang w:val="fr-CH" w:eastAsia="zh-CN"/>
        </w:rPr>
        <w:t>indiqu</w:t>
      </w:r>
      <w:r w:rsidR="00113D80" w:rsidRPr="00C21A6F">
        <w:rPr>
          <w:rFonts w:asciiTheme="minorHAnsi" w:eastAsiaTheme="minorEastAsia" w:hAnsiTheme="minorHAnsi" w:cstheme="minorBidi"/>
          <w:szCs w:val="24"/>
          <w:lang w:val="fr-CH" w:eastAsia="zh-CN"/>
        </w:rPr>
        <w:t xml:space="preserve">é que le libellé de la condition </w:t>
      </w:r>
      <w:r w:rsidR="00087BC0" w:rsidRPr="00C21A6F">
        <w:rPr>
          <w:rFonts w:asciiTheme="minorHAnsi" w:eastAsiaTheme="minorEastAsia" w:hAnsiTheme="minorHAnsi" w:cstheme="minorBidi"/>
          <w:szCs w:val="24"/>
          <w:lang w:val="fr-CH" w:eastAsia="zh-CN"/>
        </w:rPr>
        <w:t>figurant</w:t>
      </w:r>
      <w:r w:rsidR="00E42D8C" w:rsidRPr="00C21A6F">
        <w:rPr>
          <w:rFonts w:asciiTheme="minorHAnsi" w:eastAsiaTheme="minorEastAsia" w:hAnsiTheme="minorHAnsi" w:cstheme="minorBidi"/>
          <w:szCs w:val="24"/>
          <w:lang w:val="fr-CH" w:eastAsia="zh-CN"/>
        </w:rPr>
        <w:t xml:space="preserve"> au </w:t>
      </w:r>
      <w:r w:rsidR="00087BC0" w:rsidRPr="00C21A6F">
        <w:rPr>
          <w:rFonts w:asciiTheme="minorHAnsi" w:eastAsiaTheme="minorEastAsia" w:hAnsiTheme="minorHAnsi" w:cstheme="minorBidi"/>
          <w:szCs w:val="24"/>
          <w:lang w:val="fr-CH" w:eastAsia="zh-CN"/>
        </w:rPr>
        <w:t>§</w:t>
      </w:r>
      <w:r w:rsidR="00E42D8C" w:rsidRPr="00C21A6F">
        <w:rPr>
          <w:rFonts w:asciiTheme="minorHAnsi" w:eastAsiaTheme="minorEastAsia" w:hAnsiTheme="minorHAnsi" w:cstheme="minorBidi"/>
          <w:szCs w:val="24"/>
          <w:lang w:val="fr-CH" w:eastAsia="zh-CN"/>
        </w:rPr>
        <w:t xml:space="preserve"> </w:t>
      </w:r>
      <w:r w:rsidR="00113D80" w:rsidRPr="00C21A6F">
        <w:rPr>
          <w:rFonts w:asciiTheme="minorHAnsi" w:eastAsiaTheme="minorEastAsia" w:hAnsiTheme="minorHAnsi" w:cstheme="minorBidi"/>
          <w:szCs w:val="24"/>
          <w:lang w:val="fr-CH" w:eastAsia="zh-CN"/>
        </w:rPr>
        <w:t xml:space="preserve">13 du </w:t>
      </w:r>
      <w:hyperlink r:id="rId53" w:history="1">
        <w:r w:rsidR="00087BC0" w:rsidRPr="00C21A6F">
          <w:rPr>
            <w:rStyle w:val="Hyperlink"/>
            <w:lang w:val="fr-CH"/>
          </w:rPr>
          <w:t>Document C17/36(Ré</w:t>
        </w:r>
        <w:r w:rsidR="00E42D8C" w:rsidRPr="00C21A6F">
          <w:rPr>
            <w:rStyle w:val="Hyperlink"/>
            <w:lang w:val="fr-CH"/>
          </w:rPr>
          <w:t>v.1)</w:t>
        </w:r>
      </w:hyperlink>
      <w:r w:rsidR="00E42D8C" w:rsidRPr="00C21A6F">
        <w:rPr>
          <w:rFonts w:asciiTheme="minorHAnsi" w:eastAsiaTheme="minorEastAsia" w:hAnsiTheme="minorHAnsi" w:cstheme="minorBidi"/>
          <w:szCs w:val="24"/>
          <w:lang w:val="fr-CH" w:eastAsia="zh-CN"/>
        </w:rPr>
        <w:t xml:space="preserve"> </w:t>
      </w:r>
      <w:r w:rsidR="00113D80" w:rsidRPr="00C21A6F">
        <w:rPr>
          <w:rFonts w:asciiTheme="minorHAnsi" w:eastAsiaTheme="minorEastAsia" w:hAnsiTheme="minorHAnsi" w:cstheme="minorBidi"/>
          <w:szCs w:val="24"/>
          <w:lang w:val="fr-CH" w:eastAsia="zh-CN"/>
        </w:rPr>
        <w:t xml:space="preserve">soulève une question </w:t>
      </w:r>
      <w:r w:rsidR="00087BC0" w:rsidRPr="00C21A6F">
        <w:rPr>
          <w:rFonts w:asciiTheme="minorHAnsi" w:eastAsiaTheme="minorEastAsia" w:hAnsiTheme="minorHAnsi" w:cstheme="minorBidi"/>
          <w:szCs w:val="24"/>
          <w:lang w:val="fr-CH" w:eastAsia="zh-CN"/>
        </w:rPr>
        <w:t xml:space="preserve">d'ordre </w:t>
      </w:r>
      <w:r w:rsidR="00113D80" w:rsidRPr="00C21A6F">
        <w:rPr>
          <w:rFonts w:asciiTheme="minorHAnsi" w:eastAsiaTheme="minorEastAsia" w:hAnsiTheme="minorHAnsi" w:cstheme="minorBidi"/>
          <w:szCs w:val="24"/>
          <w:lang w:val="fr-CH" w:eastAsia="zh-CN"/>
        </w:rPr>
        <w:t>pratique</w:t>
      </w:r>
      <w:r w:rsidR="00C33A04" w:rsidRPr="00C21A6F">
        <w:rPr>
          <w:rFonts w:asciiTheme="minorHAnsi" w:eastAsiaTheme="minorEastAsia" w:hAnsiTheme="minorHAnsi" w:cstheme="minorBidi"/>
          <w:szCs w:val="24"/>
          <w:lang w:val="fr-CH" w:eastAsia="zh-CN"/>
        </w:rPr>
        <w:t>,</w:t>
      </w:r>
      <w:r w:rsidR="00113D80" w:rsidRPr="00C21A6F">
        <w:rPr>
          <w:rFonts w:asciiTheme="minorHAnsi" w:eastAsiaTheme="minorEastAsia" w:hAnsiTheme="minorHAnsi" w:cstheme="minorBidi"/>
          <w:szCs w:val="24"/>
          <w:lang w:val="fr-CH" w:eastAsia="zh-CN"/>
        </w:rPr>
        <w:t xml:space="preserve"> </w:t>
      </w:r>
      <w:r w:rsidR="00087BC0" w:rsidRPr="00C21A6F">
        <w:rPr>
          <w:rFonts w:asciiTheme="minorHAnsi" w:eastAsiaTheme="minorEastAsia" w:hAnsiTheme="minorHAnsi" w:cstheme="minorBidi"/>
          <w:szCs w:val="24"/>
          <w:lang w:val="fr-CH" w:eastAsia="zh-CN"/>
        </w:rPr>
        <w:t>en ce sens qu'il se peut</w:t>
      </w:r>
      <w:r w:rsidR="00113D80" w:rsidRPr="00C21A6F">
        <w:rPr>
          <w:rFonts w:asciiTheme="minorHAnsi" w:eastAsiaTheme="minorEastAsia" w:hAnsiTheme="minorHAnsi" w:cstheme="minorBidi"/>
          <w:szCs w:val="24"/>
          <w:lang w:val="fr-CH" w:eastAsia="zh-CN"/>
        </w:rPr>
        <w:t xml:space="preserve"> que le Protocole </w:t>
      </w:r>
      <w:r w:rsidR="00C33A04" w:rsidRPr="00C21A6F">
        <w:rPr>
          <w:lang w:val="fr-CH"/>
        </w:rPr>
        <w:t>portant sur les biens spatiaux</w:t>
      </w:r>
      <w:r w:rsidR="00C33A04" w:rsidRPr="00C21A6F">
        <w:rPr>
          <w:rFonts w:asciiTheme="minorHAnsi" w:eastAsiaTheme="minorEastAsia" w:hAnsiTheme="minorHAnsi" w:cstheme="minorBidi"/>
          <w:szCs w:val="24"/>
          <w:lang w:val="fr-CH" w:eastAsia="zh-CN"/>
        </w:rPr>
        <w:t xml:space="preserve"> </w:t>
      </w:r>
      <w:r w:rsidR="00087BC0" w:rsidRPr="00C21A6F">
        <w:rPr>
          <w:rFonts w:asciiTheme="minorHAnsi" w:eastAsiaTheme="minorEastAsia" w:hAnsiTheme="minorHAnsi" w:cstheme="minorBidi"/>
          <w:szCs w:val="24"/>
          <w:lang w:val="fr-CH" w:eastAsia="zh-CN"/>
        </w:rPr>
        <w:t>ne soit pas entré</w:t>
      </w:r>
      <w:r w:rsidR="00113D80" w:rsidRPr="00C21A6F">
        <w:rPr>
          <w:rFonts w:asciiTheme="minorHAnsi" w:eastAsiaTheme="minorEastAsia" w:hAnsiTheme="minorHAnsi" w:cstheme="minorBidi"/>
          <w:szCs w:val="24"/>
          <w:lang w:val="fr-CH" w:eastAsia="zh-CN"/>
        </w:rPr>
        <w:t xml:space="preserve"> </w:t>
      </w:r>
      <w:r w:rsidR="00C33A04" w:rsidRPr="00C21A6F">
        <w:rPr>
          <w:rFonts w:asciiTheme="minorHAnsi" w:eastAsiaTheme="minorEastAsia" w:hAnsiTheme="minorHAnsi" w:cstheme="minorBidi"/>
          <w:szCs w:val="24"/>
          <w:lang w:val="fr-CH" w:eastAsia="zh-CN"/>
        </w:rPr>
        <w:t xml:space="preserve">en vigueur </w:t>
      </w:r>
      <w:r w:rsidR="00087BC0" w:rsidRPr="00C21A6F">
        <w:rPr>
          <w:rFonts w:asciiTheme="minorHAnsi" w:eastAsiaTheme="minorEastAsia" w:hAnsiTheme="minorHAnsi" w:cstheme="minorBidi"/>
          <w:szCs w:val="24"/>
          <w:lang w:val="fr-CH" w:eastAsia="zh-CN"/>
        </w:rPr>
        <w:t>en</w:t>
      </w:r>
      <w:r w:rsidR="00113D80" w:rsidRPr="00C21A6F">
        <w:rPr>
          <w:rFonts w:asciiTheme="minorHAnsi" w:eastAsiaTheme="minorEastAsia" w:hAnsiTheme="minorHAnsi" w:cstheme="minorBidi"/>
          <w:szCs w:val="24"/>
          <w:lang w:val="fr-CH" w:eastAsia="zh-CN"/>
        </w:rPr>
        <w:t xml:space="preserve"> 2022. Cette condition devrait </w:t>
      </w:r>
      <w:r w:rsidR="00C33A04" w:rsidRPr="00C21A6F">
        <w:rPr>
          <w:rFonts w:asciiTheme="minorHAnsi" w:eastAsiaTheme="minorEastAsia" w:hAnsiTheme="minorHAnsi" w:cstheme="minorBidi"/>
          <w:szCs w:val="24"/>
          <w:lang w:val="fr-CH" w:eastAsia="zh-CN"/>
        </w:rPr>
        <w:t>par conséquent</w:t>
      </w:r>
      <w:r w:rsidR="00113D80" w:rsidRPr="00C21A6F">
        <w:rPr>
          <w:rFonts w:asciiTheme="minorHAnsi" w:eastAsiaTheme="minorEastAsia" w:hAnsiTheme="minorHAnsi" w:cstheme="minorBidi"/>
          <w:szCs w:val="24"/>
          <w:lang w:val="fr-CH" w:eastAsia="zh-CN"/>
        </w:rPr>
        <w:t xml:space="preserve"> être formulée </w:t>
      </w:r>
      <w:r w:rsidR="00087BC0" w:rsidRPr="00C21A6F">
        <w:rPr>
          <w:rFonts w:asciiTheme="minorHAnsi" w:eastAsiaTheme="minorEastAsia" w:hAnsiTheme="minorHAnsi" w:cstheme="minorBidi"/>
          <w:szCs w:val="24"/>
          <w:lang w:val="fr-CH" w:eastAsia="zh-CN"/>
        </w:rPr>
        <w:t xml:space="preserve">de telle sorte </w:t>
      </w:r>
      <w:r w:rsidR="00CD36CD" w:rsidRPr="00C21A6F">
        <w:rPr>
          <w:rFonts w:asciiTheme="minorHAnsi" w:eastAsiaTheme="minorEastAsia" w:hAnsiTheme="minorHAnsi" w:cstheme="minorBidi"/>
          <w:szCs w:val="24"/>
          <w:lang w:val="fr-CH" w:eastAsia="zh-CN"/>
        </w:rPr>
        <w:t>qu</w:t>
      </w:r>
      <w:r w:rsidR="0066183D" w:rsidRPr="00C21A6F">
        <w:rPr>
          <w:rFonts w:asciiTheme="minorHAnsi" w:eastAsiaTheme="minorEastAsia" w:hAnsiTheme="minorHAnsi" w:cstheme="minorBidi"/>
          <w:szCs w:val="24"/>
          <w:lang w:val="fr-CH" w:eastAsia="zh-CN"/>
        </w:rPr>
        <w:t>'</w:t>
      </w:r>
      <w:r w:rsidR="00CD36CD" w:rsidRPr="00C21A6F">
        <w:rPr>
          <w:rFonts w:asciiTheme="minorHAnsi" w:eastAsiaTheme="minorEastAsia" w:hAnsiTheme="minorHAnsi" w:cstheme="minorBidi"/>
          <w:szCs w:val="24"/>
          <w:lang w:val="fr-CH" w:eastAsia="zh-CN"/>
        </w:rPr>
        <w:t xml:space="preserve">un processus </w:t>
      </w:r>
      <w:r w:rsidR="00087BC0" w:rsidRPr="00C21A6F">
        <w:rPr>
          <w:rFonts w:asciiTheme="minorHAnsi" w:eastAsiaTheme="minorEastAsia" w:hAnsiTheme="minorHAnsi" w:cstheme="minorBidi"/>
          <w:szCs w:val="24"/>
          <w:lang w:val="fr-CH" w:eastAsia="zh-CN"/>
        </w:rPr>
        <w:t>d'examen</w:t>
      </w:r>
      <w:r w:rsidR="00CD36CD" w:rsidRPr="00C21A6F">
        <w:rPr>
          <w:rFonts w:asciiTheme="minorHAnsi" w:eastAsiaTheme="minorEastAsia" w:hAnsiTheme="minorHAnsi" w:cstheme="minorBidi"/>
          <w:szCs w:val="24"/>
          <w:lang w:val="fr-CH" w:eastAsia="zh-CN"/>
        </w:rPr>
        <w:t xml:space="preserve"> puisse être </w:t>
      </w:r>
      <w:r w:rsidR="00087BC0" w:rsidRPr="00C21A6F">
        <w:rPr>
          <w:rFonts w:asciiTheme="minorHAnsi" w:eastAsiaTheme="minorEastAsia" w:hAnsiTheme="minorHAnsi" w:cstheme="minorBidi"/>
          <w:szCs w:val="24"/>
          <w:lang w:val="fr-CH" w:eastAsia="zh-CN"/>
        </w:rPr>
        <w:t>engagé</w:t>
      </w:r>
      <w:r w:rsidR="00CD36CD" w:rsidRPr="00C21A6F">
        <w:rPr>
          <w:rFonts w:asciiTheme="minorHAnsi" w:eastAsiaTheme="minorEastAsia" w:hAnsiTheme="minorHAnsi" w:cstheme="minorBidi"/>
          <w:szCs w:val="24"/>
          <w:lang w:val="fr-CH" w:eastAsia="zh-CN"/>
        </w:rPr>
        <w:t xml:space="preserve"> </w:t>
      </w:r>
      <w:r w:rsidR="00113D80" w:rsidRPr="00C21A6F">
        <w:rPr>
          <w:rFonts w:asciiTheme="minorHAnsi" w:eastAsiaTheme="minorEastAsia" w:hAnsiTheme="minorHAnsi" w:cstheme="minorBidi"/>
          <w:szCs w:val="24"/>
          <w:lang w:val="fr-CH" w:eastAsia="zh-CN"/>
        </w:rPr>
        <w:t>quatre ans après que l</w:t>
      </w:r>
      <w:r w:rsidR="0066183D" w:rsidRPr="00C21A6F">
        <w:rPr>
          <w:rFonts w:asciiTheme="minorHAnsi" w:eastAsiaTheme="minorEastAsia" w:hAnsiTheme="minorHAnsi" w:cstheme="minorBidi"/>
          <w:szCs w:val="24"/>
          <w:lang w:val="fr-CH" w:eastAsia="zh-CN"/>
        </w:rPr>
        <w:t>'</w:t>
      </w:r>
      <w:r w:rsidR="00113D80" w:rsidRPr="00C21A6F">
        <w:rPr>
          <w:rFonts w:asciiTheme="minorHAnsi" w:eastAsiaTheme="minorEastAsia" w:hAnsiTheme="minorHAnsi" w:cstheme="minorBidi"/>
          <w:szCs w:val="24"/>
          <w:lang w:val="fr-CH" w:eastAsia="zh-CN"/>
        </w:rPr>
        <w:t>UIT aura officiellement commencé à assumer le rôle d</w:t>
      </w:r>
      <w:r w:rsidR="0066183D" w:rsidRPr="00C21A6F">
        <w:rPr>
          <w:rFonts w:asciiTheme="minorHAnsi" w:eastAsiaTheme="minorEastAsia" w:hAnsiTheme="minorHAnsi" w:cstheme="minorBidi"/>
          <w:szCs w:val="24"/>
          <w:lang w:val="fr-CH" w:eastAsia="zh-CN"/>
        </w:rPr>
        <w:t>'</w:t>
      </w:r>
      <w:r w:rsidR="00113D80" w:rsidRPr="00C21A6F">
        <w:rPr>
          <w:rFonts w:asciiTheme="minorHAnsi" w:eastAsiaTheme="minorEastAsia" w:hAnsiTheme="minorHAnsi" w:cstheme="minorBidi"/>
          <w:szCs w:val="24"/>
          <w:lang w:val="fr-CH" w:eastAsia="zh-CN"/>
        </w:rPr>
        <w:t>Autorité de surveillance.</w:t>
      </w:r>
    </w:p>
    <w:p w14:paraId="1CD1C5F1" w14:textId="77777777" w:rsidR="005434CF" w:rsidRPr="00C21A6F" w:rsidRDefault="005434CF" w:rsidP="00087BC0">
      <w:pPr>
        <w:pStyle w:val="Heading1"/>
        <w:rPr>
          <w:rFonts w:eastAsiaTheme="minorEastAsia"/>
          <w:lang w:val="fr-CH" w:eastAsia="zh-CN"/>
        </w:rPr>
      </w:pPr>
      <w:r w:rsidRPr="00C21A6F">
        <w:rPr>
          <w:rFonts w:eastAsiaTheme="minorEastAsia"/>
          <w:lang w:val="fr-CH" w:eastAsia="zh-CN"/>
        </w:rPr>
        <w:t>5</w:t>
      </w:r>
      <w:r w:rsidRPr="00C21A6F">
        <w:rPr>
          <w:rFonts w:eastAsiaTheme="minorEastAsia"/>
          <w:lang w:val="fr-CH" w:eastAsia="zh-CN"/>
        </w:rPr>
        <w:tab/>
        <w:t>Conclusion</w:t>
      </w:r>
    </w:p>
    <w:p w14:paraId="2D7E60F5" w14:textId="06D8C835" w:rsidR="00407109" w:rsidRPr="00C21A6F" w:rsidRDefault="005434CF" w:rsidP="00087BC0">
      <w:pPr>
        <w:keepNext/>
        <w:keepLines/>
        <w:rPr>
          <w:lang w:val="fr-CH"/>
        </w:rPr>
      </w:pPr>
      <w:r w:rsidRPr="00C21A6F">
        <w:rPr>
          <w:lang w:val="fr-CH"/>
        </w:rPr>
        <w:t>5.1</w:t>
      </w:r>
      <w:r w:rsidRPr="00C21A6F">
        <w:rPr>
          <w:lang w:val="fr-CH"/>
        </w:rPr>
        <w:tab/>
      </w:r>
      <w:r w:rsidR="002A02AB" w:rsidRPr="00C21A6F">
        <w:rPr>
          <w:lang w:val="fr-CH"/>
        </w:rPr>
        <w:t xml:space="preserve">Sur la base des recommandations formulées par le Conseil à sa session de 2017 (voir </w:t>
      </w:r>
      <w:r w:rsidR="005A66D6" w:rsidRPr="00C21A6F">
        <w:rPr>
          <w:lang w:val="fr-CH"/>
        </w:rPr>
        <w:t xml:space="preserve">le </w:t>
      </w:r>
      <w:r w:rsidR="002A02AB" w:rsidRPr="00C21A6F">
        <w:rPr>
          <w:lang w:val="fr-CH"/>
        </w:rPr>
        <w:t>§</w:t>
      </w:r>
      <w:r w:rsidR="00087BC0" w:rsidRPr="00C21A6F">
        <w:rPr>
          <w:lang w:val="fr-CH"/>
        </w:rPr>
        <w:t> </w:t>
      </w:r>
      <w:r w:rsidR="002A02AB" w:rsidRPr="00C21A6F">
        <w:rPr>
          <w:lang w:val="fr-CH"/>
        </w:rPr>
        <w:t xml:space="preserve">3.2 ci-dessus) et </w:t>
      </w:r>
      <w:r w:rsidR="00087BC0" w:rsidRPr="00C21A6F">
        <w:rPr>
          <w:lang w:val="fr-CH"/>
        </w:rPr>
        <w:t>sachant</w:t>
      </w:r>
      <w:r w:rsidR="002A02AB" w:rsidRPr="00C21A6F">
        <w:rPr>
          <w:lang w:val="fr-CH"/>
        </w:rPr>
        <w:t xml:space="preserve"> qu</w:t>
      </w:r>
      <w:r w:rsidR="0066183D" w:rsidRPr="00C21A6F">
        <w:rPr>
          <w:lang w:val="fr-CH"/>
        </w:rPr>
        <w:t>'</w:t>
      </w:r>
      <w:r w:rsidR="002A02AB" w:rsidRPr="00C21A6F">
        <w:rPr>
          <w:lang w:val="fr-CH"/>
        </w:rPr>
        <w:t>UNIDROIT a indiqué n</w:t>
      </w:r>
      <w:r w:rsidR="0066183D" w:rsidRPr="00C21A6F">
        <w:rPr>
          <w:lang w:val="fr-CH"/>
        </w:rPr>
        <w:t>'</w:t>
      </w:r>
      <w:r w:rsidR="002A02AB" w:rsidRPr="00C21A6F">
        <w:rPr>
          <w:lang w:val="fr-CH"/>
        </w:rPr>
        <w:t>avoir aucune</w:t>
      </w:r>
      <w:r w:rsidR="00E74A5B" w:rsidRPr="00C21A6F">
        <w:rPr>
          <w:lang w:val="fr-CH"/>
        </w:rPr>
        <w:t xml:space="preserve"> objection</w:t>
      </w:r>
      <w:r w:rsidR="002A02AB" w:rsidRPr="00C21A6F">
        <w:rPr>
          <w:lang w:val="fr-CH"/>
        </w:rPr>
        <w:t xml:space="preserve"> </w:t>
      </w:r>
      <w:r w:rsidR="00087BC0" w:rsidRPr="00C21A6F">
        <w:rPr>
          <w:lang w:val="fr-CH"/>
        </w:rPr>
        <w:t>à l'encontre des</w:t>
      </w:r>
      <w:r w:rsidR="005A66D6" w:rsidRPr="00C21A6F">
        <w:rPr>
          <w:lang w:val="fr-CH"/>
        </w:rPr>
        <w:t xml:space="preserve"> conditions </w:t>
      </w:r>
      <w:r w:rsidR="00087BC0" w:rsidRPr="00C21A6F">
        <w:rPr>
          <w:lang w:val="fr-CH"/>
        </w:rPr>
        <w:t>présentées</w:t>
      </w:r>
      <w:r w:rsidR="005A66D6" w:rsidRPr="00C21A6F">
        <w:rPr>
          <w:lang w:val="fr-CH"/>
        </w:rPr>
        <w:t xml:space="preserve"> par l</w:t>
      </w:r>
      <w:r w:rsidR="0066183D" w:rsidRPr="00C21A6F">
        <w:rPr>
          <w:lang w:val="fr-CH"/>
        </w:rPr>
        <w:t>'</w:t>
      </w:r>
      <w:r w:rsidR="005A66D6" w:rsidRPr="00C21A6F">
        <w:rPr>
          <w:lang w:val="fr-CH"/>
        </w:rPr>
        <w:t>UIT (voir le §</w:t>
      </w:r>
      <w:r w:rsidR="00B94FAB">
        <w:rPr>
          <w:lang w:val="fr-CH"/>
        </w:rPr>
        <w:t xml:space="preserve"> </w:t>
      </w:r>
      <w:r w:rsidR="005A66D6" w:rsidRPr="00C21A6F">
        <w:rPr>
          <w:lang w:val="fr-CH"/>
        </w:rPr>
        <w:t xml:space="preserve">4.2 ci-dessus), la Conférence de plénipotentiaires est invitée à </w:t>
      </w:r>
      <w:r w:rsidR="003809E7" w:rsidRPr="00C21A6F">
        <w:rPr>
          <w:b/>
          <w:bCs/>
          <w:lang w:val="fr-CH"/>
        </w:rPr>
        <w:t>examiner</w:t>
      </w:r>
      <w:r w:rsidR="006F02D3" w:rsidRPr="00C21A6F">
        <w:rPr>
          <w:lang w:val="fr-CH"/>
        </w:rPr>
        <w:t xml:space="preserve"> le présent rapport et à </w:t>
      </w:r>
      <w:r w:rsidR="00087BC0" w:rsidRPr="00C21A6F">
        <w:rPr>
          <w:rFonts w:asciiTheme="minorHAnsi" w:hAnsiTheme="minorHAnsi"/>
          <w:b/>
          <w:bCs/>
          <w:szCs w:val="24"/>
          <w:lang w:val="fr-CH"/>
        </w:rPr>
        <w:t>prendre une décision</w:t>
      </w:r>
      <w:r w:rsidR="005F6474" w:rsidRPr="00C21A6F">
        <w:rPr>
          <w:rFonts w:asciiTheme="minorHAnsi" w:hAnsiTheme="minorHAnsi"/>
          <w:szCs w:val="24"/>
          <w:lang w:val="fr-CH"/>
        </w:rPr>
        <w:t xml:space="preserve"> sur la question de savoir si l</w:t>
      </w:r>
      <w:r w:rsidR="0066183D" w:rsidRPr="00C21A6F">
        <w:rPr>
          <w:rFonts w:asciiTheme="minorHAnsi" w:hAnsiTheme="minorHAnsi"/>
          <w:szCs w:val="24"/>
          <w:lang w:val="fr-CH"/>
        </w:rPr>
        <w:t>'</w:t>
      </w:r>
      <w:r w:rsidR="005F6474" w:rsidRPr="00C21A6F">
        <w:rPr>
          <w:rFonts w:asciiTheme="minorHAnsi" w:hAnsiTheme="minorHAnsi"/>
          <w:szCs w:val="24"/>
          <w:lang w:val="fr-CH"/>
        </w:rPr>
        <w:t>UIT devrait devenir l</w:t>
      </w:r>
      <w:r w:rsidR="0066183D" w:rsidRPr="00C21A6F">
        <w:rPr>
          <w:rFonts w:asciiTheme="minorHAnsi" w:hAnsiTheme="minorHAnsi"/>
          <w:szCs w:val="24"/>
          <w:lang w:val="fr-CH"/>
        </w:rPr>
        <w:t>'</w:t>
      </w:r>
      <w:r w:rsidR="00087BC0" w:rsidRPr="00C21A6F">
        <w:rPr>
          <w:rFonts w:asciiTheme="minorHAnsi" w:hAnsiTheme="minorHAnsi"/>
          <w:szCs w:val="24"/>
          <w:lang w:val="fr-CH"/>
        </w:rPr>
        <w:t xml:space="preserve">Autorité de surveillance du </w:t>
      </w:r>
      <w:r w:rsidR="004470E3" w:rsidRPr="00C21A6F">
        <w:rPr>
          <w:rFonts w:asciiTheme="minorHAnsi" w:hAnsiTheme="minorHAnsi"/>
          <w:szCs w:val="24"/>
          <w:lang w:val="fr-CH"/>
        </w:rPr>
        <w:t>s</w:t>
      </w:r>
      <w:r w:rsidR="005F6474" w:rsidRPr="00C21A6F">
        <w:rPr>
          <w:rFonts w:asciiTheme="minorHAnsi" w:hAnsiTheme="minorHAnsi"/>
          <w:szCs w:val="24"/>
          <w:lang w:val="fr-CH"/>
        </w:rPr>
        <w:t>ystème international d</w:t>
      </w:r>
      <w:r w:rsidR="0066183D" w:rsidRPr="00C21A6F">
        <w:rPr>
          <w:rFonts w:asciiTheme="minorHAnsi" w:hAnsiTheme="minorHAnsi"/>
          <w:szCs w:val="24"/>
          <w:lang w:val="fr-CH"/>
        </w:rPr>
        <w:t>'</w:t>
      </w:r>
      <w:r w:rsidR="005F6474" w:rsidRPr="00C21A6F">
        <w:rPr>
          <w:rFonts w:asciiTheme="minorHAnsi" w:hAnsiTheme="minorHAnsi"/>
          <w:szCs w:val="24"/>
          <w:lang w:val="fr-CH"/>
        </w:rPr>
        <w:t>inscription pour les biens spatiaux, conformément au Protocole portant sur les biens spatiaux</w:t>
      </w:r>
      <w:r w:rsidR="001C397B" w:rsidRPr="00C21A6F">
        <w:rPr>
          <w:rFonts w:asciiTheme="minorHAnsi" w:hAnsiTheme="minorHAnsi"/>
          <w:szCs w:val="24"/>
          <w:lang w:val="fr-CH"/>
        </w:rPr>
        <w:t xml:space="preserve">, </w:t>
      </w:r>
      <w:r w:rsidR="001C397B" w:rsidRPr="00C21A6F">
        <w:rPr>
          <w:color w:val="000000"/>
          <w:lang w:val="fr-CH"/>
        </w:rPr>
        <w:t>au moment de, ou après, l</w:t>
      </w:r>
      <w:r w:rsidR="0066183D" w:rsidRPr="00C21A6F">
        <w:rPr>
          <w:color w:val="000000"/>
          <w:lang w:val="fr-CH"/>
        </w:rPr>
        <w:t>'</w:t>
      </w:r>
      <w:r w:rsidR="001C397B" w:rsidRPr="00C21A6F">
        <w:rPr>
          <w:color w:val="000000"/>
          <w:lang w:val="fr-CH"/>
        </w:rPr>
        <w:t>entrée en vigueur</w:t>
      </w:r>
      <w:r w:rsidR="0066183D" w:rsidRPr="00C21A6F">
        <w:rPr>
          <w:color w:val="000000"/>
          <w:lang w:val="fr-CH"/>
        </w:rPr>
        <w:t xml:space="preserve"> </w:t>
      </w:r>
      <w:r w:rsidR="001C397B" w:rsidRPr="00C21A6F">
        <w:rPr>
          <w:color w:val="000000"/>
          <w:lang w:val="fr-CH"/>
        </w:rPr>
        <w:t xml:space="preserve">dudit Protocole, conformément aux conditions énoncées au </w:t>
      </w:r>
      <w:r w:rsidR="00087BC0" w:rsidRPr="00C21A6F">
        <w:rPr>
          <w:color w:val="000000"/>
          <w:lang w:val="fr-CH"/>
        </w:rPr>
        <w:t>§ </w:t>
      </w:r>
      <w:r w:rsidR="004A6A61" w:rsidRPr="00C21A6F">
        <w:rPr>
          <w:color w:val="000000"/>
          <w:lang w:val="fr-CH"/>
        </w:rPr>
        <w:t>3.3 ci-dessus.</w:t>
      </w:r>
    </w:p>
    <w:p w14:paraId="3797F9D3" w14:textId="77777777" w:rsidR="00F42451" w:rsidRPr="00C21A6F" w:rsidRDefault="00F42451" w:rsidP="0066183D">
      <w:pPr>
        <w:tabs>
          <w:tab w:val="clear" w:pos="567"/>
          <w:tab w:val="clear" w:pos="1134"/>
          <w:tab w:val="clear" w:pos="1701"/>
          <w:tab w:val="clear" w:pos="2268"/>
          <w:tab w:val="clear" w:pos="2835"/>
        </w:tabs>
        <w:overflowPunct/>
        <w:autoSpaceDE/>
        <w:autoSpaceDN/>
        <w:adjustRightInd/>
        <w:spacing w:before="0"/>
        <w:textAlignment w:val="auto"/>
        <w:rPr>
          <w:lang w:val="fr-CH"/>
        </w:rPr>
      </w:pPr>
      <w:r w:rsidRPr="00C21A6F">
        <w:rPr>
          <w:lang w:val="fr-CH"/>
        </w:rPr>
        <w:br w:type="page"/>
      </w:r>
    </w:p>
    <w:p w14:paraId="5C57E3AD" w14:textId="77777777" w:rsidR="00CF058C" w:rsidRPr="00C21A6F" w:rsidRDefault="00F42451" w:rsidP="0066183D">
      <w:pPr>
        <w:pStyle w:val="AnnexNo"/>
        <w:rPr>
          <w:lang w:val="fr-CH"/>
        </w:rPr>
      </w:pPr>
      <w:r w:rsidRPr="00C21A6F">
        <w:rPr>
          <w:lang w:val="fr-CH"/>
        </w:rPr>
        <w:lastRenderedPageBreak/>
        <w:t>ANNEXE 1</w:t>
      </w:r>
    </w:p>
    <w:p w14:paraId="32C63D63" w14:textId="368FA32E" w:rsidR="00CF058C" w:rsidRPr="00C21A6F" w:rsidRDefault="003E3BF1" w:rsidP="0066183D">
      <w:pPr>
        <w:pStyle w:val="Annextitle"/>
        <w:rPr>
          <w:lang w:val="fr-CH"/>
        </w:rPr>
      </w:pPr>
      <w:r w:rsidRPr="00C21A6F">
        <w:rPr>
          <w:lang w:val="fr-CH"/>
        </w:rPr>
        <w:t>Résumé des discussions sur le r</w:t>
      </w:r>
      <w:r w:rsidR="00706F9E" w:rsidRPr="00C21A6F">
        <w:rPr>
          <w:lang w:val="fr-CH"/>
        </w:rPr>
        <w:t>ôle de l</w:t>
      </w:r>
      <w:r w:rsidR="0066183D" w:rsidRPr="00C21A6F">
        <w:rPr>
          <w:lang w:val="fr-CH"/>
        </w:rPr>
        <w:t>'</w:t>
      </w:r>
      <w:r w:rsidR="00706F9E" w:rsidRPr="00C21A6F">
        <w:rPr>
          <w:lang w:val="fr-CH"/>
        </w:rPr>
        <w:t>UIT en tant qu</w:t>
      </w:r>
      <w:r w:rsidR="0066183D" w:rsidRPr="00C21A6F">
        <w:rPr>
          <w:lang w:val="fr-CH"/>
        </w:rPr>
        <w:t>'</w:t>
      </w:r>
      <w:r w:rsidR="00706F9E" w:rsidRPr="00C21A6F">
        <w:rPr>
          <w:lang w:val="fr-CH"/>
        </w:rPr>
        <w:t>A</w:t>
      </w:r>
      <w:r w:rsidR="00F42451" w:rsidRPr="00C21A6F">
        <w:rPr>
          <w:lang w:val="fr-CH"/>
        </w:rPr>
        <w:t>utorité de surveillance du système international d</w:t>
      </w:r>
      <w:r w:rsidR="0066183D" w:rsidRPr="00C21A6F">
        <w:rPr>
          <w:lang w:val="fr-CH"/>
        </w:rPr>
        <w:t>'</w:t>
      </w:r>
      <w:r w:rsidR="00F42451" w:rsidRPr="00C21A6F">
        <w:rPr>
          <w:lang w:val="fr-CH"/>
        </w:rPr>
        <w:t xml:space="preserve">inscription pour les </w:t>
      </w:r>
      <w:r w:rsidR="00BD1CEE" w:rsidRPr="00C21A6F">
        <w:rPr>
          <w:lang w:val="fr-CH"/>
        </w:rPr>
        <w:t>biens spatiaux conformément au P</w:t>
      </w:r>
      <w:r w:rsidR="00F42451" w:rsidRPr="00C21A6F">
        <w:rPr>
          <w:lang w:val="fr-CH"/>
        </w:rPr>
        <w:t>rotocole portant sur les biens spatiaux</w:t>
      </w:r>
    </w:p>
    <w:p w14:paraId="7A2DDB20" w14:textId="77777777" w:rsidR="005A665B" w:rsidRPr="00C21A6F" w:rsidRDefault="005A665B" w:rsidP="0066183D">
      <w:pPr>
        <w:pStyle w:val="Heading1"/>
        <w:rPr>
          <w:rFonts w:cs="Segoe UI"/>
          <w:lang w:val="fr-CH"/>
        </w:rPr>
      </w:pPr>
      <w:r w:rsidRPr="00C21A6F">
        <w:rPr>
          <w:rFonts w:eastAsiaTheme="minorEastAsia"/>
          <w:lang w:val="fr-CH" w:eastAsia="zh-CN"/>
        </w:rPr>
        <w:t>1</w:t>
      </w:r>
      <w:r w:rsidRPr="00C21A6F">
        <w:rPr>
          <w:rFonts w:eastAsiaTheme="minorEastAsia"/>
          <w:lang w:val="fr-CH" w:eastAsia="zh-CN"/>
        </w:rPr>
        <w:tab/>
        <w:t xml:space="preserve">Session de 2011 du Conseil </w:t>
      </w:r>
    </w:p>
    <w:p w14:paraId="4C3C4480" w14:textId="6F705A74" w:rsidR="005A665B" w:rsidRPr="00C21A6F" w:rsidRDefault="005A665B" w:rsidP="0066183D">
      <w:pPr>
        <w:spacing w:after="120"/>
        <w:rPr>
          <w:rFonts w:asciiTheme="minorHAnsi" w:hAnsiTheme="minorHAnsi"/>
          <w:szCs w:val="24"/>
          <w:lang w:val="fr-CH"/>
        </w:rPr>
      </w:pPr>
      <w:r w:rsidRPr="00C21A6F">
        <w:rPr>
          <w:rFonts w:asciiTheme="minorHAnsi" w:hAnsiTheme="minorHAnsi" w:cs="Segoe UI"/>
          <w:szCs w:val="24"/>
          <w:lang w:val="fr-CH"/>
        </w:rPr>
        <w:t>1.1</w:t>
      </w:r>
      <w:r w:rsidRPr="00C21A6F">
        <w:rPr>
          <w:rFonts w:asciiTheme="minorHAnsi" w:hAnsiTheme="minorHAnsi" w:cs="Segoe UI"/>
          <w:szCs w:val="24"/>
          <w:lang w:val="fr-CH"/>
        </w:rPr>
        <w:tab/>
        <w:t>La question du rôle de l</w:t>
      </w:r>
      <w:r w:rsidR="0066183D" w:rsidRPr="00C21A6F">
        <w:rPr>
          <w:rFonts w:asciiTheme="minorHAnsi" w:hAnsiTheme="minorHAnsi" w:cs="Segoe UI"/>
          <w:szCs w:val="24"/>
          <w:lang w:val="fr-CH"/>
        </w:rPr>
        <w:t>'</w:t>
      </w:r>
      <w:r w:rsidRPr="00C21A6F">
        <w:rPr>
          <w:rFonts w:asciiTheme="minorHAnsi" w:hAnsiTheme="minorHAnsi" w:cs="Segoe UI"/>
          <w:szCs w:val="24"/>
          <w:lang w:val="fr-CH"/>
        </w:rPr>
        <w:t>UIT en tant qu</w:t>
      </w:r>
      <w:r w:rsidR="0066183D" w:rsidRPr="00C21A6F">
        <w:rPr>
          <w:rFonts w:asciiTheme="minorHAnsi" w:hAnsiTheme="minorHAnsi" w:cs="Segoe UI"/>
          <w:szCs w:val="24"/>
          <w:lang w:val="fr-CH"/>
        </w:rPr>
        <w:t>'</w:t>
      </w:r>
      <w:r w:rsidRPr="00C21A6F">
        <w:rPr>
          <w:rFonts w:asciiTheme="minorHAnsi" w:hAnsiTheme="minorHAnsi" w:cs="Segoe UI"/>
          <w:szCs w:val="24"/>
          <w:lang w:val="fr-CH"/>
        </w:rPr>
        <w:t xml:space="preserve">Autorité </w:t>
      </w:r>
      <w:r w:rsidRPr="00C21A6F">
        <w:rPr>
          <w:rFonts w:asciiTheme="minorHAnsi" w:hAnsiTheme="minorHAnsi"/>
          <w:szCs w:val="24"/>
          <w:lang w:val="fr-CH"/>
        </w:rPr>
        <w:t>de surveillance du futur système international d</w:t>
      </w:r>
      <w:r w:rsidR="0066183D" w:rsidRPr="00C21A6F">
        <w:rPr>
          <w:rFonts w:asciiTheme="minorHAnsi" w:hAnsiTheme="minorHAnsi"/>
          <w:szCs w:val="24"/>
          <w:lang w:val="fr-CH"/>
        </w:rPr>
        <w:t>'</w:t>
      </w:r>
      <w:r w:rsidRPr="00C21A6F">
        <w:rPr>
          <w:rFonts w:asciiTheme="minorHAnsi" w:hAnsiTheme="minorHAnsi"/>
          <w:szCs w:val="24"/>
          <w:lang w:val="fr-CH"/>
        </w:rPr>
        <w:t xml:space="preserve">inscription pour les biens spatiaux conformément au Protocole portant sur les biens spatiaux a été examinée pour la première fois à la session de 2011 du Conseil. </w:t>
      </w:r>
      <w:r w:rsidRPr="00C21A6F">
        <w:rPr>
          <w:rFonts w:asciiTheme="minorHAnsi" w:hAnsiTheme="minorHAnsi" w:cs="Segoe UI"/>
          <w:szCs w:val="24"/>
          <w:lang w:val="fr-CH"/>
        </w:rPr>
        <w:t>Le Secrétaire général a déclaré que l</w:t>
      </w:r>
      <w:r w:rsidR="0066183D" w:rsidRPr="00C21A6F">
        <w:rPr>
          <w:rFonts w:asciiTheme="minorHAnsi" w:hAnsiTheme="minorHAnsi" w:cs="Segoe UI"/>
          <w:szCs w:val="24"/>
          <w:lang w:val="fr-CH"/>
        </w:rPr>
        <w:t>'</w:t>
      </w:r>
      <w:r w:rsidRPr="00C21A6F">
        <w:rPr>
          <w:rFonts w:asciiTheme="minorHAnsi" w:hAnsiTheme="minorHAnsi" w:cs="Segoe UI"/>
          <w:szCs w:val="24"/>
          <w:lang w:val="fr-CH"/>
        </w:rPr>
        <w:t>adoption de ce Protocole devrait marquer une étape importante pour le secteur et n</w:t>
      </w:r>
      <w:r w:rsidR="0066183D" w:rsidRPr="00C21A6F">
        <w:rPr>
          <w:rFonts w:asciiTheme="minorHAnsi" w:hAnsiTheme="minorHAnsi" w:cs="Segoe UI"/>
          <w:szCs w:val="24"/>
          <w:lang w:val="fr-CH"/>
        </w:rPr>
        <w:t>'</w:t>
      </w:r>
      <w:r w:rsidRPr="00C21A6F">
        <w:rPr>
          <w:rFonts w:asciiTheme="minorHAnsi" w:hAnsiTheme="minorHAnsi" w:cs="Segoe UI"/>
          <w:szCs w:val="24"/>
          <w:lang w:val="fr-CH"/>
        </w:rPr>
        <w:t>aurait pas d</w:t>
      </w:r>
      <w:r w:rsidR="0066183D" w:rsidRPr="00C21A6F">
        <w:rPr>
          <w:rFonts w:asciiTheme="minorHAnsi" w:hAnsiTheme="minorHAnsi" w:cs="Segoe UI"/>
          <w:szCs w:val="24"/>
          <w:lang w:val="fr-CH"/>
        </w:rPr>
        <w:t>'</w:t>
      </w:r>
      <w:r w:rsidRPr="00C21A6F">
        <w:rPr>
          <w:rFonts w:asciiTheme="minorHAnsi" w:hAnsiTheme="minorHAnsi" w:cs="Segoe UI"/>
          <w:szCs w:val="24"/>
          <w:lang w:val="fr-CH"/>
        </w:rPr>
        <w:t>incidences financières pour l</w:t>
      </w:r>
      <w:r w:rsidR="0066183D" w:rsidRPr="00C21A6F">
        <w:rPr>
          <w:rFonts w:asciiTheme="minorHAnsi" w:hAnsiTheme="minorHAnsi" w:cs="Segoe UI"/>
          <w:szCs w:val="24"/>
          <w:lang w:val="fr-CH"/>
        </w:rPr>
        <w:t>'</w:t>
      </w:r>
      <w:r w:rsidRPr="00C21A6F">
        <w:rPr>
          <w:rFonts w:asciiTheme="minorHAnsi" w:hAnsiTheme="minorHAnsi" w:cs="Segoe UI"/>
          <w:szCs w:val="24"/>
          <w:lang w:val="fr-CH"/>
        </w:rPr>
        <w:t>Autorité de surveillance, étant donné que le financement de cette dernière proviendrait des droits versés au Registre international. Il a encouragé les Conseillers à ne pas laisser passer cette occasion pour l</w:t>
      </w:r>
      <w:r w:rsidR="0066183D" w:rsidRPr="00C21A6F">
        <w:rPr>
          <w:rFonts w:asciiTheme="minorHAnsi" w:hAnsiTheme="minorHAnsi" w:cs="Segoe UI"/>
          <w:szCs w:val="24"/>
          <w:lang w:val="fr-CH"/>
        </w:rPr>
        <w:t>'</w:t>
      </w:r>
      <w:r w:rsidRPr="00C21A6F">
        <w:rPr>
          <w:rFonts w:asciiTheme="minorHAnsi" w:hAnsiTheme="minorHAnsi" w:cs="Segoe UI"/>
          <w:szCs w:val="24"/>
          <w:lang w:val="fr-CH"/>
        </w:rPr>
        <w:t>UIT d</w:t>
      </w:r>
      <w:r w:rsidR="0066183D" w:rsidRPr="00C21A6F">
        <w:rPr>
          <w:rFonts w:asciiTheme="minorHAnsi" w:hAnsiTheme="minorHAnsi" w:cs="Segoe UI"/>
          <w:szCs w:val="24"/>
          <w:lang w:val="fr-CH"/>
        </w:rPr>
        <w:t>'</w:t>
      </w:r>
      <w:r w:rsidRPr="00C21A6F">
        <w:rPr>
          <w:rFonts w:asciiTheme="minorHAnsi" w:hAnsiTheme="minorHAnsi" w:cs="Segoe UI"/>
          <w:szCs w:val="24"/>
          <w:lang w:val="fr-CH"/>
        </w:rPr>
        <w:t>assumer ces fonctions</w:t>
      </w:r>
      <w:r w:rsidR="009856C6" w:rsidRPr="00C21A6F">
        <w:rPr>
          <w:rFonts w:asciiTheme="minorHAnsi" w:hAnsiTheme="minorHAnsi" w:cs="Segoe UI"/>
          <w:szCs w:val="24"/>
          <w:lang w:val="fr-CH"/>
        </w:rPr>
        <w:t>.</w:t>
      </w:r>
    </w:p>
    <w:p w14:paraId="3F1CAF4D" w14:textId="2BB46685" w:rsidR="005A665B" w:rsidRPr="00C21A6F" w:rsidRDefault="005A665B" w:rsidP="0066183D">
      <w:pPr>
        <w:rPr>
          <w:lang w:val="fr-CH"/>
        </w:rPr>
      </w:pPr>
      <w:r w:rsidRPr="00C21A6F">
        <w:rPr>
          <w:lang w:val="fr-CH"/>
        </w:rPr>
        <w:t>1.2</w:t>
      </w:r>
      <w:r w:rsidRPr="00C21A6F">
        <w:rPr>
          <w:lang w:val="fr-CH"/>
        </w:rPr>
        <w:tab/>
        <w:t>A sa session de 2011, le Conseil a principalement examiné le domaine de compétence et les obligations de l</w:t>
      </w:r>
      <w:r w:rsidR="0066183D" w:rsidRPr="00C21A6F">
        <w:rPr>
          <w:lang w:val="fr-CH"/>
        </w:rPr>
        <w:t>'</w:t>
      </w:r>
      <w:r w:rsidRPr="00C21A6F">
        <w:rPr>
          <w:lang w:val="fr-CH"/>
        </w:rPr>
        <w:t>Autorité de surveillance, ainsi que la portée et la définition du contrôle exercé, des contentieux, des responsabilités, du règlement des litiges, des incidences financières, de l</w:t>
      </w:r>
      <w:r w:rsidR="0066183D" w:rsidRPr="00C21A6F">
        <w:rPr>
          <w:lang w:val="fr-CH"/>
        </w:rPr>
        <w:t>'</w:t>
      </w:r>
      <w:r w:rsidRPr="00C21A6F">
        <w:rPr>
          <w:lang w:val="fr-CH"/>
        </w:rPr>
        <w:t xml:space="preserve">obligation de rendre compte et de la responsabilité. Les questions soulevées par les Etats Membres ont été examinées pendant la session du Conseil et la Conférence tenue à Berlin en 2012 devait permettre de clarifier certains problèmes. </w:t>
      </w:r>
    </w:p>
    <w:p w14:paraId="4A7DFDC8" w14:textId="7980FA55" w:rsidR="005A665B" w:rsidRPr="00C21A6F" w:rsidRDefault="005A665B" w:rsidP="0066183D">
      <w:pPr>
        <w:rPr>
          <w:lang w:val="fr-CH"/>
        </w:rPr>
      </w:pPr>
      <w:r w:rsidRPr="00C21A6F">
        <w:rPr>
          <w:lang w:val="fr-CH"/>
        </w:rPr>
        <w:t>1.3</w:t>
      </w:r>
      <w:r w:rsidRPr="00C21A6F">
        <w:rPr>
          <w:lang w:val="fr-CH"/>
        </w:rPr>
        <w:tab/>
        <w:t>Le Conseil a décidé d</w:t>
      </w:r>
      <w:r w:rsidR="0066183D" w:rsidRPr="00C21A6F">
        <w:rPr>
          <w:lang w:val="fr-CH"/>
        </w:rPr>
        <w:t>'</w:t>
      </w:r>
      <w:r w:rsidRPr="00C21A6F">
        <w:rPr>
          <w:lang w:val="fr-CH"/>
        </w:rPr>
        <w:t>autoriser le Secrétaire général à participer, en qualité d</w:t>
      </w:r>
      <w:r w:rsidR="0066183D" w:rsidRPr="00C21A6F">
        <w:rPr>
          <w:lang w:val="fr-CH"/>
        </w:rPr>
        <w:t>'</w:t>
      </w:r>
      <w:r w:rsidRPr="00C21A6F">
        <w:rPr>
          <w:lang w:val="fr-CH"/>
        </w:rPr>
        <w:t>observateur, à la Conférence de Berlin et qu</w:t>
      </w:r>
      <w:r w:rsidR="0066183D" w:rsidRPr="00C21A6F">
        <w:rPr>
          <w:lang w:val="fr-CH"/>
        </w:rPr>
        <w:t>'</w:t>
      </w:r>
      <w:r w:rsidRPr="00C21A6F">
        <w:rPr>
          <w:lang w:val="fr-CH"/>
        </w:rPr>
        <w:t>il n</w:t>
      </w:r>
      <w:r w:rsidR="0066183D" w:rsidRPr="00C21A6F">
        <w:rPr>
          <w:lang w:val="fr-CH"/>
        </w:rPr>
        <w:t>'</w:t>
      </w:r>
      <w:r w:rsidRPr="00C21A6F">
        <w:rPr>
          <w:lang w:val="fr-CH"/>
        </w:rPr>
        <w:t>y avait pas lieu de préjuger la question de savoir si l</w:t>
      </w:r>
      <w:r w:rsidR="0066183D" w:rsidRPr="00C21A6F">
        <w:rPr>
          <w:lang w:val="fr-CH"/>
        </w:rPr>
        <w:t>'</w:t>
      </w:r>
      <w:r w:rsidRPr="00C21A6F">
        <w:rPr>
          <w:lang w:val="fr-CH"/>
        </w:rPr>
        <w:t>UIT pourrait ou non être l</w:t>
      </w:r>
      <w:r w:rsidR="0066183D" w:rsidRPr="00C21A6F">
        <w:rPr>
          <w:lang w:val="fr-CH"/>
        </w:rPr>
        <w:t>'</w:t>
      </w:r>
      <w:r w:rsidRPr="00C21A6F">
        <w:rPr>
          <w:lang w:val="fr-CH"/>
        </w:rPr>
        <w:t>Autorité de surveillance, mais que le Secrétaire général de l</w:t>
      </w:r>
      <w:r w:rsidR="0066183D" w:rsidRPr="00C21A6F">
        <w:rPr>
          <w:lang w:val="fr-CH"/>
        </w:rPr>
        <w:t>'</w:t>
      </w:r>
      <w:r w:rsidRPr="00C21A6F">
        <w:rPr>
          <w:lang w:val="fr-CH"/>
        </w:rPr>
        <w:t>UIT pourrait continuer d</w:t>
      </w:r>
      <w:r w:rsidR="0066183D" w:rsidRPr="00C21A6F">
        <w:rPr>
          <w:lang w:val="fr-CH"/>
        </w:rPr>
        <w:t>'</w:t>
      </w:r>
      <w:r w:rsidRPr="00C21A6F">
        <w:rPr>
          <w:lang w:val="fr-CH"/>
        </w:rPr>
        <w:t>exprimer l</w:t>
      </w:r>
      <w:r w:rsidR="0066183D" w:rsidRPr="00C21A6F">
        <w:rPr>
          <w:lang w:val="fr-CH"/>
        </w:rPr>
        <w:t>'</w:t>
      </w:r>
      <w:r w:rsidRPr="00C21A6F">
        <w:rPr>
          <w:lang w:val="fr-CH"/>
        </w:rPr>
        <w:t>intérêt de l</w:t>
      </w:r>
      <w:r w:rsidR="0066183D" w:rsidRPr="00C21A6F">
        <w:rPr>
          <w:lang w:val="fr-CH"/>
        </w:rPr>
        <w:t>'</w:t>
      </w:r>
      <w:r w:rsidRPr="00C21A6F">
        <w:rPr>
          <w:lang w:val="fr-CH"/>
        </w:rPr>
        <w:t xml:space="preserve">Union (voir le Document </w:t>
      </w:r>
      <w:hyperlink r:id="rId54" w:history="1">
        <w:r w:rsidRPr="00C21A6F">
          <w:rPr>
            <w:rStyle w:val="Hyperlink"/>
            <w:rFonts w:asciiTheme="minorHAnsi" w:hAnsiTheme="minorHAnsi" w:cs="Segoe UI"/>
            <w:szCs w:val="24"/>
            <w:lang w:val="fr-CH"/>
          </w:rPr>
          <w:t>C11/100(Rév.1)</w:t>
        </w:r>
      </w:hyperlink>
      <w:r w:rsidRPr="00C21A6F">
        <w:rPr>
          <w:lang w:val="fr-CH"/>
        </w:rPr>
        <w:t>). Le Secrétaire général ferait rapport au Conseil à sa session de 2012, qui examinerait de nouveau la question à la lumière des résultats de la Conférence diplomatique, en tenant compte des incidences financières, juridiques et techniques.</w:t>
      </w:r>
    </w:p>
    <w:p w14:paraId="5E7DAF35" w14:textId="77777777" w:rsidR="005A665B" w:rsidRPr="00C21A6F" w:rsidRDefault="005A665B" w:rsidP="0066183D">
      <w:pPr>
        <w:pStyle w:val="Heading1"/>
        <w:rPr>
          <w:rFonts w:eastAsiaTheme="minorEastAsia"/>
          <w:lang w:val="fr-CH" w:eastAsia="zh-CN"/>
        </w:rPr>
      </w:pPr>
      <w:r w:rsidRPr="00C21A6F">
        <w:rPr>
          <w:rFonts w:eastAsiaTheme="minorEastAsia"/>
          <w:lang w:val="fr-CH" w:eastAsia="zh-CN"/>
        </w:rPr>
        <w:t>2</w:t>
      </w:r>
      <w:r w:rsidRPr="00C21A6F">
        <w:rPr>
          <w:rFonts w:eastAsiaTheme="minorEastAsia"/>
          <w:lang w:val="fr-CH" w:eastAsia="zh-CN"/>
        </w:rPr>
        <w:tab/>
        <w:t>Conférence diplomatique (Berlin, 27 février - 9 mars 2012)</w:t>
      </w:r>
    </w:p>
    <w:p w14:paraId="16B75E05" w14:textId="2EF948CE" w:rsidR="005A665B" w:rsidRPr="00C21A6F" w:rsidRDefault="005A665B" w:rsidP="0066183D">
      <w:pPr>
        <w:rPr>
          <w:lang w:val="fr-CH"/>
        </w:rPr>
      </w:pPr>
      <w:r w:rsidRPr="00C21A6F">
        <w:rPr>
          <w:lang w:val="fr-CH" w:eastAsia="es-ES"/>
        </w:rPr>
        <w:t>2.1</w:t>
      </w:r>
      <w:r w:rsidRPr="00C21A6F">
        <w:rPr>
          <w:lang w:val="fr-CH" w:eastAsia="es-ES"/>
        </w:rPr>
        <w:tab/>
        <w:t>La Conférence diplomatique</w:t>
      </w:r>
      <w:r w:rsidRPr="00C21A6F">
        <w:rPr>
          <w:lang w:val="fr-CH"/>
        </w:rPr>
        <w:t xml:space="preserve"> pour l</w:t>
      </w:r>
      <w:r w:rsidR="0066183D" w:rsidRPr="00C21A6F">
        <w:rPr>
          <w:lang w:val="fr-CH"/>
        </w:rPr>
        <w:t>'</w:t>
      </w:r>
      <w:r w:rsidRPr="00C21A6F">
        <w:rPr>
          <w:lang w:val="fr-CH"/>
        </w:rPr>
        <w:t>adoption d</w:t>
      </w:r>
      <w:r w:rsidR="0066183D" w:rsidRPr="00C21A6F">
        <w:rPr>
          <w:lang w:val="fr-CH"/>
        </w:rPr>
        <w:t>'</w:t>
      </w:r>
      <w:r w:rsidRPr="00C21A6F">
        <w:rPr>
          <w:lang w:val="fr-CH"/>
        </w:rPr>
        <w:t>un Protocole portant sur les questions spécifiques aux biens spatiaux à la Convention relative aux garanties internationales portant sur des matériels d</w:t>
      </w:r>
      <w:r w:rsidR="0066183D" w:rsidRPr="00C21A6F">
        <w:rPr>
          <w:lang w:val="fr-CH"/>
        </w:rPr>
        <w:t>'</w:t>
      </w:r>
      <w:r w:rsidRPr="00C21A6F">
        <w:rPr>
          <w:lang w:val="fr-CH"/>
        </w:rPr>
        <w:t>équipement mobiles s</w:t>
      </w:r>
      <w:r w:rsidR="0066183D" w:rsidRPr="00C21A6F">
        <w:rPr>
          <w:lang w:val="fr-CH"/>
        </w:rPr>
        <w:t>'</w:t>
      </w:r>
      <w:r w:rsidRPr="00C21A6F">
        <w:rPr>
          <w:lang w:val="fr-CH"/>
        </w:rPr>
        <w:t>est tenue à Berlin du 27 février au 9 mars 2012, sous les auspices d</w:t>
      </w:r>
      <w:r w:rsidR="0066183D" w:rsidRPr="00C21A6F">
        <w:rPr>
          <w:lang w:val="fr-CH"/>
        </w:rPr>
        <w:t>'</w:t>
      </w:r>
      <w:r w:rsidRPr="00C21A6F">
        <w:rPr>
          <w:lang w:val="fr-CH"/>
        </w:rPr>
        <w:t>UNIDROIT</w:t>
      </w:r>
      <w:r w:rsidRPr="00C21A6F">
        <w:rPr>
          <w:rStyle w:val="FootnoteReference"/>
          <w:color w:val="000000"/>
          <w:lang w:val="fr-CH"/>
        </w:rPr>
        <w:footnoteReference w:id="1"/>
      </w:r>
      <w:r w:rsidRPr="00C21A6F">
        <w:rPr>
          <w:lang w:val="fr-CH"/>
        </w:rPr>
        <w:t>, à l</w:t>
      </w:r>
      <w:r w:rsidR="0066183D" w:rsidRPr="00C21A6F">
        <w:rPr>
          <w:lang w:val="fr-CH"/>
        </w:rPr>
        <w:t>'</w:t>
      </w:r>
      <w:r w:rsidRPr="00C21A6F">
        <w:rPr>
          <w:lang w:val="fr-CH"/>
        </w:rPr>
        <w:t>invitation du Gouvernement de la République fédérale d</w:t>
      </w:r>
      <w:r w:rsidR="0066183D" w:rsidRPr="00C21A6F">
        <w:rPr>
          <w:lang w:val="fr-CH"/>
        </w:rPr>
        <w:t>'</w:t>
      </w:r>
      <w:r w:rsidRPr="00C21A6F">
        <w:rPr>
          <w:lang w:val="fr-CH"/>
        </w:rPr>
        <w:t>Allemagne. Des représentants de quarante Etats et dix organisations internationales, dont l</w:t>
      </w:r>
      <w:r w:rsidR="0066183D" w:rsidRPr="00C21A6F">
        <w:rPr>
          <w:lang w:val="fr-CH"/>
        </w:rPr>
        <w:t>'</w:t>
      </w:r>
      <w:r w:rsidRPr="00C21A6F">
        <w:rPr>
          <w:lang w:val="fr-CH"/>
        </w:rPr>
        <w:t>UIT, ont participé à la Conférence diplomatique.</w:t>
      </w:r>
    </w:p>
    <w:p w14:paraId="139EB086" w14:textId="34BDAB5E" w:rsidR="005A665B" w:rsidRPr="00C21A6F" w:rsidRDefault="005A665B" w:rsidP="0066183D">
      <w:pPr>
        <w:rPr>
          <w:lang w:val="fr-CH"/>
        </w:rPr>
      </w:pPr>
      <w:r w:rsidRPr="00C21A6F">
        <w:rPr>
          <w:lang w:val="fr-CH"/>
        </w:rPr>
        <w:lastRenderedPageBreak/>
        <w:t>2.2</w:t>
      </w:r>
      <w:r w:rsidRPr="00C21A6F">
        <w:rPr>
          <w:lang w:val="fr-CH"/>
        </w:rPr>
        <w:tab/>
        <w:t xml:space="preserve">La Conférence a adopté le texte du </w:t>
      </w:r>
      <w:hyperlink r:id="rId55" w:history="1">
        <w:r w:rsidRPr="00C21A6F">
          <w:rPr>
            <w:rStyle w:val="Hyperlink"/>
            <w:lang w:val="fr-CH"/>
          </w:rPr>
          <w:t>Protocole portant sur les questions spécifiques aux biens spatiaux à la Convention relative aux garanties internationales portant sur des matériels d</w:t>
        </w:r>
        <w:r w:rsidR="0066183D" w:rsidRPr="00C21A6F">
          <w:rPr>
            <w:rStyle w:val="Hyperlink"/>
            <w:lang w:val="fr-CH"/>
          </w:rPr>
          <w:t>'</w:t>
        </w:r>
        <w:r w:rsidRPr="00C21A6F">
          <w:rPr>
            <w:rStyle w:val="Hyperlink"/>
            <w:lang w:val="fr-CH"/>
          </w:rPr>
          <w:t>équipement mobiles</w:t>
        </w:r>
      </w:hyperlink>
      <w:r w:rsidRPr="00C21A6F">
        <w:rPr>
          <w:i/>
          <w:iCs/>
          <w:lang w:val="fr-CH"/>
        </w:rPr>
        <w:t xml:space="preserve"> </w:t>
      </w:r>
      <w:r w:rsidRPr="00C21A6F">
        <w:rPr>
          <w:lang w:val="fr-CH"/>
        </w:rPr>
        <w:t>(</w:t>
      </w:r>
      <w:hyperlink r:id="rId56" w:history="1">
        <w:r w:rsidRPr="00C21A6F">
          <w:rPr>
            <w:lang w:val="fr-CH"/>
          </w:rPr>
          <w:t>Protocole portant sur les biens spatiaux</w:t>
        </w:r>
      </w:hyperlink>
      <w:r w:rsidRPr="00C21A6F">
        <w:rPr>
          <w:lang w:val="fr-CH"/>
        </w:rPr>
        <w:t xml:space="preserve">) et a de plus adopté par consensus cinq Résolutions, qui figurent dans des annexes de </w:t>
      </w:r>
      <w:hyperlink r:id="rId57" w:history="1">
        <w:r w:rsidRPr="00C21A6F">
          <w:rPr>
            <w:rStyle w:val="Hyperlink"/>
            <w:lang w:val="fr-CH"/>
          </w:rPr>
          <w:t>l</w:t>
        </w:r>
        <w:r w:rsidR="0066183D" w:rsidRPr="00C21A6F">
          <w:rPr>
            <w:rStyle w:val="Hyperlink"/>
            <w:lang w:val="fr-CH"/>
          </w:rPr>
          <w:t>'</w:t>
        </w:r>
        <w:r w:rsidRPr="00C21A6F">
          <w:rPr>
            <w:rStyle w:val="Hyperlink"/>
            <w:lang w:val="fr-CH"/>
          </w:rPr>
          <w:t>Acte final de la Conférence diplomatique</w:t>
        </w:r>
      </w:hyperlink>
      <w:r w:rsidRPr="00C21A6F">
        <w:rPr>
          <w:lang w:val="fr-CH"/>
        </w:rPr>
        <w:t xml:space="preserve">. </w:t>
      </w:r>
    </w:p>
    <w:p w14:paraId="49E6BBD4" w14:textId="6EA9B1E9" w:rsidR="005A665B" w:rsidRPr="00C21A6F" w:rsidRDefault="005A665B" w:rsidP="0066183D">
      <w:pPr>
        <w:rPr>
          <w:lang w:val="fr-CH"/>
        </w:rPr>
      </w:pPr>
      <w:r w:rsidRPr="00C21A6F">
        <w:rPr>
          <w:lang w:val="fr-CH"/>
        </w:rPr>
        <w:t>2.3</w:t>
      </w:r>
      <w:r w:rsidRPr="00C21A6F">
        <w:rPr>
          <w:lang w:val="fr-CH"/>
        </w:rPr>
        <w:tab/>
        <w:t>Ainsi qu</w:t>
      </w:r>
      <w:r w:rsidR="0066183D" w:rsidRPr="00C21A6F">
        <w:rPr>
          <w:lang w:val="fr-CH"/>
        </w:rPr>
        <w:t>'</w:t>
      </w:r>
      <w:r w:rsidRPr="00C21A6F">
        <w:rPr>
          <w:lang w:val="fr-CH"/>
        </w:rPr>
        <w:t>il en avait été chargé par le Conseil à sa session de 2011, l</w:t>
      </w:r>
      <w:r w:rsidR="0066183D" w:rsidRPr="00C21A6F">
        <w:rPr>
          <w:lang w:val="fr-CH"/>
        </w:rPr>
        <w:t>'</w:t>
      </w:r>
      <w:r w:rsidRPr="00C21A6F">
        <w:rPr>
          <w:lang w:val="fr-CH"/>
        </w:rPr>
        <w:t>observateur représentant le Secrétaire général de l</w:t>
      </w:r>
      <w:r w:rsidR="0066183D" w:rsidRPr="00C21A6F">
        <w:rPr>
          <w:lang w:val="fr-CH"/>
        </w:rPr>
        <w:t>'</w:t>
      </w:r>
      <w:r w:rsidRPr="00C21A6F">
        <w:rPr>
          <w:lang w:val="fr-CH"/>
        </w:rPr>
        <w:t>UIT a exprimé l</w:t>
      </w:r>
      <w:r w:rsidR="0066183D" w:rsidRPr="00C21A6F">
        <w:rPr>
          <w:lang w:val="fr-CH"/>
        </w:rPr>
        <w:t>'</w:t>
      </w:r>
      <w:r w:rsidRPr="00C21A6F">
        <w:rPr>
          <w:lang w:val="fr-CH"/>
        </w:rPr>
        <w:t>intérêt de l</w:t>
      </w:r>
      <w:r w:rsidR="0066183D" w:rsidRPr="00C21A6F">
        <w:rPr>
          <w:lang w:val="fr-CH"/>
        </w:rPr>
        <w:t>'</w:t>
      </w:r>
      <w:r w:rsidRPr="00C21A6F">
        <w:rPr>
          <w:lang w:val="fr-CH"/>
        </w:rPr>
        <w:t>Union pour que cette organisation exerce les fonctions d</w:t>
      </w:r>
      <w:r w:rsidR="0066183D" w:rsidRPr="00C21A6F">
        <w:rPr>
          <w:lang w:val="fr-CH"/>
        </w:rPr>
        <w:t>'</w:t>
      </w:r>
      <w:r w:rsidRPr="00C21A6F">
        <w:rPr>
          <w:lang w:val="fr-CH"/>
        </w:rPr>
        <w:t>Autorité de surveillance du Registre international pour les biens spatiaux, sous réserve de l</w:t>
      </w:r>
      <w:r w:rsidR="0066183D" w:rsidRPr="00C21A6F">
        <w:rPr>
          <w:lang w:val="fr-CH"/>
        </w:rPr>
        <w:t>'</w:t>
      </w:r>
      <w:r w:rsidRPr="00C21A6F">
        <w:rPr>
          <w:lang w:val="fr-CH"/>
        </w:rPr>
        <w:t>examen de la question par les organes directeurs de l</w:t>
      </w:r>
      <w:r w:rsidR="0066183D" w:rsidRPr="00C21A6F">
        <w:rPr>
          <w:lang w:val="fr-CH"/>
        </w:rPr>
        <w:t>'</w:t>
      </w:r>
      <w:r w:rsidRPr="00C21A6F">
        <w:rPr>
          <w:lang w:val="fr-CH"/>
        </w:rPr>
        <w:t>UIT et sans préjudice de la décision qu</w:t>
      </w:r>
      <w:r w:rsidR="0066183D" w:rsidRPr="00C21A6F">
        <w:rPr>
          <w:lang w:val="fr-CH"/>
        </w:rPr>
        <w:t>'</w:t>
      </w:r>
      <w:r w:rsidRPr="00C21A6F">
        <w:rPr>
          <w:lang w:val="fr-CH"/>
        </w:rPr>
        <w:t>ils prendront à cet égard, à la lumière des résultats de la Conférence, compte tenu des incidences financières, juridiques et techniques d</w:t>
      </w:r>
      <w:r w:rsidR="0066183D" w:rsidRPr="00C21A6F">
        <w:rPr>
          <w:lang w:val="fr-CH"/>
        </w:rPr>
        <w:t>'</w:t>
      </w:r>
      <w:r w:rsidRPr="00C21A6F">
        <w:rPr>
          <w:lang w:val="fr-CH"/>
        </w:rPr>
        <w:t xml:space="preserve">une telle décision. </w:t>
      </w:r>
    </w:p>
    <w:p w14:paraId="33C081DE" w14:textId="1DE0F735" w:rsidR="005A665B" w:rsidRPr="00C21A6F" w:rsidRDefault="005A665B" w:rsidP="0066183D">
      <w:pPr>
        <w:rPr>
          <w:lang w:val="fr-CH"/>
        </w:rPr>
      </w:pPr>
      <w:r w:rsidRPr="00C21A6F">
        <w:rPr>
          <w:lang w:val="fr-CH"/>
        </w:rPr>
        <w:t>2.4</w:t>
      </w:r>
      <w:r w:rsidRPr="00C21A6F">
        <w:rPr>
          <w:lang w:val="fr-CH"/>
        </w:rPr>
        <w:tab/>
        <w:t xml:space="preserve">La Conférence a adopté la </w:t>
      </w:r>
      <w:hyperlink r:id="rId58" w:history="1">
        <w:r w:rsidRPr="00C21A6F">
          <w:rPr>
            <w:rStyle w:val="Hyperlink"/>
            <w:lang w:val="fr-CH"/>
          </w:rPr>
          <w:t>Résolution 1</w:t>
        </w:r>
      </w:hyperlink>
      <w:r w:rsidRPr="00C21A6F">
        <w:rPr>
          <w:lang w:val="fr-CH"/>
        </w:rPr>
        <w:t xml:space="preserve"> concernant l</w:t>
      </w:r>
      <w:r w:rsidR="0066183D" w:rsidRPr="00C21A6F">
        <w:rPr>
          <w:lang w:val="fr-CH"/>
        </w:rPr>
        <w:t>'</w:t>
      </w:r>
      <w:r w:rsidRPr="00C21A6F">
        <w:rPr>
          <w:lang w:val="fr-CH"/>
        </w:rPr>
        <w:t>établissement de la Commission préparatoire et du Registre international pour les biens spatiaux</w:t>
      </w:r>
      <w:r w:rsidRPr="00C21A6F">
        <w:rPr>
          <w:b/>
          <w:lang w:val="fr-CH"/>
        </w:rPr>
        <w:t>,</w:t>
      </w:r>
      <w:r w:rsidRPr="00C21A6F">
        <w:rPr>
          <w:lang w:val="fr-CH"/>
        </w:rPr>
        <w:t xml:space="preserve"> par laquelle il a été décidé "d</w:t>
      </w:r>
      <w:r w:rsidR="0066183D" w:rsidRPr="00C21A6F">
        <w:rPr>
          <w:lang w:val="fr-CH"/>
        </w:rPr>
        <w:t>'</w:t>
      </w:r>
      <w:r w:rsidRPr="00C21A6F">
        <w:rPr>
          <w:lang w:val="fr-CH"/>
        </w:rPr>
        <w:t>établir, en attendant l</w:t>
      </w:r>
      <w:r w:rsidR="0066183D" w:rsidRPr="00C21A6F">
        <w:rPr>
          <w:lang w:val="fr-CH"/>
        </w:rPr>
        <w:t>'</w:t>
      </w:r>
      <w:r w:rsidRPr="00C21A6F">
        <w:rPr>
          <w:lang w:val="fr-CH"/>
        </w:rPr>
        <w:t>entrée en vigueur du Protocole, une Commission préparatoire investie de tous les pouvoirs nécessaires pour faire fonction d</w:t>
      </w:r>
      <w:r w:rsidR="0066183D" w:rsidRPr="00C21A6F">
        <w:rPr>
          <w:lang w:val="fr-CH"/>
        </w:rPr>
        <w:t>'</w:t>
      </w:r>
      <w:r w:rsidRPr="00C21A6F">
        <w:rPr>
          <w:lang w:val="fr-CH"/>
        </w:rPr>
        <w:t>Autorité provisoire de surveillance pour l</w:t>
      </w:r>
      <w:r w:rsidR="0066183D" w:rsidRPr="00C21A6F">
        <w:rPr>
          <w:lang w:val="fr-CH"/>
        </w:rPr>
        <w:t>'</w:t>
      </w:r>
      <w:r w:rsidRPr="00C21A6F">
        <w:rPr>
          <w:lang w:val="fr-CH"/>
        </w:rPr>
        <w:t>établissement du Registre international pour les biens spatiaux, sous la direction de l</w:t>
      </w:r>
      <w:r w:rsidR="0066183D" w:rsidRPr="00C21A6F">
        <w:rPr>
          <w:lang w:val="fr-CH"/>
        </w:rPr>
        <w:t>'</w:t>
      </w:r>
      <w:r w:rsidRPr="00C21A6F">
        <w:rPr>
          <w:lang w:val="fr-CH"/>
        </w:rPr>
        <w:t>Assemblée générale d</w:t>
      </w:r>
      <w:r w:rsidR="0066183D" w:rsidRPr="00C21A6F">
        <w:rPr>
          <w:lang w:val="fr-CH"/>
        </w:rPr>
        <w:t>'</w:t>
      </w:r>
      <w:r w:rsidRPr="00C21A6F">
        <w:rPr>
          <w:lang w:val="fr-CH"/>
        </w:rPr>
        <w:t>UNIDROIT". Cette Commission préparatoire sera composée de personnes possédant les qualifications et l</w:t>
      </w:r>
      <w:r w:rsidR="0066183D" w:rsidRPr="00C21A6F">
        <w:rPr>
          <w:lang w:val="fr-CH"/>
        </w:rPr>
        <w:t>'</w:t>
      </w:r>
      <w:r w:rsidRPr="00C21A6F">
        <w:rPr>
          <w:lang w:val="fr-CH"/>
        </w:rPr>
        <w:t>expérience nécessaires proposées par un tiers des Etats ayant participé à la négociation. L</w:t>
      </w:r>
      <w:r w:rsidR="0066183D" w:rsidRPr="00C21A6F">
        <w:rPr>
          <w:lang w:val="fr-CH"/>
        </w:rPr>
        <w:t>'</w:t>
      </w:r>
      <w:r w:rsidRPr="00C21A6F">
        <w:rPr>
          <w:lang w:val="fr-CH"/>
        </w:rPr>
        <w:t>UIT, l</w:t>
      </w:r>
      <w:r w:rsidR="0066183D" w:rsidRPr="00C21A6F">
        <w:rPr>
          <w:lang w:val="fr-CH"/>
        </w:rPr>
        <w:t>'</w:t>
      </w:r>
      <w:r w:rsidRPr="00C21A6F">
        <w:rPr>
          <w:lang w:val="fr-CH"/>
        </w:rPr>
        <w:t>Organisation de l</w:t>
      </w:r>
      <w:r w:rsidR="0066183D" w:rsidRPr="00C21A6F">
        <w:rPr>
          <w:lang w:val="fr-CH"/>
        </w:rPr>
        <w:t>'</w:t>
      </w:r>
      <w:r w:rsidRPr="00C21A6F">
        <w:rPr>
          <w:lang w:val="fr-CH"/>
        </w:rPr>
        <w:t>aviation civile internationale (OACI), l</w:t>
      </w:r>
      <w:r w:rsidR="0066183D" w:rsidRPr="00C21A6F">
        <w:rPr>
          <w:lang w:val="fr-CH"/>
        </w:rPr>
        <w:t>'</w:t>
      </w:r>
      <w:r w:rsidRPr="00C21A6F">
        <w:rPr>
          <w:lang w:val="fr-CH"/>
        </w:rPr>
        <w:t>Organisation intergouvernementale pour les transports internationaux ferroviaires (OTIF), des représentants des communautés internationales financières, commerciales et des assurances dans le domaine spatial ainsi que d</w:t>
      </w:r>
      <w:r w:rsidR="0066183D" w:rsidRPr="00C21A6F">
        <w:rPr>
          <w:lang w:val="fr-CH"/>
        </w:rPr>
        <w:t>'</w:t>
      </w:r>
      <w:r w:rsidRPr="00C21A6F">
        <w:rPr>
          <w:lang w:val="fr-CH"/>
        </w:rPr>
        <w:t>autres parties intéressées ont été invités à participer aux travaux de la Commission préparatoire à titre d</w:t>
      </w:r>
      <w:r w:rsidR="0066183D" w:rsidRPr="00C21A6F">
        <w:rPr>
          <w:lang w:val="fr-CH"/>
        </w:rPr>
        <w:t>'</w:t>
      </w:r>
      <w:r w:rsidRPr="00C21A6F">
        <w:rPr>
          <w:lang w:val="fr-CH"/>
        </w:rPr>
        <w:t>observateurs.</w:t>
      </w:r>
    </w:p>
    <w:p w14:paraId="7B42F0EB" w14:textId="5A19C28A" w:rsidR="005A665B" w:rsidRPr="00C21A6F" w:rsidRDefault="005A665B" w:rsidP="0066183D">
      <w:pPr>
        <w:rPr>
          <w:rFonts w:eastAsiaTheme="minorEastAsia"/>
          <w:lang w:val="fr-CH" w:eastAsia="zh-CN"/>
        </w:rPr>
      </w:pPr>
      <w:r w:rsidRPr="00C21A6F">
        <w:rPr>
          <w:rFonts w:eastAsiaTheme="minorEastAsia"/>
          <w:lang w:val="fr-CH" w:eastAsia="zh-CN"/>
        </w:rPr>
        <w:t>2.5</w:t>
      </w:r>
      <w:r w:rsidRPr="00C21A6F">
        <w:rPr>
          <w:rFonts w:eastAsiaTheme="minorEastAsia"/>
          <w:lang w:val="fr-CH" w:eastAsia="zh-CN"/>
        </w:rPr>
        <w:tab/>
        <w:t xml:space="preserve">Dans sa </w:t>
      </w:r>
      <w:hyperlink r:id="rId59" w:history="1">
        <w:r w:rsidRPr="00C21A6F">
          <w:rPr>
            <w:rStyle w:val="Hyperlink"/>
            <w:rFonts w:eastAsiaTheme="minorEastAsia" w:cs="Calibri"/>
            <w:szCs w:val="24"/>
            <w:lang w:val="fr-CH" w:eastAsia="zh-CN"/>
          </w:rPr>
          <w:t>Résolution 2</w:t>
        </w:r>
      </w:hyperlink>
      <w:r w:rsidRPr="00C21A6F">
        <w:rPr>
          <w:rFonts w:eastAsiaTheme="minorEastAsia"/>
          <w:lang w:val="fr-CH" w:eastAsia="zh-CN"/>
        </w:rPr>
        <w:t xml:space="preserve"> concernant l</w:t>
      </w:r>
      <w:r w:rsidR="0066183D" w:rsidRPr="00C21A6F">
        <w:rPr>
          <w:rFonts w:eastAsiaTheme="minorEastAsia"/>
          <w:lang w:val="fr-CH" w:eastAsia="zh-CN"/>
        </w:rPr>
        <w:t>'</w:t>
      </w:r>
      <w:r w:rsidRPr="00C21A6F">
        <w:rPr>
          <w:rFonts w:eastAsiaTheme="minorEastAsia"/>
          <w:lang w:val="fr-CH" w:eastAsia="zh-CN"/>
        </w:rPr>
        <w:t>établissement de l</w:t>
      </w:r>
      <w:r w:rsidR="0066183D" w:rsidRPr="00C21A6F">
        <w:rPr>
          <w:rFonts w:eastAsiaTheme="minorEastAsia"/>
          <w:lang w:val="fr-CH" w:eastAsia="zh-CN"/>
        </w:rPr>
        <w:t>'</w:t>
      </w:r>
      <w:r w:rsidRPr="00C21A6F">
        <w:rPr>
          <w:rFonts w:eastAsiaTheme="minorEastAsia"/>
          <w:lang w:val="fr-CH" w:eastAsia="zh-CN"/>
        </w:rPr>
        <w:t>Autorité de surveillance du Registre international pour les biens spatiaux, et compte tenu de l</w:t>
      </w:r>
      <w:r w:rsidR="0066183D" w:rsidRPr="00C21A6F">
        <w:rPr>
          <w:rFonts w:eastAsiaTheme="minorEastAsia"/>
          <w:lang w:val="fr-CH" w:eastAsia="zh-CN"/>
        </w:rPr>
        <w:t>'</w:t>
      </w:r>
      <w:r w:rsidRPr="00C21A6F">
        <w:rPr>
          <w:rFonts w:eastAsiaTheme="minorEastAsia"/>
          <w:lang w:val="fr-CH" w:eastAsia="zh-CN"/>
        </w:rPr>
        <w:t>intérêt exprimé par l</w:t>
      </w:r>
      <w:r w:rsidR="0066183D" w:rsidRPr="00C21A6F">
        <w:rPr>
          <w:rFonts w:eastAsiaTheme="minorEastAsia"/>
          <w:lang w:val="fr-CH" w:eastAsia="zh-CN"/>
        </w:rPr>
        <w:t>'</w:t>
      </w:r>
      <w:r w:rsidRPr="00C21A6F">
        <w:rPr>
          <w:rFonts w:eastAsiaTheme="minorEastAsia"/>
          <w:lang w:val="fr-CH" w:eastAsia="zh-CN"/>
        </w:rPr>
        <w:t>Union, la Conférence a invité les organes directeurs de l</w:t>
      </w:r>
      <w:r w:rsidR="0066183D" w:rsidRPr="00C21A6F">
        <w:rPr>
          <w:rFonts w:eastAsiaTheme="minorEastAsia"/>
          <w:lang w:val="fr-CH" w:eastAsia="zh-CN"/>
        </w:rPr>
        <w:t>'</w:t>
      </w:r>
      <w:r w:rsidRPr="00C21A6F">
        <w:rPr>
          <w:rFonts w:eastAsiaTheme="minorEastAsia"/>
          <w:lang w:val="fr-CH" w:eastAsia="zh-CN"/>
        </w:rPr>
        <w:t>UIT:</w:t>
      </w:r>
    </w:p>
    <w:p w14:paraId="52216E51" w14:textId="0E9B0DEB" w:rsidR="005A665B" w:rsidRPr="00C21A6F" w:rsidRDefault="005A665B" w:rsidP="0066183D">
      <w:pPr>
        <w:pStyle w:val="enumlev1"/>
        <w:rPr>
          <w:rFonts w:eastAsiaTheme="minorEastAsia"/>
          <w:lang w:val="fr-CH" w:eastAsia="zh-CN"/>
        </w:rPr>
      </w:pPr>
      <w:r w:rsidRPr="00C21A6F">
        <w:rPr>
          <w:rFonts w:eastAsiaTheme="minorEastAsia"/>
          <w:lang w:val="fr-CH" w:eastAsia="zh-CN"/>
        </w:rPr>
        <w:t>1)</w:t>
      </w:r>
      <w:r w:rsidRPr="00C21A6F">
        <w:rPr>
          <w:rFonts w:eastAsiaTheme="minorEastAsia"/>
          <w:lang w:val="fr-CH" w:eastAsia="zh-CN"/>
        </w:rPr>
        <w:tab/>
        <w:t>à examiner la question de l</w:t>
      </w:r>
      <w:r w:rsidR="0066183D" w:rsidRPr="00C21A6F">
        <w:rPr>
          <w:rFonts w:eastAsiaTheme="minorEastAsia"/>
          <w:lang w:val="fr-CH" w:eastAsia="zh-CN"/>
        </w:rPr>
        <w:t>'</w:t>
      </w:r>
      <w:r w:rsidRPr="00C21A6F">
        <w:rPr>
          <w:rFonts w:eastAsiaTheme="minorEastAsia"/>
          <w:lang w:val="fr-CH" w:eastAsia="zh-CN"/>
        </w:rPr>
        <w:t>acceptation par l</w:t>
      </w:r>
      <w:r w:rsidR="0066183D" w:rsidRPr="00C21A6F">
        <w:rPr>
          <w:rFonts w:eastAsiaTheme="minorEastAsia"/>
          <w:lang w:val="fr-CH" w:eastAsia="zh-CN"/>
        </w:rPr>
        <w:t>'</w:t>
      </w:r>
      <w:r w:rsidRPr="00C21A6F">
        <w:rPr>
          <w:rFonts w:eastAsiaTheme="minorEastAsia"/>
          <w:lang w:val="fr-CH" w:eastAsia="zh-CN"/>
        </w:rPr>
        <w:t>UIT des fonctions d</w:t>
      </w:r>
      <w:r w:rsidR="0066183D" w:rsidRPr="00C21A6F">
        <w:rPr>
          <w:rFonts w:eastAsiaTheme="minorEastAsia"/>
          <w:lang w:val="fr-CH" w:eastAsia="zh-CN"/>
        </w:rPr>
        <w:t>'</w:t>
      </w:r>
      <w:r w:rsidRPr="00C21A6F">
        <w:rPr>
          <w:rFonts w:eastAsiaTheme="minorEastAsia"/>
          <w:lang w:val="fr-CH" w:eastAsia="zh-CN"/>
        </w:rPr>
        <w:t>Autorité de surveillance au moment de, ou après, l</w:t>
      </w:r>
      <w:r w:rsidR="0066183D" w:rsidRPr="00C21A6F">
        <w:rPr>
          <w:rFonts w:eastAsiaTheme="minorEastAsia"/>
          <w:lang w:val="fr-CH" w:eastAsia="zh-CN"/>
        </w:rPr>
        <w:t>'</w:t>
      </w:r>
      <w:r w:rsidRPr="00C21A6F">
        <w:rPr>
          <w:rFonts w:eastAsiaTheme="minorEastAsia"/>
          <w:lang w:val="fr-CH" w:eastAsia="zh-CN"/>
        </w:rPr>
        <w:t xml:space="preserve">entrée en vigueur du Protocole et de prendre les mesures nécessaires, le cas échéant; et </w:t>
      </w:r>
    </w:p>
    <w:p w14:paraId="6791F882" w14:textId="3DE673A4" w:rsidR="005A665B" w:rsidRPr="00C21A6F" w:rsidRDefault="005A665B" w:rsidP="0066183D">
      <w:pPr>
        <w:pStyle w:val="enumlev1"/>
        <w:rPr>
          <w:rFonts w:eastAsiaTheme="minorEastAsia"/>
          <w:lang w:val="fr-CH" w:eastAsia="zh-CN"/>
        </w:rPr>
      </w:pPr>
      <w:r w:rsidRPr="00C21A6F">
        <w:rPr>
          <w:rFonts w:eastAsiaTheme="minorEastAsia"/>
          <w:lang w:val="fr-CH" w:eastAsia="zh-CN"/>
        </w:rPr>
        <w:t>2)</w:t>
      </w:r>
      <w:r w:rsidRPr="00C21A6F">
        <w:rPr>
          <w:rFonts w:eastAsiaTheme="minorEastAsia"/>
          <w:lang w:val="fr-CH" w:eastAsia="zh-CN"/>
        </w:rPr>
        <w:tab/>
        <w:t>à informer le Secrétaire général d</w:t>
      </w:r>
      <w:r w:rsidR="0066183D" w:rsidRPr="00C21A6F">
        <w:rPr>
          <w:rFonts w:eastAsiaTheme="minorEastAsia"/>
          <w:lang w:val="fr-CH" w:eastAsia="zh-CN"/>
        </w:rPr>
        <w:t>'</w:t>
      </w:r>
      <w:r w:rsidRPr="00C21A6F">
        <w:rPr>
          <w:rFonts w:eastAsiaTheme="minorEastAsia"/>
          <w:lang w:val="fr-CH" w:eastAsia="zh-CN"/>
        </w:rPr>
        <w:t xml:space="preserve">UNIDROIT en conséquence. </w:t>
      </w:r>
    </w:p>
    <w:p w14:paraId="65F78052" w14:textId="77777777" w:rsidR="005A665B" w:rsidRPr="00C21A6F" w:rsidRDefault="005A665B" w:rsidP="0066183D">
      <w:pPr>
        <w:pStyle w:val="Heading1"/>
        <w:rPr>
          <w:rFonts w:eastAsiaTheme="minorEastAsia"/>
          <w:lang w:val="fr-CH" w:eastAsia="zh-CN"/>
        </w:rPr>
      </w:pPr>
      <w:r w:rsidRPr="00C21A6F">
        <w:rPr>
          <w:rFonts w:eastAsiaTheme="minorEastAsia"/>
          <w:lang w:val="fr-CH" w:eastAsia="zh-CN"/>
        </w:rPr>
        <w:t>3</w:t>
      </w:r>
      <w:r w:rsidRPr="00C21A6F">
        <w:rPr>
          <w:rFonts w:eastAsiaTheme="minorEastAsia"/>
          <w:lang w:val="fr-CH" w:eastAsia="zh-CN"/>
        </w:rPr>
        <w:tab/>
        <w:t xml:space="preserve">Session de 2012 du Conseil </w:t>
      </w:r>
    </w:p>
    <w:p w14:paraId="32E977F4" w14:textId="77777777" w:rsidR="00B61528" w:rsidRDefault="005A665B" w:rsidP="0066183D">
      <w:pPr>
        <w:rPr>
          <w:rFonts w:eastAsiaTheme="minorEastAsia"/>
          <w:lang w:val="fr-CH" w:eastAsia="zh-CN"/>
        </w:rPr>
      </w:pPr>
      <w:r w:rsidRPr="00C21A6F">
        <w:rPr>
          <w:rFonts w:eastAsiaTheme="minorEastAsia"/>
          <w:lang w:val="fr-CH" w:eastAsia="zh-CN"/>
        </w:rPr>
        <w:t>3.1</w:t>
      </w:r>
      <w:r w:rsidRPr="00C21A6F">
        <w:rPr>
          <w:rFonts w:eastAsiaTheme="minorEastAsia"/>
          <w:lang w:val="fr-CH" w:eastAsia="zh-CN"/>
        </w:rPr>
        <w:tab/>
        <w:t>Suite aux discussions qui ont eu lieu à la session de 2011 du Conseil concernant le rôle que pourrait jouer l</w:t>
      </w:r>
      <w:r w:rsidR="0066183D" w:rsidRPr="00C21A6F">
        <w:rPr>
          <w:rFonts w:eastAsiaTheme="minorEastAsia"/>
          <w:lang w:val="fr-CH" w:eastAsia="zh-CN"/>
        </w:rPr>
        <w:t>'</w:t>
      </w:r>
      <w:r w:rsidRPr="00C21A6F">
        <w:rPr>
          <w:rFonts w:eastAsiaTheme="minorEastAsia"/>
          <w:lang w:val="fr-CH" w:eastAsia="zh-CN"/>
        </w:rPr>
        <w:t>UIT en tant qu</w:t>
      </w:r>
      <w:r w:rsidR="0066183D" w:rsidRPr="00C21A6F">
        <w:rPr>
          <w:rFonts w:eastAsiaTheme="minorEastAsia"/>
          <w:lang w:val="fr-CH" w:eastAsia="zh-CN"/>
        </w:rPr>
        <w:t>'</w:t>
      </w:r>
      <w:r w:rsidRPr="00C21A6F">
        <w:rPr>
          <w:rFonts w:eastAsiaTheme="minorEastAsia"/>
          <w:lang w:val="fr-CH" w:eastAsia="zh-CN"/>
        </w:rPr>
        <w:t>Autorité de surveillance du futur système international d</w:t>
      </w:r>
      <w:r w:rsidR="0066183D" w:rsidRPr="00C21A6F">
        <w:rPr>
          <w:rFonts w:eastAsiaTheme="minorEastAsia"/>
          <w:lang w:val="fr-CH" w:eastAsia="zh-CN"/>
        </w:rPr>
        <w:t>'</w:t>
      </w:r>
      <w:r w:rsidRPr="00C21A6F">
        <w:rPr>
          <w:rFonts w:eastAsiaTheme="minorEastAsia"/>
          <w:lang w:val="fr-CH" w:eastAsia="zh-CN"/>
        </w:rPr>
        <w:t>inscription pour les biens spatiaux, conformément au projet de Protocole portant sur les biens spatiaux, un rapport d</w:t>
      </w:r>
      <w:r w:rsidR="0066183D" w:rsidRPr="00C21A6F">
        <w:rPr>
          <w:rFonts w:eastAsiaTheme="minorEastAsia"/>
          <w:lang w:val="fr-CH" w:eastAsia="zh-CN"/>
        </w:rPr>
        <w:t>'</w:t>
      </w:r>
      <w:r w:rsidRPr="00C21A6F">
        <w:rPr>
          <w:rFonts w:eastAsiaTheme="minorEastAsia"/>
          <w:lang w:val="fr-CH" w:eastAsia="zh-CN"/>
        </w:rPr>
        <w:t xml:space="preserve">activité relatif à la Conférence diplomatique, assorti de suggestions sur les mesures de suivi à prendre, a été présenté au Conseil à sa session de 2012 (voir le Document </w:t>
      </w:r>
      <w:hyperlink r:id="rId60" w:history="1">
        <w:r w:rsidRPr="00C21A6F">
          <w:rPr>
            <w:rStyle w:val="Hyperlink"/>
            <w:rFonts w:eastAsiaTheme="minorEastAsia" w:cs="Calibri"/>
            <w:szCs w:val="24"/>
            <w:lang w:val="fr-CH" w:eastAsia="zh-CN"/>
          </w:rPr>
          <w:t>C12/36</w:t>
        </w:r>
      </w:hyperlink>
      <w:r w:rsidRPr="00C21A6F">
        <w:rPr>
          <w:rFonts w:eastAsiaTheme="minorEastAsia"/>
          <w:lang w:val="fr-CH" w:eastAsia="zh-CN"/>
        </w:rPr>
        <w:t>). Le Conseil à sa session de 2012 a décidé d</w:t>
      </w:r>
      <w:r w:rsidR="0066183D" w:rsidRPr="00C21A6F">
        <w:rPr>
          <w:rFonts w:eastAsiaTheme="minorEastAsia"/>
          <w:lang w:val="fr-CH" w:eastAsia="zh-CN"/>
        </w:rPr>
        <w:t>'</w:t>
      </w:r>
      <w:r w:rsidRPr="00C21A6F">
        <w:rPr>
          <w:rFonts w:eastAsiaTheme="minorEastAsia"/>
          <w:lang w:val="fr-CH" w:eastAsia="zh-CN"/>
        </w:rPr>
        <w:t>autoriser le Secrétaire général à continuer d</w:t>
      </w:r>
      <w:r w:rsidR="0066183D" w:rsidRPr="00C21A6F">
        <w:rPr>
          <w:rFonts w:eastAsiaTheme="minorEastAsia"/>
          <w:lang w:val="fr-CH" w:eastAsia="zh-CN"/>
        </w:rPr>
        <w:t>'</w:t>
      </w:r>
      <w:r w:rsidRPr="00C21A6F">
        <w:rPr>
          <w:rFonts w:eastAsiaTheme="minorEastAsia"/>
          <w:lang w:val="fr-CH" w:eastAsia="zh-CN"/>
        </w:rPr>
        <w:t>exprimer l</w:t>
      </w:r>
      <w:r w:rsidR="0066183D" w:rsidRPr="00C21A6F">
        <w:rPr>
          <w:rFonts w:eastAsiaTheme="minorEastAsia"/>
          <w:lang w:val="fr-CH" w:eastAsia="zh-CN"/>
        </w:rPr>
        <w:t>'</w:t>
      </w:r>
      <w:r w:rsidRPr="00C21A6F">
        <w:rPr>
          <w:rFonts w:eastAsiaTheme="minorEastAsia"/>
          <w:lang w:val="fr-CH" w:eastAsia="zh-CN"/>
        </w:rPr>
        <w:t>intérêt de l</w:t>
      </w:r>
      <w:r w:rsidR="0066183D" w:rsidRPr="00C21A6F">
        <w:rPr>
          <w:rFonts w:eastAsiaTheme="minorEastAsia"/>
          <w:lang w:val="fr-CH" w:eastAsia="zh-CN"/>
        </w:rPr>
        <w:t>'</w:t>
      </w:r>
      <w:r w:rsidRPr="00C21A6F">
        <w:rPr>
          <w:rFonts w:eastAsiaTheme="minorEastAsia"/>
          <w:lang w:val="fr-CH" w:eastAsia="zh-CN"/>
        </w:rPr>
        <w:t>Union pour que celle-ci devienne l</w:t>
      </w:r>
      <w:r w:rsidR="0066183D" w:rsidRPr="00C21A6F">
        <w:rPr>
          <w:rFonts w:eastAsiaTheme="minorEastAsia"/>
          <w:lang w:val="fr-CH" w:eastAsia="zh-CN"/>
        </w:rPr>
        <w:t>'</w:t>
      </w:r>
      <w:r w:rsidRPr="00C21A6F">
        <w:rPr>
          <w:rFonts w:eastAsiaTheme="minorEastAsia"/>
          <w:lang w:val="fr-CH" w:eastAsia="zh-CN"/>
        </w:rPr>
        <w:t>Autorité de surveillance, notant qu</w:t>
      </w:r>
      <w:r w:rsidR="0066183D" w:rsidRPr="00C21A6F">
        <w:rPr>
          <w:rFonts w:eastAsiaTheme="minorEastAsia"/>
          <w:lang w:val="fr-CH" w:eastAsia="zh-CN"/>
        </w:rPr>
        <w:t>'</w:t>
      </w:r>
      <w:r w:rsidRPr="00C21A6F">
        <w:rPr>
          <w:rFonts w:eastAsiaTheme="minorEastAsia"/>
          <w:lang w:val="fr-CH" w:eastAsia="zh-CN"/>
        </w:rPr>
        <w:t>il n</w:t>
      </w:r>
      <w:r w:rsidR="0066183D" w:rsidRPr="00C21A6F">
        <w:rPr>
          <w:rFonts w:eastAsiaTheme="minorEastAsia"/>
          <w:lang w:val="fr-CH" w:eastAsia="zh-CN"/>
        </w:rPr>
        <w:t>'</w:t>
      </w:r>
      <w:r w:rsidRPr="00C21A6F">
        <w:rPr>
          <w:rFonts w:eastAsiaTheme="minorEastAsia"/>
          <w:lang w:val="fr-CH" w:eastAsia="zh-CN"/>
        </w:rPr>
        <w:t>y avait pas lieu à ce stade de préjuger la question de savoir si l</w:t>
      </w:r>
      <w:r w:rsidR="0066183D" w:rsidRPr="00C21A6F">
        <w:rPr>
          <w:rFonts w:eastAsiaTheme="minorEastAsia"/>
          <w:lang w:val="fr-CH" w:eastAsia="zh-CN"/>
        </w:rPr>
        <w:t>'</w:t>
      </w:r>
      <w:r w:rsidRPr="00C21A6F">
        <w:rPr>
          <w:rFonts w:eastAsiaTheme="minorEastAsia"/>
          <w:lang w:val="fr-CH" w:eastAsia="zh-CN"/>
        </w:rPr>
        <w:t>UIT pourrait ou non assumer ces fonctions. En outre, le Conseil à sa session de 2012 a autorisé le Secrétaire général, ou son représentant, à participer en tant qu</w:t>
      </w:r>
      <w:r w:rsidR="0066183D" w:rsidRPr="00C21A6F">
        <w:rPr>
          <w:rFonts w:eastAsiaTheme="minorEastAsia"/>
          <w:lang w:val="fr-CH" w:eastAsia="zh-CN"/>
        </w:rPr>
        <w:t>'</w:t>
      </w:r>
      <w:r w:rsidRPr="00C21A6F">
        <w:rPr>
          <w:rFonts w:eastAsiaTheme="minorEastAsia"/>
          <w:lang w:val="fr-CH" w:eastAsia="zh-CN"/>
        </w:rPr>
        <w:t xml:space="preserve">observateur aux travaux de la Commission préparatoire, une fois que cette </w:t>
      </w:r>
      <w:r w:rsidR="00B61528">
        <w:rPr>
          <w:rFonts w:eastAsiaTheme="minorEastAsia"/>
          <w:lang w:val="fr-CH" w:eastAsia="zh-CN"/>
        </w:rPr>
        <w:br w:type="page"/>
      </w:r>
    </w:p>
    <w:p w14:paraId="6302B59C" w14:textId="2BD559F9" w:rsidR="005A665B" w:rsidRPr="00C21A6F" w:rsidRDefault="005A665B" w:rsidP="0066183D">
      <w:pPr>
        <w:rPr>
          <w:rFonts w:eastAsiaTheme="minorEastAsia"/>
          <w:lang w:val="fr-CH" w:eastAsia="zh-CN"/>
        </w:rPr>
      </w:pPr>
      <w:r w:rsidRPr="00C21A6F">
        <w:rPr>
          <w:rFonts w:eastAsiaTheme="minorEastAsia"/>
          <w:lang w:val="fr-CH" w:eastAsia="zh-CN"/>
        </w:rPr>
        <w:lastRenderedPageBreak/>
        <w:t>Commission aura été établie.</w:t>
      </w:r>
      <w:r w:rsidRPr="00C21A6F">
        <w:rPr>
          <w:lang w:val="fr-CH"/>
        </w:rPr>
        <w:t xml:space="preserve"> </w:t>
      </w:r>
      <w:r w:rsidRPr="00C21A6F">
        <w:rPr>
          <w:rFonts w:eastAsiaTheme="minorEastAsia"/>
          <w:lang w:val="fr-CH" w:eastAsia="zh-CN"/>
        </w:rPr>
        <w:t>Le Secrétaire général a été invité à soumettre un rapport au Conseil à sa session de 2013, afin que celui-ci examine plus avant la question à la lumière des faits nouveaux survenus en ce qui concerne l</w:t>
      </w:r>
      <w:r w:rsidR="0066183D" w:rsidRPr="00C21A6F">
        <w:rPr>
          <w:rFonts w:eastAsiaTheme="minorEastAsia"/>
          <w:lang w:val="fr-CH" w:eastAsia="zh-CN"/>
        </w:rPr>
        <w:t>'</w:t>
      </w:r>
      <w:r w:rsidRPr="00C21A6F">
        <w:rPr>
          <w:rFonts w:eastAsiaTheme="minorEastAsia"/>
          <w:lang w:val="fr-CH" w:eastAsia="zh-CN"/>
        </w:rPr>
        <w:t>établissement de la Commission préparatoire et des progrès éventuels accomplis, compte tenu des incidences financières, juridiques et techniques pour l</w:t>
      </w:r>
      <w:r w:rsidR="0066183D" w:rsidRPr="00C21A6F">
        <w:rPr>
          <w:rFonts w:eastAsiaTheme="minorEastAsia"/>
          <w:lang w:val="fr-CH" w:eastAsia="zh-CN"/>
        </w:rPr>
        <w:t>'</w:t>
      </w:r>
      <w:r w:rsidRPr="00C21A6F">
        <w:rPr>
          <w:rFonts w:eastAsiaTheme="minorEastAsia"/>
          <w:lang w:val="fr-CH" w:eastAsia="zh-CN"/>
        </w:rPr>
        <w:t xml:space="preserve">UIT. </w:t>
      </w:r>
    </w:p>
    <w:p w14:paraId="79FE0A1E" w14:textId="78D4F716" w:rsidR="005A665B" w:rsidRPr="00C21A6F" w:rsidRDefault="005A665B" w:rsidP="0066183D">
      <w:pPr>
        <w:pStyle w:val="Heading1"/>
        <w:rPr>
          <w:rFonts w:eastAsiaTheme="minorEastAsia"/>
          <w:lang w:val="fr-CH" w:eastAsia="zh-CN"/>
        </w:rPr>
      </w:pPr>
      <w:r w:rsidRPr="00C21A6F">
        <w:rPr>
          <w:rFonts w:eastAsiaTheme="minorEastAsia"/>
          <w:lang w:val="fr-CH" w:eastAsia="zh-CN"/>
        </w:rPr>
        <w:t>4</w:t>
      </w:r>
      <w:r w:rsidRPr="00C21A6F">
        <w:rPr>
          <w:rFonts w:eastAsiaTheme="minorEastAsia"/>
          <w:lang w:val="fr-CH" w:eastAsia="zh-CN"/>
        </w:rPr>
        <w:tab/>
        <w:t>Commission préparatoire (</w:t>
      </w:r>
      <w:r w:rsidR="00013D76" w:rsidRPr="00C21A6F">
        <w:rPr>
          <w:rFonts w:eastAsiaTheme="minorEastAsia"/>
          <w:lang w:val="fr-CH" w:eastAsia="zh-CN"/>
        </w:rPr>
        <w:t xml:space="preserve">Rome, </w:t>
      </w:r>
      <w:r w:rsidR="00C868F1" w:rsidRPr="00C21A6F">
        <w:rPr>
          <w:rFonts w:eastAsiaTheme="minorEastAsia"/>
          <w:lang w:val="fr-CH" w:eastAsia="zh-CN"/>
        </w:rPr>
        <w:t>première</w:t>
      </w:r>
      <w:r w:rsidRPr="00C21A6F">
        <w:rPr>
          <w:rFonts w:eastAsiaTheme="minorEastAsia"/>
          <w:lang w:val="fr-CH" w:eastAsia="zh-CN"/>
        </w:rPr>
        <w:t xml:space="preserve"> session, 6-7 mai 2013)</w:t>
      </w:r>
    </w:p>
    <w:p w14:paraId="21D7290C" w14:textId="142DD89E" w:rsidR="005A665B" w:rsidRPr="00C21A6F" w:rsidRDefault="005A665B" w:rsidP="0066183D">
      <w:pPr>
        <w:rPr>
          <w:rFonts w:eastAsiaTheme="minorEastAsia"/>
          <w:lang w:val="fr-CH" w:eastAsia="zh-CN"/>
        </w:rPr>
      </w:pPr>
      <w:r w:rsidRPr="00C21A6F">
        <w:rPr>
          <w:rFonts w:eastAsiaTheme="minorEastAsia"/>
          <w:lang w:val="fr-CH" w:eastAsia="zh-CN"/>
        </w:rPr>
        <w:t>4.1</w:t>
      </w:r>
      <w:r w:rsidRPr="00C21A6F">
        <w:rPr>
          <w:rFonts w:eastAsiaTheme="minorEastAsia"/>
          <w:lang w:val="fr-CH" w:eastAsia="zh-CN"/>
        </w:rPr>
        <w:tab/>
        <w:t>La première session de la Commission préparatoire chargée de l</w:t>
      </w:r>
      <w:r w:rsidR="0066183D" w:rsidRPr="00C21A6F">
        <w:rPr>
          <w:rFonts w:eastAsiaTheme="minorEastAsia"/>
          <w:lang w:val="fr-CH" w:eastAsia="zh-CN"/>
        </w:rPr>
        <w:t>'</w:t>
      </w:r>
      <w:r w:rsidRPr="00C21A6F">
        <w:rPr>
          <w:rFonts w:eastAsiaTheme="minorEastAsia"/>
          <w:lang w:val="fr-CH" w:eastAsia="zh-CN"/>
        </w:rPr>
        <w:t>établissement du Registre international pour les biens spatiaux conformément au Protocole portant sur les biens spatiaux s</w:t>
      </w:r>
      <w:r w:rsidR="0066183D" w:rsidRPr="00C21A6F">
        <w:rPr>
          <w:rFonts w:eastAsiaTheme="minorEastAsia"/>
          <w:lang w:val="fr-CH" w:eastAsia="zh-CN"/>
        </w:rPr>
        <w:t>'</w:t>
      </w:r>
      <w:r w:rsidRPr="00C21A6F">
        <w:rPr>
          <w:rFonts w:eastAsiaTheme="minorEastAsia"/>
          <w:lang w:val="fr-CH" w:eastAsia="zh-CN"/>
        </w:rPr>
        <w:t>est tenue au siège d</w:t>
      </w:r>
      <w:r w:rsidR="0066183D" w:rsidRPr="00C21A6F">
        <w:rPr>
          <w:rFonts w:eastAsiaTheme="minorEastAsia"/>
          <w:lang w:val="fr-CH" w:eastAsia="zh-CN"/>
        </w:rPr>
        <w:t>'</w:t>
      </w:r>
      <w:r w:rsidRPr="00C21A6F">
        <w:rPr>
          <w:rFonts w:eastAsiaTheme="minorEastAsia"/>
          <w:lang w:val="fr-CH" w:eastAsia="zh-CN"/>
        </w:rPr>
        <w:t>UNIDROIT à Rome les 6 et 7 mai 2013. Conformément à la Résolution 1 de la Conférence diplomatique relative à l</w:t>
      </w:r>
      <w:r w:rsidR="0066183D" w:rsidRPr="00C21A6F">
        <w:rPr>
          <w:rFonts w:eastAsiaTheme="minorEastAsia"/>
          <w:lang w:val="fr-CH" w:eastAsia="zh-CN"/>
        </w:rPr>
        <w:t>'</w:t>
      </w:r>
      <w:r w:rsidRPr="00C21A6F">
        <w:rPr>
          <w:rFonts w:eastAsiaTheme="minorEastAsia"/>
          <w:lang w:val="fr-CH" w:eastAsia="zh-CN"/>
        </w:rPr>
        <w:t>établissement de la Commission préparatoire et en attendant l</w:t>
      </w:r>
      <w:r w:rsidR="0066183D" w:rsidRPr="00C21A6F">
        <w:rPr>
          <w:rFonts w:eastAsiaTheme="minorEastAsia"/>
          <w:lang w:val="fr-CH" w:eastAsia="zh-CN"/>
        </w:rPr>
        <w:t>'</w:t>
      </w:r>
      <w:r w:rsidRPr="00C21A6F">
        <w:rPr>
          <w:rFonts w:eastAsiaTheme="minorEastAsia"/>
          <w:lang w:val="fr-CH" w:eastAsia="zh-CN"/>
        </w:rPr>
        <w:t>entrée en vigueur du Protocole, la Commission est actuellement investie de tous les pouvoirs nécessaires pour faire fonction d</w:t>
      </w:r>
      <w:r w:rsidR="0066183D" w:rsidRPr="00C21A6F">
        <w:rPr>
          <w:rFonts w:eastAsiaTheme="minorEastAsia"/>
          <w:lang w:val="fr-CH" w:eastAsia="zh-CN"/>
        </w:rPr>
        <w:t>'</w:t>
      </w:r>
      <w:r w:rsidRPr="00C21A6F">
        <w:rPr>
          <w:rFonts w:eastAsiaTheme="minorEastAsia"/>
          <w:lang w:val="fr-CH" w:eastAsia="zh-CN"/>
        </w:rPr>
        <w:t>Autorité provisoire de surveillance.</w:t>
      </w:r>
    </w:p>
    <w:p w14:paraId="564E667C" w14:textId="742DDE91" w:rsidR="005A665B" w:rsidRPr="00C21A6F" w:rsidRDefault="005A665B" w:rsidP="0066183D">
      <w:pPr>
        <w:rPr>
          <w:rFonts w:eastAsiaTheme="minorEastAsia"/>
          <w:lang w:val="fr-CH" w:eastAsia="zh-CN"/>
        </w:rPr>
      </w:pPr>
      <w:r w:rsidRPr="00C21A6F">
        <w:rPr>
          <w:rFonts w:eastAsiaTheme="minorEastAsia"/>
          <w:lang w:val="fr-CH" w:eastAsia="zh-CN"/>
        </w:rPr>
        <w:t>4.2</w:t>
      </w:r>
      <w:r w:rsidRPr="00C21A6F">
        <w:rPr>
          <w:rFonts w:eastAsiaTheme="minorEastAsia"/>
          <w:lang w:val="fr-CH" w:eastAsia="zh-CN"/>
        </w:rPr>
        <w:tab/>
        <w:t>La Commission a établi deux groupes de travail, le Groupe de travail I, chargé de rédiger un projet de règlement concernant le Registre international pour les biens spatiaux, placé sous la présidence de M. Igor Porokhin (Fédération de Russie) avec la participation de représentants de la République populaire de Chine, de la France, de l</w:t>
      </w:r>
      <w:r w:rsidR="0066183D" w:rsidRPr="00C21A6F">
        <w:rPr>
          <w:rFonts w:eastAsiaTheme="minorEastAsia"/>
          <w:lang w:val="fr-CH" w:eastAsia="zh-CN"/>
        </w:rPr>
        <w:t>'</w:t>
      </w:r>
      <w:r w:rsidRPr="00C21A6F">
        <w:rPr>
          <w:rFonts w:eastAsiaTheme="minorEastAsia"/>
          <w:lang w:val="fr-CH" w:eastAsia="zh-CN"/>
        </w:rPr>
        <w:t>Allemagne, de la Fédération de Russie, de la République sudafricaine et des Etats-Unis d</w:t>
      </w:r>
      <w:r w:rsidR="0066183D" w:rsidRPr="00C21A6F">
        <w:rPr>
          <w:rFonts w:eastAsiaTheme="minorEastAsia"/>
          <w:lang w:val="fr-CH" w:eastAsia="zh-CN"/>
        </w:rPr>
        <w:t>'</w:t>
      </w:r>
      <w:r w:rsidRPr="00C21A6F">
        <w:rPr>
          <w:rFonts w:eastAsiaTheme="minorEastAsia"/>
          <w:lang w:val="fr-CH" w:eastAsia="zh-CN"/>
        </w:rPr>
        <w:t>Amérique, ainsi que de l</w:t>
      </w:r>
      <w:r w:rsidR="0066183D" w:rsidRPr="00C21A6F">
        <w:rPr>
          <w:rFonts w:eastAsiaTheme="minorEastAsia"/>
          <w:lang w:val="fr-CH" w:eastAsia="zh-CN"/>
        </w:rPr>
        <w:t>'</w:t>
      </w:r>
      <w:r w:rsidRPr="00C21A6F">
        <w:rPr>
          <w:rFonts w:eastAsiaTheme="minorEastAsia"/>
          <w:lang w:val="fr-CH" w:eastAsia="zh-CN"/>
        </w:rPr>
        <w:t>UIT, de SES et de Thales Alenia Space à titre d</w:t>
      </w:r>
      <w:r w:rsidR="0066183D" w:rsidRPr="00C21A6F">
        <w:rPr>
          <w:rFonts w:eastAsiaTheme="minorEastAsia"/>
          <w:lang w:val="fr-CH" w:eastAsia="zh-CN"/>
        </w:rPr>
        <w:t>'</w:t>
      </w:r>
      <w:r w:rsidRPr="00C21A6F">
        <w:rPr>
          <w:rFonts w:eastAsiaTheme="minorEastAsia"/>
          <w:lang w:val="fr-CH" w:eastAsia="zh-CN"/>
        </w:rPr>
        <w:t>observateurs, et le Groupe de travail II, chargé de rédiger une demande de propositions concernant la sélection d</w:t>
      </w:r>
      <w:r w:rsidR="0066183D" w:rsidRPr="00C21A6F">
        <w:rPr>
          <w:rFonts w:eastAsiaTheme="minorEastAsia"/>
          <w:lang w:val="fr-CH" w:eastAsia="zh-CN"/>
        </w:rPr>
        <w:t>'</w:t>
      </w:r>
      <w:r w:rsidRPr="00C21A6F">
        <w:rPr>
          <w:rFonts w:eastAsiaTheme="minorEastAsia"/>
          <w:lang w:val="fr-CH" w:eastAsia="zh-CN"/>
        </w:rPr>
        <w:t>un Conservateur du Registre international pour les biens spatiaux, placé sous la présidence de M. Bernhard Schmidt-Tedd (Allemagne), avec la participation de représentants de la République populaire de Chine, de la République tchèque, de la France, de l</w:t>
      </w:r>
      <w:r w:rsidR="0066183D" w:rsidRPr="00C21A6F">
        <w:rPr>
          <w:rFonts w:eastAsiaTheme="minorEastAsia"/>
          <w:lang w:val="fr-CH" w:eastAsia="zh-CN"/>
        </w:rPr>
        <w:t>'</w:t>
      </w:r>
      <w:r w:rsidRPr="00C21A6F">
        <w:rPr>
          <w:rFonts w:eastAsiaTheme="minorEastAsia"/>
          <w:lang w:val="fr-CH" w:eastAsia="zh-CN"/>
        </w:rPr>
        <w:t>Allemagne, de l</w:t>
      </w:r>
      <w:r w:rsidR="0066183D" w:rsidRPr="00C21A6F">
        <w:rPr>
          <w:rFonts w:eastAsiaTheme="minorEastAsia"/>
          <w:lang w:val="fr-CH" w:eastAsia="zh-CN"/>
        </w:rPr>
        <w:t>'</w:t>
      </w:r>
      <w:r w:rsidRPr="00C21A6F">
        <w:rPr>
          <w:rFonts w:eastAsiaTheme="minorEastAsia"/>
          <w:lang w:val="fr-CH" w:eastAsia="zh-CN"/>
        </w:rPr>
        <w:t>Italie et de la Fédération de Russie, ainsi que de l</w:t>
      </w:r>
      <w:r w:rsidR="0066183D" w:rsidRPr="00C21A6F">
        <w:rPr>
          <w:rFonts w:eastAsiaTheme="minorEastAsia"/>
          <w:lang w:val="fr-CH" w:eastAsia="zh-CN"/>
        </w:rPr>
        <w:t>'</w:t>
      </w:r>
      <w:r w:rsidRPr="00C21A6F">
        <w:rPr>
          <w:rFonts w:eastAsiaTheme="minorEastAsia"/>
          <w:lang w:val="fr-CH" w:eastAsia="zh-CN"/>
        </w:rPr>
        <w:t>UIT à titre d</w:t>
      </w:r>
      <w:r w:rsidR="0066183D" w:rsidRPr="00C21A6F">
        <w:rPr>
          <w:rFonts w:eastAsiaTheme="minorEastAsia"/>
          <w:lang w:val="fr-CH" w:eastAsia="zh-CN"/>
        </w:rPr>
        <w:t>'</w:t>
      </w:r>
      <w:r w:rsidRPr="00C21A6F">
        <w:rPr>
          <w:rFonts w:eastAsiaTheme="minorEastAsia"/>
          <w:lang w:val="fr-CH" w:eastAsia="zh-CN"/>
        </w:rPr>
        <w:t>observateur. La Commission a également approuvé un calendrier prévoyant la tenue d</w:t>
      </w:r>
      <w:r w:rsidR="0066183D" w:rsidRPr="00C21A6F">
        <w:rPr>
          <w:rFonts w:eastAsiaTheme="minorEastAsia"/>
          <w:lang w:val="fr-CH" w:eastAsia="zh-CN"/>
        </w:rPr>
        <w:t>'</w:t>
      </w:r>
      <w:r w:rsidRPr="00C21A6F">
        <w:rPr>
          <w:rFonts w:eastAsiaTheme="minorEastAsia"/>
          <w:lang w:val="fr-CH" w:eastAsia="zh-CN"/>
        </w:rPr>
        <w:t>une réunion du Groupe de travail I au début de 2014 en fonction des travaux intersessions entrepris, suivie éventuellement d</w:t>
      </w:r>
      <w:r w:rsidR="0066183D" w:rsidRPr="00C21A6F">
        <w:rPr>
          <w:rFonts w:eastAsiaTheme="minorEastAsia"/>
          <w:lang w:val="fr-CH" w:eastAsia="zh-CN"/>
        </w:rPr>
        <w:t>'</w:t>
      </w:r>
      <w:r w:rsidRPr="00C21A6F">
        <w:rPr>
          <w:rFonts w:eastAsiaTheme="minorEastAsia"/>
          <w:lang w:val="fr-CH" w:eastAsia="zh-CN"/>
        </w:rPr>
        <w:t>une réunion du Groupe de travail II avant avril 2014.</w:t>
      </w:r>
    </w:p>
    <w:p w14:paraId="18BE7492" w14:textId="77777777" w:rsidR="005A665B" w:rsidRPr="00C21A6F" w:rsidRDefault="005A665B" w:rsidP="0066183D">
      <w:pPr>
        <w:pStyle w:val="Heading1"/>
        <w:rPr>
          <w:rFonts w:eastAsiaTheme="minorEastAsia"/>
          <w:lang w:val="fr-CH" w:eastAsia="zh-CN"/>
        </w:rPr>
      </w:pPr>
      <w:r w:rsidRPr="00C21A6F">
        <w:rPr>
          <w:rFonts w:eastAsiaTheme="minorEastAsia"/>
          <w:lang w:val="fr-CH" w:eastAsia="zh-CN"/>
        </w:rPr>
        <w:t>5</w:t>
      </w:r>
      <w:r w:rsidRPr="00C21A6F">
        <w:rPr>
          <w:rFonts w:eastAsiaTheme="minorEastAsia"/>
          <w:lang w:val="fr-CH" w:eastAsia="zh-CN"/>
        </w:rPr>
        <w:tab/>
        <w:t xml:space="preserve">Session de 2013 du Conseil </w:t>
      </w:r>
    </w:p>
    <w:p w14:paraId="5D8AD07E" w14:textId="20235212" w:rsidR="005A665B" w:rsidRPr="00C21A6F" w:rsidRDefault="005A665B" w:rsidP="0066183D">
      <w:pPr>
        <w:rPr>
          <w:rFonts w:eastAsiaTheme="minorEastAsia"/>
          <w:lang w:val="fr-CH" w:eastAsia="zh-CN"/>
        </w:rPr>
      </w:pPr>
      <w:r w:rsidRPr="00C21A6F">
        <w:rPr>
          <w:rFonts w:eastAsiaTheme="minorEastAsia"/>
          <w:lang w:val="fr-CH" w:eastAsia="zh-CN"/>
        </w:rPr>
        <w:t>5.1</w:t>
      </w:r>
      <w:r w:rsidRPr="00C21A6F">
        <w:rPr>
          <w:rFonts w:eastAsiaTheme="minorEastAsia"/>
          <w:lang w:val="fr-CH" w:eastAsia="zh-CN"/>
        </w:rPr>
        <w:tab/>
        <w:t>A la suite des discussions qui ont eu lieu à la session de 2012 du Conseil et à la première session de la Commission préparatoire tenue à Rome (Italie) les 6 et 7 mai 2013 (voir le Document </w:t>
      </w:r>
      <w:hyperlink r:id="rId61" w:history="1">
        <w:r w:rsidRPr="00C21A6F">
          <w:rPr>
            <w:rStyle w:val="Hyperlink"/>
            <w:rFonts w:eastAsiaTheme="minorEastAsia" w:cs="Calibri"/>
            <w:szCs w:val="24"/>
            <w:lang w:val="fr-CH" w:eastAsia="zh-CN"/>
          </w:rPr>
          <w:t>C13/55</w:t>
        </w:r>
      </w:hyperlink>
      <w:r w:rsidRPr="00C21A6F">
        <w:rPr>
          <w:rFonts w:eastAsiaTheme="minorEastAsia"/>
          <w:lang w:val="fr-CH" w:eastAsia="zh-CN"/>
        </w:rPr>
        <w:t>), le Conseil à sa session de 2013 a examiné en détail le problème soulevé par le rôle que pourrait jouer l</w:t>
      </w:r>
      <w:r w:rsidR="0066183D" w:rsidRPr="00C21A6F">
        <w:rPr>
          <w:rFonts w:eastAsiaTheme="minorEastAsia"/>
          <w:lang w:val="fr-CH" w:eastAsia="zh-CN"/>
        </w:rPr>
        <w:t>'</w:t>
      </w:r>
      <w:r w:rsidRPr="00C21A6F">
        <w:rPr>
          <w:rFonts w:eastAsiaTheme="minorEastAsia"/>
          <w:lang w:val="fr-CH" w:eastAsia="zh-CN"/>
        </w:rPr>
        <w:t>UIT en tant qu</w:t>
      </w:r>
      <w:r w:rsidR="0066183D" w:rsidRPr="00C21A6F">
        <w:rPr>
          <w:rFonts w:eastAsiaTheme="minorEastAsia"/>
          <w:lang w:val="fr-CH" w:eastAsia="zh-CN"/>
        </w:rPr>
        <w:t>'</w:t>
      </w:r>
      <w:r w:rsidRPr="00C21A6F">
        <w:rPr>
          <w:rFonts w:eastAsiaTheme="minorEastAsia"/>
          <w:lang w:val="fr-CH" w:eastAsia="zh-CN"/>
        </w:rPr>
        <w:t>Autorité de surveillance du système international d</w:t>
      </w:r>
      <w:r w:rsidR="0066183D" w:rsidRPr="00C21A6F">
        <w:rPr>
          <w:rFonts w:eastAsiaTheme="minorEastAsia"/>
          <w:lang w:val="fr-CH" w:eastAsia="zh-CN"/>
        </w:rPr>
        <w:t>'</w:t>
      </w:r>
      <w:r w:rsidRPr="00C21A6F">
        <w:rPr>
          <w:rFonts w:eastAsiaTheme="minorEastAsia"/>
          <w:lang w:val="fr-CH" w:eastAsia="zh-CN"/>
        </w:rPr>
        <w:t>inscription pour les biens spatiaux conformément au Protocole portant sur les biens spatiaux. Les principales questions et observations formulées par les Etats Membres concernaient les incidences financières et les questions logistiques, dans l</w:t>
      </w:r>
      <w:r w:rsidR="0066183D" w:rsidRPr="00C21A6F">
        <w:rPr>
          <w:rFonts w:eastAsiaTheme="minorEastAsia"/>
          <w:lang w:val="fr-CH" w:eastAsia="zh-CN"/>
        </w:rPr>
        <w:t>'</w:t>
      </w:r>
      <w:r w:rsidRPr="00C21A6F">
        <w:rPr>
          <w:rFonts w:eastAsiaTheme="minorEastAsia"/>
          <w:lang w:val="fr-CH" w:eastAsia="zh-CN"/>
        </w:rPr>
        <w:t>hypothèse où l</w:t>
      </w:r>
      <w:r w:rsidR="0066183D" w:rsidRPr="00C21A6F">
        <w:rPr>
          <w:rFonts w:eastAsiaTheme="minorEastAsia"/>
          <w:lang w:val="fr-CH" w:eastAsia="zh-CN"/>
        </w:rPr>
        <w:t>'</w:t>
      </w:r>
      <w:r w:rsidRPr="00C21A6F">
        <w:rPr>
          <w:rFonts w:eastAsiaTheme="minorEastAsia"/>
          <w:lang w:val="fr-CH" w:eastAsia="zh-CN"/>
        </w:rPr>
        <w:t>UIT exercerait les fonctions d</w:t>
      </w:r>
      <w:r w:rsidR="0066183D" w:rsidRPr="00C21A6F">
        <w:rPr>
          <w:rFonts w:eastAsiaTheme="minorEastAsia"/>
          <w:lang w:val="fr-CH" w:eastAsia="zh-CN"/>
        </w:rPr>
        <w:t>'</w:t>
      </w:r>
      <w:r w:rsidRPr="00C21A6F">
        <w:rPr>
          <w:rFonts w:eastAsiaTheme="minorEastAsia"/>
          <w:lang w:val="fr-CH" w:eastAsia="zh-CN"/>
        </w:rPr>
        <w:t>Autorité de surveillance, le lien entre l</w:t>
      </w:r>
      <w:r w:rsidR="0066183D" w:rsidRPr="00C21A6F">
        <w:rPr>
          <w:rFonts w:eastAsiaTheme="minorEastAsia"/>
          <w:lang w:val="fr-CH" w:eastAsia="zh-CN"/>
        </w:rPr>
        <w:t>'</w:t>
      </w:r>
      <w:r w:rsidRPr="00C21A6F">
        <w:rPr>
          <w:rFonts w:eastAsiaTheme="minorEastAsia"/>
          <w:lang w:val="fr-CH" w:eastAsia="zh-CN"/>
        </w:rPr>
        <w:t>objet de l</w:t>
      </w:r>
      <w:r w:rsidR="0066183D" w:rsidRPr="00C21A6F">
        <w:rPr>
          <w:rFonts w:eastAsiaTheme="minorEastAsia"/>
          <w:lang w:val="fr-CH" w:eastAsia="zh-CN"/>
        </w:rPr>
        <w:t>'</w:t>
      </w:r>
      <w:r w:rsidRPr="00C21A6F">
        <w:rPr>
          <w:rFonts w:eastAsiaTheme="minorEastAsia"/>
          <w:lang w:val="fr-CH" w:eastAsia="zh-CN"/>
        </w:rPr>
        <w:t>Union, tel qu</w:t>
      </w:r>
      <w:r w:rsidR="0066183D" w:rsidRPr="00C21A6F">
        <w:rPr>
          <w:rFonts w:eastAsiaTheme="minorEastAsia"/>
          <w:lang w:val="fr-CH" w:eastAsia="zh-CN"/>
        </w:rPr>
        <w:t>'</w:t>
      </w:r>
      <w:r w:rsidRPr="00C21A6F">
        <w:rPr>
          <w:rFonts w:eastAsiaTheme="minorEastAsia"/>
          <w:lang w:val="fr-CH" w:eastAsia="zh-CN"/>
        </w:rPr>
        <w:t>énoncé dans la Constitution de l</w:t>
      </w:r>
      <w:r w:rsidR="0066183D" w:rsidRPr="00C21A6F">
        <w:rPr>
          <w:rFonts w:eastAsiaTheme="minorEastAsia"/>
          <w:lang w:val="fr-CH" w:eastAsia="zh-CN"/>
        </w:rPr>
        <w:t>'</w:t>
      </w:r>
      <w:r w:rsidRPr="00C21A6F">
        <w:rPr>
          <w:rFonts w:eastAsiaTheme="minorEastAsia"/>
          <w:lang w:val="fr-CH" w:eastAsia="zh-CN"/>
        </w:rPr>
        <w:t>UIT, et le Protocole portant sur les biens spatiaux, les droits et obligations de l</w:t>
      </w:r>
      <w:r w:rsidR="0066183D" w:rsidRPr="00C21A6F">
        <w:rPr>
          <w:rFonts w:eastAsiaTheme="minorEastAsia"/>
          <w:lang w:val="fr-CH" w:eastAsia="zh-CN"/>
        </w:rPr>
        <w:t>'</w:t>
      </w:r>
      <w:r w:rsidRPr="00C21A6F">
        <w:rPr>
          <w:rFonts w:eastAsiaTheme="minorEastAsia"/>
          <w:lang w:val="fr-CH" w:eastAsia="zh-CN"/>
        </w:rPr>
        <w:t>Autorité de surveillance, le document qui lierait l</w:t>
      </w:r>
      <w:r w:rsidR="0066183D" w:rsidRPr="00C21A6F">
        <w:rPr>
          <w:rFonts w:eastAsiaTheme="minorEastAsia"/>
          <w:lang w:val="fr-CH" w:eastAsia="zh-CN"/>
        </w:rPr>
        <w:t>'</w:t>
      </w:r>
      <w:r w:rsidRPr="00C21A6F">
        <w:rPr>
          <w:rFonts w:eastAsiaTheme="minorEastAsia"/>
          <w:lang w:val="fr-CH" w:eastAsia="zh-CN"/>
        </w:rPr>
        <w:t>UIT au Protocole, et la possibilité pour l</w:t>
      </w:r>
      <w:r w:rsidR="0066183D" w:rsidRPr="00C21A6F">
        <w:rPr>
          <w:rFonts w:eastAsiaTheme="minorEastAsia"/>
          <w:lang w:val="fr-CH" w:eastAsia="zh-CN"/>
        </w:rPr>
        <w:t>'</w:t>
      </w:r>
      <w:r w:rsidRPr="00C21A6F">
        <w:rPr>
          <w:rFonts w:eastAsiaTheme="minorEastAsia"/>
          <w:lang w:val="fr-CH" w:eastAsia="zh-CN"/>
        </w:rPr>
        <w:t>Union de fixer librement le montant des droits d</w:t>
      </w:r>
      <w:r w:rsidR="0066183D" w:rsidRPr="00C21A6F">
        <w:rPr>
          <w:rFonts w:eastAsiaTheme="minorEastAsia"/>
          <w:lang w:val="fr-CH" w:eastAsia="zh-CN"/>
        </w:rPr>
        <w:t>'</w:t>
      </w:r>
      <w:r w:rsidRPr="00C21A6F">
        <w:rPr>
          <w:rFonts w:eastAsiaTheme="minorEastAsia"/>
          <w:lang w:val="fr-CH" w:eastAsia="zh-CN"/>
        </w:rPr>
        <w:t xml:space="preserve">inscription. </w:t>
      </w:r>
    </w:p>
    <w:p w14:paraId="3DF3210C" w14:textId="77777777" w:rsidR="00426A72" w:rsidRDefault="00426A72">
      <w:pPr>
        <w:tabs>
          <w:tab w:val="clear" w:pos="567"/>
          <w:tab w:val="clear" w:pos="1134"/>
          <w:tab w:val="clear" w:pos="1701"/>
          <w:tab w:val="clear" w:pos="2268"/>
          <w:tab w:val="clear" w:pos="2835"/>
        </w:tabs>
        <w:overflowPunct/>
        <w:autoSpaceDE/>
        <w:autoSpaceDN/>
        <w:adjustRightInd/>
        <w:spacing w:before="0"/>
        <w:textAlignment w:val="auto"/>
        <w:rPr>
          <w:rFonts w:eastAsiaTheme="minorEastAsia"/>
          <w:lang w:val="fr-CH" w:eastAsia="zh-CN"/>
        </w:rPr>
      </w:pPr>
      <w:r>
        <w:rPr>
          <w:rFonts w:eastAsiaTheme="minorEastAsia"/>
          <w:lang w:val="fr-CH" w:eastAsia="zh-CN"/>
        </w:rPr>
        <w:br w:type="page"/>
      </w:r>
    </w:p>
    <w:p w14:paraId="316D483E" w14:textId="5CF1A927" w:rsidR="005A665B" w:rsidRPr="00C21A6F" w:rsidRDefault="005A665B" w:rsidP="0066183D">
      <w:pPr>
        <w:rPr>
          <w:rFonts w:eastAsiaTheme="minorEastAsia"/>
          <w:lang w:val="fr-CH" w:eastAsia="zh-CN"/>
        </w:rPr>
      </w:pPr>
      <w:r w:rsidRPr="00C21A6F">
        <w:rPr>
          <w:rFonts w:eastAsiaTheme="minorEastAsia"/>
          <w:lang w:val="fr-CH" w:eastAsia="zh-CN"/>
        </w:rPr>
        <w:lastRenderedPageBreak/>
        <w:t>5.2</w:t>
      </w:r>
      <w:r w:rsidRPr="00C21A6F">
        <w:rPr>
          <w:rFonts w:eastAsiaTheme="minorEastAsia"/>
          <w:lang w:val="fr-CH" w:eastAsia="zh-CN"/>
        </w:rPr>
        <w:tab/>
        <w:t>Conformément à ses décisions antérieures, le Conseil à sa session de 2013 a adopté la Décision 576 concernant l</w:t>
      </w:r>
      <w:r w:rsidR="0066183D" w:rsidRPr="00C21A6F">
        <w:rPr>
          <w:rFonts w:eastAsiaTheme="minorEastAsia"/>
          <w:lang w:val="fr-CH" w:eastAsia="zh-CN"/>
        </w:rPr>
        <w:t>'</w:t>
      </w:r>
      <w:r w:rsidRPr="00C21A6F">
        <w:rPr>
          <w:rFonts w:eastAsiaTheme="minorEastAsia"/>
          <w:lang w:val="fr-CH" w:eastAsia="zh-CN"/>
        </w:rPr>
        <w:t>examen du rôle que pourrait jouer l</w:t>
      </w:r>
      <w:r w:rsidR="0066183D" w:rsidRPr="00C21A6F">
        <w:rPr>
          <w:rFonts w:eastAsiaTheme="minorEastAsia"/>
          <w:lang w:val="fr-CH" w:eastAsia="zh-CN"/>
        </w:rPr>
        <w:t>'</w:t>
      </w:r>
      <w:r w:rsidRPr="00C21A6F">
        <w:rPr>
          <w:rFonts w:eastAsiaTheme="minorEastAsia"/>
          <w:lang w:val="fr-CH" w:eastAsia="zh-CN"/>
        </w:rPr>
        <w:t>UIT en tant qu</w:t>
      </w:r>
      <w:r w:rsidR="0066183D" w:rsidRPr="00C21A6F">
        <w:rPr>
          <w:rFonts w:eastAsiaTheme="minorEastAsia"/>
          <w:lang w:val="fr-CH" w:eastAsia="zh-CN"/>
        </w:rPr>
        <w:t>'</w:t>
      </w:r>
      <w:r w:rsidRPr="00C21A6F">
        <w:rPr>
          <w:rFonts w:eastAsiaTheme="minorEastAsia"/>
          <w:lang w:val="fr-CH" w:eastAsia="zh-CN"/>
        </w:rPr>
        <w:t>Autorité de surveillance du système international d</w:t>
      </w:r>
      <w:r w:rsidR="0066183D" w:rsidRPr="00C21A6F">
        <w:rPr>
          <w:rFonts w:eastAsiaTheme="minorEastAsia"/>
          <w:lang w:val="fr-CH" w:eastAsia="zh-CN"/>
        </w:rPr>
        <w:t>'</w:t>
      </w:r>
      <w:r w:rsidRPr="00C21A6F">
        <w:rPr>
          <w:rFonts w:eastAsiaTheme="minorEastAsia"/>
          <w:lang w:val="fr-CH" w:eastAsia="zh-CN"/>
        </w:rPr>
        <w:t>inscription pour les biens spatiaux, conformément au Protocole portant sur les biens spatiaux. En vertu de cette Décision, le Secrétaire général a été chargé:</w:t>
      </w:r>
    </w:p>
    <w:p w14:paraId="48793D87" w14:textId="1CC4809B" w:rsidR="005A665B" w:rsidRPr="00C21A6F" w:rsidRDefault="005A665B" w:rsidP="0066183D">
      <w:pPr>
        <w:pStyle w:val="enumlev1"/>
        <w:rPr>
          <w:rFonts w:eastAsiaTheme="minorEastAsia"/>
          <w:lang w:val="fr-CH" w:eastAsia="zh-CN"/>
        </w:rPr>
      </w:pPr>
      <w:r w:rsidRPr="00C21A6F">
        <w:rPr>
          <w:rFonts w:eastAsiaTheme="minorEastAsia"/>
          <w:lang w:val="fr-CH" w:eastAsia="zh-CN"/>
        </w:rPr>
        <w:t>1)</w:t>
      </w:r>
      <w:r w:rsidRPr="00C21A6F">
        <w:rPr>
          <w:rFonts w:eastAsiaTheme="minorEastAsia"/>
          <w:lang w:val="fr-CH" w:eastAsia="zh-CN"/>
        </w:rPr>
        <w:tab/>
        <w:t>de soumettre au Conseil à sa session de 2014 et à la prochaine Conférence de plénipotentiaires un rapport sur les résultats des travaux de la Commission préparatoire ainsi que sur les incidences financières, juridiques et techniques si l</w:t>
      </w:r>
      <w:r w:rsidR="0066183D" w:rsidRPr="00C21A6F">
        <w:rPr>
          <w:rFonts w:eastAsiaTheme="minorEastAsia"/>
          <w:lang w:val="fr-CH" w:eastAsia="zh-CN"/>
        </w:rPr>
        <w:t>'</w:t>
      </w:r>
      <w:r w:rsidRPr="00C21A6F">
        <w:rPr>
          <w:rFonts w:eastAsiaTheme="minorEastAsia"/>
          <w:lang w:val="fr-CH" w:eastAsia="zh-CN"/>
        </w:rPr>
        <w:t>UIT exerçait les fonctions d</w:t>
      </w:r>
      <w:r w:rsidR="0066183D" w:rsidRPr="00C21A6F">
        <w:rPr>
          <w:rFonts w:eastAsiaTheme="minorEastAsia"/>
          <w:lang w:val="fr-CH" w:eastAsia="zh-CN"/>
        </w:rPr>
        <w:t>'</w:t>
      </w:r>
      <w:r w:rsidRPr="00C21A6F">
        <w:rPr>
          <w:rFonts w:eastAsiaTheme="minorEastAsia"/>
          <w:lang w:val="fr-CH" w:eastAsia="zh-CN"/>
        </w:rPr>
        <w:t>Autorité de surveillance, en tenant compte de l</w:t>
      </w:r>
      <w:r w:rsidR="0066183D" w:rsidRPr="00C21A6F">
        <w:rPr>
          <w:rFonts w:eastAsiaTheme="minorEastAsia"/>
          <w:lang w:val="fr-CH" w:eastAsia="zh-CN"/>
        </w:rPr>
        <w:t>'</w:t>
      </w:r>
      <w:r w:rsidRPr="00C21A6F">
        <w:rPr>
          <w:rFonts w:eastAsiaTheme="minorEastAsia"/>
          <w:lang w:val="fr-CH" w:eastAsia="zh-CN"/>
        </w:rPr>
        <w:t>évolution des travaux de la Commission préparatoire et en apportant des éléments de réponse aux précisions demandées par le Conseil;</w:t>
      </w:r>
    </w:p>
    <w:p w14:paraId="6E3A3710" w14:textId="3EAF42CB" w:rsidR="005A665B" w:rsidRPr="00C21A6F" w:rsidRDefault="005A665B" w:rsidP="0066183D">
      <w:pPr>
        <w:pStyle w:val="enumlev1"/>
        <w:rPr>
          <w:rFonts w:eastAsiaTheme="minorEastAsia"/>
          <w:lang w:val="fr-CH" w:eastAsia="zh-CN"/>
        </w:rPr>
      </w:pPr>
      <w:r w:rsidRPr="00C21A6F">
        <w:rPr>
          <w:rFonts w:eastAsiaTheme="minorEastAsia"/>
          <w:lang w:val="fr-CH" w:eastAsia="zh-CN"/>
        </w:rPr>
        <w:t>2)</w:t>
      </w:r>
      <w:r w:rsidRPr="00C21A6F">
        <w:rPr>
          <w:rFonts w:eastAsiaTheme="minorEastAsia"/>
          <w:lang w:val="fr-CH" w:eastAsia="zh-CN"/>
        </w:rPr>
        <w:tab/>
        <w:t>de présenter un rapport sur les incidences financières de sa participation aux réunions de la Commission préparatoire ainsi que sur les conséquences financières éventuelles si l</w:t>
      </w:r>
      <w:r w:rsidR="0066183D" w:rsidRPr="00C21A6F">
        <w:rPr>
          <w:rFonts w:eastAsiaTheme="minorEastAsia"/>
          <w:lang w:val="fr-CH" w:eastAsia="zh-CN"/>
        </w:rPr>
        <w:t>'</w:t>
      </w:r>
      <w:r w:rsidRPr="00C21A6F">
        <w:rPr>
          <w:rFonts w:eastAsiaTheme="minorEastAsia"/>
          <w:lang w:val="fr-CH" w:eastAsia="zh-CN"/>
        </w:rPr>
        <w:t>UIT exerçait les fonctions d</w:t>
      </w:r>
      <w:r w:rsidR="0066183D" w:rsidRPr="00C21A6F">
        <w:rPr>
          <w:rFonts w:eastAsiaTheme="minorEastAsia"/>
          <w:lang w:val="fr-CH" w:eastAsia="zh-CN"/>
        </w:rPr>
        <w:t>'</w:t>
      </w:r>
      <w:r w:rsidRPr="00C21A6F">
        <w:rPr>
          <w:rFonts w:eastAsiaTheme="minorEastAsia"/>
          <w:lang w:val="fr-CH" w:eastAsia="zh-CN"/>
        </w:rPr>
        <w:t>Autorité de surveillance, au moment de ou après l</w:t>
      </w:r>
      <w:r w:rsidR="0066183D" w:rsidRPr="00C21A6F">
        <w:rPr>
          <w:rFonts w:eastAsiaTheme="minorEastAsia"/>
          <w:lang w:val="fr-CH" w:eastAsia="zh-CN"/>
        </w:rPr>
        <w:t>'</w:t>
      </w:r>
      <w:r w:rsidRPr="00C21A6F">
        <w:rPr>
          <w:rFonts w:eastAsiaTheme="minorEastAsia"/>
          <w:lang w:val="fr-CH" w:eastAsia="zh-CN"/>
        </w:rPr>
        <w:t>entrée en vigueur du Protocole; et</w:t>
      </w:r>
    </w:p>
    <w:p w14:paraId="4A5F448B" w14:textId="474C9BA3" w:rsidR="005A665B" w:rsidRPr="00C21A6F" w:rsidRDefault="005A665B" w:rsidP="0066183D">
      <w:pPr>
        <w:pStyle w:val="enumlev1"/>
        <w:rPr>
          <w:rFonts w:eastAsiaTheme="minorEastAsia"/>
          <w:lang w:val="fr-CH" w:eastAsia="zh-CN"/>
        </w:rPr>
      </w:pPr>
      <w:r w:rsidRPr="00C21A6F">
        <w:rPr>
          <w:rFonts w:eastAsiaTheme="minorEastAsia"/>
          <w:lang w:val="fr-CH" w:eastAsia="zh-CN"/>
        </w:rPr>
        <w:t>3)</w:t>
      </w:r>
      <w:r w:rsidRPr="00C21A6F">
        <w:rPr>
          <w:rFonts w:eastAsiaTheme="minorEastAsia"/>
          <w:lang w:val="fr-CH" w:eastAsia="zh-CN"/>
        </w:rPr>
        <w:tab/>
        <w:t>de définir des mécanismes visant à permettre aux Etats Membres et aux Membres de Secteur de l</w:t>
      </w:r>
      <w:r w:rsidR="0066183D" w:rsidRPr="00C21A6F">
        <w:rPr>
          <w:rFonts w:eastAsiaTheme="minorEastAsia"/>
          <w:lang w:val="fr-CH" w:eastAsia="zh-CN"/>
        </w:rPr>
        <w:t>'</w:t>
      </w:r>
      <w:r w:rsidRPr="00C21A6F">
        <w:rPr>
          <w:rFonts w:eastAsiaTheme="minorEastAsia"/>
          <w:lang w:val="fr-CH" w:eastAsia="zh-CN"/>
        </w:rPr>
        <w:t>UIT d</w:t>
      </w:r>
      <w:r w:rsidR="0066183D" w:rsidRPr="00C21A6F">
        <w:rPr>
          <w:rFonts w:eastAsiaTheme="minorEastAsia"/>
          <w:lang w:val="fr-CH" w:eastAsia="zh-CN"/>
        </w:rPr>
        <w:t>'</w:t>
      </w:r>
      <w:r w:rsidRPr="00C21A6F">
        <w:rPr>
          <w:rFonts w:eastAsiaTheme="minorEastAsia"/>
          <w:lang w:val="fr-CH" w:eastAsia="zh-CN"/>
        </w:rPr>
        <w:t>examiner le rôle de l</w:t>
      </w:r>
      <w:r w:rsidR="0066183D" w:rsidRPr="00C21A6F">
        <w:rPr>
          <w:rFonts w:eastAsiaTheme="minorEastAsia"/>
          <w:lang w:val="fr-CH" w:eastAsia="zh-CN"/>
        </w:rPr>
        <w:t>'</w:t>
      </w:r>
      <w:r w:rsidRPr="00C21A6F">
        <w:rPr>
          <w:rFonts w:eastAsiaTheme="minorEastAsia"/>
          <w:lang w:val="fr-CH" w:eastAsia="zh-CN"/>
        </w:rPr>
        <w:t>UIT en tant qu</w:t>
      </w:r>
      <w:r w:rsidR="0066183D" w:rsidRPr="00C21A6F">
        <w:rPr>
          <w:rFonts w:eastAsiaTheme="minorEastAsia"/>
          <w:lang w:val="fr-CH" w:eastAsia="zh-CN"/>
        </w:rPr>
        <w:t>'</w:t>
      </w:r>
      <w:r w:rsidRPr="00C21A6F">
        <w:rPr>
          <w:rFonts w:eastAsiaTheme="minorEastAsia"/>
          <w:lang w:val="fr-CH" w:eastAsia="zh-CN"/>
        </w:rPr>
        <w:t xml:space="preserve">Autorité de surveillance ou de formuler des observations à cet égard (voir le Document </w:t>
      </w:r>
      <w:hyperlink r:id="rId62" w:history="1">
        <w:r w:rsidRPr="00C21A6F">
          <w:rPr>
            <w:rStyle w:val="Hyperlink"/>
            <w:rFonts w:eastAsiaTheme="minorEastAsia" w:cs="Calibri"/>
            <w:szCs w:val="24"/>
            <w:lang w:val="fr-CH" w:eastAsia="zh-CN"/>
          </w:rPr>
          <w:t>C13/107</w:t>
        </w:r>
      </w:hyperlink>
      <w:r w:rsidRPr="00C21A6F">
        <w:rPr>
          <w:rFonts w:eastAsiaTheme="minorEastAsia"/>
          <w:lang w:val="fr-CH" w:eastAsia="zh-CN"/>
        </w:rPr>
        <w:t>).</w:t>
      </w:r>
    </w:p>
    <w:p w14:paraId="43D55958" w14:textId="77777777" w:rsidR="005A665B" w:rsidRPr="00C21A6F" w:rsidRDefault="005A665B" w:rsidP="0066183D">
      <w:pPr>
        <w:pStyle w:val="Heading1"/>
        <w:rPr>
          <w:rFonts w:eastAsiaTheme="minorEastAsia"/>
          <w:lang w:val="fr-CH" w:eastAsia="zh-CN"/>
        </w:rPr>
      </w:pPr>
      <w:r w:rsidRPr="00C21A6F">
        <w:rPr>
          <w:rFonts w:eastAsiaTheme="minorEastAsia"/>
          <w:lang w:val="fr-CH" w:eastAsia="zh-CN"/>
        </w:rPr>
        <w:t>6</w:t>
      </w:r>
      <w:r w:rsidRPr="00C21A6F">
        <w:rPr>
          <w:rFonts w:eastAsiaTheme="minorEastAsia"/>
          <w:lang w:val="fr-CH" w:eastAsia="zh-CN"/>
        </w:rPr>
        <w:tab/>
        <w:t>Commission préparatoire (Rome, seconde session, 27-28 janvier 2014)</w:t>
      </w:r>
    </w:p>
    <w:p w14:paraId="6AD15E6E" w14:textId="64528D7D" w:rsidR="005A665B" w:rsidRPr="00C21A6F" w:rsidRDefault="005A665B" w:rsidP="0066183D">
      <w:pPr>
        <w:rPr>
          <w:rFonts w:eastAsiaTheme="minorEastAsia"/>
          <w:lang w:val="fr-CH" w:eastAsia="zh-CN"/>
        </w:rPr>
      </w:pPr>
      <w:r w:rsidRPr="00C21A6F">
        <w:rPr>
          <w:rFonts w:eastAsiaTheme="minorEastAsia"/>
          <w:lang w:val="fr-CH" w:eastAsia="zh-CN"/>
        </w:rPr>
        <w:t>6.1</w:t>
      </w:r>
      <w:r w:rsidRPr="00C21A6F">
        <w:rPr>
          <w:rFonts w:eastAsiaTheme="minorEastAsia"/>
          <w:lang w:val="fr-CH" w:eastAsia="zh-CN"/>
        </w:rPr>
        <w:tab/>
        <w:t>La seconde session de la Commission préparatoire chargée de l</w:t>
      </w:r>
      <w:r w:rsidR="0066183D" w:rsidRPr="00C21A6F">
        <w:rPr>
          <w:rFonts w:eastAsiaTheme="minorEastAsia"/>
          <w:lang w:val="fr-CH" w:eastAsia="zh-CN"/>
        </w:rPr>
        <w:t>'</w:t>
      </w:r>
      <w:r w:rsidRPr="00C21A6F">
        <w:rPr>
          <w:rFonts w:eastAsiaTheme="minorEastAsia"/>
          <w:lang w:val="fr-CH" w:eastAsia="zh-CN"/>
        </w:rPr>
        <w:t>établissement du Registre international pour les biens spatiaux conformément au Protocole portant sur les biens spatiaux s</w:t>
      </w:r>
      <w:r w:rsidR="0066183D" w:rsidRPr="00C21A6F">
        <w:rPr>
          <w:rFonts w:eastAsiaTheme="minorEastAsia"/>
          <w:lang w:val="fr-CH" w:eastAsia="zh-CN"/>
        </w:rPr>
        <w:t>'</w:t>
      </w:r>
      <w:r w:rsidRPr="00C21A6F">
        <w:rPr>
          <w:rFonts w:eastAsiaTheme="minorEastAsia"/>
          <w:lang w:val="fr-CH" w:eastAsia="zh-CN"/>
        </w:rPr>
        <w:t>est tenue au siège d</w:t>
      </w:r>
      <w:r w:rsidR="0066183D" w:rsidRPr="00C21A6F">
        <w:rPr>
          <w:rFonts w:eastAsiaTheme="minorEastAsia"/>
          <w:lang w:val="fr-CH" w:eastAsia="zh-CN"/>
        </w:rPr>
        <w:t>'</w:t>
      </w:r>
      <w:r w:rsidRPr="00C21A6F">
        <w:rPr>
          <w:rFonts w:eastAsiaTheme="minorEastAsia"/>
          <w:lang w:val="fr-CH" w:eastAsia="zh-CN"/>
        </w:rPr>
        <w:t>UNIDROIT à Rome les 27 et 28 janvier 2014. Le Groupe de travail I chargé de rédiger un projet de règlement concernant le Registre international pour les biens spatiaux et le Groupe de travail II chargé de rédiger une demande de propositions concernant la sélection d</w:t>
      </w:r>
      <w:r w:rsidR="0066183D" w:rsidRPr="00C21A6F">
        <w:rPr>
          <w:rFonts w:eastAsiaTheme="minorEastAsia"/>
          <w:lang w:val="fr-CH" w:eastAsia="zh-CN"/>
        </w:rPr>
        <w:t>'</w:t>
      </w:r>
      <w:r w:rsidRPr="00C21A6F">
        <w:rPr>
          <w:rFonts w:eastAsiaTheme="minorEastAsia"/>
          <w:lang w:val="fr-CH" w:eastAsia="zh-CN"/>
        </w:rPr>
        <w:t>un Conservateur du Registre international pour les biens spatiaux n</w:t>
      </w:r>
      <w:r w:rsidR="0066183D" w:rsidRPr="00C21A6F">
        <w:rPr>
          <w:rFonts w:eastAsiaTheme="minorEastAsia"/>
          <w:lang w:val="fr-CH" w:eastAsia="zh-CN"/>
        </w:rPr>
        <w:t>'</w:t>
      </w:r>
      <w:r w:rsidRPr="00C21A6F">
        <w:rPr>
          <w:rFonts w:eastAsiaTheme="minorEastAsia"/>
          <w:lang w:val="fr-CH" w:eastAsia="zh-CN"/>
        </w:rPr>
        <w:t xml:space="preserve">ont tenu aucune réunion. </w:t>
      </w:r>
    </w:p>
    <w:p w14:paraId="7D209D84" w14:textId="49360026" w:rsidR="005A665B" w:rsidRPr="00C21A6F" w:rsidRDefault="005A665B" w:rsidP="0066183D">
      <w:pPr>
        <w:rPr>
          <w:rFonts w:eastAsiaTheme="minorEastAsia"/>
          <w:lang w:val="fr-CH" w:eastAsia="zh-CN"/>
        </w:rPr>
      </w:pPr>
      <w:r w:rsidRPr="00C21A6F">
        <w:rPr>
          <w:rFonts w:eastAsiaTheme="minorEastAsia"/>
          <w:lang w:val="fr-CH" w:eastAsia="zh-CN"/>
        </w:rPr>
        <w:t>6.2</w:t>
      </w:r>
      <w:r w:rsidRPr="00C21A6F">
        <w:rPr>
          <w:rFonts w:eastAsiaTheme="minorEastAsia"/>
          <w:lang w:val="fr-CH" w:eastAsia="zh-CN"/>
        </w:rPr>
        <w:tab/>
        <w:t>Les participants ont essentiellement examiné la Note explicative relative au projet révisé de Règlement sur les biens spatiaux établie par M. Roy Goode et étudié d</w:t>
      </w:r>
      <w:r w:rsidR="0066183D" w:rsidRPr="00C21A6F">
        <w:rPr>
          <w:rFonts w:eastAsiaTheme="minorEastAsia"/>
          <w:lang w:val="fr-CH" w:eastAsia="zh-CN"/>
        </w:rPr>
        <w:t>'</w:t>
      </w:r>
      <w:r w:rsidRPr="00C21A6F">
        <w:rPr>
          <w:rFonts w:eastAsiaTheme="minorEastAsia"/>
          <w:lang w:val="fr-CH" w:eastAsia="zh-CN"/>
        </w:rPr>
        <w:t>autres questions concernant le texte révisé du projet de Règlement sur les biens spatiaux. L</w:t>
      </w:r>
      <w:r w:rsidR="0066183D" w:rsidRPr="00C21A6F">
        <w:rPr>
          <w:rFonts w:eastAsiaTheme="minorEastAsia"/>
          <w:lang w:val="fr-CH" w:eastAsia="zh-CN"/>
        </w:rPr>
        <w:t>'</w:t>
      </w:r>
      <w:r w:rsidRPr="00C21A6F">
        <w:rPr>
          <w:rFonts w:eastAsiaTheme="minorEastAsia"/>
          <w:lang w:val="fr-CH" w:eastAsia="zh-CN"/>
        </w:rPr>
        <w:t>essentiel des débats a été consacré à l</w:t>
      </w:r>
      <w:r w:rsidR="0066183D" w:rsidRPr="00C21A6F">
        <w:rPr>
          <w:rFonts w:eastAsiaTheme="minorEastAsia"/>
          <w:lang w:val="fr-CH" w:eastAsia="zh-CN"/>
        </w:rPr>
        <w:t>'</w:t>
      </w:r>
      <w:r w:rsidRPr="00C21A6F">
        <w:rPr>
          <w:rFonts w:eastAsiaTheme="minorEastAsia"/>
          <w:lang w:val="fr-CH" w:eastAsia="zh-CN"/>
        </w:rPr>
        <w:t>examen de la question des critères d</w:t>
      </w:r>
      <w:r w:rsidR="0066183D" w:rsidRPr="00C21A6F">
        <w:rPr>
          <w:rFonts w:eastAsiaTheme="minorEastAsia"/>
          <w:lang w:val="fr-CH" w:eastAsia="zh-CN"/>
        </w:rPr>
        <w:t>'</w:t>
      </w:r>
      <w:r w:rsidRPr="00C21A6F">
        <w:rPr>
          <w:rFonts w:eastAsiaTheme="minorEastAsia"/>
          <w:lang w:val="fr-CH" w:eastAsia="zh-CN"/>
        </w:rPr>
        <w:t>identification pour l</w:t>
      </w:r>
      <w:r w:rsidR="0066183D" w:rsidRPr="00C21A6F">
        <w:rPr>
          <w:rFonts w:eastAsiaTheme="minorEastAsia"/>
          <w:lang w:val="fr-CH" w:eastAsia="zh-CN"/>
        </w:rPr>
        <w:t>'</w:t>
      </w:r>
      <w:r w:rsidRPr="00C21A6F">
        <w:rPr>
          <w:rFonts w:eastAsiaTheme="minorEastAsia"/>
          <w:lang w:val="fr-CH" w:eastAsia="zh-CN"/>
        </w:rPr>
        <w:t>inscription des biens spatiaux, en particulier des satellites et des biens spatiaux physiquement reliés. L</w:t>
      </w:r>
      <w:r w:rsidR="0066183D" w:rsidRPr="00C21A6F">
        <w:rPr>
          <w:rFonts w:eastAsiaTheme="minorEastAsia"/>
          <w:lang w:val="fr-CH" w:eastAsia="zh-CN"/>
        </w:rPr>
        <w:t>'</w:t>
      </w:r>
      <w:r w:rsidRPr="00C21A6F">
        <w:rPr>
          <w:rFonts w:eastAsiaTheme="minorEastAsia"/>
          <w:lang w:val="fr-CH" w:eastAsia="zh-CN"/>
        </w:rPr>
        <w:t>examen de la question de la détermination des tarifs afférents à l</w:t>
      </w:r>
      <w:r w:rsidR="0066183D" w:rsidRPr="00C21A6F">
        <w:rPr>
          <w:rFonts w:eastAsiaTheme="minorEastAsia"/>
          <w:lang w:val="fr-CH" w:eastAsia="zh-CN"/>
        </w:rPr>
        <w:t>'</w:t>
      </w:r>
      <w:r w:rsidRPr="00C21A6F">
        <w:rPr>
          <w:rFonts w:eastAsiaTheme="minorEastAsia"/>
          <w:lang w:val="fr-CH" w:eastAsia="zh-CN"/>
        </w:rPr>
        <w:t>utilisation des services du Registre international a été reportée à un stade ultérieur des discussions, en vue éventuellement de faire figurer cette question dans les Règles de procédure qui seront établies une fois le Règlement élaboré.</w:t>
      </w:r>
    </w:p>
    <w:p w14:paraId="6747BF05" w14:textId="25BE59C1" w:rsidR="005A665B" w:rsidRPr="00C21A6F" w:rsidRDefault="005A665B" w:rsidP="0066183D">
      <w:pPr>
        <w:rPr>
          <w:rFonts w:eastAsiaTheme="minorEastAsia"/>
          <w:lang w:val="fr-CH" w:eastAsia="zh-CN"/>
        </w:rPr>
      </w:pPr>
      <w:r w:rsidRPr="00C21A6F">
        <w:rPr>
          <w:rFonts w:eastAsiaTheme="minorEastAsia"/>
          <w:lang w:val="fr-CH" w:eastAsia="zh-CN"/>
        </w:rPr>
        <w:t>6.3</w:t>
      </w:r>
      <w:r w:rsidRPr="00C21A6F">
        <w:rPr>
          <w:rFonts w:eastAsiaTheme="minorEastAsia"/>
          <w:lang w:val="fr-CH" w:eastAsia="zh-CN"/>
        </w:rPr>
        <w:tab/>
        <w:t>En ce qui concerne les questions en suspens liées à la sélection d</w:t>
      </w:r>
      <w:r w:rsidR="0066183D" w:rsidRPr="00C21A6F">
        <w:rPr>
          <w:rFonts w:eastAsiaTheme="minorEastAsia"/>
          <w:lang w:val="fr-CH" w:eastAsia="zh-CN"/>
        </w:rPr>
        <w:t>'</w:t>
      </w:r>
      <w:r w:rsidRPr="00C21A6F">
        <w:rPr>
          <w:rFonts w:eastAsiaTheme="minorEastAsia"/>
          <w:lang w:val="fr-CH" w:eastAsia="zh-CN"/>
        </w:rPr>
        <w:t>un Conservateur, ainsi qu</w:t>
      </w:r>
      <w:r w:rsidR="0066183D" w:rsidRPr="00C21A6F">
        <w:rPr>
          <w:rFonts w:eastAsiaTheme="minorEastAsia"/>
          <w:lang w:val="fr-CH" w:eastAsia="zh-CN"/>
        </w:rPr>
        <w:t>'</w:t>
      </w:r>
      <w:r w:rsidRPr="00C21A6F">
        <w:rPr>
          <w:rFonts w:eastAsiaTheme="minorEastAsia"/>
          <w:lang w:val="fr-CH" w:eastAsia="zh-CN"/>
        </w:rPr>
        <w:t>à l</w:t>
      </w:r>
      <w:r w:rsidR="0066183D" w:rsidRPr="00C21A6F">
        <w:rPr>
          <w:rFonts w:eastAsiaTheme="minorEastAsia"/>
          <w:lang w:val="fr-CH" w:eastAsia="zh-CN"/>
        </w:rPr>
        <w:t>'</w:t>
      </w:r>
      <w:r w:rsidRPr="00C21A6F">
        <w:rPr>
          <w:rFonts w:eastAsiaTheme="minorEastAsia"/>
          <w:lang w:val="fr-CH" w:eastAsia="zh-CN"/>
        </w:rPr>
        <w:t>établissement de la version définitive du projet de Règlement, la Commission opératoire a décidé de se réunir au siège d</w:t>
      </w:r>
      <w:r w:rsidR="0066183D" w:rsidRPr="00C21A6F">
        <w:rPr>
          <w:rFonts w:eastAsiaTheme="minorEastAsia"/>
          <w:lang w:val="fr-CH" w:eastAsia="zh-CN"/>
        </w:rPr>
        <w:t>'</w:t>
      </w:r>
      <w:r w:rsidRPr="00C21A6F">
        <w:rPr>
          <w:rFonts w:eastAsiaTheme="minorEastAsia"/>
          <w:lang w:val="fr-CH" w:eastAsia="zh-CN"/>
        </w:rPr>
        <w:t>UNIDROIT les 11 et 12 septembre 2014. Au cours de la période d</w:t>
      </w:r>
      <w:r w:rsidR="0066183D" w:rsidRPr="00C21A6F">
        <w:rPr>
          <w:rFonts w:eastAsiaTheme="minorEastAsia"/>
          <w:lang w:val="fr-CH" w:eastAsia="zh-CN"/>
        </w:rPr>
        <w:t>'</w:t>
      </w:r>
      <w:r w:rsidRPr="00C21A6F">
        <w:rPr>
          <w:rFonts w:eastAsiaTheme="minorEastAsia"/>
          <w:lang w:val="fr-CH" w:eastAsia="zh-CN"/>
        </w:rPr>
        <w:t xml:space="preserve">intersession, la version définitive du Règlement sera établie et un projet de demande de propositions concernant la sélection du Conservateur sera élaboré. </w:t>
      </w:r>
    </w:p>
    <w:p w14:paraId="34287C24" w14:textId="77777777" w:rsidR="00426A72" w:rsidRDefault="00426A72">
      <w:pPr>
        <w:tabs>
          <w:tab w:val="clear" w:pos="567"/>
          <w:tab w:val="clear" w:pos="1134"/>
          <w:tab w:val="clear" w:pos="1701"/>
          <w:tab w:val="clear" w:pos="2268"/>
          <w:tab w:val="clear" w:pos="2835"/>
        </w:tabs>
        <w:overflowPunct/>
        <w:autoSpaceDE/>
        <w:autoSpaceDN/>
        <w:adjustRightInd/>
        <w:spacing w:before="0"/>
        <w:textAlignment w:val="auto"/>
        <w:rPr>
          <w:rFonts w:eastAsiaTheme="minorEastAsia"/>
          <w:lang w:val="fr-CH" w:eastAsia="zh-CN"/>
        </w:rPr>
      </w:pPr>
      <w:r>
        <w:rPr>
          <w:rFonts w:eastAsiaTheme="minorEastAsia"/>
          <w:lang w:val="fr-CH" w:eastAsia="zh-CN"/>
        </w:rPr>
        <w:br w:type="page"/>
      </w:r>
    </w:p>
    <w:p w14:paraId="46781C93" w14:textId="4730BF52" w:rsidR="005A665B" w:rsidRPr="00C21A6F" w:rsidRDefault="005A665B" w:rsidP="0066183D">
      <w:pPr>
        <w:rPr>
          <w:rFonts w:eastAsiaTheme="minorEastAsia"/>
          <w:lang w:val="fr-CH" w:eastAsia="zh-CN"/>
        </w:rPr>
      </w:pPr>
      <w:r w:rsidRPr="00C21A6F">
        <w:rPr>
          <w:rFonts w:eastAsiaTheme="minorEastAsia"/>
          <w:lang w:val="fr-CH" w:eastAsia="zh-CN"/>
        </w:rPr>
        <w:lastRenderedPageBreak/>
        <w:t>6.4</w:t>
      </w:r>
      <w:r w:rsidRPr="00C21A6F">
        <w:rPr>
          <w:rFonts w:eastAsiaTheme="minorEastAsia"/>
          <w:lang w:val="fr-CH" w:eastAsia="zh-CN"/>
        </w:rPr>
        <w:tab/>
        <w:t>La Commission préparatoire a indiqué qu</w:t>
      </w:r>
      <w:r w:rsidR="0066183D" w:rsidRPr="00C21A6F">
        <w:rPr>
          <w:rFonts w:eastAsiaTheme="minorEastAsia"/>
          <w:lang w:val="fr-CH" w:eastAsia="zh-CN"/>
        </w:rPr>
        <w:t>'</w:t>
      </w:r>
      <w:r w:rsidRPr="00C21A6F">
        <w:rPr>
          <w:rFonts w:eastAsiaTheme="minorEastAsia"/>
          <w:lang w:val="fr-CH" w:eastAsia="zh-CN"/>
        </w:rPr>
        <w:t>elle menait ses travaux en partant de l</w:t>
      </w:r>
      <w:r w:rsidR="0066183D" w:rsidRPr="00C21A6F">
        <w:rPr>
          <w:rFonts w:eastAsiaTheme="minorEastAsia"/>
          <w:lang w:val="fr-CH" w:eastAsia="zh-CN"/>
        </w:rPr>
        <w:t>'</w:t>
      </w:r>
      <w:r w:rsidRPr="00C21A6F">
        <w:rPr>
          <w:rFonts w:eastAsiaTheme="minorEastAsia"/>
          <w:lang w:val="fr-CH" w:eastAsia="zh-CN"/>
        </w:rPr>
        <w:t>hypothèse que l</w:t>
      </w:r>
      <w:r w:rsidR="0066183D" w:rsidRPr="00C21A6F">
        <w:rPr>
          <w:rFonts w:eastAsiaTheme="minorEastAsia"/>
          <w:lang w:val="fr-CH" w:eastAsia="zh-CN"/>
        </w:rPr>
        <w:t>'</w:t>
      </w:r>
      <w:r w:rsidRPr="00C21A6F">
        <w:rPr>
          <w:rFonts w:eastAsiaTheme="minorEastAsia"/>
          <w:lang w:val="fr-CH" w:eastAsia="zh-CN"/>
        </w:rPr>
        <w:t>UIT accepterait en définitive de remplir les fonctions d</w:t>
      </w:r>
      <w:r w:rsidR="0066183D" w:rsidRPr="00C21A6F">
        <w:rPr>
          <w:rFonts w:eastAsiaTheme="minorEastAsia"/>
          <w:lang w:val="fr-CH" w:eastAsia="zh-CN"/>
        </w:rPr>
        <w:t>'</w:t>
      </w:r>
      <w:r w:rsidRPr="00C21A6F">
        <w:rPr>
          <w:rFonts w:eastAsiaTheme="minorEastAsia"/>
          <w:lang w:val="fr-CH" w:eastAsia="zh-CN"/>
        </w:rPr>
        <w:t>Autorité de surveillance et qu</w:t>
      </w:r>
      <w:r w:rsidR="0066183D" w:rsidRPr="00C21A6F">
        <w:rPr>
          <w:rFonts w:eastAsiaTheme="minorEastAsia"/>
          <w:lang w:val="fr-CH" w:eastAsia="zh-CN"/>
        </w:rPr>
        <w:t>'</w:t>
      </w:r>
      <w:r w:rsidRPr="00C21A6F">
        <w:rPr>
          <w:rFonts w:eastAsiaTheme="minorEastAsia"/>
          <w:lang w:val="fr-CH" w:eastAsia="zh-CN"/>
        </w:rPr>
        <w:t>il serait prématuré de conjecturer sur les autres solutions possibles. En réponse à des questions concrètes posées par le représentant de l</w:t>
      </w:r>
      <w:r w:rsidR="0066183D" w:rsidRPr="00C21A6F">
        <w:rPr>
          <w:rFonts w:eastAsiaTheme="minorEastAsia"/>
          <w:lang w:val="fr-CH" w:eastAsia="zh-CN"/>
        </w:rPr>
        <w:t>'</w:t>
      </w:r>
      <w:r w:rsidRPr="00C21A6F">
        <w:rPr>
          <w:rFonts w:eastAsiaTheme="minorEastAsia"/>
          <w:lang w:val="fr-CH" w:eastAsia="zh-CN"/>
        </w:rPr>
        <w:t>UIT au sujet du rôle précis de l</w:t>
      </w:r>
      <w:r w:rsidR="0066183D" w:rsidRPr="00C21A6F">
        <w:rPr>
          <w:rFonts w:eastAsiaTheme="minorEastAsia"/>
          <w:lang w:val="fr-CH" w:eastAsia="zh-CN"/>
        </w:rPr>
        <w:t>'</w:t>
      </w:r>
      <w:r w:rsidRPr="00C21A6F">
        <w:rPr>
          <w:rFonts w:eastAsiaTheme="minorEastAsia"/>
          <w:lang w:val="fr-CH" w:eastAsia="zh-CN"/>
        </w:rPr>
        <w:t>Autorité de surveillance et de ses responsabilités, ainsi que de l</w:t>
      </w:r>
      <w:r w:rsidR="0066183D" w:rsidRPr="00C21A6F">
        <w:rPr>
          <w:rFonts w:eastAsiaTheme="minorEastAsia"/>
          <w:lang w:val="fr-CH" w:eastAsia="zh-CN"/>
        </w:rPr>
        <w:t>'</w:t>
      </w:r>
      <w:r w:rsidRPr="00C21A6F">
        <w:rPr>
          <w:rFonts w:eastAsiaTheme="minorEastAsia"/>
          <w:lang w:val="fr-CH" w:eastAsia="zh-CN"/>
        </w:rPr>
        <w:t>expérience acquise par l</w:t>
      </w:r>
      <w:r w:rsidR="0066183D" w:rsidRPr="00C21A6F">
        <w:rPr>
          <w:rFonts w:eastAsiaTheme="minorEastAsia"/>
          <w:lang w:val="fr-CH" w:eastAsia="zh-CN"/>
        </w:rPr>
        <w:t>'</w:t>
      </w:r>
      <w:r w:rsidRPr="00C21A6F">
        <w:rPr>
          <w:rFonts w:eastAsiaTheme="minorEastAsia"/>
          <w:lang w:val="fr-CH" w:eastAsia="zh-CN"/>
        </w:rPr>
        <w:t>OACI en tant qu</w:t>
      </w:r>
      <w:r w:rsidR="0066183D" w:rsidRPr="00C21A6F">
        <w:rPr>
          <w:rFonts w:eastAsiaTheme="minorEastAsia"/>
          <w:lang w:val="fr-CH" w:eastAsia="zh-CN"/>
        </w:rPr>
        <w:t>'</w:t>
      </w:r>
      <w:r w:rsidRPr="00C21A6F">
        <w:rPr>
          <w:rFonts w:eastAsiaTheme="minorEastAsia"/>
          <w:lang w:val="fr-CH" w:eastAsia="zh-CN"/>
        </w:rPr>
        <w:t>Autorité de surveillance pour le Registre d</w:t>
      </w:r>
      <w:r w:rsidR="0066183D" w:rsidRPr="00C21A6F">
        <w:rPr>
          <w:rFonts w:eastAsiaTheme="minorEastAsia"/>
          <w:lang w:val="fr-CH" w:eastAsia="zh-CN"/>
        </w:rPr>
        <w:t>'</w:t>
      </w:r>
      <w:r w:rsidRPr="00C21A6F">
        <w:rPr>
          <w:rFonts w:eastAsiaTheme="minorEastAsia"/>
          <w:lang w:val="fr-CH" w:eastAsia="zh-CN"/>
        </w:rPr>
        <w:t>aéronefs, le Secrétariat d</w:t>
      </w:r>
      <w:r w:rsidR="0066183D" w:rsidRPr="00C21A6F">
        <w:rPr>
          <w:rFonts w:eastAsiaTheme="minorEastAsia"/>
          <w:lang w:val="fr-CH" w:eastAsia="zh-CN"/>
        </w:rPr>
        <w:t>'</w:t>
      </w:r>
      <w:r w:rsidRPr="00C21A6F">
        <w:rPr>
          <w:rFonts w:eastAsiaTheme="minorEastAsia"/>
          <w:lang w:val="fr-CH" w:eastAsia="zh-CN"/>
        </w:rPr>
        <w:t>UNIDROIT a fourni par la suite une note indiquant précisément le rôle de l</w:t>
      </w:r>
      <w:r w:rsidR="0066183D" w:rsidRPr="00C21A6F">
        <w:rPr>
          <w:rFonts w:eastAsiaTheme="minorEastAsia"/>
          <w:lang w:val="fr-CH" w:eastAsia="zh-CN"/>
        </w:rPr>
        <w:t>'</w:t>
      </w:r>
      <w:r w:rsidRPr="00C21A6F">
        <w:rPr>
          <w:rFonts w:eastAsiaTheme="minorEastAsia"/>
          <w:lang w:val="fr-CH" w:eastAsia="zh-CN"/>
        </w:rPr>
        <w:t>Autorité de surveillance (voir l</w:t>
      </w:r>
      <w:r w:rsidR="0066183D" w:rsidRPr="00C21A6F">
        <w:rPr>
          <w:rFonts w:eastAsiaTheme="minorEastAsia"/>
          <w:lang w:val="fr-CH" w:eastAsia="zh-CN"/>
        </w:rPr>
        <w:t>'</w:t>
      </w:r>
      <w:r w:rsidRPr="00C21A6F">
        <w:rPr>
          <w:rFonts w:eastAsiaTheme="minorEastAsia"/>
          <w:lang w:val="fr-CH" w:eastAsia="zh-CN"/>
        </w:rPr>
        <w:t xml:space="preserve">Annexe </w:t>
      </w:r>
      <w:r w:rsidR="00853520" w:rsidRPr="00C21A6F">
        <w:rPr>
          <w:rFonts w:eastAsiaTheme="minorEastAsia"/>
          <w:lang w:val="fr-CH" w:eastAsia="zh-CN"/>
        </w:rPr>
        <w:t>3</w:t>
      </w:r>
      <w:r w:rsidRPr="00C21A6F">
        <w:rPr>
          <w:rFonts w:eastAsiaTheme="minorEastAsia"/>
          <w:lang w:val="fr-CH" w:eastAsia="zh-CN"/>
        </w:rPr>
        <w:t>).</w:t>
      </w:r>
    </w:p>
    <w:p w14:paraId="08ED139D" w14:textId="77777777" w:rsidR="005A665B" w:rsidRPr="00C21A6F" w:rsidRDefault="005A665B" w:rsidP="0066183D">
      <w:pPr>
        <w:pStyle w:val="Heading1"/>
        <w:rPr>
          <w:rFonts w:eastAsiaTheme="minorEastAsia"/>
          <w:lang w:val="fr-CH" w:eastAsia="zh-CN"/>
        </w:rPr>
      </w:pPr>
      <w:r w:rsidRPr="00C21A6F">
        <w:rPr>
          <w:rFonts w:eastAsiaTheme="minorEastAsia"/>
          <w:lang w:val="fr-CH" w:eastAsia="zh-CN"/>
        </w:rPr>
        <w:t>7</w:t>
      </w:r>
      <w:r w:rsidRPr="00C21A6F">
        <w:rPr>
          <w:rFonts w:eastAsiaTheme="minorEastAsia"/>
          <w:lang w:val="fr-CH" w:eastAsia="zh-CN"/>
        </w:rPr>
        <w:tab/>
        <w:t xml:space="preserve">Session de 2014 du Conseil </w:t>
      </w:r>
    </w:p>
    <w:p w14:paraId="0A162A35" w14:textId="19F7416E" w:rsidR="005A665B" w:rsidRPr="00C21A6F" w:rsidRDefault="005A665B" w:rsidP="0066183D">
      <w:pPr>
        <w:rPr>
          <w:rFonts w:eastAsiaTheme="minorEastAsia"/>
          <w:lang w:val="fr-CH" w:eastAsia="zh-CN"/>
        </w:rPr>
      </w:pPr>
      <w:r w:rsidRPr="00C21A6F">
        <w:rPr>
          <w:rFonts w:eastAsiaTheme="minorEastAsia"/>
          <w:lang w:val="fr-CH" w:eastAsia="zh-CN"/>
        </w:rPr>
        <w:t>7.1</w:t>
      </w:r>
      <w:r w:rsidRPr="00C21A6F">
        <w:rPr>
          <w:rFonts w:eastAsiaTheme="minorEastAsia"/>
          <w:lang w:val="fr-CH" w:eastAsia="zh-CN"/>
        </w:rPr>
        <w:tab/>
        <w:t>Compte tenu de la prochaine Conférence de plénipotentiaires, des renseignements détaillés ont été communiqués au Conseil à sa session de 2014 concernant le rôle que pourrait jouer l</w:t>
      </w:r>
      <w:r w:rsidR="0066183D" w:rsidRPr="00C21A6F">
        <w:rPr>
          <w:rFonts w:eastAsiaTheme="minorEastAsia"/>
          <w:lang w:val="fr-CH" w:eastAsia="zh-CN"/>
        </w:rPr>
        <w:t>'</w:t>
      </w:r>
      <w:r w:rsidRPr="00C21A6F">
        <w:rPr>
          <w:rFonts w:eastAsiaTheme="minorEastAsia"/>
          <w:lang w:val="fr-CH" w:eastAsia="zh-CN"/>
        </w:rPr>
        <w:t>UIT en tant qu</w:t>
      </w:r>
      <w:r w:rsidR="0066183D" w:rsidRPr="00C21A6F">
        <w:rPr>
          <w:rFonts w:eastAsiaTheme="minorEastAsia"/>
          <w:lang w:val="fr-CH" w:eastAsia="zh-CN"/>
        </w:rPr>
        <w:t>'</w:t>
      </w:r>
      <w:r w:rsidRPr="00C21A6F">
        <w:rPr>
          <w:rFonts w:eastAsiaTheme="minorEastAsia"/>
          <w:lang w:val="fr-CH" w:eastAsia="zh-CN"/>
        </w:rPr>
        <w:t>Autorité de surveillance du système international d</w:t>
      </w:r>
      <w:r w:rsidR="0066183D" w:rsidRPr="00C21A6F">
        <w:rPr>
          <w:rFonts w:eastAsiaTheme="minorEastAsia"/>
          <w:lang w:val="fr-CH" w:eastAsia="zh-CN"/>
        </w:rPr>
        <w:t>'</w:t>
      </w:r>
      <w:r w:rsidRPr="00C21A6F">
        <w:rPr>
          <w:rFonts w:eastAsiaTheme="minorEastAsia"/>
          <w:lang w:val="fr-CH" w:eastAsia="zh-CN"/>
        </w:rPr>
        <w:t xml:space="preserve">inscription pour les biens spatiaux, conformément au Protocole portant sur les biens spatiaux (voir les Documents </w:t>
      </w:r>
      <w:hyperlink r:id="rId63" w:history="1">
        <w:r w:rsidRPr="00C21A6F">
          <w:rPr>
            <w:rStyle w:val="Hyperlink"/>
            <w:rFonts w:eastAsiaTheme="minorEastAsia" w:cs="Calibri"/>
            <w:b/>
            <w:bCs/>
            <w:szCs w:val="24"/>
            <w:lang w:val="fr-CH" w:eastAsia="zh-CN"/>
          </w:rPr>
          <w:t>C14/13</w:t>
        </w:r>
      </w:hyperlink>
      <w:r w:rsidRPr="00C21A6F">
        <w:rPr>
          <w:rFonts w:eastAsiaTheme="minorEastAsia"/>
          <w:b/>
          <w:bCs/>
          <w:lang w:val="fr-CH" w:eastAsia="zh-CN"/>
        </w:rPr>
        <w:t xml:space="preserve"> </w:t>
      </w:r>
      <w:r w:rsidRPr="00C21A6F">
        <w:rPr>
          <w:rFonts w:eastAsiaTheme="minorEastAsia"/>
          <w:lang w:val="fr-CH" w:eastAsia="zh-CN"/>
        </w:rPr>
        <w:t>et </w:t>
      </w:r>
      <w:hyperlink r:id="rId64" w:history="1">
        <w:r w:rsidRPr="00C21A6F">
          <w:rPr>
            <w:rStyle w:val="Hyperlink"/>
            <w:rFonts w:eastAsiaTheme="minorEastAsia" w:cs="Calibri"/>
            <w:b/>
            <w:bCs/>
            <w:szCs w:val="24"/>
            <w:lang w:val="fr-CH" w:eastAsia="zh-CN"/>
          </w:rPr>
          <w:t>C14/INF/12</w:t>
        </w:r>
      </w:hyperlink>
      <w:r w:rsidRPr="00C21A6F">
        <w:rPr>
          <w:rFonts w:eastAsiaTheme="minorEastAsia"/>
          <w:lang w:val="fr-CH" w:eastAsia="zh-CN"/>
        </w:rPr>
        <w:t>). Il n</w:t>
      </w:r>
      <w:r w:rsidR="0066183D" w:rsidRPr="00C21A6F">
        <w:rPr>
          <w:rFonts w:eastAsiaTheme="minorEastAsia"/>
          <w:lang w:val="fr-CH" w:eastAsia="zh-CN"/>
        </w:rPr>
        <w:t>'</w:t>
      </w:r>
      <w:r w:rsidRPr="00C21A6F">
        <w:rPr>
          <w:rFonts w:eastAsiaTheme="minorEastAsia"/>
          <w:lang w:val="fr-CH" w:eastAsia="zh-CN"/>
        </w:rPr>
        <w:t>en reste pas moins qu</w:t>
      </w:r>
      <w:r w:rsidR="0066183D" w:rsidRPr="00C21A6F">
        <w:rPr>
          <w:rFonts w:eastAsiaTheme="minorEastAsia"/>
          <w:lang w:val="fr-CH" w:eastAsia="zh-CN"/>
        </w:rPr>
        <w:t>'</w:t>
      </w:r>
      <w:r w:rsidRPr="00C21A6F">
        <w:rPr>
          <w:rFonts w:eastAsiaTheme="minorEastAsia"/>
          <w:lang w:val="fr-CH" w:eastAsia="zh-CN"/>
        </w:rPr>
        <w:t xml:space="preserve">il faut encore lever quelques incertitudes avant la PP-14. La question a été soulevée et des observations ont été formulées par les délégués de la République populaire de Chine (voir le Document </w:t>
      </w:r>
      <w:hyperlink r:id="rId65" w:history="1">
        <w:r w:rsidRPr="00C21A6F">
          <w:rPr>
            <w:rStyle w:val="Hyperlink"/>
            <w:rFonts w:eastAsiaTheme="minorEastAsia" w:cs="Calibri"/>
            <w:b/>
            <w:bCs/>
            <w:szCs w:val="24"/>
            <w:lang w:val="fr-CH" w:eastAsia="zh-CN"/>
          </w:rPr>
          <w:t>C14/71</w:t>
        </w:r>
      </w:hyperlink>
      <w:r w:rsidRPr="00C21A6F">
        <w:rPr>
          <w:rFonts w:eastAsiaTheme="minorEastAsia"/>
          <w:lang w:val="fr-CH" w:eastAsia="zh-CN"/>
        </w:rPr>
        <w:t>), du Japon ( voir le Document</w:t>
      </w:r>
      <w:r w:rsidRPr="00C21A6F">
        <w:rPr>
          <w:rFonts w:eastAsiaTheme="minorEastAsia"/>
          <w:b/>
          <w:bCs/>
          <w:lang w:val="fr-CH" w:eastAsia="zh-CN"/>
        </w:rPr>
        <w:t xml:space="preserve"> </w:t>
      </w:r>
      <w:hyperlink r:id="rId66" w:history="1">
        <w:r w:rsidRPr="00C21A6F">
          <w:rPr>
            <w:rStyle w:val="Hyperlink"/>
            <w:rFonts w:eastAsiaTheme="minorEastAsia" w:cs="Calibri"/>
            <w:b/>
            <w:bCs/>
            <w:szCs w:val="24"/>
            <w:lang w:val="fr-CH" w:eastAsia="zh-CN"/>
          </w:rPr>
          <w:t>C14/51</w:t>
        </w:r>
      </w:hyperlink>
      <w:r w:rsidRPr="00C21A6F">
        <w:rPr>
          <w:rFonts w:eastAsiaTheme="minorEastAsia"/>
          <w:lang w:val="fr-CH" w:eastAsia="zh-CN"/>
        </w:rPr>
        <w:t>) et des Etats-Unis d</w:t>
      </w:r>
      <w:r w:rsidR="0066183D" w:rsidRPr="00C21A6F">
        <w:rPr>
          <w:rFonts w:eastAsiaTheme="minorEastAsia"/>
          <w:lang w:val="fr-CH" w:eastAsia="zh-CN"/>
        </w:rPr>
        <w:t>'</w:t>
      </w:r>
      <w:r w:rsidRPr="00C21A6F">
        <w:rPr>
          <w:rFonts w:eastAsiaTheme="minorEastAsia"/>
          <w:lang w:val="fr-CH" w:eastAsia="zh-CN"/>
        </w:rPr>
        <w:t>Amérique (voir le Document</w:t>
      </w:r>
      <w:r w:rsidRPr="00C21A6F">
        <w:rPr>
          <w:rFonts w:eastAsiaTheme="minorEastAsia"/>
          <w:b/>
          <w:bCs/>
          <w:lang w:val="fr-CH" w:eastAsia="zh-CN"/>
        </w:rPr>
        <w:t xml:space="preserve"> </w:t>
      </w:r>
      <w:hyperlink r:id="rId67" w:history="1">
        <w:r w:rsidRPr="00C21A6F">
          <w:rPr>
            <w:rStyle w:val="Hyperlink"/>
            <w:rFonts w:eastAsiaTheme="minorEastAsia" w:cs="Calibri"/>
            <w:b/>
            <w:bCs/>
            <w:szCs w:val="24"/>
            <w:lang w:val="fr-CH" w:eastAsia="zh-CN"/>
          </w:rPr>
          <w:t>C14/65</w:t>
        </w:r>
      </w:hyperlink>
      <w:r w:rsidRPr="00C21A6F">
        <w:rPr>
          <w:rFonts w:eastAsiaTheme="minorEastAsia"/>
          <w:lang w:val="fr-CH" w:eastAsia="zh-CN"/>
        </w:rPr>
        <w:t xml:space="preserve">) ainsi que par des Conseillers lors des sixième et septième séances plénières du Conseil (voir les Documents </w:t>
      </w:r>
      <w:hyperlink r:id="rId68" w:history="1">
        <w:r w:rsidRPr="00C21A6F">
          <w:rPr>
            <w:rStyle w:val="Hyperlink"/>
            <w:rFonts w:eastAsiaTheme="minorEastAsia" w:cs="Calibri"/>
            <w:b/>
            <w:bCs/>
            <w:szCs w:val="24"/>
            <w:lang w:val="fr-CH" w:eastAsia="zh-CN"/>
          </w:rPr>
          <w:t>C14/94</w:t>
        </w:r>
      </w:hyperlink>
      <w:r w:rsidRPr="00C21A6F">
        <w:rPr>
          <w:rFonts w:eastAsiaTheme="minorEastAsia"/>
          <w:lang w:val="fr-CH" w:eastAsia="zh-CN"/>
        </w:rPr>
        <w:t xml:space="preserve"> et </w:t>
      </w:r>
      <w:hyperlink r:id="rId69" w:history="1">
        <w:r w:rsidRPr="00C21A6F">
          <w:rPr>
            <w:rStyle w:val="Hyperlink"/>
            <w:rFonts w:eastAsiaTheme="minorEastAsia" w:cs="Calibri"/>
            <w:b/>
            <w:bCs/>
            <w:szCs w:val="24"/>
            <w:lang w:val="fr-CH" w:eastAsia="zh-CN"/>
          </w:rPr>
          <w:t>C14/96</w:t>
        </w:r>
      </w:hyperlink>
      <w:r w:rsidRPr="00C21A6F">
        <w:rPr>
          <w:rFonts w:eastAsiaTheme="minorEastAsia"/>
          <w:lang w:val="fr-CH" w:eastAsia="zh-CN"/>
        </w:rPr>
        <w:t>).</w:t>
      </w:r>
    </w:p>
    <w:p w14:paraId="0F5DE143" w14:textId="255E8035" w:rsidR="005A665B" w:rsidRPr="00C21A6F" w:rsidRDefault="005A665B" w:rsidP="0066183D">
      <w:pPr>
        <w:rPr>
          <w:rFonts w:eastAsiaTheme="minorEastAsia"/>
          <w:lang w:val="fr-CH" w:eastAsia="zh-CN"/>
        </w:rPr>
      </w:pPr>
      <w:r w:rsidRPr="00C21A6F">
        <w:rPr>
          <w:rFonts w:eastAsiaTheme="minorEastAsia"/>
          <w:lang w:val="fr-CH" w:eastAsia="zh-CN"/>
        </w:rPr>
        <w:t>7.2</w:t>
      </w:r>
      <w:r w:rsidRPr="00C21A6F">
        <w:rPr>
          <w:rFonts w:eastAsiaTheme="minorEastAsia"/>
          <w:lang w:val="fr-CH" w:eastAsia="zh-CN"/>
        </w:rPr>
        <w:tab/>
        <w:t>Les principaux sujets de préoccupation demeurent les conséquences financières, juridiques et techniques de l</w:t>
      </w:r>
      <w:r w:rsidR="0066183D" w:rsidRPr="00C21A6F">
        <w:rPr>
          <w:rFonts w:eastAsiaTheme="minorEastAsia"/>
          <w:lang w:val="fr-CH" w:eastAsia="zh-CN"/>
        </w:rPr>
        <w:t>'</w:t>
      </w:r>
      <w:r w:rsidRPr="00C21A6F">
        <w:rPr>
          <w:rFonts w:eastAsiaTheme="minorEastAsia"/>
          <w:lang w:val="fr-CH" w:eastAsia="zh-CN"/>
        </w:rPr>
        <w:t>exercice par l</w:t>
      </w:r>
      <w:r w:rsidR="0066183D" w:rsidRPr="00C21A6F">
        <w:rPr>
          <w:rFonts w:eastAsiaTheme="minorEastAsia"/>
          <w:lang w:val="fr-CH" w:eastAsia="zh-CN"/>
        </w:rPr>
        <w:t>'</w:t>
      </w:r>
      <w:r w:rsidRPr="00C21A6F">
        <w:rPr>
          <w:rFonts w:eastAsiaTheme="minorEastAsia"/>
          <w:lang w:val="fr-CH" w:eastAsia="zh-CN"/>
        </w:rPr>
        <w:t>UIT des fonctions d</w:t>
      </w:r>
      <w:r w:rsidR="0066183D" w:rsidRPr="00C21A6F">
        <w:rPr>
          <w:rFonts w:eastAsiaTheme="minorEastAsia"/>
          <w:lang w:val="fr-CH" w:eastAsia="zh-CN"/>
        </w:rPr>
        <w:t>'</w:t>
      </w:r>
      <w:r w:rsidRPr="00C21A6F">
        <w:rPr>
          <w:rFonts w:eastAsiaTheme="minorEastAsia"/>
          <w:lang w:val="fr-CH" w:eastAsia="zh-CN"/>
        </w:rPr>
        <w:t>Autorité de surveillance; la corrélation entre les fonctions d</w:t>
      </w:r>
      <w:r w:rsidR="0066183D" w:rsidRPr="00C21A6F">
        <w:rPr>
          <w:rFonts w:eastAsiaTheme="minorEastAsia"/>
          <w:lang w:val="fr-CH" w:eastAsia="zh-CN"/>
        </w:rPr>
        <w:t>'</w:t>
      </w:r>
      <w:r w:rsidRPr="00C21A6F">
        <w:rPr>
          <w:rFonts w:eastAsiaTheme="minorEastAsia"/>
          <w:lang w:val="fr-CH" w:eastAsia="zh-CN"/>
        </w:rPr>
        <w:t>Autorité de surveillance et le mandat de l</w:t>
      </w:r>
      <w:r w:rsidR="0066183D" w:rsidRPr="00C21A6F">
        <w:rPr>
          <w:rFonts w:eastAsiaTheme="minorEastAsia"/>
          <w:lang w:val="fr-CH" w:eastAsia="zh-CN"/>
        </w:rPr>
        <w:t>'</w:t>
      </w:r>
      <w:r w:rsidRPr="00C21A6F">
        <w:rPr>
          <w:rFonts w:eastAsiaTheme="minorEastAsia"/>
          <w:lang w:val="fr-CH" w:eastAsia="zh-CN"/>
        </w:rPr>
        <w:t>UIT, l</w:t>
      </w:r>
      <w:r w:rsidR="0066183D" w:rsidRPr="00C21A6F">
        <w:rPr>
          <w:rFonts w:eastAsiaTheme="minorEastAsia"/>
          <w:lang w:val="fr-CH" w:eastAsia="zh-CN"/>
        </w:rPr>
        <w:t>'</w:t>
      </w:r>
      <w:r w:rsidRPr="00C21A6F">
        <w:rPr>
          <w:rFonts w:eastAsiaTheme="minorEastAsia"/>
          <w:lang w:val="fr-CH" w:eastAsia="zh-CN"/>
        </w:rPr>
        <w:t>immunité de l</w:t>
      </w:r>
      <w:r w:rsidR="0066183D" w:rsidRPr="00C21A6F">
        <w:rPr>
          <w:rFonts w:eastAsiaTheme="minorEastAsia"/>
          <w:lang w:val="fr-CH" w:eastAsia="zh-CN"/>
        </w:rPr>
        <w:t>'</w:t>
      </w:r>
      <w:r w:rsidRPr="00C21A6F">
        <w:rPr>
          <w:rFonts w:eastAsiaTheme="minorEastAsia"/>
          <w:lang w:val="fr-CH" w:eastAsia="zh-CN"/>
        </w:rPr>
        <w:t>UIT, le rôle de l</w:t>
      </w:r>
      <w:r w:rsidR="0066183D" w:rsidRPr="00C21A6F">
        <w:rPr>
          <w:rFonts w:eastAsiaTheme="minorEastAsia"/>
          <w:lang w:val="fr-CH" w:eastAsia="zh-CN"/>
        </w:rPr>
        <w:t>'</w:t>
      </w:r>
      <w:r w:rsidRPr="00C21A6F">
        <w:rPr>
          <w:rFonts w:eastAsiaTheme="minorEastAsia"/>
          <w:lang w:val="fr-CH" w:eastAsia="zh-CN"/>
        </w:rPr>
        <w:t>Union à l</w:t>
      </w:r>
      <w:r w:rsidR="0066183D" w:rsidRPr="00C21A6F">
        <w:rPr>
          <w:rFonts w:eastAsiaTheme="minorEastAsia"/>
          <w:lang w:val="fr-CH" w:eastAsia="zh-CN"/>
        </w:rPr>
        <w:t>'</w:t>
      </w:r>
      <w:r w:rsidRPr="00C21A6F">
        <w:rPr>
          <w:rFonts w:eastAsiaTheme="minorEastAsia"/>
          <w:lang w:val="fr-CH" w:eastAsia="zh-CN"/>
        </w:rPr>
        <w:t>égard du Conservateur, la participation de l</w:t>
      </w:r>
      <w:r w:rsidR="0066183D" w:rsidRPr="00C21A6F">
        <w:rPr>
          <w:rFonts w:eastAsiaTheme="minorEastAsia"/>
          <w:lang w:val="fr-CH" w:eastAsia="zh-CN"/>
        </w:rPr>
        <w:t>'</w:t>
      </w:r>
      <w:r w:rsidRPr="00C21A6F">
        <w:rPr>
          <w:rFonts w:eastAsiaTheme="minorEastAsia"/>
          <w:lang w:val="fr-CH" w:eastAsia="zh-CN"/>
        </w:rPr>
        <w:t>UIT dans le cadre du Protocole portant sur les biens spatiaux ainsi que l</w:t>
      </w:r>
      <w:r w:rsidR="0066183D" w:rsidRPr="00C21A6F">
        <w:rPr>
          <w:rFonts w:eastAsiaTheme="minorEastAsia"/>
          <w:lang w:val="fr-CH" w:eastAsia="zh-CN"/>
        </w:rPr>
        <w:t>'</w:t>
      </w:r>
      <w:r w:rsidRPr="00C21A6F">
        <w:rPr>
          <w:rFonts w:eastAsiaTheme="minorEastAsia"/>
          <w:lang w:val="fr-CH" w:eastAsia="zh-CN"/>
        </w:rPr>
        <w:t>évaluation des incidences que pourrait avoir l</w:t>
      </w:r>
      <w:r w:rsidR="0066183D" w:rsidRPr="00C21A6F">
        <w:rPr>
          <w:rFonts w:eastAsiaTheme="minorEastAsia"/>
          <w:lang w:val="fr-CH" w:eastAsia="zh-CN"/>
        </w:rPr>
        <w:t>'</w:t>
      </w:r>
      <w:r w:rsidRPr="00C21A6F">
        <w:rPr>
          <w:rFonts w:eastAsiaTheme="minorEastAsia"/>
          <w:lang w:val="fr-CH" w:eastAsia="zh-CN"/>
        </w:rPr>
        <w:t>acceptation ou le refus, par l</w:t>
      </w:r>
      <w:r w:rsidR="0066183D" w:rsidRPr="00C21A6F">
        <w:rPr>
          <w:rFonts w:eastAsiaTheme="minorEastAsia"/>
          <w:lang w:val="fr-CH" w:eastAsia="zh-CN"/>
        </w:rPr>
        <w:t>'</w:t>
      </w:r>
      <w:r w:rsidRPr="00C21A6F">
        <w:rPr>
          <w:rFonts w:eastAsiaTheme="minorEastAsia"/>
          <w:lang w:val="fr-CH" w:eastAsia="zh-CN"/>
        </w:rPr>
        <w:t>UIT, de l</w:t>
      </w:r>
      <w:r w:rsidR="0066183D" w:rsidRPr="00C21A6F">
        <w:rPr>
          <w:rFonts w:eastAsiaTheme="minorEastAsia"/>
          <w:lang w:val="fr-CH" w:eastAsia="zh-CN"/>
        </w:rPr>
        <w:t>'</w:t>
      </w:r>
      <w:r w:rsidRPr="00C21A6F">
        <w:rPr>
          <w:rFonts w:eastAsiaTheme="minorEastAsia"/>
          <w:lang w:val="fr-CH" w:eastAsia="zh-CN"/>
        </w:rPr>
        <w:t>exercice des fonctions d</w:t>
      </w:r>
      <w:r w:rsidR="0066183D" w:rsidRPr="00C21A6F">
        <w:rPr>
          <w:rFonts w:eastAsiaTheme="minorEastAsia"/>
          <w:lang w:val="fr-CH" w:eastAsia="zh-CN"/>
        </w:rPr>
        <w:t>'</w:t>
      </w:r>
      <w:r w:rsidRPr="00C21A6F">
        <w:rPr>
          <w:rFonts w:eastAsiaTheme="minorEastAsia"/>
          <w:lang w:val="fr-CH" w:eastAsia="zh-CN"/>
        </w:rPr>
        <w:t>Autorité de surveillance.</w:t>
      </w:r>
    </w:p>
    <w:p w14:paraId="1F978F0C" w14:textId="6E0C0724" w:rsidR="005A665B" w:rsidRPr="00C21A6F" w:rsidRDefault="005A665B" w:rsidP="0066183D">
      <w:pPr>
        <w:rPr>
          <w:rFonts w:eastAsiaTheme="minorEastAsia"/>
          <w:lang w:val="fr-CH" w:eastAsia="zh-CN"/>
        </w:rPr>
      </w:pPr>
      <w:r w:rsidRPr="00C21A6F">
        <w:rPr>
          <w:rFonts w:eastAsiaTheme="minorEastAsia"/>
          <w:lang w:val="fr-CH" w:eastAsia="zh-CN"/>
        </w:rPr>
        <w:t>7.3</w:t>
      </w:r>
      <w:r w:rsidRPr="00C21A6F">
        <w:rPr>
          <w:rFonts w:eastAsiaTheme="minorEastAsia"/>
          <w:lang w:val="fr-CH" w:eastAsia="zh-CN"/>
        </w:rPr>
        <w:tab/>
        <w:t xml:space="preserve">Conformément à ses décisions antérieures, le Conseil à sa session de 2014 a pris note du Document </w:t>
      </w:r>
      <w:hyperlink r:id="rId70" w:history="1">
        <w:r w:rsidRPr="00C21A6F">
          <w:rPr>
            <w:rStyle w:val="Hyperlink"/>
            <w:rFonts w:eastAsiaTheme="minorEastAsia" w:cs="Calibri"/>
            <w:b/>
            <w:bCs/>
            <w:szCs w:val="24"/>
            <w:lang w:val="fr-CH" w:eastAsia="zh-CN"/>
          </w:rPr>
          <w:t>C14/13</w:t>
        </w:r>
      </w:hyperlink>
      <w:r w:rsidRPr="00C21A6F">
        <w:rPr>
          <w:rFonts w:eastAsiaTheme="minorEastAsia"/>
          <w:lang w:val="fr-CH" w:eastAsia="zh-CN"/>
        </w:rPr>
        <w:t xml:space="preserve"> et a autorisé le Secrétaire général à continuer d</w:t>
      </w:r>
      <w:r w:rsidR="0066183D" w:rsidRPr="00C21A6F">
        <w:rPr>
          <w:rFonts w:eastAsiaTheme="minorEastAsia"/>
          <w:lang w:val="fr-CH" w:eastAsia="zh-CN"/>
        </w:rPr>
        <w:t>'</w:t>
      </w:r>
      <w:r w:rsidRPr="00C21A6F">
        <w:rPr>
          <w:rFonts w:eastAsiaTheme="minorEastAsia"/>
          <w:lang w:val="fr-CH" w:eastAsia="zh-CN"/>
        </w:rPr>
        <w:t>exprimer l</w:t>
      </w:r>
      <w:r w:rsidR="0066183D" w:rsidRPr="00C21A6F">
        <w:rPr>
          <w:rFonts w:eastAsiaTheme="minorEastAsia"/>
          <w:lang w:val="fr-CH" w:eastAsia="zh-CN"/>
        </w:rPr>
        <w:t>'</w:t>
      </w:r>
      <w:r w:rsidRPr="00C21A6F">
        <w:rPr>
          <w:rFonts w:eastAsiaTheme="minorEastAsia"/>
          <w:lang w:val="fr-CH" w:eastAsia="zh-CN"/>
        </w:rPr>
        <w:t>intérêt de l</w:t>
      </w:r>
      <w:r w:rsidR="0066183D" w:rsidRPr="00C21A6F">
        <w:rPr>
          <w:rFonts w:eastAsiaTheme="minorEastAsia"/>
          <w:lang w:val="fr-CH" w:eastAsia="zh-CN"/>
        </w:rPr>
        <w:t>'</w:t>
      </w:r>
      <w:r w:rsidRPr="00C21A6F">
        <w:rPr>
          <w:rFonts w:eastAsiaTheme="minorEastAsia"/>
          <w:lang w:val="fr-CH" w:eastAsia="zh-CN"/>
        </w:rPr>
        <w:t>Union pour que cette organisation exerce les fonctions d</w:t>
      </w:r>
      <w:r w:rsidR="0066183D" w:rsidRPr="00C21A6F">
        <w:rPr>
          <w:rFonts w:eastAsiaTheme="minorEastAsia"/>
          <w:lang w:val="fr-CH" w:eastAsia="zh-CN"/>
        </w:rPr>
        <w:t>'</w:t>
      </w:r>
      <w:r w:rsidRPr="00C21A6F">
        <w:rPr>
          <w:rFonts w:eastAsiaTheme="minorEastAsia"/>
          <w:lang w:val="fr-CH" w:eastAsia="zh-CN"/>
        </w:rPr>
        <w:t>Autorité de surveillance, notant qu</w:t>
      </w:r>
      <w:r w:rsidR="0066183D" w:rsidRPr="00C21A6F">
        <w:rPr>
          <w:rFonts w:eastAsiaTheme="minorEastAsia"/>
          <w:lang w:val="fr-CH" w:eastAsia="zh-CN"/>
        </w:rPr>
        <w:t>'</w:t>
      </w:r>
      <w:r w:rsidRPr="00C21A6F">
        <w:rPr>
          <w:rFonts w:eastAsiaTheme="minorEastAsia"/>
          <w:lang w:val="fr-CH" w:eastAsia="zh-CN"/>
        </w:rPr>
        <w:t>il n</w:t>
      </w:r>
      <w:r w:rsidR="0066183D" w:rsidRPr="00C21A6F">
        <w:rPr>
          <w:rFonts w:eastAsiaTheme="minorEastAsia"/>
          <w:lang w:val="fr-CH" w:eastAsia="zh-CN"/>
        </w:rPr>
        <w:t>'</w:t>
      </w:r>
      <w:r w:rsidRPr="00C21A6F">
        <w:rPr>
          <w:rFonts w:eastAsiaTheme="minorEastAsia"/>
          <w:lang w:val="fr-CH" w:eastAsia="zh-CN"/>
        </w:rPr>
        <w:t>y avait pas lieu à ce stade de préjuger la question de savoir si l</w:t>
      </w:r>
      <w:r w:rsidR="0066183D" w:rsidRPr="00C21A6F">
        <w:rPr>
          <w:rFonts w:eastAsiaTheme="minorEastAsia"/>
          <w:lang w:val="fr-CH" w:eastAsia="zh-CN"/>
        </w:rPr>
        <w:t>'</w:t>
      </w:r>
      <w:r w:rsidRPr="00C21A6F">
        <w:rPr>
          <w:rFonts w:eastAsiaTheme="minorEastAsia"/>
          <w:lang w:val="fr-CH" w:eastAsia="zh-CN"/>
        </w:rPr>
        <w:t>UIT pourrait ou non être l</w:t>
      </w:r>
      <w:r w:rsidR="0066183D" w:rsidRPr="00C21A6F">
        <w:rPr>
          <w:rFonts w:eastAsiaTheme="minorEastAsia"/>
          <w:lang w:val="fr-CH" w:eastAsia="zh-CN"/>
        </w:rPr>
        <w:t>'</w:t>
      </w:r>
      <w:r w:rsidRPr="00C21A6F">
        <w:rPr>
          <w:rFonts w:eastAsiaTheme="minorEastAsia"/>
          <w:lang w:val="fr-CH" w:eastAsia="zh-CN"/>
        </w:rPr>
        <w:t>Autorité de surveillance. Il a en outre autorisé le Secrétaire général, ou son représentant, à continuer de participer à titre d</w:t>
      </w:r>
      <w:r w:rsidR="0066183D" w:rsidRPr="00C21A6F">
        <w:rPr>
          <w:rFonts w:eastAsiaTheme="minorEastAsia"/>
          <w:lang w:val="fr-CH" w:eastAsia="zh-CN"/>
        </w:rPr>
        <w:t>'</w:t>
      </w:r>
      <w:r w:rsidRPr="00C21A6F">
        <w:rPr>
          <w:rFonts w:eastAsiaTheme="minorEastAsia"/>
          <w:lang w:val="fr-CH" w:eastAsia="zh-CN"/>
        </w:rPr>
        <w:t>observateur aux travaux de la Commission préparatoire et de ses groupes de travail. De plus, le Conseil a autorisé le Secrétaire général à présenter un rapport sur ce sujet à la PP-14 et à rendre compte de l</w:t>
      </w:r>
      <w:r w:rsidR="0066183D" w:rsidRPr="00C21A6F">
        <w:rPr>
          <w:rFonts w:eastAsiaTheme="minorEastAsia"/>
          <w:lang w:val="fr-CH" w:eastAsia="zh-CN"/>
        </w:rPr>
        <w:t>'</w:t>
      </w:r>
      <w:r w:rsidRPr="00C21A6F">
        <w:rPr>
          <w:rFonts w:eastAsiaTheme="minorEastAsia"/>
          <w:lang w:val="fr-CH" w:eastAsia="zh-CN"/>
        </w:rPr>
        <w:t>état d</w:t>
      </w:r>
      <w:r w:rsidR="0066183D" w:rsidRPr="00C21A6F">
        <w:rPr>
          <w:rFonts w:eastAsiaTheme="minorEastAsia"/>
          <w:lang w:val="fr-CH" w:eastAsia="zh-CN"/>
        </w:rPr>
        <w:t>'</w:t>
      </w:r>
      <w:r w:rsidRPr="00C21A6F">
        <w:rPr>
          <w:rFonts w:eastAsiaTheme="minorEastAsia"/>
          <w:lang w:val="fr-CH" w:eastAsia="zh-CN"/>
        </w:rPr>
        <w:t xml:space="preserve">avancement des travaux à la session de 2015 du Conseil. </w:t>
      </w:r>
    </w:p>
    <w:p w14:paraId="145792AF" w14:textId="2F4560D7" w:rsidR="005A665B" w:rsidRPr="00C21A6F" w:rsidRDefault="005A665B" w:rsidP="0066183D">
      <w:pPr>
        <w:rPr>
          <w:rFonts w:eastAsiaTheme="minorEastAsia"/>
          <w:lang w:val="fr-CH" w:eastAsia="zh-CN"/>
        </w:rPr>
      </w:pPr>
      <w:r w:rsidRPr="00C21A6F">
        <w:rPr>
          <w:rFonts w:eastAsiaTheme="minorEastAsia"/>
          <w:lang w:val="fr-CH" w:eastAsia="zh-CN"/>
        </w:rPr>
        <w:t>7.4</w:t>
      </w:r>
      <w:r w:rsidRPr="00C21A6F">
        <w:rPr>
          <w:rFonts w:eastAsiaTheme="minorEastAsia"/>
          <w:lang w:val="fr-CH" w:eastAsia="zh-CN"/>
        </w:rPr>
        <w:tab/>
        <w:t>Suite à une proposition selon laquelle le Conseil devrait recommander à la PP-14 de prendre une décision en la matière, le Conseil a pris note de la proposition d</w:t>
      </w:r>
      <w:r w:rsidR="0066183D" w:rsidRPr="00C21A6F">
        <w:rPr>
          <w:rFonts w:eastAsiaTheme="minorEastAsia"/>
          <w:lang w:val="fr-CH" w:eastAsia="zh-CN"/>
        </w:rPr>
        <w:t>'</w:t>
      </w:r>
      <w:r w:rsidRPr="00C21A6F">
        <w:rPr>
          <w:rFonts w:eastAsiaTheme="minorEastAsia"/>
          <w:lang w:val="fr-CH" w:eastAsia="zh-CN"/>
        </w:rPr>
        <w:t>un observateur, qui a estimé qu</w:t>
      </w:r>
      <w:r w:rsidR="0066183D" w:rsidRPr="00C21A6F">
        <w:rPr>
          <w:rFonts w:eastAsiaTheme="minorEastAsia"/>
          <w:lang w:val="fr-CH" w:eastAsia="zh-CN"/>
        </w:rPr>
        <w:t>'</w:t>
      </w:r>
      <w:r w:rsidRPr="00C21A6F">
        <w:rPr>
          <w:rFonts w:eastAsiaTheme="minorEastAsia"/>
          <w:lang w:val="fr-CH" w:eastAsia="zh-CN"/>
        </w:rPr>
        <w:t>il serait préférable de recommander à la PP-14 d</w:t>
      </w:r>
      <w:r w:rsidR="0066183D" w:rsidRPr="00C21A6F">
        <w:rPr>
          <w:rFonts w:eastAsiaTheme="minorEastAsia"/>
          <w:lang w:val="fr-CH" w:eastAsia="zh-CN"/>
        </w:rPr>
        <w:t>'</w:t>
      </w:r>
      <w:r w:rsidRPr="00C21A6F">
        <w:rPr>
          <w:rFonts w:eastAsiaTheme="minorEastAsia"/>
          <w:lang w:val="fr-CH" w:eastAsia="zh-CN"/>
        </w:rPr>
        <w:t>examiner la question et de prendre les mesures nécessaires, selon qu</w:t>
      </w:r>
      <w:r w:rsidR="0066183D" w:rsidRPr="00C21A6F">
        <w:rPr>
          <w:rFonts w:eastAsiaTheme="minorEastAsia"/>
          <w:lang w:val="fr-CH" w:eastAsia="zh-CN"/>
        </w:rPr>
        <w:t>'</w:t>
      </w:r>
      <w:r w:rsidRPr="00C21A6F">
        <w:rPr>
          <w:rFonts w:eastAsiaTheme="minorEastAsia"/>
          <w:lang w:val="fr-CH" w:eastAsia="zh-CN"/>
        </w:rPr>
        <w:t xml:space="preserve">il conviendra. </w:t>
      </w:r>
    </w:p>
    <w:p w14:paraId="7EA2F672" w14:textId="6B02665B" w:rsidR="005A665B" w:rsidRPr="00C21A6F" w:rsidRDefault="005A665B" w:rsidP="008C3AF6">
      <w:pPr>
        <w:rPr>
          <w:i/>
          <w:iCs/>
          <w:lang w:val="fr-CH"/>
        </w:rPr>
      </w:pPr>
      <w:r w:rsidRPr="00C21A6F">
        <w:rPr>
          <w:lang w:val="fr-CH"/>
        </w:rPr>
        <w:t>7.5</w:t>
      </w:r>
      <w:r w:rsidRPr="00C21A6F">
        <w:rPr>
          <w:lang w:val="fr-CH"/>
        </w:rPr>
        <w:tab/>
        <w:t>S</w:t>
      </w:r>
      <w:r w:rsidR="0066183D" w:rsidRPr="00C21A6F">
        <w:rPr>
          <w:lang w:val="fr-CH"/>
        </w:rPr>
        <w:t>'</w:t>
      </w:r>
      <w:r w:rsidRPr="00C21A6F">
        <w:rPr>
          <w:lang w:val="fr-CH"/>
        </w:rPr>
        <w:t>agissant des questions soulevées et des commentaires formulés par plusieurs administrations, en particulier les Administrations du Japon, de l</w:t>
      </w:r>
      <w:r w:rsidR="0066183D" w:rsidRPr="00C21A6F">
        <w:rPr>
          <w:lang w:val="fr-CH"/>
        </w:rPr>
        <w:t>'</w:t>
      </w:r>
      <w:r w:rsidRPr="00C21A6F">
        <w:rPr>
          <w:lang w:val="fr-CH"/>
        </w:rPr>
        <w:t>Australie, des Philippines, de l</w:t>
      </w:r>
      <w:r w:rsidR="0066183D" w:rsidRPr="00C21A6F">
        <w:rPr>
          <w:lang w:val="fr-CH"/>
        </w:rPr>
        <w:t>'</w:t>
      </w:r>
      <w:r w:rsidRPr="00C21A6F">
        <w:rPr>
          <w:lang w:val="fr-CH"/>
        </w:rPr>
        <w:t>Allemagne, de la France, de l</w:t>
      </w:r>
      <w:r w:rsidR="0066183D" w:rsidRPr="00C21A6F">
        <w:rPr>
          <w:lang w:val="fr-CH"/>
        </w:rPr>
        <w:t>'</w:t>
      </w:r>
      <w:r w:rsidRPr="00C21A6F">
        <w:rPr>
          <w:lang w:val="fr-CH"/>
        </w:rPr>
        <w:t>Inde, du Mali, du Nigeria, de l</w:t>
      </w:r>
      <w:r w:rsidR="0066183D" w:rsidRPr="00C21A6F">
        <w:rPr>
          <w:lang w:val="fr-CH"/>
        </w:rPr>
        <w:t>'</w:t>
      </w:r>
      <w:r w:rsidRPr="00C21A6F">
        <w:rPr>
          <w:lang w:val="fr-CH"/>
        </w:rPr>
        <w:t>Argentine, de la Suède, de la Chine, de la Turquie et des Etats-Unis d</w:t>
      </w:r>
      <w:r w:rsidR="0066183D" w:rsidRPr="00C21A6F">
        <w:rPr>
          <w:lang w:val="fr-CH"/>
        </w:rPr>
        <w:t>'</w:t>
      </w:r>
      <w:r w:rsidRPr="00C21A6F">
        <w:rPr>
          <w:lang w:val="fr-CH"/>
        </w:rPr>
        <w:t>Amérique, au cours des sessions de 2012, 2013 et 2014 du Conseil, concernant le rôle que pourrait jouer l</w:t>
      </w:r>
      <w:r w:rsidR="0066183D" w:rsidRPr="00C21A6F">
        <w:rPr>
          <w:lang w:val="fr-CH"/>
        </w:rPr>
        <w:t>'</w:t>
      </w:r>
      <w:r w:rsidRPr="00C21A6F">
        <w:rPr>
          <w:lang w:val="fr-CH"/>
        </w:rPr>
        <w:t>UIT en tant qu</w:t>
      </w:r>
      <w:r w:rsidR="0066183D" w:rsidRPr="00C21A6F">
        <w:rPr>
          <w:lang w:val="fr-CH"/>
        </w:rPr>
        <w:t>'</w:t>
      </w:r>
      <w:r w:rsidRPr="00C21A6F">
        <w:rPr>
          <w:lang w:val="fr-CH"/>
        </w:rPr>
        <w:t>Autorité de surveillance du système international d</w:t>
      </w:r>
      <w:r w:rsidR="0066183D" w:rsidRPr="00C21A6F">
        <w:rPr>
          <w:lang w:val="fr-CH"/>
        </w:rPr>
        <w:t>'</w:t>
      </w:r>
      <w:r w:rsidRPr="00C21A6F">
        <w:rPr>
          <w:lang w:val="fr-CH"/>
        </w:rPr>
        <w:t xml:space="preserve">inscription pour les biens spatiaux, le </w:t>
      </w:r>
      <w:r w:rsidR="008C3AF6">
        <w:rPr>
          <w:lang w:val="fr-CH"/>
        </w:rPr>
        <w:t>S</w:t>
      </w:r>
      <w:r w:rsidRPr="00C21A6F">
        <w:rPr>
          <w:lang w:val="fr-CH"/>
        </w:rPr>
        <w:t>ecrétariat a établi un document d</w:t>
      </w:r>
      <w:r w:rsidR="0066183D" w:rsidRPr="00C21A6F">
        <w:rPr>
          <w:lang w:val="fr-CH"/>
        </w:rPr>
        <w:t>'</w:t>
      </w:r>
      <w:r w:rsidRPr="00C21A6F">
        <w:rPr>
          <w:lang w:val="fr-CH"/>
        </w:rPr>
        <w:t xml:space="preserve">information fournissant toutes les informations et précisions nécessaires. </w:t>
      </w:r>
    </w:p>
    <w:p w14:paraId="4CD5806E" w14:textId="57304D39" w:rsidR="005A665B" w:rsidRPr="00C21A6F" w:rsidRDefault="005A665B" w:rsidP="00C21A6F">
      <w:pPr>
        <w:rPr>
          <w:lang w:val="fr-CH"/>
        </w:rPr>
      </w:pPr>
      <w:r w:rsidRPr="00C21A6F">
        <w:rPr>
          <w:lang w:val="fr-CH"/>
        </w:rPr>
        <w:lastRenderedPageBreak/>
        <w:t>7.6</w:t>
      </w:r>
      <w:r w:rsidRPr="00C21A6F">
        <w:rPr>
          <w:lang w:val="fr-CH"/>
        </w:rPr>
        <w:tab/>
        <w:t>Afin que le Secrétaire général de l</w:t>
      </w:r>
      <w:r w:rsidR="0066183D" w:rsidRPr="00C21A6F">
        <w:rPr>
          <w:lang w:val="fr-CH"/>
        </w:rPr>
        <w:t>'</w:t>
      </w:r>
      <w:r w:rsidRPr="00C21A6F">
        <w:rPr>
          <w:lang w:val="fr-CH"/>
        </w:rPr>
        <w:t>UIT puisse s</w:t>
      </w:r>
      <w:r w:rsidR="0066183D" w:rsidRPr="00C21A6F">
        <w:rPr>
          <w:lang w:val="fr-CH"/>
        </w:rPr>
        <w:t>'</w:t>
      </w:r>
      <w:r w:rsidRPr="00C21A6F">
        <w:rPr>
          <w:lang w:val="fr-CH"/>
        </w:rPr>
        <w:t>acquitter de cette tâche d</w:t>
      </w:r>
      <w:r w:rsidR="0066183D" w:rsidRPr="00C21A6F">
        <w:rPr>
          <w:lang w:val="fr-CH"/>
        </w:rPr>
        <w:t>'</w:t>
      </w:r>
      <w:r w:rsidRPr="00C21A6F">
        <w:rPr>
          <w:lang w:val="fr-CH"/>
        </w:rPr>
        <w:t>une manière parfaitement transparente, un réseau d</w:t>
      </w:r>
      <w:r w:rsidR="0066183D" w:rsidRPr="00C21A6F">
        <w:rPr>
          <w:lang w:val="fr-CH"/>
        </w:rPr>
        <w:t>'</w:t>
      </w:r>
      <w:r w:rsidRPr="00C21A6F">
        <w:rPr>
          <w:lang w:val="fr-CH"/>
        </w:rPr>
        <w:t>échange en ligne (ShareP</w:t>
      </w:r>
      <w:r w:rsidR="00C21A6F">
        <w:rPr>
          <w:lang w:val="fr-CH"/>
        </w:rPr>
        <w:t xml:space="preserve">oint), ouvert aux Etats Membres </w:t>
      </w:r>
      <w:r w:rsidRPr="00C21A6F">
        <w:rPr>
          <w:lang w:val="fr-CH"/>
        </w:rPr>
        <w:t>du Conseil, a été mis en place, afin de permettre l</w:t>
      </w:r>
      <w:r w:rsidR="0066183D" w:rsidRPr="00C21A6F">
        <w:rPr>
          <w:lang w:val="fr-CH"/>
        </w:rPr>
        <w:t>'</w:t>
      </w:r>
      <w:r w:rsidRPr="00C21A6F">
        <w:rPr>
          <w:lang w:val="fr-CH"/>
        </w:rPr>
        <w:t>échange de renseignements et de commentaires en ligne (lettre DM-12/1031, datée du 15 octobre 2012), à l</w:t>
      </w:r>
      <w:r w:rsidR="0066183D" w:rsidRPr="00C21A6F">
        <w:rPr>
          <w:lang w:val="fr-CH"/>
        </w:rPr>
        <w:t>'</w:t>
      </w:r>
      <w:r w:rsidRPr="00C21A6F">
        <w:rPr>
          <w:lang w:val="fr-CH"/>
        </w:rPr>
        <w:t xml:space="preserve">adresse </w:t>
      </w:r>
      <w:hyperlink r:id="rId71" w:history="1">
        <w:r w:rsidR="00C21A6F" w:rsidRPr="00E16ED5">
          <w:rPr>
            <w:rStyle w:val="Hyperlink"/>
            <w:szCs w:val="24"/>
            <w:lang w:val="fr-CH"/>
          </w:rPr>
          <w:t>https://extranet.itu.int/ITU</w:t>
        </w:r>
        <w:r w:rsidR="00C21A6F" w:rsidRPr="00E16ED5">
          <w:rPr>
            <w:rStyle w:val="Hyperlink"/>
            <w:szCs w:val="24"/>
            <w:lang w:val="fr-CH"/>
          </w:rPr>
          <w:noBreakHyphen/>
          <w:t>R/space-assets</w:t>
        </w:r>
      </w:hyperlink>
      <w:r w:rsidRPr="00C21A6F">
        <w:rPr>
          <w:lang w:val="fr-CH"/>
        </w:rPr>
        <w:t xml:space="preserve">. </w:t>
      </w:r>
    </w:p>
    <w:p w14:paraId="35ACD01B" w14:textId="77777777" w:rsidR="00BD1614" w:rsidRPr="00C21A6F" w:rsidRDefault="005A5C58" w:rsidP="0066183D">
      <w:pPr>
        <w:pStyle w:val="Heading1"/>
        <w:rPr>
          <w:lang w:val="fr-CH"/>
        </w:rPr>
      </w:pPr>
      <w:r w:rsidRPr="00C21A6F">
        <w:rPr>
          <w:lang w:val="fr-CH"/>
        </w:rPr>
        <w:t>8</w:t>
      </w:r>
      <w:r w:rsidRPr="00C21A6F">
        <w:rPr>
          <w:lang w:val="fr-CH"/>
        </w:rPr>
        <w:tab/>
        <w:t>Commission préparatoire (Rome, troisième session, 11-12 septembre 2014)</w:t>
      </w:r>
    </w:p>
    <w:p w14:paraId="41B874F9" w14:textId="3467952A" w:rsidR="005A5C58" w:rsidRPr="00C21A6F" w:rsidRDefault="005A5C58" w:rsidP="0066183D">
      <w:pPr>
        <w:rPr>
          <w:lang w:val="fr-CH"/>
        </w:rPr>
      </w:pPr>
      <w:r w:rsidRPr="00C21A6F">
        <w:rPr>
          <w:lang w:val="fr-CH"/>
        </w:rPr>
        <w:t>8.1</w:t>
      </w:r>
      <w:r w:rsidRPr="00C21A6F">
        <w:rPr>
          <w:lang w:val="fr-CH"/>
        </w:rPr>
        <w:tab/>
        <w:t>La troisième session de la Commission préparatoire chargée de l</w:t>
      </w:r>
      <w:r w:rsidR="0066183D" w:rsidRPr="00C21A6F">
        <w:rPr>
          <w:lang w:val="fr-CH"/>
        </w:rPr>
        <w:t>'</w:t>
      </w:r>
      <w:r w:rsidRPr="00C21A6F">
        <w:rPr>
          <w:lang w:val="fr-CH"/>
        </w:rPr>
        <w:t>établissement du Registre international pour les biens spatiaux conformément au Protocole portant sur les biens spatiaux s</w:t>
      </w:r>
      <w:r w:rsidR="0066183D" w:rsidRPr="00C21A6F">
        <w:rPr>
          <w:lang w:val="fr-CH"/>
        </w:rPr>
        <w:t>'</w:t>
      </w:r>
      <w:r w:rsidRPr="00C21A6F">
        <w:rPr>
          <w:lang w:val="fr-CH"/>
        </w:rPr>
        <w:t>est tenue au siège d</w:t>
      </w:r>
      <w:r w:rsidR="0066183D" w:rsidRPr="00C21A6F">
        <w:rPr>
          <w:lang w:val="fr-CH"/>
        </w:rPr>
        <w:t>'</w:t>
      </w:r>
      <w:r w:rsidRPr="00C21A6F">
        <w:rPr>
          <w:lang w:val="fr-CH"/>
        </w:rPr>
        <w:t>UNIDROIT à Rome les 11 et 12 septembre 2014. L</w:t>
      </w:r>
      <w:r w:rsidR="0066183D" w:rsidRPr="00C21A6F">
        <w:rPr>
          <w:lang w:val="fr-CH"/>
        </w:rPr>
        <w:t>'</w:t>
      </w:r>
      <w:r w:rsidRPr="00C21A6F">
        <w:rPr>
          <w:lang w:val="fr-CH"/>
        </w:rPr>
        <w:t>essentiel des débats a porté sur les questions en suspens concernant le projet révisé de Règlement sur les biens spatiaux établi par M. Roy Goode, sur les observations soumises par les administrations et sur un projet de demande de propositions concernant la sélection d</w:t>
      </w:r>
      <w:r w:rsidR="0066183D" w:rsidRPr="00C21A6F">
        <w:rPr>
          <w:lang w:val="fr-CH"/>
        </w:rPr>
        <w:t>'</w:t>
      </w:r>
      <w:r w:rsidRPr="00C21A6F">
        <w:rPr>
          <w:lang w:val="fr-CH"/>
        </w:rPr>
        <w:t>un Conservateur du Registre international pour les biens spatiaux.</w:t>
      </w:r>
    </w:p>
    <w:p w14:paraId="5C6C5424" w14:textId="45124B4F" w:rsidR="005A5C58" w:rsidRPr="00C21A6F" w:rsidRDefault="005A5C58" w:rsidP="0066183D">
      <w:pPr>
        <w:rPr>
          <w:lang w:val="fr-CH"/>
        </w:rPr>
      </w:pPr>
      <w:r w:rsidRPr="00C21A6F">
        <w:rPr>
          <w:lang w:val="fr-CH"/>
        </w:rPr>
        <w:t>8.2</w:t>
      </w:r>
      <w:r w:rsidRPr="00C21A6F">
        <w:rPr>
          <w:lang w:val="fr-CH"/>
        </w:rPr>
        <w:tab/>
        <w:t>Les travaux relatifs au Règlement sur les biens spatiaux ont bien avancé et en ce qui concerne la dernière question qui restait en suspens, à savoir les catégories de biens spatiaux autres que les engins spatiaux susceptibles d</w:t>
      </w:r>
      <w:r w:rsidR="0066183D" w:rsidRPr="00C21A6F">
        <w:rPr>
          <w:lang w:val="fr-CH"/>
        </w:rPr>
        <w:t>'</w:t>
      </w:r>
      <w:r w:rsidRPr="00C21A6F">
        <w:rPr>
          <w:lang w:val="fr-CH"/>
        </w:rPr>
        <w:t>être inscrits, un Groupe de travail par correspondance a été institué et devra terminer ses travaux d</w:t>
      </w:r>
      <w:r w:rsidR="0066183D" w:rsidRPr="00C21A6F">
        <w:rPr>
          <w:lang w:val="fr-CH"/>
        </w:rPr>
        <w:t>'</w:t>
      </w:r>
      <w:r w:rsidRPr="00C21A6F">
        <w:rPr>
          <w:lang w:val="fr-CH"/>
        </w:rPr>
        <w:t>ici à la mi-décembre 2014. L</w:t>
      </w:r>
      <w:r w:rsidR="0066183D" w:rsidRPr="00C21A6F">
        <w:rPr>
          <w:lang w:val="fr-CH"/>
        </w:rPr>
        <w:t>'</w:t>
      </w:r>
      <w:r w:rsidRPr="00C21A6F">
        <w:rPr>
          <w:lang w:val="fr-CH"/>
        </w:rPr>
        <w:t>examen de la question de la détermination des tarifs afférents à l</w:t>
      </w:r>
      <w:r w:rsidR="0066183D" w:rsidRPr="00C21A6F">
        <w:rPr>
          <w:lang w:val="fr-CH"/>
        </w:rPr>
        <w:t>'</w:t>
      </w:r>
      <w:r w:rsidRPr="00C21A6F">
        <w:rPr>
          <w:lang w:val="fr-CH"/>
        </w:rPr>
        <w:t>utilisation des services du Registre international a été reporté à un stade ultérieur des discussions, en vue éventuellement de faire figurer cette question dans les Règles de procédure qui seront établies une fois le Règlement élaboré.</w:t>
      </w:r>
    </w:p>
    <w:p w14:paraId="42E4C132" w14:textId="284F83C6" w:rsidR="005A5C58" w:rsidRPr="00C21A6F" w:rsidRDefault="005A5C58" w:rsidP="0066183D">
      <w:pPr>
        <w:rPr>
          <w:lang w:val="fr-CH"/>
        </w:rPr>
      </w:pPr>
      <w:r w:rsidRPr="00C21A6F">
        <w:rPr>
          <w:lang w:val="fr-CH"/>
        </w:rPr>
        <w:t>8.3</w:t>
      </w:r>
      <w:r w:rsidRPr="00C21A6F">
        <w:rPr>
          <w:lang w:val="fr-CH"/>
        </w:rPr>
        <w:tab/>
        <w:t>S</w:t>
      </w:r>
      <w:r w:rsidR="0066183D" w:rsidRPr="00C21A6F">
        <w:rPr>
          <w:lang w:val="fr-CH"/>
        </w:rPr>
        <w:t>'</w:t>
      </w:r>
      <w:r w:rsidRPr="00C21A6F">
        <w:rPr>
          <w:lang w:val="fr-CH"/>
        </w:rPr>
        <w:t>agissant des questions relatives à la sélection d</w:t>
      </w:r>
      <w:r w:rsidR="0066183D" w:rsidRPr="00C21A6F">
        <w:rPr>
          <w:lang w:val="fr-CH"/>
        </w:rPr>
        <w:t>'</w:t>
      </w:r>
      <w:r w:rsidRPr="00C21A6F">
        <w:rPr>
          <w:lang w:val="fr-CH"/>
        </w:rPr>
        <w:t xml:space="preserve">un Conservateur </w:t>
      </w:r>
      <w:r w:rsidRPr="00C21A6F">
        <w:rPr>
          <w:color w:val="000000"/>
          <w:lang w:val="fr-CH"/>
        </w:rPr>
        <w:t>du Registre</w:t>
      </w:r>
      <w:r w:rsidRPr="00C21A6F">
        <w:rPr>
          <w:lang w:val="fr-CH"/>
        </w:rPr>
        <w:t>, les membres de la Commission ont examiné un avant</w:t>
      </w:r>
      <w:r w:rsidRPr="00C21A6F">
        <w:rPr>
          <w:lang w:val="fr-CH"/>
        </w:rPr>
        <w:noBreakHyphen/>
        <w:t>projet d</w:t>
      </w:r>
      <w:r w:rsidR="0066183D" w:rsidRPr="00C21A6F">
        <w:rPr>
          <w:lang w:val="fr-CH"/>
        </w:rPr>
        <w:t>'</w:t>
      </w:r>
      <w:r w:rsidRPr="00C21A6F">
        <w:rPr>
          <w:lang w:val="fr-CH"/>
        </w:rPr>
        <w:t>invitation à participer aux sollicitations pour le Registre international pour les biens spatiaux. Compte tenu des commentaires formulés pendant les débats, un nouveau projet de texte sera distribué d</w:t>
      </w:r>
      <w:r w:rsidR="0066183D" w:rsidRPr="00C21A6F">
        <w:rPr>
          <w:lang w:val="fr-CH"/>
        </w:rPr>
        <w:t>'</w:t>
      </w:r>
      <w:r w:rsidRPr="00C21A6F">
        <w:rPr>
          <w:lang w:val="fr-CH"/>
        </w:rPr>
        <w:t>ici au début de l</w:t>
      </w:r>
      <w:r w:rsidR="0066183D" w:rsidRPr="00C21A6F">
        <w:rPr>
          <w:lang w:val="fr-CH"/>
        </w:rPr>
        <w:t>'</w:t>
      </w:r>
      <w:r w:rsidRPr="00C21A6F">
        <w:rPr>
          <w:lang w:val="fr-CH"/>
        </w:rPr>
        <w:t>année prochaine, afin d</w:t>
      </w:r>
      <w:r w:rsidR="0066183D" w:rsidRPr="00C21A6F">
        <w:rPr>
          <w:lang w:val="fr-CH"/>
        </w:rPr>
        <w:t>'</w:t>
      </w:r>
      <w:r w:rsidRPr="00C21A6F">
        <w:rPr>
          <w:lang w:val="fr-CH"/>
        </w:rPr>
        <w:t>inviter les parties intéressées à soumettre leurs offres, qui devront être envoyées en bonne et due forme ultérieurement en 2015.</w:t>
      </w:r>
    </w:p>
    <w:p w14:paraId="5CD46604" w14:textId="4BAF054B" w:rsidR="005A5C58" w:rsidRPr="00C21A6F" w:rsidRDefault="005A5C58" w:rsidP="0066183D">
      <w:pPr>
        <w:rPr>
          <w:rFonts w:eastAsia="SimSun"/>
          <w:lang w:val="fr-CH" w:eastAsia="zh-CN"/>
        </w:rPr>
      </w:pPr>
      <w:r w:rsidRPr="00C21A6F">
        <w:rPr>
          <w:lang w:val="fr-CH"/>
        </w:rPr>
        <w:t>8.4</w:t>
      </w:r>
      <w:r w:rsidRPr="00C21A6F">
        <w:rPr>
          <w:lang w:val="fr-CH"/>
        </w:rPr>
        <w:tab/>
      </w:r>
      <w:r w:rsidRPr="00C21A6F">
        <w:rPr>
          <w:rFonts w:eastAsia="SimSun"/>
          <w:lang w:val="fr-CH" w:eastAsia="zh-CN"/>
        </w:rPr>
        <w:t>La Commission préparatoire a indiqué qu</w:t>
      </w:r>
      <w:r w:rsidR="0066183D" w:rsidRPr="00C21A6F">
        <w:rPr>
          <w:rFonts w:eastAsia="SimSun"/>
          <w:lang w:val="fr-CH" w:eastAsia="zh-CN"/>
        </w:rPr>
        <w:t>'</w:t>
      </w:r>
      <w:r w:rsidRPr="00C21A6F">
        <w:rPr>
          <w:rFonts w:eastAsia="SimSun"/>
          <w:lang w:val="fr-CH" w:eastAsia="zh-CN"/>
        </w:rPr>
        <w:t>elle poursuivait ses travaux en partant de l</w:t>
      </w:r>
      <w:r w:rsidR="0066183D" w:rsidRPr="00C21A6F">
        <w:rPr>
          <w:rFonts w:eastAsia="SimSun"/>
          <w:lang w:val="fr-CH" w:eastAsia="zh-CN"/>
        </w:rPr>
        <w:t>'</w:t>
      </w:r>
      <w:r w:rsidRPr="00C21A6F">
        <w:rPr>
          <w:rFonts w:eastAsia="SimSun"/>
          <w:lang w:val="fr-CH" w:eastAsia="zh-CN"/>
        </w:rPr>
        <w:t>hypothèse que l</w:t>
      </w:r>
      <w:r w:rsidR="0066183D" w:rsidRPr="00C21A6F">
        <w:rPr>
          <w:rFonts w:eastAsia="SimSun"/>
          <w:lang w:val="fr-CH" w:eastAsia="zh-CN"/>
        </w:rPr>
        <w:t>'</w:t>
      </w:r>
      <w:r w:rsidRPr="00C21A6F">
        <w:rPr>
          <w:rFonts w:eastAsia="SimSun"/>
          <w:lang w:val="fr-CH" w:eastAsia="zh-CN"/>
        </w:rPr>
        <w:t>UIT accepterait en définitive de remplir les fonctions d</w:t>
      </w:r>
      <w:r w:rsidR="0066183D" w:rsidRPr="00C21A6F">
        <w:rPr>
          <w:rFonts w:eastAsia="SimSun"/>
          <w:lang w:val="fr-CH" w:eastAsia="zh-CN"/>
        </w:rPr>
        <w:t>'</w:t>
      </w:r>
      <w:r w:rsidRPr="00C21A6F">
        <w:rPr>
          <w:rFonts w:eastAsia="SimSun"/>
          <w:lang w:val="fr-CH" w:eastAsia="zh-CN"/>
        </w:rPr>
        <w:t>Autorité de surveillance et qu</w:t>
      </w:r>
      <w:r w:rsidR="0066183D" w:rsidRPr="00C21A6F">
        <w:rPr>
          <w:rFonts w:eastAsia="SimSun"/>
          <w:lang w:val="fr-CH" w:eastAsia="zh-CN"/>
        </w:rPr>
        <w:t>'</w:t>
      </w:r>
      <w:r w:rsidRPr="00C21A6F">
        <w:rPr>
          <w:rFonts w:eastAsia="SimSun"/>
          <w:lang w:val="fr-CH" w:eastAsia="zh-CN"/>
        </w:rPr>
        <w:t>il serait prématuré à ce stade de conjecturer sur les autres solutions possibles.</w:t>
      </w:r>
    </w:p>
    <w:p w14:paraId="5B5A92E6" w14:textId="77777777" w:rsidR="005A5C58" w:rsidRPr="00C21A6F" w:rsidRDefault="00976FBE" w:rsidP="0066183D">
      <w:pPr>
        <w:pStyle w:val="Heading1"/>
        <w:rPr>
          <w:lang w:val="fr-CH"/>
        </w:rPr>
      </w:pPr>
      <w:r w:rsidRPr="00C21A6F">
        <w:rPr>
          <w:lang w:val="fr-CH"/>
        </w:rPr>
        <w:t>9</w:t>
      </w:r>
      <w:r w:rsidRPr="00C21A6F">
        <w:rPr>
          <w:lang w:val="fr-CH"/>
        </w:rPr>
        <w:tab/>
        <w:t>Conférence de plénipotentiaires de 2014</w:t>
      </w:r>
    </w:p>
    <w:p w14:paraId="3CC26D87" w14:textId="4A3B0BBE" w:rsidR="00F42451" w:rsidRPr="00C21A6F" w:rsidRDefault="00976FBE" w:rsidP="00BD1CEE">
      <w:pPr>
        <w:rPr>
          <w:lang w:val="fr-CH"/>
        </w:rPr>
      </w:pPr>
      <w:r w:rsidRPr="00C21A6F">
        <w:rPr>
          <w:lang w:val="fr-CH"/>
        </w:rPr>
        <w:t>9.1</w:t>
      </w:r>
      <w:r w:rsidRPr="00C21A6F">
        <w:rPr>
          <w:lang w:val="fr-CH"/>
        </w:rPr>
        <w:tab/>
      </w:r>
      <w:r w:rsidR="00BD1CEE" w:rsidRPr="00C21A6F">
        <w:rPr>
          <w:lang w:val="fr-CH"/>
        </w:rPr>
        <w:t>Compte tenu</w:t>
      </w:r>
      <w:r w:rsidR="00EC58D1" w:rsidRPr="00C21A6F">
        <w:rPr>
          <w:lang w:val="fr-CH"/>
        </w:rPr>
        <w:t xml:space="preserve"> du </w:t>
      </w:r>
      <w:r w:rsidRPr="00C21A6F">
        <w:rPr>
          <w:lang w:val="fr-CH"/>
        </w:rPr>
        <w:t xml:space="preserve">Document 62 </w:t>
      </w:r>
      <w:r w:rsidR="00EC58D1" w:rsidRPr="00C21A6F">
        <w:rPr>
          <w:lang w:val="fr-CH"/>
        </w:rPr>
        <w:t>et de son</w:t>
      </w:r>
      <w:r w:rsidRPr="00C21A6F">
        <w:rPr>
          <w:lang w:val="fr-CH"/>
        </w:rPr>
        <w:t xml:space="preserve"> Addendum 1</w:t>
      </w:r>
      <w:r w:rsidR="00BD1CEE" w:rsidRPr="00C21A6F">
        <w:rPr>
          <w:lang w:val="fr-CH"/>
        </w:rPr>
        <w:t>,</w:t>
      </w:r>
      <w:r w:rsidRPr="00C21A6F">
        <w:rPr>
          <w:lang w:val="fr-CH"/>
        </w:rPr>
        <w:t xml:space="preserve"> </w:t>
      </w:r>
      <w:r w:rsidR="00EC58D1" w:rsidRPr="00C21A6F">
        <w:rPr>
          <w:lang w:val="fr-CH"/>
        </w:rPr>
        <w:t>et apr</w:t>
      </w:r>
      <w:r w:rsidR="001B55B4" w:rsidRPr="00C21A6F">
        <w:rPr>
          <w:lang w:val="fr-CH"/>
        </w:rPr>
        <w:t xml:space="preserve">ès </w:t>
      </w:r>
      <w:r w:rsidR="00BD1CEE" w:rsidRPr="00C21A6F">
        <w:rPr>
          <w:lang w:val="fr-CH"/>
        </w:rPr>
        <w:t>avoir examiné les</w:t>
      </w:r>
      <w:r w:rsidR="001B55B4" w:rsidRPr="00C21A6F">
        <w:rPr>
          <w:lang w:val="fr-CH"/>
        </w:rPr>
        <w:t xml:space="preserve"> informations figurant dans le</w:t>
      </w:r>
      <w:r w:rsidRPr="00C21A6F">
        <w:rPr>
          <w:lang w:val="fr-CH"/>
        </w:rPr>
        <w:t xml:space="preserve"> Document INF/1, </w:t>
      </w:r>
      <w:r w:rsidR="00EC58D1" w:rsidRPr="00C21A6F">
        <w:rPr>
          <w:lang w:val="fr-CH"/>
        </w:rPr>
        <w:t>la Conférence a approuvé la R</w:t>
      </w:r>
      <w:r w:rsidR="00EC58D1" w:rsidRPr="00C21A6F">
        <w:rPr>
          <w:szCs w:val="24"/>
          <w:lang w:val="fr-CH"/>
        </w:rPr>
        <w:t xml:space="preserve">ecommandation 2 </w:t>
      </w:r>
      <w:r w:rsidR="00BD1CEE" w:rsidRPr="00C21A6F">
        <w:rPr>
          <w:szCs w:val="24"/>
          <w:lang w:val="fr-CH"/>
        </w:rPr>
        <w:t>ci</w:t>
      </w:r>
      <w:r w:rsidR="00BD1CEE" w:rsidRPr="00C21A6F">
        <w:rPr>
          <w:szCs w:val="24"/>
          <w:lang w:val="fr-CH"/>
        </w:rPr>
        <w:noBreakHyphen/>
        <w:t>après</w:t>
      </w:r>
      <w:r w:rsidR="00EC58D1" w:rsidRPr="00C21A6F">
        <w:rPr>
          <w:szCs w:val="24"/>
          <w:lang w:val="fr-CH"/>
        </w:rPr>
        <w:t xml:space="preserve"> de la Commission 5</w:t>
      </w:r>
      <w:r w:rsidRPr="00C21A6F">
        <w:rPr>
          <w:szCs w:val="24"/>
          <w:lang w:val="fr-CH"/>
        </w:rPr>
        <w:t>:</w:t>
      </w:r>
    </w:p>
    <w:p w14:paraId="09F0A412" w14:textId="1AA44453" w:rsidR="00F42451" w:rsidRPr="00C21A6F" w:rsidRDefault="00976FBE" w:rsidP="0066183D">
      <w:pPr>
        <w:ind w:left="567"/>
        <w:rPr>
          <w:lang w:val="fr-CH"/>
        </w:rPr>
      </w:pPr>
      <w:r w:rsidRPr="00C21A6F">
        <w:rPr>
          <w:szCs w:val="24"/>
          <w:lang w:val="fr-CH"/>
        </w:rPr>
        <w:t>"</w:t>
      </w:r>
      <w:r w:rsidRPr="00C21A6F">
        <w:rPr>
          <w:u w:val="single"/>
          <w:lang w:val="fr-CH"/>
        </w:rPr>
        <w:t>Recommandation 2</w:t>
      </w:r>
      <w:r w:rsidRPr="00C21A6F">
        <w:rPr>
          <w:lang w:val="fr-CH"/>
        </w:rPr>
        <w:t>: La Commission 5 recommande que le Conseil continue de suivre les éventuels faits nouveaux concernant cette question et que le Secrétariat continue de faire part de l</w:t>
      </w:r>
      <w:r w:rsidR="0066183D" w:rsidRPr="00C21A6F">
        <w:rPr>
          <w:lang w:val="fr-CH"/>
        </w:rPr>
        <w:t>'</w:t>
      </w:r>
      <w:r w:rsidRPr="00C21A6F">
        <w:rPr>
          <w:lang w:val="fr-CH"/>
        </w:rPr>
        <w:t>intérêt manifesté par l</w:t>
      </w:r>
      <w:r w:rsidR="0066183D" w:rsidRPr="00C21A6F">
        <w:rPr>
          <w:lang w:val="fr-CH"/>
        </w:rPr>
        <w:t>'</w:t>
      </w:r>
      <w:r w:rsidRPr="00C21A6F">
        <w:rPr>
          <w:lang w:val="fr-CH"/>
        </w:rPr>
        <w:t>UIT pour devenir l</w:t>
      </w:r>
      <w:r w:rsidR="0066183D" w:rsidRPr="00C21A6F">
        <w:rPr>
          <w:lang w:val="fr-CH"/>
        </w:rPr>
        <w:t>'</w:t>
      </w:r>
      <w:r w:rsidRPr="00C21A6F">
        <w:rPr>
          <w:lang w:val="fr-CH"/>
        </w:rPr>
        <w:t>Autorité de surveillance et réponde aux questions que pourront soulever les Etats Membres entre aujourd</w:t>
      </w:r>
      <w:r w:rsidR="0066183D" w:rsidRPr="00C21A6F">
        <w:rPr>
          <w:lang w:val="fr-CH"/>
        </w:rPr>
        <w:t>'</w:t>
      </w:r>
      <w:r w:rsidRPr="00C21A6F">
        <w:rPr>
          <w:lang w:val="fr-CH"/>
        </w:rPr>
        <w:t>hui et la prochaine Conférence de plénipotentiaires."</w:t>
      </w:r>
    </w:p>
    <w:p w14:paraId="6FD2F9B6" w14:textId="77777777" w:rsidR="00F42451" w:rsidRPr="00C21A6F" w:rsidRDefault="00976FBE" w:rsidP="0066183D">
      <w:pPr>
        <w:pStyle w:val="Heading1"/>
        <w:rPr>
          <w:lang w:val="fr-CH"/>
        </w:rPr>
      </w:pPr>
      <w:r w:rsidRPr="00C21A6F">
        <w:rPr>
          <w:lang w:val="fr-CH"/>
        </w:rPr>
        <w:lastRenderedPageBreak/>
        <w:t>10</w:t>
      </w:r>
      <w:r w:rsidRPr="00C21A6F">
        <w:rPr>
          <w:lang w:val="fr-CH"/>
        </w:rPr>
        <w:tab/>
        <w:t>Session de 2015 du Conseil</w:t>
      </w:r>
    </w:p>
    <w:p w14:paraId="0BC2BDA5" w14:textId="24CAE154" w:rsidR="00F42451" w:rsidRPr="00C21A6F" w:rsidRDefault="00976FBE" w:rsidP="00BD1CEE">
      <w:pPr>
        <w:rPr>
          <w:lang w:val="fr-CH"/>
        </w:rPr>
      </w:pPr>
      <w:r w:rsidRPr="00C21A6F">
        <w:rPr>
          <w:lang w:val="fr-CH"/>
        </w:rPr>
        <w:t>10.1</w:t>
      </w:r>
      <w:r w:rsidRPr="00C21A6F">
        <w:rPr>
          <w:lang w:val="fr-CH"/>
        </w:rPr>
        <w:tab/>
      </w:r>
      <w:r w:rsidR="00E1297A" w:rsidRPr="00C21A6F">
        <w:rPr>
          <w:lang w:val="fr-CH"/>
        </w:rPr>
        <w:t>L</w:t>
      </w:r>
      <w:r w:rsidR="00BD1CEE" w:rsidRPr="00C21A6F">
        <w:rPr>
          <w:lang w:val="fr-CH"/>
        </w:rPr>
        <w:t>e Conseil a rappelé la</w:t>
      </w:r>
      <w:r w:rsidR="00E1297A" w:rsidRPr="00C21A6F">
        <w:rPr>
          <w:lang w:val="fr-CH"/>
        </w:rPr>
        <w:t xml:space="preserve"> </w:t>
      </w:r>
      <w:r w:rsidR="00D71201" w:rsidRPr="00C21A6F">
        <w:rPr>
          <w:lang w:val="fr-CH"/>
        </w:rPr>
        <w:t>dé</w:t>
      </w:r>
      <w:r w:rsidR="00E1297A" w:rsidRPr="00C21A6F">
        <w:rPr>
          <w:lang w:val="fr-CH"/>
        </w:rPr>
        <w:t>cision prise par la PP-14</w:t>
      </w:r>
      <w:r w:rsidRPr="00C21A6F">
        <w:rPr>
          <w:lang w:val="fr-CH"/>
        </w:rPr>
        <w:t xml:space="preserve">. </w:t>
      </w:r>
      <w:r w:rsidR="00BD1CEE" w:rsidRPr="00C21A6F">
        <w:rPr>
          <w:szCs w:val="24"/>
          <w:lang w:val="fr-CH"/>
        </w:rPr>
        <w:t>De plus</w:t>
      </w:r>
      <w:r w:rsidR="00E1297A" w:rsidRPr="00C21A6F">
        <w:rPr>
          <w:szCs w:val="24"/>
          <w:lang w:val="fr-CH"/>
        </w:rPr>
        <w:t xml:space="preserve">, </w:t>
      </w:r>
      <w:r w:rsidR="008A255A" w:rsidRPr="00C21A6F">
        <w:rPr>
          <w:szCs w:val="24"/>
          <w:lang w:val="fr-CH"/>
        </w:rPr>
        <w:t>un rapport de la</w:t>
      </w:r>
      <w:r w:rsidR="00995B16" w:rsidRPr="00C21A6F">
        <w:rPr>
          <w:szCs w:val="24"/>
          <w:lang w:val="fr-CH"/>
        </w:rPr>
        <w:t xml:space="preserve"> troisième session de la Commission préparatoire chargée de l</w:t>
      </w:r>
      <w:r w:rsidR="0066183D" w:rsidRPr="00C21A6F">
        <w:rPr>
          <w:szCs w:val="24"/>
          <w:lang w:val="fr-CH"/>
        </w:rPr>
        <w:t>'</w:t>
      </w:r>
      <w:r w:rsidR="00995B16" w:rsidRPr="00C21A6F">
        <w:rPr>
          <w:szCs w:val="24"/>
          <w:lang w:val="fr-CH"/>
        </w:rPr>
        <w:t xml:space="preserve">établissement du Registre international pour les biens spatiaux (septembre 2014), </w:t>
      </w:r>
      <w:r w:rsidR="00D71201" w:rsidRPr="00C21A6F">
        <w:rPr>
          <w:szCs w:val="24"/>
          <w:lang w:val="fr-CH"/>
        </w:rPr>
        <w:t>a été présenté</w:t>
      </w:r>
      <w:r w:rsidR="00561C14" w:rsidRPr="00C21A6F">
        <w:rPr>
          <w:szCs w:val="24"/>
          <w:lang w:val="fr-CH"/>
        </w:rPr>
        <w:t>:</w:t>
      </w:r>
      <w:r w:rsidR="00D71201" w:rsidRPr="00C21A6F">
        <w:rPr>
          <w:szCs w:val="24"/>
          <w:lang w:val="fr-CH"/>
        </w:rPr>
        <w:t xml:space="preserve"> </w:t>
      </w:r>
      <w:r w:rsidR="00D71201" w:rsidRPr="00C21A6F">
        <w:rPr>
          <w:lang w:val="fr-CH"/>
        </w:rPr>
        <w:t xml:space="preserve">la Commission </w:t>
      </w:r>
      <w:r w:rsidR="00995B16" w:rsidRPr="00C21A6F">
        <w:rPr>
          <w:lang w:val="fr-CH"/>
        </w:rPr>
        <w:t xml:space="preserve">a </w:t>
      </w:r>
      <w:r w:rsidR="00BD1CEE" w:rsidRPr="00C21A6F">
        <w:rPr>
          <w:lang w:val="fr-CH"/>
        </w:rPr>
        <w:t>essentiellement examiné</w:t>
      </w:r>
      <w:r w:rsidR="00995B16" w:rsidRPr="00C21A6F">
        <w:rPr>
          <w:lang w:val="fr-CH"/>
        </w:rPr>
        <w:t xml:space="preserve"> les questions en suspens </w:t>
      </w:r>
      <w:r w:rsidR="00BD1CEE" w:rsidRPr="00C21A6F">
        <w:rPr>
          <w:lang w:val="fr-CH"/>
        </w:rPr>
        <w:t>relatives au</w:t>
      </w:r>
      <w:r w:rsidR="00995B16" w:rsidRPr="00C21A6F">
        <w:rPr>
          <w:lang w:val="fr-CH"/>
        </w:rPr>
        <w:t xml:space="preserve"> projet révisé de Règlement sur les biens spatiaux </w:t>
      </w:r>
      <w:r w:rsidR="00D92206" w:rsidRPr="00C21A6F">
        <w:rPr>
          <w:color w:val="000000"/>
          <w:lang w:val="fr-CH"/>
        </w:rPr>
        <w:t>concernant le Registre international pour les biens spatiaux</w:t>
      </w:r>
      <w:r w:rsidR="00D92206" w:rsidRPr="00C21A6F">
        <w:rPr>
          <w:lang w:val="fr-CH"/>
        </w:rPr>
        <w:t xml:space="preserve"> </w:t>
      </w:r>
      <w:r w:rsidR="00995B16" w:rsidRPr="00C21A6F">
        <w:rPr>
          <w:lang w:val="fr-CH"/>
        </w:rPr>
        <w:t>et un projet de demande de propositions concernant la sélection d</w:t>
      </w:r>
      <w:r w:rsidR="0066183D" w:rsidRPr="00C21A6F">
        <w:rPr>
          <w:lang w:val="fr-CH"/>
        </w:rPr>
        <w:t>'</w:t>
      </w:r>
      <w:r w:rsidR="00995B16" w:rsidRPr="00C21A6F">
        <w:rPr>
          <w:lang w:val="fr-CH"/>
        </w:rPr>
        <w:t>un Conservateur du Registre international pour les biens spatiaux.</w:t>
      </w:r>
      <w:r w:rsidR="00995B16" w:rsidRPr="00C21A6F">
        <w:rPr>
          <w:szCs w:val="24"/>
          <w:lang w:val="fr-CH"/>
        </w:rPr>
        <w:t xml:space="preserve"> </w:t>
      </w:r>
    </w:p>
    <w:p w14:paraId="48F2269A" w14:textId="072B191C" w:rsidR="00F42451" w:rsidRPr="00C21A6F" w:rsidRDefault="00995B16" w:rsidP="00BD1CEE">
      <w:pPr>
        <w:rPr>
          <w:lang w:val="fr-CH"/>
        </w:rPr>
      </w:pPr>
      <w:r w:rsidRPr="00C21A6F">
        <w:rPr>
          <w:lang w:val="fr-CH"/>
        </w:rPr>
        <w:t>10.2</w:t>
      </w:r>
      <w:r w:rsidRPr="00C21A6F">
        <w:rPr>
          <w:lang w:val="fr-CH"/>
        </w:rPr>
        <w:tab/>
      </w:r>
      <w:r w:rsidR="00F053C8" w:rsidRPr="00C21A6F">
        <w:rPr>
          <w:lang w:val="fr-CH"/>
        </w:rPr>
        <w:t>Certains C</w:t>
      </w:r>
      <w:r w:rsidR="00D92206" w:rsidRPr="00C21A6F">
        <w:rPr>
          <w:lang w:val="fr-CH"/>
        </w:rPr>
        <w:t xml:space="preserve">onseillers ont indiqué </w:t>
      </w:r>
      <w:r w:rsidR="00D92206" w:rsidRPr="00C21A6F">
        <w:rPr>
          <w:color w:val="000000"/>
          <w:lang w:val="fr-CH"/>
        </w:rPr>
        <w:t>qu</w:t>
      </w:r>
      <w:r w:rsidR="0066183D" w:rsidRPr="00C21A6F">
        <w:rPr>
          <w:color w:val="000000"/>
          <w:lang w:val="fr-CH"/>
        </w:rPr>
        <w:t>'</w:t>
      </w:r>
      <w:r w:rsidR="00D92206" w:rsidRPr="00C21A6F">
        <w:rPr>
          <w:color w:val="000000"/>
          <w:lang w:val="fr-CH"/>
        </w:rPr>
        <w:t>il était temps de prendre une décision sur la question quant au fond</w:t>
      </w:r>
      <w:r w:rsidR="005A3043" w:rsidRPr="00C21A6F">
        <w:rPr>
          <w:color w:val="000000"/>
          <w:lang w:val="fr-CH"/>
        </w:rPr>
        <w:t>.</w:t>
      </w:r>
      <w:r w:rsidR="0066183D" w:rsidRPr="00C21A6F">
        <w:rPr>
          <w:color w:val="000000"/>
          <w:lang w:val="fr-CH"/>
        </w:rPr>
        <w:t xml:space="preserve"> </w:t>
      </w:r>
      <w:r w:rsidRPr="00C21A6F">
        <w:rPr>
          <w:bCs/>
          <w:szCs w:val="24"/>
          <w:lang w:val="fr-CH"/>
        </w:rPr>
        <w:t>Le Conseil avait saisi la PP-14 de la question, mais celle-ci lui a</w:t>
      </w:r>
      <w:r w:rsidR="003478DC" w:rsidRPr="00C21A6F">
        <w:rPr>
          <w:bCs/>
          <w:szCs w:val="24"/>
          <w:lang w:val="fr-CH"/>
        </w:rPr>
        <w:t>vait</w:t>
      </w:r>
      <w:r w:rsidRPr="00C21A6F">
        <w:rPr>
          <w:bCs/>
          <w:szCs w:val="24"/>
          <w:lang w:val="fr-CH"/>
        </w:rPr>
        <w:t xml:space="preserve"> renvoyé la balle. Le Conseil </w:t>
      </w:r>
      <w:r w:rsidR="006166AB" w:rsidRPr="00C21A6F">
        <w:rPr>
          <w:bCs/>
          <w:szCs w:val="24"/>
          <w:lang w:val="fr-CH"/>
        </w:rPr>
        <w:t>devait</w:t>
      </w:r>
      <w:r w:rsidRPr="00C21A6F">
        <w:rPr>
          <w:bCs/>
          <w:szCs w:val="24"/>
          <w:lang w:val="fr-CH"/>
        </w:rPr>
        <w:t xml:space="preserve"> </w:t>
      </w:r>
      <w:r w:rsidR="00BD1CEE" w:rsidRPr="00C21A6F">
        <w:rPr>
          <w:bCs/>
          <w:szCs w:val="24"/>
          <w:lang w:val="fr-CH"/>
        </w:rPr>
        <w:t>en conséquence</w:t>
      </w:r>
      <w:r w:rsidRPr="00C21A6F">
        <w:rPr>
          <w:bCs/>
          <w:szCs w:val="24"/>
          <w:lang w:val="fr-CH"/>
        </w:rPr>
        <w:t xml:space="preserve"> prendre position </w:t>
      </w:r>
      <w:r w:rsidR="00BD1CEE" w:rsidRPr="00C21A6F">
        <w:rPr>
          <w:bCs/>
          <w:szCs w:val="24"/>
          <w:lang w:val="fr-CH"/>
        </w:rPr>
        <w:t>en la matière</w:t>
      </w:r>
      <w:r w:rsidRPr="00C21A6F">
        <w:rPr>
          <w:bCs/>
          <w:szCs w:val="24"/>
          <w:lang w:val="fr-CH"/>
        </w:rPr>
        <w:t xml:space="preserve"> et </w:t>
      </w:r>
      <w:r w:rsidR="00BD1CEE" w:rsidRPr="00C21A6F">
        <w:rPr>
          <w:bCs/>
          <w:szCs w:val="24"/>
          <w:lang w:val="fr-CH"/>
        </w:rPr>
        <w:t>soumettre</w:t>
      </w:r>
      <w:r w:rsidRPr="00C21A6F">
        <w:rPr>
          <w:bCs/>
          <w:szCs w:val="24"/>
          <w:lang w:val="fr-CH"/>
        </w:rPr>
        <w:t xml:space="preserve"> une </w:t>
      </w:r>
      <w:r w:rsidR="00073048" w:rsidRPr="00C21A6F">
        <w:rPr>
          <w:bCs/>
          <w:szCs w:val="24"/>
          <w:lang w:val="fr-CH"/>
        </w:rPr>
        <w:t>recommandation à la prochaine C</w:t>
      </w:r>
      <w:r w:rsidRPr="00C21A6F">
        <w:rPr>
          <w:bCs/>
          <w:szCs w:val="24"/>
          <w:lang w:val="fr-CH"/>
        </w:rPr>
        <w:t>onférence de plénipotentiaires.</w:t>
      </w:r>
    </w:p>
    <w:p w14:paraId="0CBFBC9D" w14:textId="1F5AA5DB" w:rsidR="00F42451" w:rsidRPr="00C21A6F" w:rsidRDefault="00995B16" w:rsidP="00BD1CEE">
      <w:pPr>
        <w:rPr>
          <w:lang w:val="fr-CH"/>
        </w:rPr>
      </w:pPr>
      <w:r w:rsidRPr="00C21A6F">
        <w:rPr>
          <w:lang w:val="fr-CH"/>
        </w:rPr>
        <w:t>10.3</w:t>
      </w:r>
      <w:r w:rsidRPr="00C21A6F">
        <w:rPr>
          <w:lang w:val="fr-CH"/>
        </w:rPr>
        <w:tab/>
      </w:r>
      <w:r w:rsidR="00F053C8" w:rsidRPr="00C21A6F">
        <w:rPr>
          <w:color w:val="000000"/>
          <w:lang w:val="fr-CH"/>
        </w:rPr>
        <w:t>Les Conseillers, dans leur majorité</w:t>
      </w:r>
      <w:r w:rsidR="00F053C8" w:rsidRPr="00C21A6F">
        <w:rPr>
          <w:lang w:val="fr-CH"/>
        </w:rPr>
        <w:t xml:space="preserve">, </w:t>
      </w:r>
      <w:r w:rsidR="00BD1CEE" w:rsidRPr="00C21A6F">
        <w:rPr>
          <w:lang w:val="fr-CH"/>
        </w:rPr>
        <w:t xml:space="preserve">ont </w:t>
      </w:r>
      <w:r w:rsidR="00E75C2D" w:rsidRPr="00C21A6F">
        <w:rPr>
          <w:lang w:val="fr-CH"/>
        </w:rPr>
        <w:t>souhait</w:t>
      </w:r>
      <w:r w:rsidR="00BD1CEE" w:rsidRPr="00C21A6F">
        <w:rPr>
          <w:lang w:val="fr-CH"/>
        </w:rPr>
        <w:t xml:space="preserve">é </w:t>
      </w:r>
      <w:r w:rsidR="00E75C2D" w:rsidRPr="00C21A6F">
        <w:rPr>
          <w:lang w:val="fr-CH"/>
        </w:rPr>
        <w:t>que l</w:t>
      </w:r>
      <w:r w:rsidR="0066183D" w:rsidRPr="00C21A6F">
        <w:rPr>
          <w:lang w:val="fr-CH"/>
        </w:rPr>
        <w:t>'</w:t>
      </w:r>
      <w:r w:rsidR="00E75C2D" w:rsidRPr="00C21A6F">
        <w:rPr>
          <w:lang w:val="fr-CH"/>
        </w:rPr>
        <w:t xml:space="preserve">UIT </w:t>
      </w:r>
      <w:r w:rsidR="00F053C8" w:rsidRPr="00C21A6F">
        <w:rPr>
          <w:color w:val="000000"/>
          <w:lang w:val="fr-CH"/>
        </w:rPr>
        <w:t>assume le rôle d</w:t>
      </w:r>
      <w:r w:rsidR="0066183D" w:rsidRPr="00C21A6F">
        <w:rPr>
          <w:color w:val="000000"/>
          <w:lang w:val="fr-CH"/>
        </w:rPr>
        <w:t>'</w:t>
      </w:r>
      <w:r w:rsidR="00F053C8" w:rsidRPr="00C21A6F">
        <w:rPr>
          <w:color w:val="000000"/>
          <w:lang w:val="fr-CH"/>
        </w:rPr>
        <w:t xml:space="preserve">Autorité de surveillance. </w:t>
      </w:r>
      <w:r w:rsidR="00497DDE" w:rsidRPr="00C21A6F">
        <w:rPr>
          <w:color w:val="000000"/>
          <w:lang w:val="fr-CH"/>
        </w:rPr>
        <w:t xml:space="preserve">Tous les intervenants </w:t>
      </w:r>
      <w:r w:rsidR="00BD1CEE" w:rsidRPr="00C21A6F">
        <w:rPr>
          <w:bCs/>
          <w:szCs w:val="24"/>
          <w:lang w:val="fr-CH"/>
        </w:rPr>
        <w:t>ont estimé</w:t>
      </w:r>
      <w:r w:rsidRPr="00C21A6F">
        <w:rPr>
          <w:bCs/>
          <w:szCs w:val="24"/>
          <w:lang w:val="fr-CH"/>
        </w:rPr>
        <w:t xml:space="preserve"> que le </w:t>
      </w:r>
      <w:r w:rsidR="00497DDE" w:rsidRPr="00C21A6F">
        <w:rPr>
          <w:bCs/>
          <w:szCs w:val="24"/>
          <w:lang w:val="fr-CH"/>
        </w:rPr>
        <w:t>Conseil dev</w:t>
      </w:r>
      <w:r w:rsidR="00BD1CEE" w:rsidRPr="00C21A6F">
        <w:rPr>
          <w:bCs/>
          <w:szCs w:val="24"/>
          <w:lang w:val="fr-CH"/>
        </w:rPr>
        <w:t>r</w:t>
      </w:r>
      <w:r w:rsidR="00497DDE" w:rsidRPr="00C21A6F">
        <w:rPr>
          <w:bCs/>
          <w:szCs w:val="24"/>
          <w:lang w:val="fr-CH"/>
        </w:rPr>
        <w:t>a</w:t>
      </w:r>
      <w:r w:rsidRPr="00C21A6F">
        <w:rPr>
          <w:bCs/>
          <w:szCs w:val="24"/>
          <w:lang w:val="fr-CH"/>
        </w:rPr>
        <w:t>it être inform</w:t>
      </w:r>
      <w:r w:rsidR="002D0DFE" w:rsidRPr="00C21A6F">
        <w:rPr>
          <w:bCs/>
          <w:szCs w:val="24"/>
          <w:lang w:val="fr-CH"/>
        </w:rPr>
        <w:t>é de tous les éléments qui lui étaient</w:t>
      </w:r>
      <w:r w:rsidRPr="00C21A6F">
        <w:rPr>
          <w:bCs/>
          <w:szCs w:val="24"/>
          <w:lang w:val="fr-CH"/>
        </w:rPr>
        <w:t xml:space="preserve"> nécessaires pour se prononcer sur la question à sa prochaine session, </w:t>
      </w:r>
      <w:r w:rsidR="00BD1CEE" w:rsidRPr="00C21A6F">
        <w:rPr>
          <w:bCs/>
          <w:szCs w:val="24"/>
          <w:lang w:val="fr-CH"/>
        </w:rPr>
        <w:t>sachant qu'il appartiendrait</w:t>
      </w:r>
      <w:r w:rsidRPr="00C21A6F">
        <w:rPr>
          <w:bCs/>
          <w:szCs w:val="24"/>
          <w:lang w:val="fr-CH"/>
        </w:rPr>
        <w:t xml:space="preserve"> à la PP-18 de prendre la décision </w:t>
      </w:r>
      <w:r w:rsidR="00BD1CEE" w:rsidRPr="00C21A6F">
        <w:rPr>
          <w:bCs/>
          <w:szCs w:val="24"/>
          <w:lang w:val="fr-CH"/>
        </w:rPr>
        <w:t>finale</w:t>
      </w:r>
      <w:r w:rsidRPr="00C21A6F">
        <w:rPr>
          <w:bCs/>
          <w:szCs w:val="24"/>
          <w:lang w:val="fr-CH"/>
        </w:rPr>
        <w:t>.</w:t>
      </w:r>
    </w:p>
    <w:p w14:paraId="32B37E45" w14:textId="726A83AF" w:rsidR="00F42451" w:rsidRPr="00C21A6F" w:rsidRDefault="00995B16" w:rsidP="00BD1CEE">
      <w:pPr>
        <w:rPr>
          <w:lang w:val="fr-CH"/>
        </w:rPr>
      </w:pPr>
      <w:r w:rsidRPr="00C21A6F">
        <w:rPr>
          <w:lang w:val="fr-CH"/>
        </w:rPr>
        <w:t>10.4</w:t>
      </w:r>
      <w:r w:rsidRPr="00C21A6F">
        <w:rPr>
          <w:lang w:val="fr-CH"/>
        </w:rPr>
        <w:tab/>
      </w:r>
      <w:r w:rsidR="00C05509" w:rsidRPr="00C21A6F">
        <w:rPr>
          <w:lang w:val="fr-CH"/>
        </w:rPr>
        <w:t xml:space="preserve">Le Conseil a décidé de charger le Secrétariat de lui soumettre </w:t>
      </w:r>
      <w:r w:rsidR="00C05509" w:rsidRPr="00C21A6F">
        <w:rPr>
          <w:bCs/>
          <w:szCs w:val="24"/>
          <w:lang w:val="fr-CH"/>
        </w:rPr>
        <w:t>à sa prochaine session</w:t>
      </w:r>
      <w:r w:rsidR="00705708" w:rsidRPr="00C21A6F">
        <w:rPr>
          <w:bCs/>
          <w:szCs w:val="24"/>
          <w:lang w:val="fr-CH"/>
        </w:rPr>
        <w:t xml:space="preserve"> un rapport comportant une évaluation complète de la situation</w:t>
      </w:r>
      <w:r w:rsidR="00BD1CEE" w:rsidRPr="00C21A6F">
        <w:rPr>
          <w:bCs/>
          <w:szCs w:val="24"/>
          <w:lang w:val="fr-CH"/>
        </w:rPr>
        <w:t>,</w:t>
      </w:r>
      <w:r w:rsidR="00705708" w:rsidRPr="00C21A6F">
        <w:rPr>
          <w:bCs/>
          <w:szCs w:val="24"/>
          <w:lang w:val="fr-CH"/>
        </w:rPr>
        <w:t xml:space="preserve"> assortie d</w:t>
      </w:r>
      <w:r w:rsidR="0066183D" w:rsidRPr="00C21A6F">
        <w:rPr>
          <w:bCs/>
          <w:szCs w:val="24"/>
          <w:lang w:val="fr-CH"/>
        </w:rPr>
        <w:t>'</w:t>
      </w:r>
      <w:r w:rsidR="00705708" w:rsidRPr="00C21A6F">
        <w:rPr>
          <w:bCs/>
          <w:szCs w:val="24"/>
          <w:lang w:val="fr-CH"/>
        </w:rPr>
        <w:t>un calendrier</w:t>
      </w:r>
      <w:r w:rsidR="00BD1CEE" w:rsidRPr="00C21A6F">
        <w:rPr>
          <w:bCs/>
          <w:szCs w:val="24"/>
          <w:lang w:val="fr-CH"/>
        </w:rPr>
        <w:t>,</w:t>
      </w:r>
      <w:r w:rsidR="00705708" w:rsidRPr="00C21A6F">
        <w:rPr>
          <w:bCs/>
          <w:szCs w:val="24"/>
          <w:lang w:val="fr-CH"/>
        </w:rPr>
        <w:t xml:space="preserve"> et a indiqué que</w:t>
      </w:r>
      <w:r w:rsidR="00705708" w:rsidRPr="00C21A6F">
        <w:rPr>
          <w:lang w:val="fr-CH"/>
        </w:rPr>
        <w:t xml:space="preserve"> </w:t>
      </w:r>
      <w:r w:rsidRPr="00C21A6F">
        <w:rPr>
          <w:bCs/>
          <w:szCs w:val="24"/>
          <w:lang w:val="fr-CH"/>
        </w:rPr>
        <w:t>toutes les contributions d</w:t>
      </w:r>
      <w:r w:rsidR="0066183D" w:rsidRPr="00C21A6F">
        <w:rPr>
          <w:bCs/>
          <w:szCs w:val="24"/>
          <w:lang w:val="fr-CH"/>
        </w:rPr>
        <w:t>'</w:t>
      </w:r>
      <w:r w:rsidRPr="00C21A6F">
        <w:rPr>
          <w:bCs/>
          <w:szCs w:val="24"/>
          <w:lang w:val="fr-CH"/>
        </w:rPr>
        <w:t>Etats Membres sur le sujet ser</w:t>
      </w:r>
      <w:r w:rsidR="00705708" w:rsidRPr="00C21A6F">
        <w:rPr>
          <w:bCs/>
          <w:szCs w:val="24"/>
          <w:lang w:val="fr-CH"/>
        </w:rPr>
        <w:t>aie</w:t>
      </w:r>
      <w:r w:rsidRPr="00C21A6F">
        <w:rPr>
          <w:bCs/>
          <w:szCs w:val="24"/>
          <w:lang w:val="fr-CH"/>
        </w:rPr>
        <w:t xml:space="preserve">nt </w:t>
      </w:r>
      <w:r w:rsidR="00BD1CEE" w:rsidRPr="00C21A6F">
        <w:rPr>
          <w:bCs/>
          <w:szCs w:val="24"/>
          <w:lang w:val="fr-CH"/>
        </w:rPr>
        <w:t xml:space="preserve">les </w:t>
      </w:r>
      <w:r w:rsidRPr="00C21A6F">
        <w:rPr>
          <w:bCs/>
          <w:szCs w:val="24"/>
          <w:lang w:val="fr-CH"/>
        </w:rPr>
        <w:t xml:space="preserve">bienvenues. </w:t>
      </w:r>
      <w:r w:rsidR="00BD1CEE" w:rsidRPr="00C21A6F">
        <w:rPr>
          <w:bCs/>
          <w:szCs w:val="24"/>
          <w:lang w:val="fr-CH"/>
        </w:rPr>
        <w:t>En outre, l</w:t>
      </w:r>
      <w:r w:rsidR="00E47C03" w:rsidRPr="00C21A6F">
        <w:rPr>
          <w:bCs/>
          <w:szCs w:val="24"/>
          <w:lang w:val="fr-CH"/>
        </w:rPr>
        <w:t xml:space="preserve">e Conseil </w:t>
      </w:r>
      <w:r w:rsidR="00BD1CEE" w:rsidRPr="00C21A6F">
        <w:rPr>
          <w:bCs/>
          <w:szCs w:val="24"/>
          <w:lang w:val="fr-CH"/>
        </w:rPr>
        <w:t>a</w:t>
      </w:r>
      <w:r w:rsidR="00E47C03" w:rsidRPr="00C21A6F">
        <w:rPr>
          <w:bCs/>
          <w:szCs w:val="24"/>
          <w:lang w:val="fr-CH"/>
        </w:rPr>
        <w:t xml:space="preserve"> autorisé</w:t>
      </w:r>
      <w:r w:rsidRPr="00C21A6F">
        <w:rPr>
          <w:b/>
          <w:bCs/>
          <w:szCs w:val="24"/>
          <w:lang w:val="fr-CH"/>
        </w:rPr>
        <w:t xml:space="preserve"> </w:t>
      </w:r>
      <w:r w:rsidRPr="00C21A6F">
        <w:rPr>
          <w:szCs w:val="24"/>
          <w:lang w:val="fr-CH"/>
        </w:rPr>
        <w:t>le Secrétaire général à continuer d</w:t>
      </w:r>
      <w:r w:rsidR="0066183D" w:rsidRPr="00C21A6F">
        <w:rPr>
          <w:szCs w:val="24"/>
          <w:lang w:val="fr-CH"/>
        </w:rPr>
        <w:t>'</w:t>
      </w:r>
      <w:r w:rsidRPr="00C21A6F">
        <w:rPr>
          <w:szCs w:val="24"/>
          <w:lang w:val="fr-CH"/>
        </w:rPr>
        <w:t>exprimer l</w:t>
      </w:r>
      <w:r w:rsidR="0066183D" w:rsidRPr="00C21A6F">
        <w:rPr>
          <w:szCs w:val="24"/>
          <w:lang w:val="fr-CH"/>
        </w:rPr>
        <w:t>'</w:t>
      </w:r>
      <w:r w:rsidRPr="00C21A6F">
        <w:rPr>
          <w:szCs w:val="24"/>
          <w:lang w:val="fr-CH"/>
        </w:rPr>
        <w:t>intérêt de l</w:t>
      </w:r>
      <w:r w:rsidR="0066183D" w:rsidRPr="00C21A6F">
        <w:rPr>
          <w:szCs w:val="24"/>
          <w:lang w:val="fr-CH"/>
        </w:rPr>
        <w:t>'</w:t>
      </w:r>
      <w:r w:rsidRPr="00C21A6F">
        <w:rPr>
          <w:szCs w:val="24"/>
          <w:lang w:val="fr-CH"/>
        </w:rPr>
        <w:t>Union pour que l</w:t>
      </w:r>
      <w:r w:rsidR="0066183D" w:rsidRPr="00C21A6F">
        <w:rPr>
          <w:szCs w:val="24"/>
          <w:lang w:val="fr-CH"/>
        </w:rPr>
        <w:t>'</w:t>
      </w:r>
      <w:r w:rsidRPr="00C21A6F">
        <w:rPr>
          <w:szCs w:val="24"/>
          <w:lang w:val="fr-CH"/>
        </w:rPr>
        <w:t>UIT devienne l</w:t>
      </w:r>
      <w:r w:rsidR="0066183D" w:rsidRPr="00C21A6F">
        <w:rPr>
          <w:szCs w:val="24"/>
          <w:lang w:val="fr-CH"/>
        </w:rPr>
        <w:t>'</w:t>
      </w:r>
      <w:r w:rsidRPr="00C21A6F">
        <w:rPr>
          <w:szCs w:val="24"/>
          <w:lang w:val="fr-CH"/>
        </w:rPr>
        <w:t>Autorité de surveillance, notant qu</w:t>
      </w:r>
      <w:r w:rsidR="0066183D" w:rsidRPr="00C21A6F">
        <w:rPr>
          <w:szCs w:val="24"/>
          <w:lang w:val="fr-CH"/>
        </w:rPr>
        <w:t>'</w:t>
      </w:r>
      <w:r w:rsidRPr="00C21A6F">
        <w:rPr>
          <w:szCs w:val="24"/>
          <w:lang w:val="fr-CH"/>
        </w:rPr>
        <w:t>il n</w:t>
      </w:r>
      <w:r w:rsidR="0066183D" w:rsidRPr="00C21A6F">
        <w:rPr>
          <w:szCs w:val="24"/>
          <w:lang w:val="fr-CH"/>
        </w:rPr>
        <w:t>'</w:t>
      </w:r>
      <w:r w:rsidRPr="00C21A6F">
        <w:rPr>
          <w:szCs w:val="24"/>
          <w:lang w:val="fr-CH"/>
        </w:rPr>
        <w:t>y a</w:t>
      </w:r>
      <w:r w:rsidR="00E47C03" w:rsidRPr="00C21A6F">
        <w:rPr>
          <w:szCs w:val="24"/>
          <w:lang w:val="fr-CH"/>
        </w:rPr>
        <w:t>vait</w:t>
      </w:r>
      <w:r w:rsidRPr="00C21A6F">
        <w:rPr>
          <w:szCs w:val="24"/>
          <w:lang w:val="fr-CH"/>
        </w:rPr>
        <w:t xml:space="preserve"> pas lieu à ce stade de préjuger la question de savoir si l</w:t>
      </w:r>
      <w:r w:rsidR="0066183D" w:rsidRPr="00C21A6F">
        <w:rPr>
          <w:szCs w:val="24"/>
          <w:lang w:val="fr-CH"/>
        </w:rPr>
        <w:t>'</w:t>
      </w:r>
      <w:r w:rsidRPr="00C21A6F">
        <w:rPr>
          <w:szCs w:val="24"/>
          <w:lang w:val="fr-CH"/>
        </w:rPr>
        <w:t>UIT pourrait ou non être l</w:t>
      </w:r>
      <w:r w:rsidR="0066183D" w:rsidRPr="00C21A6F">
        <w:rPr>
          <w:szCs w:val="24"/>
          <w:lang w:val="fr-CH"/>
        </w:rPr>
        <w:t>'</w:t>
      </w:r>
      <w:r w:rsidRPr="00C21A6F">
        <w:rPr>
          <w:szCs w:val="24"/>
          <w:lang w:val="fr-CH"/>
        </w:rPr>
        <w:t xml:space="preserve">Autorité de surveillance. </w:t>
      </w:r>
      <w:r w:rsidR="00BD1CEE" w:rsidRPr="00C21A6F">
        <w:rPr>
          <w:bCs/>
          <w:szCs w:val="24"/>
          <w:lang w:val="fr-CH"/>
        </w:rPr>
        <w:t>Le Conseil a finalement</w:t>
      </w:r>
      <w:r w:rsidR="001927EF" w:rsidRPr="00C21A6F">
        <w:rPr>
          <w:bCs/>
          <w:szCs w:val="24"/>
          <w:lang w:val="fr-CH"/>
        </w:rPr>
        <w:t xml:space="preserve"> autorisé</w:t>
      </w:r>
      <w:r w:rsidRPr="00C21A6F">
        <w:rPr>
          <w:bCs/>
          <w:szCs w:val="24"/>
          <w:lang w:val="fr-CH"/>
        </w:rPr>
        <w:t xml:space="preserve"> le Secrétaire général, ou son représentant, à continuer de participer à titre d</w:t>
      </w:r>
      <w:r w:rsidR="0066183D" w:rsidRPr="00C21A6F">
        <w:rPr>
          <w:bCs/>
          <w:szCs w:val="24"/>
          <w:lang w:val="fr-CH"/>
        </w:rPr>
        <w:t>'</w:t>
      </w:r>
      <w:r w:rsidRPr="00C21A6F">
        <w:rPr>
          <w:bCs/>
          <w:szCs w:val="24"/>
          <w:lang w:val="fr-CH"/>
        </w:rPr>
        <w:t xml:space="preserve">observateur aux travaux de la Commission préparatoire et de ses groupes de travail, </w:t>
      </w:r>
      <w:r w:rsidR="001927EF" w:rsidRPr="00C21A6F">
        <w:rPr>
          <w:bCs/>
          <w:szCs w:val="24"/>
          <w:lang w:val="fr-CH"/>
        </w:rPr>
        <w:t>conformément à la décision</w:t>
      </w:r>
      <w:r w:rsidRPr="00C21A6F">
        <w:rPr>
          <w:bCs/>
          <w:szCs w:val="24"/>
          <w:lang w:val="fr-CH"/>
        </w:rPr>
        <w:t xml:space="preserve"> </w:t>
      </w:r>
      <w:r w:rsidR="00663946" w:rsidRPr="00C21A6F">
        <w:rPr>
          <w:bCs/>
          <w:szCs w:val="24"/>
          <w:lang w:val="fr-CH"/>
        </w:rPr>
        <w:t>pertinente prise par</w:t>
      </w:r>
      <w:r w:rsidRPr="00C21A6F">
        <w:rPr>
          <w:bCs/>
          <w:szCs w:val="24"/>
          <w:lang w:val="fr-CH"/>
        </w:rPr>
        <w:t xml:space="preserve"> la PP-14.</w:t>
      </w:r>
    </w:p>
    <w:p w14:paraId="2AFFEF7D" w14:textId="77777777" w:rsidR="00F42451" w:rsidRPr="00C21A6F" w:rsidRDefault="00995B16" w:rsidP="0066183D">
      <w:pPr>
        <w:pStyle w:val="Heading1"/>
        <w:rPr>
          <w:lang w:val="fr-CH"/>
        </w:rPr>
      </w:pPr>
      <w:r w:rsidRPr="00C21A6F">
        <w:rPr>
          <w:lang w:val="fr-CH"/>
        </w:rPr>
        <w:t>11</w:t>
      </w:r>
      <w:r w:rsidRPr="00C21A6F">
        <w:rPr>
          <w:lang w:val="fr-CH"/>
        </w:rPr>
        <w:tab/>
        <w:t>Commission préparatoire (Rome, quatrième session, 10-11 décembre 2015)</w:t>
      </w:r>
    </w:p>
    <w:p w14:paraId="379360C2" w14:textId="7B4AD618" w:rsidR="00F42451" w:rsidRPr="00C21A6F" w:rsidRDefault="005B05AA" w:rsidP="0066183D">
      <w:pPr>
        <w:rPr>
          <w:lang w:val="fr-CH"/>
        </w:rPr>
      </w:pPr>
      <w:r w:rsidRPr="00C21A6F">
        <w:rPr>
          <w:lang w:val="fr-CH"/>
        </w:rPr>
        <w:t>11.1</w:t>
      </w:r>
      <w:r w:rsidRPr="00C21A6F">
        <w:rPr>
          <w:lang w:val="fr-CH"/>
        </w:rPr>
        <w:tab/>
        <w:t>La quatrième session de la Commission préparatoire chargée de l</w:t>
      </w:r>
      <w:r w:rsidR="0066183D" w:rsidRPr="00C21A6F">
        <w:rPr>
          <w:lang w:val="fr-CH"/>
        </w:rPr>
        <w:t>'</w:t>
      </w:r>
      <w:r w:rsidRPr="00C21A6F">
        <w:rPr>
          <w:lang w:val="fr-CH"/>
        </w:rPr>
        <w:t>établissement du Registre international pour les biens spatiaux conformément au Protocole portant sur les biens spatiaux s</w:t>
      </w:r>
      <w:r w:rsidR="0066183D" w:rsidRPr="00C21A6F">
        <w:rPr>
          <w:lang w:val="fr-CH"/>
        </w:rPr>
        <w:t>'</w:t>
      </w:r>
      <w:r w:rsidRPr="00C21A6F">
        <w:rPr>
          <w:lang w:val="fr-CH"/>
        </w:rPr>
        <w:t>est tenue au siège d</w:t>
      </w:r>
      <w:r w:rsidR="0066183D" w:rsidRPr="00C21A6F">
        <w:rPr>
          <w:lang w:val="fr-CH"/>
        </w:rPr>
        <w:t>'</w:t>
      </w:r>
      <w:r w:rsidRPr="00C21A6F">
        <w:rPr>
          <w:lang w:val="fr-CH"/>
        </w:rPr>
        <w:t>UNIDROIT à Rome, les 10 et 11 décembre 2015. Après examen de la Note explicative relative au projet révisé de Règlement sur les biens spatiaux et de la Note relative au</w:t>
      </w:r>
      <w:r w:rsidR="00BD1CEE" w:rsidRPr="00C21A6F">
        <w:rPr>
          <w:lang w:val="fr-CH"/>
        </w:rPr>
        <w:t>x</w:t>
      </w:r>
      <w:r w:rsidRPr="00C21A6F">
        <w:rPr>
          <w:lang w:val="fr-CH"/>
        </w:rPr>
        <w:t xml:space="preserve"> biens spatiaux reliés, le projet de Règlement sur les biens spatiaux a été approuvé à l</w:t>
      </w:r>
      <w:r w:rsidR="0066183D" w:rsidRPr="00C21A6F">
        <w:rPr>
          <w:lang w:val="fr-CH"/>
        </w:rPr>
        <w:t>'</w:t>
      </w:r>
      <w:r w:rsidRPr="00C21A6F">
        <w:rPr>
          <w:lang w:val="fr-CH"/>
        </w:rPr>
        <w:t>unanimité. Pour ce qui est de la demande de propositions concernant la sélection d</w:t>
      </w:r>
      <w:r w:rsidR="0066183D" w:rsidRPr="00C21A6F">
        <w:rPr>
          <w:lang w:val="fr-CH"/>
        </w:rPr>
        <w:t>'</w:t>
      </w:r>
      <w:r w:rsidRPr="00C21A6F">
        <w:rPr>
          <w:lang w:val="fr-CH"/>
        </w:rPr>
        <w:t>un Conservateur du Registre, la Commission préparatoire a approuvé une approche simplifiée et plus efficace pour engager les discussions avec les deux Conservateurs des instruments actuels (Protocoles aéronautique et ferroviaire). Le projet de Règles de procédure concernant la Commission d</w:t>
      </w:r>
      <w:r w:rsidR="0066183D" w:rsidRPr="00C21A6F">
        <w:rPr>
          <w:lang w:val="fr-CH"/>
        </w:rPr>
        <w:t>'</w:t>
      </w:r>
      <w:r w:rsidRPr="00C21A6F">
        <w:rPr>
          <w:lang w:val="fr-CH"/>
        </w:rPr>
        <w:t>experts de l</w:t>
      </w:r>
      <w:r w:rsidR="0066183D" w:rsidRPr="00C21A6F">
        <w:rPr>
          <w:lang w:val="fr-CH"/>
        </w:rPr>
        <w:t>'</w:t>
      </w:r>
      <w:r w:rsidRPr="00C21A6F">
        <w:rPr>
          <w:lang w:val="fr-CH"/>
        </w:rPr>
        <w:t>Autorité de surveillance établie en vertu du Protocole a été examiné puis approuvé par correspondance.</w:t>
      </w:r>
    </w:p>
    <w:p w14:paraId="7BB0B333" w14:textId="77777777" w:rsidR="00BB6749" w:rsidRDefault="005B05AA" w:rsidP="0066183D">
      <w:pPr>
        <w:rPr>
          <w:color w:val="000000"/>
          <w:lang w:val="fr-CH"/>
        </w:rPr>
      </w:pPr>
      <w:r w:rsidRPr="00C21A6F">
        <w:rPr>
          <w:lang w:val="fr-CH"/>
        </w:rPr>
        <w:t>11.2</w:t>
      </w:r>
      <w:r w:rsidRPr="00C21A6F">
        <w:rPr>
          <w:lang w:val="fr-CH"/>
        </w:rPr>
        <w:tab/>
      </w:r>
      <w:r w:rsidRPr="00C21A6F">
        <w:rPr>
          <w:lang w:val="fr-CH" w:eastAsia="fr-FR"/>
        </w:rPr>
        <w:t xml:space="preserve">La Commission préparatoire, établie conformément à la Résolution 1 de la Conférence diplomatique </w:t>
      </w:r>
      <w:bookmarkStart w:id="7" w:name="lt_pId029"/>
      <w:r w:rsidRPr="00C21A6F">
        <w:rPr>
          <w:lang w:val="fr-CH" w:eastAsia="fr-FR"/>
        </w:rPr>
        <w:t>tenue à Berlin en février 2012,</w:t>
      </w:r>
      <w:r w:rsidRPr="00C21A6F">
        <w:rPr>
          <w:lang w:val="fr-CH"/>
        </w:rPr>
        <w:t xml:space="preserve"> a achevé tous les travaux préliminaires liés à l</w:t>
      </w:r>
      <w:r w:rsidR="0066183D" w:rsidRPr="00C21A6F">
        <w:rPr>
          <w:lang w:val="fr-CH"/>
        </w:rPr>
        <w:t>'</w:t>
      </w:r>
      <w:r w:rsidRPr="00C21A6F">
        <w:rPr>
          <w:lang w:val="fr-CH"/>
        </w:rPr>
        <w:t>adoption du premier Règlement, à l</w:t>
      </w:r>
      <w:r w:rsidR="0066183D" w:rsidRPr="00C21A6F">
        <w:rPr>
          <w:lang w:val="fr-CH"/>
        </w:rPr>
        <w:t>'</w:t>
      </w:r>
      <w:r w:rsidRPr="00C21A6F">
        <w:rPr>
          <w:lang w:val="fr-CH"/>
        </w:rPr>
        <w:t>établissement de la Commission d</w:t>
      </w:r>
      <w:r w:rsidR="0066183D" w:rsidRPr="00C21A6F">
        <w:rPr>
          <w:lang w:val="fr-CH"/>
        </w:rPr>
        <w:t>'</w:t>
      </w:r>
      <w:r w:rsidRPr="00C21A6F">
        <w:rPr>
          <w:lang w:val="fr-CH"/>
        </w:rPr>
        <w:t>experts de l</w:t>
      </w:r>
      <w:r w:rsidR="0066183D" w:rsidRPr="00C21A6F">
        <w:rPr>
          <w:lang w:val="fr-CH"/>
        </w:rPr>
        <w:t>'</w:t>
      </w:r>
      <w:r w:rsidRPr="00C21A6F">
        <w:rPr>
          <w:lang w:val="fr-CH"/>
        </w:rPr>
        <w:t>Autorité de surveillance et à l</w:t>
      </w:r>
      <w:r w:rsidR="0066183D" w:rsidRPr="00C21A6F">
        <w:rPr>
          <w:lang w:val="fr-CH"/>
        </w:rPr>
        <w:t>'</w:t>
      </w:r>
      <w:r w:rsidRPr="00C21A6F">
        <w:rPr>
          <w:lang w:val="fr-CH"/>
        </w:rPr>
        <w:t xml:space="preserve">engagement de </w:t>
      </w:r>
      <w:r w:rsidRPr="00C21A6F">
        <w:rPr>
          <w:rFonts w:cs="Verdana"/>
          <w:lang w:val="fr-CH"/>
        </w:rPr>
        <w:t>la négociation du contrat visant à établir et à tenir le Registre et à nommer le premier Conservateur</w:t>
      </w:r>
      <w:bookmarkEnd w:id="7"/>
      <w:r w:rsidRPr="00C21A6F">
        <w:rPr>
          <w:rFonts w:cs="Verdana"/>
          <w:lang w:val="fr-CH"/>
        </w:rPr>
        <w:t xml:space="preserve">. </w:t>
      </w:r>
      <w:r w:rsidRPr="00C21A6F">
        <w:rPr>
          <w:lang w:val="fr-CH"/>
        </w:rPr>
        <w:t>La Commission préparatoire,</w:t>
      </w:r>
      <w:bookmarkStart w:id="8" w:name="lt_pId030"/>
      <w:r w:rsidRPr="00C21A6F">
        <w:rPr>
          <w:lang w:val="fr-CH"/>
        </w:rPr>
        <w:t xml:space="preserve"> investie de tous les pouvoirs nécessaires pour faire fonction d</w:t>
      </w:r>
      <w:r w:rsidR="0066183D" w:rsidRPr="00C21A6F">
        <w:rPr>
          <w:lang w:val="fr-CH"/>
        </w:rPr>
        <w:t>'</w:t>
      </w:r>
      <w:r w:rsidRPr="00C21A6F">
        <w:rPr>
          <w:lang w:val="fr-CH"/>
        </w:rPr>
        <w:t xml:space="preserve">Autorité provisoire de surveillance, poursuit ses travaux </w:t>
      </w:r>
      <w:r w:rsidRPr="00C21A6F">
        <w:rPr>
          <w:color w:val="000000"/>
          <w:lang w:val="fr-CH"/>
        </w:rPr>
        <w:t xml:space="preserve">en </w:t>
      </w:r>
      <w:r w:rsidR="00BB6749">
        <w:rPr>
          <w:color w:val="000000"/>
          <w:lang w:val="fr-CH"/>
        </w:rPr>
        <w:br w:type="page"/>
      </w:r>
    </w:p>
    <w:p w14:paraId="2BF3BDDB" w14:textId="4F90A903" w:rsidR="00F42451" w:rsidRPr="00C21A6F" w:rsidRDefault="005B05AA" w:rsidP="0066183D">
      <w:pPr>
        <w:rPr>
          <w:lang w:val="fr-CH"/>
        </w:rPr>
      </w:pPr>
      <w:r w:rsidRPr="00C21A6F">
        <w:rPr>
          <w:color w:val="000000"/>
          <w:lang w:val="fr-CH"/>
        </w:rPr>
        <w:lastRenderedPageBreak/>
        <w:t>partant de l</w:t>
      </w:r>
      <w:r w:rsidR="0066183D" w:rsidRPr="00C21A6F">
        <w:rPr>
          <w:color w:val="000000"/>
          <w:lang w:val="fr-CH"/>
        </w:rPr>
        <w:t>'</w:t>
      </w:r>
      <w:r w:rsidRPr="00C21A6F">
        <w:rPr>
          <w:color w:val="000000"/>
          <w:lang w:val="fr-CH"/>
        </w:rPr>
        <w:t>hypothèse</w:t>
      </w:r>
      <w:r w:rsidRPr="00C21A6F">
        <w:rPr>
          <w:lang w:val="fr-CH"/>
        </w:rPr>
        <w:t xml:space="preserve">, conformément à la Résolution 2 de </w:t>
      </w:r>
      <w:r w:rsidRPr="00C21A6F">
        <w:rPr>
          <w:color w:val="000000"/>
          <w:lang w:val="fr-CH"/>
        </w:rPr>
        <w:t>la Conférence diplomatique de 2012, que l</w:t>
      </w:r>
      <w:r w:rsidR="0066183D" w:rsidRPr="00C21A6F">
        <w:rPr>
          <w:color w:val="000000"/>
          <w:lang w:val="fr-CH"/>
        </w:rPr>
        <w:t>'</w:t>
      </w:r>
      <w:r w:rsidRPr="00C21A6F">
        <w:rPr>
          <w:color w:val="000000"/>
          <w:lang w:val="fr-CH"/>
        </w:rPr>
        <w:t>UIT exercerait les fonctions d</w:t>
      </w:r>
      <w:r w:rsidR="0066183D" w:rsidRPr="00C21A6F">
        <w:rPr>
          <w:color w:val="000000"/>
          <w:lang w:val="fr-CH"/>
        </w:rPr>
        <w:t>'</w:t>
      </w:r>
      <w:r w:rsidRPr="00C21A6F">
        <w:rPr>
          <w:color w:val="000000"/>
          <w:lang w:val="fr-CH"/>
        </w:rPr>
        <w:t xml:space="preserve">Autorité de surveillance. </w:t>
      </w:r>
      <w:bookmarkStart w:id="9" w:name="lt_pId032"/>
      <w:bookmarkEnd w:id="8"/>
      <w:r w:rsidRPr="00C21A6F">
        <w:rPr>
          <w:lang w:val="fr-CH"/>
        </w:rPr>
        <w:t>Dans l</w:t>
      </w:r>
      <w:r w:rsidR="0066183D" w:rsidRPr="00C21A6F">
        <w:rPr>
          <w:lang w:val="fr-CH"/>
        </w:rPr>
        <w:t>'</w:t>
      </w:r>
      <w:r w:rsidRPr="00C21A6F">
        <w:rPr>
          <w:lang w:val="fr-CH"/>
        </w:rPr>
        <w:t>intervalle, et tant que les organes directeurs de l</w:t>
      </w:r>
      <w:r w:rsidR="0066183D" w:rsidRPr="00C21A6F">
        <w:rPr>
          <w:lang w:val="fr-CH"/>
        </w:rPr>
        <w:t>'</w:t>
      </w:r>
      <w:r w:rsidRPr="00C21A6F">
        <w:rPr>
          <w:lang w:val="fr-CH"/>
        </w:rPr>
        <w:t>UIT examinent la question, la Commission préparatoire continuera d</w:t>
      </w:r>
      <w:r w:rsidR="0066183D" w:rsidRPr="00C21A6F">
        <w:rPr>
          <w:lang w:val="fr-CH"/>
        </w:rPr>
        <w:t>'</w:t>
      </w:r>
      <w:r w:rsidRPr="00C21A6F">
        <w:rPr>
          <w:lang w:val="fr-CH"/>
        </w:rPr>
        <w:t>être investie de tous les pouvoirs nécessaires pour faire fonction d</w:t>
      </w:r>
      <w:r w:rsidR="0066183D" w:rsidRPr="00C21A6F">
        <w:rPr>
          <w:lang w:val="fr-CH"/>
        </w:rPr>
        <w:t>'</w:t>
      </w:r>
      <w:r w:rsidRPr="00C21A6F">
        <w:rPr>
          <w:lang w:val="fr-CH"/>
        </w:rPr>
        <w:t>Autorité provisoire de surveillance</w:t>
      </w:r>
      <w:bookmarkEnd w:id="9"/>
      <w:r w:rsidRPr="00C21A6F">
        <w:rPr>
          <w:lang w:val="fr-CH"/>
        </w:rPr>
        <w:t>.</w:t>
      </w:r>
    </w:p>
    <w:p w14:paraId="40C74A0F" w14:textId="77777777" w:rsidR="00F42451" w:rsidRPr="00C21A6F" w:rsidRDefault="005B05AA" w:rsidP="00B61528">
      <w:pPr>
        <w:pStyle w:val="Heading1"/>
        <w:rPr>
          <w:lang w:val="fr-CH"/>
        </w:rPr>
      </w:pPr>
      <w:r w:rsidRPr="00C21A6F">
        <w:rPr>
          <w:lang w:val="fr-CH"/>
        </w:rPr>
        <w:t>12</w:t>
      </w:r>
      <w:r w:rsidRPr="00C21A6F">
        <w:rPr>
          <w:lang w:val="fr-CH"/>
        </w:rPr>
        <w:tab/>
        <w:t>Session de 2016 du Conseil</w:t>
      </w:r>
    </w:p>
    <w:p w14:paraId="3870F093" w14:textId="07EE174F" w:rsidR="00F42451" w:rsidRPr="00C21A6F" w:rsidRDefault="00BD1CEE" w:rsidP="00B61528">
      <w:pPr>
        <w:keepNext/>
        <w:keepLines/>
        <w:rPr>
          <w:lang w:val="fr-CH"/>
        </w:rPr>
      </w:pPr>
      <w:r w:rsidRPr="00C21A6F">
        <w:rPr>
          <w:lang w:val="fr-CH"/>
        </w:rPr>
        <w:t>12.1</w:t>
      </w:r>
      <w:r w:rsidR="005B05AA" w:rsidRPr="00C21A6F">
        <w:rPr>
          <w:lang w:val="fr-CH"/>
        </w:rPr>
        <w:tab/>
      </w:r>
      <w:r w:rsidR="00A27522" w:rsidRPr="00C21A6F">
        <w:rPr>
          <w:lang w:val="fr-CH"/>
        </w:rPr>
        <w:t xml:space="preserve">Conformément aux </w:t>
      </w:r>
      <w:r w:rsidRPr="00C21A6F">
        <w:rPr>
          <w:lang w:val="fr-CH"/>
        </w:rPr>
        <w:t>instructions données</w:t>
      </w:r>
      <w:r w:rsidR="00A27522" w:rsidRPr="00C21A6F">
        <w:rPr>
          <w:lang w:val="fr-CH"/>
        </w:rPr>
        <w:t xml:space="preserve"> par le Conseil à sa session de 2015, un document </w:t>
      </w:r>
      <w:r w:rsidRPr="00C21A6F">
        <w:rPr>
          <w:lang w:val="fr-CH"/>
        </w:rPr>
        <w:t>faisant le point des travaux menés</w:t>
      </w:r>
      <w:r w:rsidR="00A27522" w:rsidRPr="00C21A6F">
        <w:rPr>
          <w:lang w:val="fr-CH"/>
        </w:rPr>
        <w:t xml:space="preserve"> par la Commission préparatoire à sa </w:t>
      </w:r>
      <w:r w:rsidRPr="00C21A6F">
        <w:rPr>
          <w:lang w:val="fr-CH"/>
        </w:rPr>
        <w:t>session</w:t>
      </w:r>
      <w:r w:rsidR="00A27522" w:rsidRPr="00C21A6F">
        <w:rPr>
          <w:lang w:val="fr-CH"/>
        </w:rPr>
        <w:t xml:space="preserve"> de décembre 2015 a été </w:t>
      </w:r>
      <w:r w:rsidR="00625616" w:rsidRPr="00C21A6F">
        <w:rPr>
          <w:lang w:val="fr-CH"/>
        </w:rPr>
        <w:t>présenté (voir le §</w:t>
      </w:r>
      <w:r w:rsidRPr="00C21A6F">
        <w:rPr>
          <w:lang w:val="fr-CH"/>
        </w:rPr>
        <w:t xml:space="preserve"> </w:t>
      </w:r>
      <w:r w:rsidR="00625616" w:rsidRPr="00C21A6F">
        <w:rPr>
          <w:lang w:val="fr-CH"/>
        </w:rPr>
        <w:t xml:space="preserve">11 ci-dessus). </w:t>
      </w:r>
      <w:r w:rsidR="00562EA1" w:rsidRPr="00C21A6F">
        <w:rPr>
          <w:lang w:val="fr-CH"/>
        </w:rPr>
        <w:t>Il a été souligné que la</w:t>
      </w:r>
      <w:r w:rsidR="005B05AA" w:rsidRPr="00C21A6F">
        <w:rPr>
          <w:lang w:val="fr-CH"/>
        </w:rPr>
        <w:t xml:space="preserve"> Commission préparatoire </w:t>
      </w:r>
      <w:r w:rsidRPr="00C21A6F">
        <w:rPr>
          <w:lang w:val="fr-CH"/>
        </w:rPr>
        <w:t>serait peut</w:t>
      </w:r>
      <w:r w:rsidRPr="00C21A6F">
        <w:rPr>
          <w:lang w:val="fr-CH"/>
        </w:rPr>
        <w:noBreakHyphen/>
      </w:r>
      <w:r w:rsidR="005B05AA" w:rsidRPr="00C21A6F">
        <w:rPr>
          <w:lang w:val="fr-CH"/>
        </w:rPr>
        <w:t>être en mesure de transférer la responsabilité à l</w:t>
      </w:r>
      <w:r w:rsidR="0066183D" w:rsidRPr="00C21A6F">
        <w:rPr>
          <w:lang w:val="fr-CH"/>
        </w:rPr>
        <w:t>'</w:t>
      </w:r>
      <w:r w:rsidR="005B05AA" w:rsidRPr="00C21A6F">
        <w:rPr>
          <w:lang w:val="fr-CH"/>
        </w:rPr>
        <w:t xml:space="preserve">UIT </w:t>
      </w:r>
      <w:r w:rsidRPr="00C21A6F">
        <w:rPr>
          <w:lang w:val="fr-CH"/>
        </w:rPr>
        <w:t>en</w:t>
      </w:r>
      <w:r w:rsidR="005B05AA" w:rsidRPr="00C21A6F">
        <w:rPr>
          <w:lang w:val="fr-CH"/>
        </w:rPr>
        <w:t xml:space="preserve"> 2017, sous réserve de l</w:t>
      </w:r>
      <w:r w:rsidR="0066183D" w:rsidRPr="00C21A6F">
        <w:rPr>
          <w:lang w:val="fr-CH"/>
        </w:rPr>
        <w:t>'</w:t>
      </w:r>
      <w:r w:rsidR="005B05AA" w:rsidRPr="00C21A6F">
        <w:rPr>
          <w:lang w:val="fr-CH"/>
        </w:rPr>
        <w:t xml:space="preserve">entrée en vigueur du Protocole </w:t>
      </w:r>
      <w:r w:rsidRPr="00C21A6F">
        <w:rPr>
          <w:lang w:val="fr-CH"/>
        </w:rPr>
        <w:t xml:space="preserve">portant sur les biens spatiaux </w:t>
      </w:r>
      <w:r w:rsidR="005B05AA" w:rsidRPr="00C21A6F">
        <w:rPr>
          <w:lang w:val="fr-CH"/>
        </w:rPr>
        <w:t>et à condition que l</w:t>
      </w:r>
      <w:r w:rsidR="0066183D" w:rsidRPr="00C21A6F">
        <w:rPr>
          <w:lang w:val="fr-CH"/>
        </w:rPr>
        <w:t>'</w:t>
      </w:r>
      <w:r w:rsidR="005B05AA" w:rsidRPr="00C21A6F">
        <w:rPr>
          <w:lang w:val="fr-CH"/>
        </w:rPr>
        <w:t xml:space="preserve">UIT </w:t>
      </w:r>
      <w:r w:rsidRPr="00C21A6F">
        <w:rPr>
          <w:lang w:val="fr-CH"/>
        </w:rPr>
        <w:t xml:space="preserve">ait </w:t>
      </w:r>
      <w:r w:rsidR="005B05AA" w:rsidRPr="00C21A6F">
        <w:rPr>
          <w:lang w:val="fr-CH"/>
        </w:rPr>
        <w:t>notifi</w:t>
      </w:r>
      <w:r w:rsidRPr="00C21A6F">
        <w:rPr>
          <w:lang w:val="fr-CH"/>
        </w:rPr>
        <w:t>é</w:t>
      </w:r>
      <w:r w:rsidR="005B05AA" w:rsidRPr="00C21A6F">
        <w:rPr>
          <w:lang w:val="fr-CH"/>
        </w:rPr>
        <w:t xml:space="preserve"> officiellement sa décision d</w:t>
      </w:r>
      <w:r w:rsidR="0066183D" w:rsidRPr="00C21A6F">
        <w:rPr>
          <w:lang w:val="fr-CH"/>
        </w:rPr>
        <w:t>'</w:t>
      </w:r>
      <w:r w:rsidR="005B05AA" w:rsidRPr="00C21A6F">
        <w:rPr>
          <w:lang w:val="fr-CH"/>
        </w:rPr>
        <w:t>assumer le rôle d</w:t>
      </w:r>
      <w:r w:rsidR="0066183D" w:rsidRPr="00C21A6F">
        <w:rPr>
          <w:lang w:val="fr-CH"/>
        </w:rPr>
        <w:t>'</w:t>
      </w:r>
      <w:r w:rsidR="005B05AA" w:rsidRPr="00C21A6F">
        <w:rPr>
          <w:lang w:val="fr-CH"/>
        </w:rPr>
        <w:t>Autorité de surveillance.</w:t>
      </w:r>
    </w:p>
    <w:p w14:paraId="5FCA0A0C" w14:textId="15497DD3" w:rsidR="005B05AA" w:rsidRPr="00C21A6F" w:rsidRDefault="005B05AA" w:rsidP="00751C4D">
      <w:pPr>
        <w:rPr>
          <w:lang w:val="fr-CH"/>
        </w:rPr>
      </w:pPr>
      <w:r w:rsidRPr="00C21A6F">
        <w:rPr>
          <w:lang w:val="fr-CH"/>
        </w:rPr>
        <w:t>12.2</w:t>
      </w:r>
      <w:r w:rsidRPr="00C21A6F">
        <w:rPr>
          <w:lang w:val="fr-CH"/>
        </w:rPr>
        <w:tab/>
      </w:r>
      <w:r w:rsidR="005446F1" w:rsidRPr="00C21A6F">
        <w:rPr>
          <w:lang w:val="fr-CH"/>
        </w:rPr>
        <w:t xml:space="preserve">Plusieurs Conseillers </w:t>
      </w:r>
      <w:r w:rsidR="00BD1CEE" w:rsidRPr="00C21A6F">
        <w:rPr>
          <w:lang w:val="fr-CH"/>
        </w:rPr>
        <w:t>ont estimé</w:t>
      </w:r>
      <w:r w:rsidR="005446F1" w:rsidRPr="00C21A6F">
        <w:rPr>
          <w:lang w:val="fr-CH"/>
        </w:rPr>
        <w:t xml:space="preserve"> </w:t>
      </w:r>
      <w:r w:rsidRPr="00C21A6F">
        <w:rPr>
          <w:lang w:val="fr-CH"/>
        </w:rPr>
        <w:t>qu</w:t>
      </w:r>
      <w:r w:rsidR="0066183D" w:rsidRPr="00C21A6F">
        <w:rPr>
          <w:lang w:val="fr-CH"/>
        </w:rPr>
        <w:t>'</w:t>
      </w:r>
      <w:r w:rsidRPr="00C21A6F">
        <w:rPr>
          <w:lang w:val="fr-CH"/>
        </w:rPr>
        <w:t xml:space="preserve">il </w:t>
      </w:r>
      <w:r w:rsidR="00BD1CEE" w:rsidRPr="00C21A6F">
        <w:rPr>
          <w:lang w:val="fr-CH"/>
        </w:rPr>
        <w:t>serait prématuré</w:t>
      </w:r>
      <w:r w:rsidRPr="00C21A6F">
        <w:rPr>
          <w:lang w:val="fr-CH"/>
        </w:rPr>
        <w:t xml:space="preserve"> que le Conseil approuve la question de l</w:t>
      </w:r>
      <w:r w:rsidR="0066183D" w:rsidRPr="00C21A6F">
        <w:rPr>
          <w:lang w:val="fr-CH"/>
        </w:rPr>
        <w:t>'</w:t>
      </w:r>
      <w:r w:rsidRPr="00C21A6F">
        <w:rPr>
          <w:lang w:val="fr-CH"/>
        </w:rPr>
        <w:t>acceptation par l</w:t>
      </w:r>
      <w:r w:rsidR="0066183D" w:rsidRPr="00C21A6F">
        <w:rPr>
          <w:lang w:val="fr-CH"/>
        </w:rPr>
        <w:t>'</w:t>
      </w:r>
      <w:r w:rsidRPr="00C21A6F">
        <w:rPr>
          <w:lang w:val="fr-CH"/>
        </w:rPr>
        <w:t>UIT des fonctions d</w:t>
      </w:r>
      <w:r w:rsidR="0066183D" w:rsidRPr="00C21A6F">
        <w:rPr>
          <w:lang w:val="fr-CH"/>
        </w:rPr>
        <w:t>'</w:t>
      </w:r>
      <w:r w:rsidRPr="00C21A6F">
        <w:rPr>
          <w:lang w:val="fr-CH"/>
        </w:rPr>
        <w:t>Autorité de surveillance, étant donné qu</w:t>
      </w:r>
      <w:r w:rsidR="0066183D" w:rsidRPr="00C21A6F">
        <w:rPr>
          <w:lang w:val="fr-CH"/>
        </w:rPr>
        <w:t>'</w:t>
      </w:r>
      <w:r w:rsidRPr="00C21A6F">
        <w:rPr>
          <w:lang w:val="fr-CH"/>
        </w:rPr>
        <w:t>il f</w:t>
      </w:r>
      <w:r w:rsidR="005446F1" w:rsidRPr="00C21A6F">
        <w:rPr>
          <w:lang w:val="fr-CH"/>
        </w:rPr>
        <w:t>allait</w:t>
      </w:r>
      <w:r w:rsidRPr="00C21A6F">
        <w:rPr>
          <w:lang w:val="fr-CH"/>
        </w:rPr>
        <w:t xml:space="preserve"> encore identifier un Conservateur. En revanche, le Conseil devrait continuer de suivre les éventuels faits nouveaux concernant cette question </w:t>
      </w:r>
      <w:r w:rsidR="00BD1CEE" w:rsidRPr="00C21A6F">
        <w:rPr>
          <w:lang w:val="fr-CH"/>
        </w:rPr>
        <w:t xml:space="preserve">et le </w:t>
      </w:r>
      <w:r w:rsidR="008C3AF6">
        <w:rPr>
          <w:lang w:val="fr-CH"/>
        </w:rPr>
        <w:t>S</w:t>
      </w:r>
      <w:r w:rsidRPr="00C21A6F">
        <w:rPr>
          <w:lang w:val="fr-CH"/>
        </w:rPr>
        <w:t>ecrétariat devrait continuer de faire part de l</w:t>
      </w:r>
      <w:r w:rsidR="0066183D" w:rsidRPr="00C21A6F">
        <w:rPr>
          <w:lang w:val="fr-CH"/>
        </w:rPr>
        <w:t>'</w:t>
      </w:r>
      <w:r w:rsidRPr="00C21A6F">
        <w:rPr>
          <w:lang w:val="fr-CH"/>
        </w:rPr>
        <w:t>intérêt manifesté par l</w:t>
      </w:r>
      <w:r w:rsidR="0066183D" w:rsidRPr="00C21A6F">
        <w:rPr>
          <w:lang w:val="fr-CH"/>
        </w:rPr>
        <w:t>'</w:t>
      </w:r>
      <w:r w:rsidRPr="00C21A6F">
        <w:rPr>
          <w:lang w:val="fr-CH"/>
        </w:rPr>
        <w:t>UIT pour devenir l</w:t>
      </w:r>
      <w:r w:rsidR="0066183D" w:rsidRPr="00C21A6F">
        <w:rPr>
          <w:lang w:val="fr-CH"/>
        </w:rPr>
        <w:t>'</w:t>
      </w:r>
      <w:r w:rsidRPr="00C21A6F">
        <w:rPr>
          <w:lang w:val="fr-CH"/>
        </w:rPr>
        <w:t>Autorité de surveillance et de répondre aux questions que pourraient soulever les Etats Membres d</w:t>
      </w:r>
      <w:r w:rsidR="0066183D" w:rsidRPr="00C21A6F">
        <w:rPr>
          <w:lang w:val="fr-CH"/>
        </w:rPr>
        <w:t>'</w:t>
      </w:r>
      <w:r w:rsidRPr="00C21A6F">
        <w:rPr>
          <w:lang w:val="fr-CH"/>
        </w:rPr>
        <w:t xml:space="preserve">ici à la PP-18. </w:t>
      </w:r>
    </w:p>
    <w:p w14:paraId="64F0559C" w14:textId="61C52F1F" w:rsidR="005B05AA" w:rsidRPr="00C21A6F" w:rsidRDefault="005B05AA" w:rsidP="00BD1CEE">
      <w:pPr>
        <w:rPr>
          <w:lang w:val="fr-CH"/>
        </w:rPr>
      </w:pPr>
      <w:r w:rsidRPr="00C21A6F">
        <w:rPr>
          <w:lang w:val="fr-CH"/>
        </w:rPr>
        <w:t>12.3</w:t>
      </w:r>
      <w:r w:rsidRPr="00C21A6F">
        <w:rPr>
          <w:lang w:val="fr-CH"/>
        </w:rPr>
        <w:tab/>
        <w:t>Plusieurs</w:t>
      </w:r>
      <w:r w:rsidR="001222A4" w:rsidRPr="00C21A6F">
        <w:rPr>
          <w:lang w:val="fr-CH"/>
        </w:rPr>
        <w:t xml:space="preserve"> autres</w:t>
      </w:r>
      <w:r w:rsidR="00F7497E" w:rsidRPr="00C21A6F">
        <w:rPr>
          <w:lang w:val="fr-CH"/>
        </w:rPr>
        <w:t xml:space="preserve"> C</w:t>
      </w:r>
      <w:r w:rsidR="001222A4" w:rsidRPr="00C21A6F">
        <w:rPr>
          <w:lang w:val="fr-CH"/>
        </w:rPr>
        <w:t xml:space="preserve">onseillers ont </w:t>
      </w:r>
      <w:r w:rsidRPr="00C21A6F">
        <w:rPr>
          <w:lang w:val="fr-CH"/>
        </w:rPr>
        <w:t>expliqu</w:t>
      </w:r>
      <w:r w:rsidR="001222A4" w:rsidRPr="00C21A6F">
        <w:rPr>
          <w:lang w:val="fr-CH"/>
        </w:rPr>
        <w:t xml:space="preserve">é </w:t>
      </w:r>
      <w:r w:rsidRPr="00C21A6F">
        <w:rPr>
          <w:lang w:val="fr-CH"/>
        </w:rPr>
        <w:t xml:space="preserve">que la mise en oeuvre harmonieuse </w:t>
      </w:r>
      <w:r w:rsidR="001222A4" w:rsidRPr="00C21A6F">
        <w:rPr>
          <w:lang w:val="fr-CH"/>
        </w:rPr>
        <w:t>du</w:t>
      </w:r>
      <w:r w:rsidRPr="00C21A6F">
        <w:rPr>
          <w:lang w:val="fr-CH"/>
        </w:rPr>
        <w:t xml:space="preserve"> Protocole </w:t>
      </w:r>
      <w:r w:rsidR="001222A4" w:rsidRPr="00C21A6F">
        <w:rPr>
          <w:lang w:val="fr-CH"/>
        </w:rPr>
        <w:t>portant sur les biens spatiaux reposait</w:t>
      </w:r>
      <w:r w:rsidRPr="00C21A6F">
        <w:rPr>
          <w:lang w:val="fr-CH"/>
        </w:rPr>
        <w:t xml:space="preserve"> sur le fait que l</w:t>
      </w:r>
      <w:r w:rsidR="0066183D" w:rsidRPr="00C21A6F">
        <w:rPr>
          <w:lang w:val="fr-CH"/>
        </w:rPr>
        <w:t>'</w:t>
      </w:r>
      <w:r w:rsidRPr="00C21A6F">
        <w:rPr>
          <w:lang w:val="fr-CH"/>
        </w:rPr>
        <w:t xml:space="preserve">UIT </w:t>
      </w:r>
      <w:r w:rsidR="00BD1CEE" w:rsidRPr="00C21A6F">
        <w:rPr>
          <w:lang w:val="fr-CH"/>
        </w:rPr>
        <w:t>deviendrait</w:t>
      </w:r>
      <w:r w:rsidRPr="00C21A6F">
        <w:rPr>
          <w:lang w:val="fr-CH"/>
        </w:rPr>
        <w:t xml:space="preserve"> l</w:t>
      </w:r>
      <w:r w:rsidR="0066183D" w:rsidRPr="00C21A6F">
        <w:rPr>
          <w:lang w:val="fr-CH"/>
        </w:rPr>
        <w:t>'</w:t>
      </w:r>
      <w:r w:rsidRPr="00C21A6F">
        <w:rPr>
          <w:lang w:val="fr-CH"/>
        </w:rPr>
        <w:t>Autorité de surveillance</w:t>
      </w:r>
      <w:r w:rsidR="005517CC" w:rsidRPr="00C21A6F">
        <w:rPr>
          <w:lang w:val="fr-CH"/>
        </w:rPr>
        <w:t xml:space="preserve">, ce qui </w:t>
      </w:r>
      <w:r w:rsidR="00BD1CEE" w:rsidRPr="00C21A6F">
        <w:rPr>
          <w:lang w:val="fr-CH"/>
        </w:rPr>
        <w:t>n'a donné</w:t>
      </w:r>
      <w:r w:rsidR="005517CC" w:rsidRPr="00C21A6F">
        <w:rPr>
          <w:lang w:val="fr-CH"/>
        </w:rPr>
        <w:t xml:space="preserve"> lieu à aucune objection</w:t>
      </w:r>
      <w:r w:rsidRPr="00C21A6F">
        <w:rPr>
          <w:lang w:val="fr-CH"/>
        </w:rPr>
        <w:t xml:space="preserve">. </w:t>
      </w:r>
      <w:r w:rsidR="005517CC" w:rsidRPr="00C21A6F">
        <w:rPr>
          <w:lang w:val="fr-CH"/>
        </w:rPr>
        <w:t xml:space="preserve">Le Conseil a par conséquent été invité </w:t>
      </w:r>
      <w:r w:rsidR="000D5011" w:rsidRPr="00C21A6F">
        <w:rPr>
          <w:lang w:val="fr-CH"/>
        </w:rPr>
        <w:t>à fixer</w:t>
      </w:r>
      <w:r w:rsidR="000D5011" w:rsidRPr="00C21A6F">
        <w:rPr>
          <w:color w:val="000000"/>
          <w:lang w:val="fr-CH"/>
        </w:rPr>
        <w:t xml:space="preserve"> </w:t>
      </w:r>
      <w:r w:rsidR="00BD1CEE" w:rsidRPr="00C21A6F">
        <w:rPr>
          <w:color w:val="000000"/>
          <w:lang w:val="fr-CH"/>
        </w:rPr>
        <w:t>ses propres échéances</w:t>
      </w:r>
      <w:r w:rsidR="000D5011" w:rsidRPr="00C21A6F">
        <w:rPr>
          <w:color w:val="000000"/>
          <w:lang w:val="fr-CH"/>
        </w:rPr>
        <w:t xml:space="preserve"> pour formuler une recommandation à l</w:t>
      </w:r>
      <w:r w:rsidR="0066183D" w:rsidRPr="00C21A6F">
        <w:rPr>
          <w:color w:val="000000"/>
          <w:lang w:val="fr-CH"/>
        </w:rPr>
        <w:t>'</w:t>
      </w:r>
      <w:r w:rsidR="000D5011" w:rsidRPr="00C21A6F">
        <w:rPr>
          <w:color w:val="000000"/>
          <w:lang w:val="fr-CH"/>
        </w:rPr>
        <w:t>intention de la PP-18.</w:t>
      </w:r>
      <w:r w:rsidR="002772B2" w:rsidRPr="00C21A6F">
        <w:rPr>
          <w:lang w:val="fr-CH"/>
        </w:rPr>
        <w:t xml:space="preserve"> </w:t>
      </w:r>
      <w:r w:rsidRPr="00C21A6F">
        <w:rPr>
          <w:lang w:val="fr-CH"/>
        </w:rPr>
        <w:t>A sa</w:t>
      </w:r>
      <w:r w:rsidR="005E5A0F" w:rsidRPr="00C21A6F">
        <w:rPr>
          <w:lang w:val="fr-CH"/>
        </w:rPr>
        <w:t xml:space="preserve"> session de 2017, le Conseil devai</w:t>
      </w:r>
      <w:r w:rsidRPr="00C21A6F">
        <w:rPr>
          <w:lang w:val="fr-CH"/>
        </w:rPr>
        <w:t>t être en mesure de recommander à la PP-18 d</w:t>
      </w:r>
      <w:r w:rsidR="0066183D" w:rsidRPr="00C21A6F">
        <w:rPr>
          <w:lang w:val="fr-CH"/>
        </w:rPr>
        <w:t>'</w:t>
      </w:r>
      <w:r w:rsidRPr="00C21A6F">
        <w:rPr>
          <w:lang w:val="fr-CH"/>
        </w:rPr>
        <w:t>approuver la question de l</w:t>
      </w:r>
      <w:r w:rsidR="0066183D" w:rsidRPr="00C21A6F">
        <w:rPr>
          <w:lang w:val="fr-CH"/>
        </w:rPr>
        <w:t>'</w:t>
      </w:r>
      <w:r w:rsidRPr="00C21A6F">
        <w:rPr>
          <w:lang w:val="fr-CH"/>
        </w:rPr>
        <w:t>acceptation par l</w:t>
      </w:r>
      <w:r w:rsidR="0066183D" w:rsidRPr="00C21A6F">
        <w:rPr>
          <w:lang w:val="fr-CH"/>
        </w:rPr>
        <w:t>'</w:t>
      </w:r>
      <w:r w:rsidRPr="00C21A6F">
        <w:rPr>
          <w:lang w:val="fr-CH"/>
        </w:rPr>
        <w:t>UIT des fonctions d</w:t>
      </w:r>
      <w:r w:rsidR="0066183D" w:rsidRPr="00C21A6F">
        <w:rPr>
          <w:lang w:val="fr-CH"/>
        </w:rPr>
        <w:t>'</w:t>
      </w:r>
      <w:r w:rsidRPr="00C21A6F">
        <w:rPr>
          <w:lang w:val="fr-CH"/>
        </w:rPr>
        <w:t xml:space="preserve">Autorité de </w:t>
      </w:r>
      <w:r w:rsidR="005E5A0F" w:rsidRPr="00C21A6F">
        <w:rPr>
          <w:lang w:val="fr-CH"/>
        </w:rPr>
        <w:t>surveillance, même s</w:t>
      </w:r>
      <w:r w:rsidR="0066183D" w:rsidRPr="00C21A6F">
        <w:rPr>
          <w:lang w:val="fr-CH"/>
        </w:rPr>
        <w:t>'</w:t>
      </w:r>
      <w:r w:rsidR="005E5A0F" w:rsidRPr="00C21A6F">
        <w:rPr>
          <w:lang w:val="fr-CH"/>
        </w:rPr>
        <w:t>il assortissait</w:t>
      </w:r>
      <w:r w:rsidRPr="00C21A6F">
        <w:rPr>
          <w:lang w:val="fr-CH"/>
        </w:rPr>
        <w:t xml:space="preserve"> cette recommandation de certaines conditions. </w:t>
      </w:r>
    </w:p>
    <w:p w14:paraId="7311270C" w14:textId="1470389D" w:rsidR="005B05AA" w:rsidRPr="00C21A6F" w:rsidRDefault="005B05AA" w:rsidP="0066183D">
      <w:pPr>
        <w:rPr>
          <w:lang w:val="fr-CH"/>
        </w:rPr>
      </w:pPr>
      <w:r w:rsidRPr="00C21A6F">
        <w:rPr>
          <w:lang w:val="fr-CH"/>
        </w:rPr>
        <w:t>12.4</w:t>
      </w:r>
      <w:r w:rsidRPr="00C21A6F">
        <w:rPr>
          <w:lang w:val="fr-CH"/>
        </w:rPr>
        <w:tab/>
        <w:t>Notant que la possibilité que l</w:t>
      </w:r>
      <w:r w:rsidR="0066183D" w:rsidRPr="00C21A6F">
        <w:rPr>
          <w:lang w:val="fr-CH"/>
        </w:rPr>
        <w:t>'</w:t>
      </w:r>
      <w:r w:rsidRPr="00C21A6F">
        <w:rPr>
          <w:lang w:val="fr-CH"/>
        </w:rPr>
        <w:t>UIT devienne l</w:t>
      </w:r>
      <w:r w:rsidR="0066183D" w:rsidRPr="00C21A6F">
        <w:rPr>
          <w:lang w:val="fr-CH"/>
        </w:rPr>
        <w:t>'</w:t>
      </w:r>
      <w:r w:rsidRPr="00C21A6F">
        <w:rPr>
          <w:lang w:val="fr-CH"/>
        </w:rPr>
        <w:t>Autorité de surveillance n</w:t>
      </w:r>
      <w:r w:rsidR="0066183D" w:rsidRPr="00C21A6F">
        <w:rPr>
          <w:lang w:val="fr-CH"/>
        </w:rPr>
        <w:t>'</w:t>
      </w:r>
      <w:r w:rsidRPr="00C21A6F">
        <w:rPr>
          <w:lang w:val="fr-CH"/>
        </w:rPr>
        <w:t>a donné lieu à aucune objection de principe, mais que la décision du Conseil ne devrait pas sembler préjuger la décision de la Conférence de plénipotentiaires en 2018, le Conseil a décidé:</w:t>
      </w:r>
    </w:p>
    <w:p w14:paraId="7413EE58" w14:textId="1AA7333A" w:rsidR="005B05AA" w:rsidRPr="00C21A6F" w:rsidRDefault="005B05AA" w:rsidP="0066183D">
      <w:pPr>
        <w:pStyle w:val="enumlev1"/>
        <w:rPr>
          <w:lang w:val="fr-CH"/>
        </w:rPr>
      </w:pPr>
      <w:r w:rsidRPr="00C21A6F">
        <w:rPr>
          <w:lang w:val="fr-CH"/>
        </w:rPr>
        <w:t>•</w:t>
      </w:r>
      <w:r w:rsidRPr="00C21A6F">
        <w:rPr>
          <w:lang w:val="fr-CH"/>
        </w:rPr>
        <w:tab/>
        <w:t>de continuer d</w:t>
      </w:r>
      <w:r w:rsidR="0066183D" w:rsidRPr="00C21A6F">
        <w:rPr>
          <w:lang w:val="fr-CH"/>
        </w:rPr>
        <w:t>'</w:t>
      </w:r>
      <w:r w:rsidRPr="00C21A6F">
        <w:rPr>
          <w:lang w:val="fr-CH"/>
        </w:rPr>
        <w:t>examiner la question de l</w:t>
      </w:r>
      <w:r w:rsidR="0066183D" w:rsidRPr="00C21A6F">
        <w:rPr>
          <w:lang w:val="fr-CH"/>
        </w:rPr>
        <w:t>'</w:t>
      </w:r>
      <w:r w:rsidRPr="00C21A6F">
        <w:rPr>
          <w:lang w:val="fr-CH"/>
        </w:rPr>
        <w:t>exercice par l</w:t>
      </w:r>
      <w:r w:rsidR="0066183D" w:rsidRPr="00C21A6F">
        <w:rPr>
          <w:lang w:val="fr-CH"/>
        </w:rPr>
        <w:t>'</w:t>
      </w:r>
      <w:r w:rsidRPr="00C21A6F">
        <w:rPr>
          <w:lang w:val="fr-CH"/>
        </w:rPr>
        <w:t>Union des fonctions d</w:t>
      </w:r>
      <w:r w:rsidR="0066183D" w:rsidRPr="00C21A6F">
        <w:rPr>
          <w:lang w:val="fr-CH"/>
        </w:rPr>
        <w:t>'</w:t>
      </w:r>
      <w:r w:rsidRPr="00C21A6F">
        <w:rPr>
          <w:lang w:val="fr-CH"/>
        </w:rPr>
        <w:t>Autorité de surveillance, notant que la décision finale concernant la question de savoir si l</w:t>
      </w:r>
      <w:r w:rsidR="0066183D" w:rsidRPr="00C21A6F">
        <w:rPr>
          <w:lang w:val="fr-CH"/>
        </w:rPr>
        <w:t>'</w:t>
      </w:r>
      <w:r w:rsidRPr="00C21A6F">
        <w:rPr>
          <w:lang w:val="fr-CH"/>
        </w:rPr>
        <w:t>UIT pourrait ou non être l</w:t>
      </w:r>
      <w:r w:rsidR="0066183D" w:rsidRPr="00C21A6F">
        <w:rPr>
          <w:lang w:val="fr-CH"/>
        </w:rPr>
        <w:t>'</w:t>
      </w:r>
      <w:r w:rsidRPr="00C21A6F">
        <w:rPr>
          <w:lang w:val="fr-CH"/>
        </w:rPr>
        <w:t>Autorité de surveillance devrait être prise par la prochaine Conférence de plénipotentiaires;</w:t>
      </w:r>
    </w:p>
    <w:p w14:paraId="3BAB90E4" w14:textId="7F81DFC7" w:rsidR="005B05AA" w:rsidRPr="00C21A6F" w:rsidRDefault="005B05AA" w:rsidP="0066183D">
      <w:pPr>
        <w:pStyle w:val="enumlev1"/>
        <w:rPr>
          <w:lang w:val="fr-CH"/>
        </w:rPr>
      </w:pPr>
      <w:r w:rsidRPr="00C21A6F">
        <w:rPr>
          <w:lang w:val="fr-CH"/>
        </w:rPr>
        <w:t>•</w:t>
      </w:r>
      <w:r w:rsidRPr="00C21A6F">
        <w:rPr>
          <w:lang w:val="fr-CH"/>
        </w:rPr>
        <w:tab/>
        <w:t>d</w:t>
      </w:r>
      <w:r w:rsidR="0066183D" w:rsidRPr="00C21A6F">
        <w:rPr>
          <w:lang w:val="fr-CH"/>
        </w:rPr>
        <w:t>'</w:t>
      </w:r>
      <w:r w:rsidRPr="00C21A6F">
        <w:rPr>
          <w:lang w:val="fr-CH"/>
        </w:rPr>
        <w:t>autoriser le Secrétaire général, ou son représentant, à continuer de participer en qualité d</w:t>
      </w:r>
      <w:r w:rsidR="0066183D" w:rsidRPr="00C21A6F">
        <w:rPr>
          <w:lang w:val="fr-CH"/>
        </w:rPr>
        <w:t>'</w:t>
      </w:r>
      <w:r w:rsidRPr="00C21A6F">
        <w:rPr>
          <w:lang w:val="fr-CH"/>
        </w:rPr>
        <w:t>observateur aux travaux de la Commission préparatoire et de ses groupes de travail et à réaffirmer l</w:t>
      </w:r>
      <w:r w:rsidR="0066183D" w:rsidRPr="00C21A6F">
        <w:rPr>
          <w:lang w:val="fr-CH"/>
        </w:rPr>
        <w:t>'</w:t>
      </w:r>
      <w:r w:rsidRPr="00C21A6F">
        <w:rPr>
          <w:lang w:val="fr-CH"/>
        </w:rPr>
        <w:t>intérêt de l</w:t>
      </w:r>
      <w:r w:rsidR="0066183D" w:rsidRPr="00C21A6F">
        <w:rPr>
          <w:lang w:val="fr-CH"/>
        </w:rPr>
        <w:t>'</w:t>
      </w:r>
      <w:r w:rsidRPr="00C21A6F">
        <w:rPr>
          <w:lang w:val="fr-CH"/>
        </w:rPr>
        <w:t>Union pour que cette organisation exerce les fonctions d</w:t>
      </w:r>
      <w:r w:rsidR="0066183D" w:rsidRPr="00C21A6F">
        <w:rPr>
          <w:lang w:val="fr-CH"/>
        </w:rPr>
        <w:t>'</w:t>
      </w:r>
      <w:r w:rsidRPr="00C21A6F">
        <w:rPr>
          <w:lang w:val="fr-CH"/>
        </w:rPr>
        <w:t>Autorité de surveillance;</w:t>
      </w:r>
    </w:p>
    <w:p w14:paraId="3FE25C76" w14:textId="74CFFE53" w:rsidR="005B05AA" w:rsidRDefault="005B05AA" w:rsidP="00BD1CEE">
      <w:pPr>
        <w:pStyle w:val="enumlev1"/>
        <w:rPr>
          <w:lang w:val="fr-CH"/>
        </w:rPr>
      </w:pPr>
      <w:r w:rsidRPr="00C21A6F">
        <w:rPr>
          <w:lang w:val="fr-CH"/>
        </w:rPr>
        <w:t>•</w:t>
      </w:r>
      <w:r w:rsidRPr="00C21A6F">
        <w:rPr>
          <w:lang w:val="fr-CH"/>
        </w:rPr>
        <w:tab/>
        <w:t>de charger le Secrétaire général d</w:t>
      </w:r>
      <w:r w:rsidR="0066183D" w:rsidRPr="00C21A6F">
        <w:rPr>
          <w:lang w:val="fr-CH"/>
        </w:rPr>
        <w:t>'</w:t>
      </w:r>
      <w:r w:rsidRPr="00C21A6F">
        <w:rPr>
          <w:lang w:val="fr-CH"/>
        </w:rPr>
        <w:t>examiner les questions soulevées à la session de 2016 du Conseil, en particulier les conditions et les restrictions qui pourraient être nécessaires au cas où l</w:t>
      </w:r>
      <w:r w:rsidR="0066183D" w:rsidRPr="00C21A6F">
        <w:rPr>
          <w:lang w:val="fr-CH"/>
        </w:rPr>
        <w:t>'</w:t>
      </w:r>
      <w:r w:rsidRPr="00C21A6F">
        <w:rPr>
          <w:lang w:val="fr-CH"/>
        </w:rPr>
        <w:t>UIT assumerait le rôle d</w:t>
      </w:r>
      <w:r w:rsidR="0066183D" w:rsidRPr="00C21A6F">
        <w:rPr>
          <w:lang w:val="fr-CH"/>
        </w:rPr>
        <w:t>'</w:t>
      </w:r>
      <w:r w:rsidRPr="00C21A6F">
        <w:rPr>
          <w:lang w:val="fr-CH"/>
        </w:rPr>
        <w:t>Autorité de surveillance, ainsi que toute autre question qui devront peut</w:t>
      </w:r>
      <w:r w:rsidRPr="00C21A6F">
        <w:rPr>
          <w:lang w:val="fr-CH"/>
        </w:rPr>
        <w:noBreakHyphen/>
        <w:t>être être examinées, afin que le Conseil, à sa session de 2017, prenne une décision sur les mesures à prendre qu</w:t>
      </w:r>
      <w:r w:rsidR="0066183D" w:rsidRPr="00C21A6F">
        <w:rPr>
          <w:lang w:val="fr-CH"/>
        </w:rPr>
        <w:t>'</w:t>
      </w:r>
      <w:r w:rsidRPr="00C21A6F">
        <w:rPr>
          <w:lang w:val="fr-CH"/>
        </w:rPr>
        <w:t xml:space="preserve">il recommandera à la </w:t>
      </w:r>
      <w:r w:rsidR="00BD1CEE" w:rsidRPr="00C21A6F">
        <w:rPr>
          <w:lang w:val="fr-CH"/>
        </w:rPr>
        <w:t>PP-</w:t>
      </w:r>
      <w:r w:rsidRPr="00C21A6F">
        <w:rPr>
          <w:lang w:val="fr-CH"/>
        </w:rPr>
        <w:t>18.</w:t>
      </w:r>
    </w:p>
    <w:p w14:paraId="6A01E857" w14:textId="308F9898" w:rsidR="005B05AA" w:rsidRPr="00C21A6F" w:rsidRDefault="005B05AA" w:rsidP="0066183D">
      <w:pPr>
        <w:pStyle w:val="Heading1"/>
        <w:rPr>
          <w:lang w:val="fr-CH"/>
        </w:rPr>
      </w:pPr>
      <w:r w:rsidRPr="00C21A6F">
        <w:rPr>
          <w:lang w:val="fr-CH"/>
        </w:rPr>
        <w:lastRenderedPageBreak/>
        <w:t>13</w:t>
      </w:r>
      <w:r w:rsidRPr="00C21A6F">
        <w:rPr>
          <w:lang w:val="fr-CH"/>
        </w:rPr>
        <w:tab/>
        <w:t>Commission préparatoire (</w:t>
      </w:r>
      <w:r w:rsidR="00E953BA" w:rsidRPr="00C21A6F">
        <w:rPr>
          <w:lang w:val="fr-CH"/>
        </w:rPr>
        <w:t>t</w:t>
      </w:r>
      <w:r w:rsidRPr="00C21A6F">
        <w:rPr>
          <w:lang w:val="fr-CH"/>
        </w:rPr>
        <w:t>éléconférence, 6 décembre 2016)</w:t>
      </w:r>
    </w:p>
    <w:p w14:paraId="663B4AC3" w14:textId="0A6737B5" w:rsidR="005B05AA" w:rsidRPr="00C21A6F" w:rsidRDefault="0095214C" w:rsidP="00BD1CEE">
      <w:pPr>
        <w:rPr>
          <w:lang w:val="fr-CH"/>
        </w:rPr>
      </w:pPr>
      <w:r w:rsidRPr="00C21A6F">
        <w:rPr>
          <w:lang w:val="fr-CH"/>
        </w:rPr>
        <w:t>13.1</w:t>
      </w:r>
      <w:r w:rsidRPr="00C21A6F">
        <w:rPr>
          <w:lang w:val="fr-CH"/>
        </w:rPr>
        <w:tab/>
      </w:r>
      <w:bookmarkStart w:id="10" w:name="lt_pId028"/>
      <w:r w:rsidRPr="00C21A6F">
        <w:rPr>
          <w:lang w:val="fr-CH"/>
        </w:rPr>
        <w:t>La Commission préparatoire chargée de l</w:t>
      </w:r>
      <w:r w:rsidR="0066183D" w:rsidRPr="00C21A6F">
        <w:rPr>
          <w:lang w:val="fr-CH"/>
        </w:rPr>
        <w:t>'</w:t>
      </w:r>
      <w:r w:rsidRPr="00C21A6F">
        <w:rPr>
          <w:lang w:val="fr-CH"/>
        </w:rPr>
        <w:t xml:space="preserve">établissement du Registre international pour les biens spatiaux conformément au Protocole portant sur les biens spatiaux a tenu </w:t>
      </w:r>
      <w:r w:rsidR="00EE0309" w:rsidRPr="00C21A6F">
        <w:rPr>
          <w:lang w:val="fr-CH"/>
        </w:rPr>
        <w:t>une téléconférence</w:t>
      </w:r>
      <w:r w:rsidRPr="00C21A6F">
        <w:rPr>
          <w:lang w:val="fr-CH"/>
        </w:rPr>
        <w:t xml:space="preserve"> le 6 décembre 2016. Cette téléconférence était axée sur les questions en suspens liées à la mise en oeuvre </w:t>
      </w:r>
      <w:bookmarkEnd w:id="10"/>
      <w:r w:rsidRPr="00C21A6F">
        <w:rPr>
          <w:lang w:val="fr-CH"/>
        </w:rPr>
        <w:t xml:space="preserve">du Protocole portant sur les biens spatiaux de la Convention du Cap. </w:t>
      </w:r>
      <w:bookmarkStart w:id="11" w:name="lt_pId081"/>
      <w:r w:rsidR="00BE3CD7" w:rsidRPr="00C21A6F">
        <w:rPr>
          <w:lang w:val="fr-CH"/>
        </w:rPr>
        <w:t>Il a été rappelé que</w:t>
      </w:r>
      <w:r w:rsidRPr="00C21A6F">
        <w:rPr>
          <w:lang w:val="fr-CH"/>
        </w:rPr>
        <w:t xml:space="preserve"> la Commission préparatoire </w:t>
      </w:r>
      <w:r w:rsidR="00BD1CEE" w:rsidRPr="00C21A6F">
        <w:rPr>
          <w:lang w:val="fr-CH"/>
        </w:rPr>
        <w:t xml:space="preserve">pour le Protocole portant sur les biens spatiaux </w:t>
      </w:r>
      <w:r w:rsidRPr="00C21A6F">
        <w:rPr>
          <w:lang w:val="fr-CH"/>
        </w:rPr>
        <w:t>a</w:t>
      </w:r>
      <w:r w:rsidR="00BE3CD7" w:rsidRPr="00C21A6F">
        <w:rPr>
          <w:lang w:val="fr-CH"/>
        </w:rPr>
        <w:t>vait</w:t>
      </w:r>
      <w:r w:rsidRPr="00C21A6F">
        <w:rPr>
          <w:lang w:val="fr-CH"/>
        </w:rPr>
        <w:t xml:space="preserve"> considérablement progressé dans ses travaux pendant la période où elle était en activité, avec l</w:t>
      </w:r>
      <w:r w:rsidR="0066183D" w:rsidRPr="00C21A6F">
        <w:rPr>
          <w:lang w:val="fr-CH"/>
        </w:rPr>
        <w:t>'</w:t>
      </w:r>
      <w:r w:rsidRPr="00C21A6F">
        <w:rPr>
          <w:lang w:val="fr-CH"/>
        </w:rPr>
        <w:t xml:space="preserve">adoption définitive du </w:t>
      </w:r>
      <w:r w:rsidR="00BD1CEE" w:rsidRPr="00C21A6F">
        <w:rPr>
          <w:lang w:val="fr-CH"/>
        </w:rPr>
        <w:t>R</w:t>
      </w:r>
      <w:r w:rsidRPr="00C21A6F">
        <w:rPr>
          <w:lang w:val="fr-CH"/>
        </w:rPr>
        <w:t>èglement portant sur le fonctionnement du Registre ainsi que des Règles régissant la nomination des membres de la future Commission d</w:t>
      </w:r>
      <w:r w:rsidR="0066183D" w:rsidRPr="00C21A6F">
        <w:rPr>
          <w:lang w:val="fr-CH"/>
        </w:rPr>
        <w:t>'</w:t>
      </w:r>
      <w:r w:rsidRPr="00C21A6F">
        <w:rPr>
          <w:lang w:val="fr-CH"/>
        </w:rPr>
        <w:t>experts de l</w:t>
      </w:r>
      <w:r w:rsidR="0066183D" w:rsidRPr="00C21A6F">
        <w:rPr>
          <w:lang w:val="fr-CH"/>
        </w:rPr>
        <w:t>'</w:t>
      </w:r>
      <w:r w:rsidRPr="00C21A6F">
        <w:rPr>
          <w:lang w:val="fr-CH"/>
        </w:rPr>
        <w:t>Autorité de surveillance du Registre international pour les biens spatiaux (CESAIR) et le fonctionnement de cette Commission.</w:t>
      </w:r>
      <w:bookmarkEnd w:id="11"/>
      <w:r w:rsidRPr="00C21A6F">
        <w:rPr>
          <w:lang w:val="fr-CH"/>
        </w:rPr>
        <w:t xml:space="preserve"> Certains participants ont souligné que le secteur des technologies spatiales évolue vers un marché plus ouvert et la participation de plus petits acteurs, et connaît une augmentation du nombre de biens, ce qui conduira peut-être à un plus large appui de ce secteur à l</w:t>
      </w:r>
      <w:r w:rsidR="0066183D" w:rsidRPr="00C21A6F">
        <w:rPr>
          <w:lang w:val="fr-CH"/>
        </w:rPr>
        <w:t>'</w:t>
      </w:r>
      <w:r w:rsidRPr="00C21A6F">
        <w:rPr>
          <w:lang w:val="fr-CH"/>
        </w:rPr>
        <w:t>avenir. Bien que de nombreuses questions, notamment la nomination du Conservateur du Registre, soient étroitement liées, la Commission préparatoire a décidé de se concentrer sur la stratégie à adopter à court terme pour nommer une Autorité de surveillance d</w:t>
      </w:r>
      <w:r w:rsidR="0066183D" w:rsidRPr="00C21A6F">
        <w:rPr>
          <w:lang w:val="fr-CH"/>
        </w:rPr>
        <w:t>'</w:t>
      </w:r>
      <w:r w:rsidRPr="00C21A6F">
        <w:rPr>
          <w:lang w:val="fr-CH"/>
        </w:rPr>
        <w:t>une part, et pour obtenir l</w:t>
      </w:r>
      <w:r w:rsidR="0066183D" w:rsidRPr="00C21A6F">
        <w:rPr>
          <w:lang w:val="fr-CH"/>
        </w:rPr>
        <w:t>'</w:t>
      </w:r>
      <w:r w:rsidRPr="00C21A6F">
        <w:rPr>
          <w:lang w:val="fr-CH"/>
        </w:rPr>
        <w:t>appui des pouvoirs publics et du secteur privé d</w:t>
      </w:r>
      <w:r w:rsidR="0066183D" w:rsidRPr="00C21A6F">
        <w:rPr>
          <w:lang w:val="fr-CH"/>
        </w:rPr>
        <w:t>'</w:t>
      </w:r>
      <w:r w:rsidRPr="00C21A6F">
        <w:rPr>
          <w:lang w:val="fr-CH"/>
        </w:rPr>
        <w:t>autre part.</w:t>
      </w:r>
    </w:p>
    <w:p w14:paraId="0BB01008" w14:textId="77777777" w:rsidR="0095214C" w:rsidRPr="00C21A6F" w:rsidRDefault="0095214C" w:rsidP="0066183D">
      <w:pPr>
        <w:tabs>
          <w:tab w:val="clear" w:pos="567"/>
          <w:tab w:val="clear" w:pos="1134"/>
          <w:tab w:val="clear" w:pos="1701"/>
          <w:tab w:val="clear" w:pos="2268"/>
          <w:tab w:val="clear" w:pos="2835"/>
        </w:tabs>
        <w:overflowPunct/>
        <w:autoSpaceDE/>
        <w:autoSpaceDN/>
        <w:adjustRightInd/>
        <w:spacing w:before="0"/>
        <w:textAlignment w:val="auto"/>
        <w:rPr>
          <w:lang w:val="fr-CH"/>
        </w:rPr>
      </w:pPr>
      <w:r w:rsidRPr="00C21A6F">
        <w:rPr>
          <w:lang w:val="fr-CH"/>
        </w:rPr>
        <w:br w:type="page"/>
      </w:r>
    </w:p>
    <w:p w14:paraId="7C63B9AD" w14:textId="77777777" w:rsidR="005B05AA" w:rsidRPr="00C21A6F" w:rsidRDefault="0095214C" w:rsidP="0066183D">
      <w:pPr>
        <w:pStyle w:val="AnnexNo"/>
        <w:rPr>
          <w:lang w:val="fr-CH"/>
        </w:rPr>
      </w:pPr>
      <w:r w:rsidRPr="00C21A6F">
        <w:rPr>
          <w:lang w:val="fr-CH"/>
        </w:rPr>
        <w:lastRenderedPageBreak/>
        <w:t>ANNEXE 2</w:t>
      </w:r>
    </w:p>
    <w:p w14:paraId="18D71996" w14:textId="7598E4EA" w:rsidR="0095214C" w:rsidRPr="00C21A6F" w:rsidRDefault="0095214C" w:rsidP="0066183D">
      <w:pPr>
        <w:pStyle w:val="Annextitle"/>
        <w:rPr>
          <w:lang w:val="fr-CH"/>
        </w:rPr>
      </w:pPr>
      <w:r w:rsidRPr="00C21A6F">
        <w:rPr>
          <w:lang w:val="fr-CH"/>
        </w:rPr>
        <w:t>Autorité de surveillance du système international d</w:t>
      </w:r>
      <w:r w:rsidR="0066183D" w:rsidRPr="00C21A6F">
        <w:rPr>
          <w:lang w:val="fr-CH"/>
        </w:rPr>
        <w:t>'</w:t>
      </w:r>
      <w:r w:rsidRPr="00C21A6F">
        <w:rPr>
          <w:lang w:val="fr-CH"/>
        </w:rPr>
        <w:t xml:space="preserve">inscription pour les biens spatiaux, conformément au Protocole portant sur les biens spatiaux </w:t>
      </w:r>
    </w:p>
    <w:p w14:paraId="0EFD4D29" w14:textId="63CE1165" w:rsidR="0095214C" w:rsidRPr="00C21A6F" w:rsidRDefault="0095214C" w:rsidP="0066183D">
      <w:pPr>
        <w:pStyle w:val="Normalaftertitle"/>
        <w:spacing w:before="480"/>
        <w:rPr>
          <w:lang w:val="fr-CH"/>
        </w:rPr>
      </w:pPr>
      <w:r w:rsidRPr="00C21A6F">
        <w:rPr>
          <w:b/>
          <w:bCs/>
          <w:lang w:val="fr-CH"/>
        </w:rPr>
        <w:t>Rappel</w:t>
      </w:r>
      <w:r w:rsidRPr="00C21A6F">
        <w:rPr>
          <w:lang w:val="fr-CH"/>
        </w:rPr>
        <w:t xml:space="preserve"> – Le projet de </w:t>
      </w:r>
      <w:hyperlink r:id="rId72" w:history="1">
        <w:r w:rsidRPr="00C21A6F">
          <w:rPr>
            <w:rStyle w:val="Hyperlink"/>
            <w:lang w:val="fr-CH"/>
          </w:rPr>
          <w:t>Protocole portant sur les biens spatiaux</w:t>
        </w:r>
      </w:hyperlink>
      <w:r w:rsidRPr="00C21A6F">
        <w:rPr>
          <w:lang w:val="fr-CH"/>
        </w:rPr>
        <w:t xml:space="preserve"> fait partie d</w:t>
      </w:r>
      <w:r w:rsidR="0066183D" w:rsidRPr="00C21A6F">
        <w:rPr>
          <w:lang w:val="fr-CH"/>
        </w:rPr>
        <w:t>'</w:t>
      </w:r>
      <w:r w:rsidRPr="00C21A6F">
        <w:rPr>
          <w:lang w:val="fr-CH"/>
        </w:rPr>
        <w:t xml:space="preserve">un ensemble de traités internationaux, dont les premiers ont été la </w:t>
      </w:r>
      <w:hyperlink r:id="rId73" w:history="1">
        <w:r w:rsidRPr="00C21A6F">
          <w:rPr>
            <w:rStyle w:val="Hyperlink"/>
            <w:lang w:val="fr-CH"/>
          </w:rPr>
          <w:t>Convention relative aux garanties internationales portant sur des matériels d</w:t>
        </w:r>
        <w:r w:rsidR="0066183D" w:rsidRPr="00C21A6F">
          <w:rPr>
            <w:rStyle w:val="Hyperlink"/>
            <w:lang w:val="fr-CH"/>
          </w:rPr>
          <w:t>'</w:t>
        </w:r>
        <w:r w:rsidRPr="00C21A6F">
          <w:rPr>
            <w:rStyle w:val="Hyperlink"/>
            <w:lang w:val="fr-CH"/>
          </w:rPr>
          <w:t>équipement mobiles</w:t>
        </w:r>
      </w:hyperlink>
      <w:r w:rsidRPr="00C21A6F">
        <w:rPr>
          <w:lang w:val="fr-CH"/>
        </w:rPr>
        <w:t xml:space="preserve"> (ci-après désignée la Convention) et le </w:t>
      </w:r>
      <w:hyperlink r:id="rId74" w:history="1">
        <w:r w:rsidRPr="00C21A6F">
          <w:rPr>
            <w:rStyle w:val="Hyperlink"/>
            <w:lang w:val="fr-CH"/>
          </w:rPr>
          <w:t>Protocole portant sur les questions spécifiques aux matériels d</w:t>
        </w:r>
        <w:r w:rsidR="0066183D" w:rsidRPr="00C21A6F">
          <w:rPr>
            <w:rStyle w:val="Hyperlink"/>
            <w:lang w:val="fr-CH"/>
          </w:rPr>
          <w:t>'</w:t>
        </w:r>
        <w:r w:rsidRPr="00C21A6F">
          <w:rPr>
            <w:rStyle w:val="Hyperlink"/>
            <w:lang w:val="fr-CH"/>
          </w:rPr>
          <w:t>équipement aéronautiques</w:t>
        </w:r>
      </w:hyperlink>
      <w:r w:rsidRPr="00C21A6F">
        <w:rPr>
          <w:lang w:val="fr-CH"/>
        </w:rPr>
        <w:t>, tous deux ouverts à la signature le 16 novembre 2001 au Cap. Le Protocole portant sur les biens spatiaux est un instrument destiné à faciliter le financement garanti par un actif pour l</w:t>
      </w:r>
      <w:r w:rsidR="0066183D" w:rsidRPr="00C21A6F">
        <w:rPr>
          <w:lang w:val="fr-CH"/>
        </w:rPr>
        <w:t>'</w:t>
      </w:r>
      <w:r w:rsidRPr="00C21A6F">
        <w:rPr>
          <w:lang w:val="fr-CH"/>
        </w:rPr>
        <w:t>acquisition et l</w:t>
      </w:r>
      <w:r w:rsidR="0066183D" w:rsidRPr="00C21A6F">
        <w:rPr>
          <w:lang w:val="fr-CH"/>
        </w:rPr>
        <w:t>'</w:t>
      </w:r>
      <w:r w:rsidRPr="00C21A6F">
        <w:rPr>
          <w:lang w:val="fr-CH"/>
        </w:rPr>
        <w:t xml:space="preserve">utilisation de biens spatiaux tels que les satellites et les répéteurs, qui ignorent les frontières. </w:t>
      </w:r>
    </w:p>
    <w:p w14:paraId="2685E42E" w14:textId="5CB12AD4" w:rsidR="0095214C" w:rsidRPr="00C21A6F" w:rsidRDefault="0095214C" w:rsidP="0066183D">
      <w:pPr>
        <w:rPr>
          <w:lang w:val="fr-CH"/>
        </w:rPr>
      </w:pPr>
      <w:r w:rsidRPr="00C21A6F">
        <w:rPr>
          <w:b/>
          <w:bCs/>
          <w:lang w:val="fr-CH"/>
        </w:rPr>
        <w:t>Financement garanti par un actif</w:t>
      </w:r>
      <w:r w:rsidRPr="00C21A6F">
        <w:rPr>
          <w:lang w:val="fr-CH"/>
        </w:rPr>
        <w:t xml:space="preserve"> – Conformément à un régime juridique international de financement garanti par un actif, un créancier pourrait faire valoir ses droits vis-à-vis d</w:t>
      </w:r>
      <w:r w:rsidR="0066183D" w:rsidRPr="00C21A6F">
        <w:rPr>
          <w:lang w:val="fr-CH"/>
        </w:rPr>
        <w:t>'</w:t>
      </w:r>
      <w:r w:rsidRPr="00C21A6F">
        <w:rPr>
          <w:lang w:val="fr-CH"/>
        </w:rPr>
        <w:t>équipements, en cas d</w:t>
      </w:r>
      <w:r w:rsidR="0066183D" w:rsidRPr="00C21A6F">
        <w:rPr>
          <w:lang w:val="fr-CH"/>
        </w:rPr>
        <w:t>'</w:t>
      </w:r>
      <w:r w:rsidRPr="00C21A6F">
        <w:rPr>
          <w:lang w:val="fr-CH"/>
        </w:rPr>
        <w:t>inexécution par le débiteur de ses obligations. Ce mode de financement est bien adapté aux emprunts portant sur des biens spatiaux de grande valeur. En vertu du régime juridique actuel, c</w:t>
      </w:r>
      <w:r w:rsidR="0066183D" w:rsidRPr="00C21A6F">
        <w:rPr>
          <w:lang w:val="fr-CH"/>
        </w:rPr>
        <w:t>'</w:t>
      </w:r>
      <w:r w:rsidRPr="00C21A6F">
        <w:rPr>
          <w:lang w:val="fr-CH"/>
        </w:rPr>
        <w:t>est le droit régissant l</w:t>
      </w:r>
      <w:r w:rsidR="0066183D" w:rsidRPr="00C21A6F">
        <w:rPr>
          <w:lang w:val="fr-CH"/>
        </w:rPr>
        <w:t>'</w:t>
      </w:r>
      <w:r w:rsidRPr="00C21A6F">
        <w:rPr>
          <w:lang w:val="fr-CH"/>
        </w:rPr>
        <w:t>emplacement de l</w:t>
      </w:r>
      <w:r w:rsidR="0066183D" w:rsidRPr="00C21A6F">
        <w:rPr>
          <w:lang w:val="fr-CH"/>
        </w:rPr>
        <w:t>'</w:t>
      </w:r>
      <w:r w:rsidRPr="00C21A6F">
        <w:rPr>
          <w:lang w:val="fr-CH"/>
        </w:rPr>
        <w:t>équipement qui est en principe applicable lorsqu</w:t>
      </w:r>
      <w:r w:rsidR="0066183D" w:rsidRPr="00C21A6F">
        <w:rPr>
          <w:lang w:val="fr-CH"/>
        </w:rPr>
        <w:t>'</w:t>
      </w:r>
      <w:r w:rsidRPr="00C21A6F">
        <w:rPr>
          <w:lang w:val="fr-CH"/>
        </w:rPr>
        <w:t>il s</w:t>
      </w:r>
      <w:r w:rsidR="0066183D" w:rsidRPr="00C21A6F">
        <w:rPr>
          <w:lang w:val="fr-CH"/>
        </w:rPr>
        <w:t>'</w:t>
      </w:r>
      <w:r w:rsidRPr="00C21A6F">
        <w:rPr>
          <w:lang w:val="fr-CH"/>
        </w:rPr>
        <w:t>agit de trancher des questions concernant la validité, le caractère exécutoire et le rang des sûretés et des créances concernant cet équipement. Or, il n</w:t>
      </w:r>
      <w:r w:rsidR="0066183D" w:rsidRPr="00C21A6F">
        <w:rPr>
          <w:lang w:val="fr-CH"/>
        </w:rPr>
        <w:t>'</w:t>
      </w:r>
      <w:r w:rsidRPr="00C21A6F">
        <w:rPr>
          <w:lang w:val="fr-CH"/>
        </w:rPr>
        <w:t>existe actuellement aucune législation applicable à l</w:t>
      </w:r>
      <w:r w:rsidR="0066183D" w:rsidRPr="00C21A6F">
        <w:rPr>
          <w:lang w:val="fr-CH"/>
        </w:rPr>
        <w:t>'</w:t>
      </w:r>
      <w:r w:rsidRPr="00C21A6F">
        <w:rPr>
          <w:lang w:val="fr-CH"/>
        </w:rPr>
        <w:t>emplacement des équipements dans l</w:t>
      </w:r>
      <w:r w:rsidR="0066183D" w:rsidRPr="00C21A6F">
        <w:rPr>
          <w:lang w:val="fr-CH"/>
        </w:rPr>
        <w:t>'</w:t>
      </w:r>
      <w:r w:rsidRPr="00C21A6F">
        <w:rPr>
          <w:lang w:val="fr-CH"/>
        </w:rPr>
        <w:t>espace, ce qui, du point de vue d</w:t>
      </w:r>
      <w:r w:rsidR="0066183D" w:rsidRPr="00C21A6F">
        <w:rPr>
          <w:lang w:val="fr-CH"/>
        </w:rPr>
        <w:t>'</w:t>
      </w:r>
      <w:r w:rsidRPr="00C21A6F">
        <w:rPr>
          <w:lang w:val="fr-CH"/>
        </w:rPr>
        <w:t xml:space="preserve">un prêteur, rend moins acceptables les risques inhérents au financement garanti par un actif. </w:t>
      </w:r>
    </w:p>
    <w:p w14:paraId="798F7AB8" w14:textId="1EA21000" w:rsidR="0095214C" w:rsidRPr="00C21A6F" w:rsidRDefault="0095214C" w:rsidP="0066183D">
      <w:pPr>
        <w:rPr>
          <w:lang w:val="fr-CH"/>
        </w:rPr>
      </w:pPr>
      <w:r w:rsidRPr="00C21A6F">
        <w:rPr>
          <w:b/>
          <w:bCs/>
          <w:lang w:val="fr-CH"/>
        </w:rPr>
        <w:t>Registre international</w:t>
      </w:r>
      <w:r w:rsidRPr="00C21A6F">
        <w:rPr>
          <w:lang w:val="fr-CH"/>
        </w:rPr>
        <w:t xml:space="preserve"> – Le Protocole portant sur les objets spatiaux a fixé les bases juridiques sur lesquelles reposeront la création, le rang et le caractère exécutoire des créances et des sûretés concernant les équipements spatiaux. L</w:t>
      </w:r>
      <w:r w:rsidR="0066183D" w:rsidRPr="00C21A6F">
        <w:rPr>
          <w:lang w:val="fr-CH"/>
        </w:rPr>
        <w:t>'</w:t>
      </w:r>
      <w:r w:rsidRPr="00C21A6F">
        <w:rPr>
          <w:lang w:val="fr-CH"/>
        </w:rPr>
        <w:t>une des principales caractéristiques du Protocole portant sur les objets spatiaux est la création d</w:t>
      </w:r>
      <w:r w:rsidR="0066183D" w:rsidRPr="00C21A6F">
        <w:rPr>
          <w:lang w:val="fr-CH"/>
        </w:rPr>
        <w:t>'</w:t>
      </w:r>
      <w:r w:rsidRPr="00C21A6F">
        <w:rPr>
          <w:lang w:val="fr-CH"/>
        </w:rPr>
        <w:t>un Registre international pour les biens spatiaux (ci-après dénommé le Registre), dans lequel ces créances et sûretés pourront être inscrites. Le Registre déterminerait une priorité entre les sûretés et créances selon le principe "premier arrivé, premier servi", afin d</w:t>
      </w:r>
      <w:r w:rsidR="0066183D" w:rsidRPr="00C21A6F">
        <w:rPr>
          <w:lang w:val="fr-CH"/>
        </w:rPr>
        <w:t>'</w:t>
      </w:r>
      <w:r w:rsidRPr="00C21A6F">
        <w:rPr>
          <w:lang w:val="fr-CH"/>
        </w:rPr>
        <w:t>établir, pour les bailleurs de fond, une certitude juridique quant au financement garanti par un actif. Ce Registre serait géré et administré 24 heures sur 24 et 7 jours sur 7 par un Conservateur.</w:t>
      </w:r>
    </w:p>
    <w:p w14:paraId="1063E606" w14:textId="1A00A3FF" w:rsidR="0095214C" w:rsidRPr="00C21A6F" w:rsidRDefault="0095214C" w:rsidP="0066183D">
      <w:pPr>
        <w:rPr>
          <w:lang w:val="fr-CH"/>
        </w:rPr>
      </w:pPr>
      <w:r w:rsidRPr="00C21A6F">
        <w:rPr>
          <w:b/>
          <w:bCs/>
          <w:lang w:val="fr-CH"/>
        </w:rPr>
        <w:t>Biens spatiaux</w:t>
      </w:r>
      <w:r w:rsidRPr="00C21A6F">
        <w:rPr>
          <w:lang w:val="fr-CH"/>
        </w:rPr>
        <w:t xml:space="preserve"> – Conformément à la définition préliminaire de ces termes donnée dans le Protocole portant sur les biens spatiaux, un "bien spatial" désigne tout bien fait par l</w:t>
      </w:r>
      <w:r w:rsidR="0066183D" w:rsidRPr="00C21A6F">
        <w:rPr>
          <w:lang w:val="fr-CH"/>
        </w:rPr>
        <w:t>'</w:t>
      </w:r>
      <w:r w:rsidRPr="00C21A6F">
        <w:rPr>
          <w:lang w:val="fr-CH"/>
        </w:rPr>
        <w:t>homme susceptible d</w:t>
      </w:r>
      <w:r w:rsidR="0066183D" w:rsidRPr="00C21A6F">
        <w:rPr>
          <w:lang w:val="fr-CH"/>
        </w:rPr>
        <w:t>'</w:t>
      </w:r>
      <w:r w:rsidRPr="00C21A6F">
        <w:rPr>
          <w:lang w:val="fr-CH"/>
        </w:rPr>
        <w:t>individualisation, qui se trouve dans l</w:t>
      </w:r>
      <w:r w:rsidR="0066183D" w:rsidRPr="00C21A6F">
        <w:rPr>
          <w:lang w:val="fr-CH"/>
        </w:rPr>
        <w:t>'</w:t>
      </w:r>
      <w:r w:rsidRPr="00C21A6F">
        <w:rPr>
          <w:lang w:val="fr-CH"/>
        </w:rPr>
        <w:t>espace ou est conçu pour être lancé dans l</w:t>
      </w:r>
      <w:r w:rsidR="0066183D" w:rsidRPr="00C21A6F">
        <w:rPr>
          <w:lang w:val="fr-CH"/>
        </w:rPr>
        <w:t>'</w:t>
      </w:r>
      <w:r w:rsidRPr="00C21A6F">
        <w:rPr>
          <w:lang w:val="fr-CH"/>
        </w:rPr>
        <w:t>espace, et qui comprend:</w:t>
      </w:r>
    </w:p>
    <w:p w14:paraId="637C2D59" w14:textId="0F4AB75C" w:rsidR="0095214C" w:rsidRPr="00C21A6F" w:rsidRDefault="0095214C" w:rsidP="0066183D">
      <w:pPr>
        <w:pStyle w:val="enumlev1"/>
        <w:rPr>
          <w:lang w:val="fr-CH"/>
        </w:rPr>
      </w:pPr>
      <w:r w:rsidRPr="00C21A6F">
        <w:rPr>
          <w:lang w:val="fr-CH"/>
        </w:rPr>
        <w:t>i)</w:t>
      </w:r>
      <w:r w:rsidRPr="00C21A6F">
        <w:rPr>
          <w:lang w:val="fr-CH"/>
        </w:rPr>
        <w:tab/>
        <w:t>un engin spatial, par exemple un satellite, une station spatiale, un module spatial, une capsule spatiale, un véhicule spatial ou un véhicule de lancement réutilisable [pour lequel une inscription peut être effectuée conformément au règlement], intégrant ou non un bien spatial au sens de l</w:t>
      </w:r>
      <w:r w:rsidR="0066183D" w:rsidRPr="00C21A6F">
        <w:rPr>
          <w:lang w:val="fr-CH"/>
        </w:rPr>
        <w:t>'</w:t>
      </w:r>
      <w:r w:rsidRPr="00C21A6F">
        <w:rPr>
          <w:lang w:val="fr-CH"/>
        </w:rPr>
        <w:t>alinéa ii) ou iii) ci-dessous;</w:t>
      </w:r>
    </w:p>
    <w:p w14:paraId="2DE49FE0" w14:textId="77777777" w:rsidR="0095214C" w:rsidRPr="00C21A6F" w:rsidRDefault="0095214C" w:rsidP="0066183D">
      <w:pPr>
        <w:pStyle w:val="enumlev1"/>
        <w:rPr>
          <w:lang w:val="fr-CH"/>
        </w:rPr>
      </w:pPr>
      <w:r w:rsidRPr="00C21A6F">
        <w:rPr>
          <w:lang w:val="fr-CH"/>
        </w:rPr>
        <w:t>ii)</w:t>
      </w:r>
      <w:r w:rsidRPr="00C21A6F">
        <w:rPr>
          <w:lang w:val="fr-CH"/>
        </w:rPr>
        <w:tab/>
        <w:t>une charge utile (à des fins de télécommunications, navigation, observation, pour des applications scientifiques ou autres) pour laquelle une inscription distincte peut être effectuée conformément au règlement; ou</w:t>
      </w:r>
    </w:p>
    <w:p w14:paraId="36D62779" w14:textId="77777777" w:rsidR="0095214C" w:rsidRPr="00C21A6F" w:rsidRDefault="0095214C" w:rsidP="0066183D">
      <w:pPr>
        <w:pStyle w:val="enumlev1"/>
        <w:rPr>
          <w:lang w:val="fr-CH"/>
        </w:rPr>
      </w:pPr>
      <w:r w:rsidRPr="00C21A6F">
        <w:rPr>
          <w:lang w:val="fr-CH"/>
        </w:rPr>
        <w:br w:type="page"/>
      </w:r>
    </w:p>
    <w:p w14:paraId="50B5114A" w14:textId="0A72C556" w:rsidR="0095214C" w:rsidRPr="00C21A6F" w:rsidRDefault="0095214C" w:rsidP="0066183D">
      <w:pPr>
        <w:pStyle w:val="enumlev1"/>
        <w:rPr>
          <w:lang w:val="fr-CH"/>
        </w:rPr>
      </w:pPr>
      <w:r w:rsidRPr="00C21A6F">
        <w:rPr>
          <w:lang w:val="fr-CH"/>
        </w:rPr>
        <w:lastRenderedPageBreak/>
        <w:t>iii)</w:t>
      </w:r>
      <w:r w:rsidRPr="00C21A6F">
        <w:rPr>
          <w:lang w:val="fr-CH"/>
        </w:rPr>
        <w:tab/>
        <w:t>une partie d</w:t>
      </w:r>
      <w:r w:rsidR="0066183D" w:rsidRPr="00C21A6F">
        <w:rPr>
          <w:lang w:val="fr-CH"/>
        </w:rPr>
        <w:t>'</w:t>
      </w:r>
      <w:r w:rsidRPr="00C21A6F">
        <w:rPr>
          <w:lang w:val="fr-CH"/>
        </w:rPr>
        <w:t>un engin spatial ou d</w:t>
      </w:r>
      <w:r w:rsidR="0066183D" w:rsidRPr="00C21A6F">
        <w:rPr>
          <w:lang w:val="fr-CH"/>
        </w:rPr>
        <w:t>'</w:t>
      </w:r>
      <w:r w:rsidRPr="00C21A6F">
        <w:rPr>
          <w:lang w:val="fr-CH"/>
        </w:rPr>
        <w:t>une charge utile telle qu</w:t>
      </w:r>
      <w:r w:rsidR="0066183D" w:rsidRPr="00C21A6F">
        <w:rPr>
          <w:lang w:val="fr-CH"/>
        </w:rPr>
        <w:t>'</w:t>
      </w:r>
      <w:r w:rsidRPr="00C21A6F">
        <w:rPr>
          <w:lang w:val="fr-CH"/>
        </w:rPr>
        <w:t>un répéteur, pour laquelle une inscription distincte peut être effectuée conformément au règlement, avec tous accessoires, pièces et équipements qui y sont posés, intégrés ou fixés, ainsi que tous les manuels, les données et les registres y afférents.</w:t>
      </w:r>
    </w:p>
    <w:p w14:paraId="4D6536E6" w14:textId="107D66B7" w:rsidR="0095214C" w:rsidRPr="00C21A6F" w:rsidRDefault="0095214C" w:rsidP="0066183D">
      <w:pPr>
        <w:rPr>
          <w:lang w:val="fr-CH"/>
        </w:rPr>
      </w:pPr>
      <w:r w:rsidRPr="00C21A6F">
        <w:rPr>
          <w:b/>
          <w:bCs/>
          <w:lang w:val="fr-CH"/>
        </w:rPr>
        <w:t>Rôle et fonctions de l</w:t>
      </w:r>
      <w:r w:rsidR="0066183D" w:rsidRPr="00C21A6F">
        <w:rPr>
          <w:b/>
          <w:bCs/>
          <w:lang w:val="fr-CH"/>
        </w:rPr>
        <w:t>'</w:t>
      </w:r>
      <w:r w:rsidRPr="00C21A6F">
        <w:rPr>
          <w:b/>
          <w:bCs/>
          <w:lang w:val="fr-CH"/>
        </w:rPr>
        <w:t>Autorité de surveillance</w:t>
      </w:r>
      <w:r w:rsidRPr="00C21A6F">
        <w:rPr>
          <w:lang w:val="fr-CH"/>
        </w:rPr>
        <w:t xml:space="preserve"> – L</w:t>
      </w:r>
      <w:r w:rsidR="0066183D" w:rsidRPr="00C21A6F">
        <w:rPr>
          <w:lang w:val="fr-CH"/>
        </w:rPr>
        <w:t>'</w:t>
      </w:r>
      <w:r w:rsidRPr="00C21A6F">
        <w:rPr>
          <w:lang w:val="fr-CH"/>
        </w:rPr>
        <w:t>Autorité de surveillance serait chargée de superviser la gestion du Registre par le Conservateur. Elle aurait notamment pour tâche de nommer le Conservateur et, le cas échéant, de mettre fin à ses fonctions, de suivre ses activités et d</w:t>
      </w:r>
      <w:r w:rsidR="0066183D" w:rsidRPr="00C21A6F">
        <w:rPr>
          <w:lang w:val="fr-CH"/>
        </w:rPr>
        <w:t>'</w:t>
      </w:r>
      <w:r w:rsidRPr="00C21A6F">
        <w:rPr>
          <w:lang w:val="fr-CH"/>
        </w:rPr>
        <w:t>élaborer des Règlements concernant le fonctionnement du Registre, après approbation par les Etats contractants. Elle pourrait être secondée par une Commission d</w:t>
      </w:r>
      <w:r w:rsidR="0066183D" w:rsidRPr="00C21A6F">
        <w:rPr>
          <w:lang w:val="fr-CH"/>
        </w:rPr>
        <w:t>'</w:t>
      </w:r>
      <w:r w:rsidRPr="00C21A6F">
        <w:rPr>
          <w:lang w:val="fr-CH"/>
        </w:rPr>
        <w:t>experts nommés par les Etats signataires et les Etats contractants. L</w:t>
      </w:r>
      <w:r w:rsidR="0066183D" w:rsidRPr="00C21A6F">
        <w:rPr>
          <w:lang w:val="fr-CH"/>
        </w:rPr>
        <w:t>'</w:t>
      </w:r>
      <w:r w:rsidRPr="00C21A6F">
        <w:rPr>
          <w:lang w:val="fr-CH"/>
        </w:rPr>
        <w:t xml:space="preserve">Autorité de surveillance déterminerait et réexaminerait périodiquement la structure tarifaire des services du Registre. </w:t>
      </w:r>
    </w:p>
    <w:p w14:paraId="3EF7E86D" w14:textId="67CDF6E5" w:rsidR="0095214C" w:rsidRPr="00C21A6F" w:rsidRDefault="0095214C" w:rsidP="0066183D">
      <w:pPr>
        <w:rPr>
          <w:lang w:val="fr-CH"/>
        </w:rPr>
      </w:pPr>
      <w:r w:rsidRPr="00C21A6F">
        <w:rPr>
          <w:b/>
          <w:bCs/>
          <w:lang w:val="fr-CH"/>
        </w:rPr>
        <w:t>Procédure applicable au choix de l</w:t>
      </w:r>
      <w:r w:rsidR="0066183D" w:rsidRPr="00C21A6F">
        <w:rPr>
          <w:b/>
          <w:bCs/>
          <w:lang w:val="fr-CH"/>
        </w:rPr>
        <w:t>'</w:t>
      </w:r>
      <w:r w:rsidRPr="00C21A6F">
        <w:rPr>
          <w:b/>
          <w:bCs/>
          <w:lang w:val="fr-CH"/>
        </w:rPr>
        <w:t>Autorité de surveillance</w:t>
      </w:r>
      <w:r w:rsidRPr="00C21A6F">
        <w:rPr>
          <w:lang w:val="fr-CH"/>
        </w:rPr>
        <w:t xml:space="preserve"> – Les Etats représentés à la Conférence diplomatique ( Berlin, février/mars 2012) ont adopté la Résolution 1, concernant la création de la Commission préparatoire pour l</w:t>
      </w:r>
      <w:r w:rsidR="0066183D" w:rsidRPr="00C21A6F">
        <w:rPr>
          <w:lang w:val="fr-CH"/>
        </w:rPr>
        <w:t>'</w:t>
      </w:r>
      <w:r w:rsidRPr="00C21A6F">
        <w:rPr>
          <w:lang w:val="fr-CH"/>
        </w:rPr>
        <w:t>établissement du Registre international pour les biens spatiaux, et la Résolution 2, concernant l</w:t>
      </w:r>
      <w:r w:rsidR="0066183D" w:rsidRPr="00C21A6F">
        <w:rPr>
          <w:lang w:val="fr-CH"/>
        </w:rPr>
        <w:t>'</w:t>
      </w:r>
      <w:r w:rsidRPr="00C21A6F">
        <w:rPr>
          <w:lang w:val="fr-CH"/>
        </w:rPr>
        <w:t>établissement de l</w:t>
      </w:r>
      <w:r w:rsidR="0066183D" w:rsidRPr="00C21A6F">
        <w:rPr>
          <w:lang w:val="fr-CH"/>
        </w:rPr>
        <w:t>'</w:t>
      </w:r>
      <w:r w:rsidRPr="00C21A6F">
        <w:rPr>
          <w:lang w:val="fr-CH"/>
        </w:rPr>
        <w:t>Autorité de surveillance, compte tenu de l</w:t>
      </w:r>
      <w:r w:rsidR="0066183D" w:rsidRPr="00C21A6F">
        <w:rPr>
          <w:lang w:val="fr-CH"/>
        </w:rPr>
        <w:t>'</w:t>
      </w:r>
      <w:r w:rsidRPr="00C21A6F">
        <w:rPr>
          <w:lang w:val="fr-CH"/>
        </w:rPr>
        <w:t>intérêt exprimé lors de la Conférence par les observateurs de l</w:t>
      </w:r>
      <w:r w:rsidR="0066183D" w:rsidRPr="00C21A6F">
        <w:rPr>
          <w:lang w:val="fr-CH"/>
        </w:rPr>
        <w:t>'</w:t>
      </w:r>
      <w:r w:rsidRPr="00C21A6F">
        <w:rPr>
          <w:lang w:val="fr-CH"/>
        </w:rPr>
        <w:t>UIT afin que l</w:t>
      </w:r>
      <w:r w:rsidR="0066183D" w:rsidRPr="00C21A6F">
        <w:rPr>
          <w:lang w:val="fr-CH"/>
        </w:rPr>
        <w:t>'</w:t>
      </w:r>
      <w:r w:rsidRPr="00C21A6F">
        <w:rPr>
          <w:lang w:val="fr-CH"/>
        </w:rPr>
        <w:t>Union exerce éventuellement les fonctions d</w:t>
      </w:r>
      <w:r w:rsidR="0066183D" w:rsidRPr="00C21A6F">
        <w:rPr>
          <w:lang w:val="fr-CH"/>
        </w:rPr>
        <w:t>'</w:t>
      </w:r>
      <w:r w:rsidRPr="00C21A6F">
        <w:rPr>
          <w:lang w:val="fr-CH"/>
        </w:rPr>
        <w:t>Autorité de surveillance, sous réserve que les organes directeurs de l</w:t>
      </w:r>
      <w:r w:rsidR="0066183D" w:rsidRPr="00C21A6F">
        <w:rPr>
          <w:lang w:val="fr-CH"/>
        </w:rPr>
        <w:t>'</w:t>
      </w:r>
      <w:r w:rsidRPr="00C21A6F">
        <w:rPr>
          <w:lang w:val="fr-CH"/>
        </w:rPr>
        <w:t>UIT examinent la question. Dans l</w:t>
      </w:r>
      <w:r w:rsidR="0066183D" w:rsidRPr="00C21A6F">
        <w:rPr>
          <w:lang w:val="fr-CH"/>
        </w:rPr>
        <w:t>'</w:t>
      </w:r>
      <w:r w:rsidRPr="00C21A6F">
        <w:rPr>
          <w:lang w:val="fr-CH"/>
        </w:rPr>
        <w:t>attente de l</w:t>
      </w:r>
      <w:r w:rsidR="0066183D" w:rsidRPr="00C21A6F">
        <w:rPr>
          <w:lang w:val="fr-CH"/>
        </w:rPr>
        <w:t>'</w:t>
      </w:r>
      <w:r w:rsidRPr="00C21A6F">
        <w:rPr>
          <w:lang w:val="fr-CH"/>
        </w:rPr>
        <w:t>entrée en vigueur du Protocole portant sur les biens spatiaux, la Commission préparatoire agira en tant qu</w:t>
      </w:r>
      <w:r w:rsidR="0066183D" w:rsidRPr="00C21A6F">
        <w:rPr>
          <w:lang w:val="fr-CH"/>
        </w:rPr>
        <w:t>'</w:t>
      </w:r>
      <w:r w:rsidRPr="00C21A6F">
        <w:rPr>
          <w:lang w:val="fr-CH"/>
        </w:rPr>
        <w:t>Autorité de surveillance provisoire, et au cas où les organes directeurs de l</w:t>
      </w:r>
      <w:r w:rsidR="0066183D" w:rsidRPr="00C21A6F">
        <w:rPr>
          <w:lang w:val="fr-CH"/>
        </w:rPr>
        <w:t>'</w:t>
      </w:r>
      <w:r w:rsidRPr="00C21A6F">
        <w:rPr>
          <w:lang w:val="fr-CH"/>
        </w:rPr>
        <w:t>UIT décideraient que l</w:t>
      </w:r>
      <w:r w:rsidR="0066183D" w:rsidRPr="00C21A6F">
        <w:rPr>
          <w:lang w:val="fr-CH"/>
        </w:rPr>
        <w:t>'</w:t>
      </w:r>
      <w:r w:rsidRPr="00C21A6F">
        <w:rPr>
          <w:lang w:val="fr-CH"/>
        </w:rPr>
        <w:t>Union ne devrait pas être l</w:t>
      </w:r>
      <w:r w:rsidR="0066183D" w:rsidRPr="00C21A6F">
        <w:rPr>
          <w:lang w:val="fr-CH"/>
        </w:rPr>
        <w:t>'</w:t>
      </w:r>
      <w:r w:rsidRPr="00C21A6F">
        <w:rPr>
          <w:lang w:val="fr-CH"/>
        </w:rPr>
        <w:t>Autorité de surveillance, la Commission préparatoire désignerait une autre organisation ou entité internationale pour exercer ces fonctions.</w:t>
      </w:r>
    </w:p>
    <w:p w14:paraId="479C7364" w14:textId="69D5DDA7" w:rsidR="0095214C" w:rsidRPr="00C21A6F" w:rsidRDefault="0095214C" w:rsidP="0066183D">
      <w:pPr>
        <w:rPr>
          <w:lang w:val="fr-CH"/>
        </w:rPr>
      </w:pPr>
      <w:r w:rsidRPr="00C21A6F">
        <w:rPr>
          <w:b/>
          <w:bCs/>
          <w:lang w:val="fr-CH"/>
        </w:rPr>
        <w:t>Financement</w:t>
      </w:r>
      <w:r w:rsidRPr="00C21A6F">
        <w:rPr>
          <w:lang w:val="fr-CH"/>
        </w:rPr>
        <w:t xml:space="preserve"> – Le financement de l</w:t>
      </w:r>
      <w:r w:rsidR="0066183D" w:rsidRPr="00C21A6F">
        <w:rPr>
          <w:lang w:val="fr-CH"/>
        </w:rPr>
        <w:t>'</w:t>
      </w:r>
      <w:r w:rsidRPr="00C21A6F">
        <w:rPr>
          <w:lang w:val="fr-CH"/>
        </w:rPr>
        <w:t>Autorité de surveillance proviendra des droits qui seront versés au Registre international. Le futur Registre international pour les biens spatiaux n</w:t>
      </w:r>
      <w:r w:rsidR="0066183D" w:rsidRPr="00C21A6F">
        <w:rPr>
          <w:lang w:val="fr-CH"/>
        </w:rPr>
        <w:t>'</w:t>
      </w:r>
      <w:r w:rsidRPr="00C21A6F">
        <w:rPr>
          <w:lang w:val="fr-CH"/>
        </w:rPr>
        <w:t>est pas censé être exploité dans un but lucratif. Le paragraphe 4 de l</w:t>
      </w:r>
      <w:r w:rsidR="0066183D" w:rsidRPr="00C21A6F">
        <w:rPr>
          <w:lang w:val="fr-CH"/>
        </w:rPr>
        <w:t>'</w:t>
      </w:r>
      <w:r w:rsidRPr="00C21A6F">
        <w:rPr>
          <w:lang w:val="fr-CH"/>
        </w:rPr>
        <w:t>Article XXXI du Protocole portant sur les biens spatiaux dispose que "les tarifs mentionnés à l</w:t>
      </w:r>
      <w:r w:rsidR="0066183D" w:rsidRPr="00C21A6F">
        <w:rPr>
          <w:lang w:val="fr-CH"/>
        </w:rPr>
        <w:t>'</w:t>
      </w:r>
      <w:r w:rsidRPr="00C21A6F">
        <w:rPr>
          <w:lang w:val="fr-CH"/>
        </w:rPr>
        <w:t>alinéa h) du paragraphe 2 de l</w:t>
      </w:r>
      <w:r w:rsidR="0066183D" w:rsidRPr="00C21A6F">
        <w:rPr>
          <w:lang w:val="fr-CH"/>
        </w:rPr>
        <w:t>'</w:t>
      </w:r>
      <w:r w:rsidRPr="00C21A6F">
        <w:rPr>
          <w:lang w:val="fr-CH"/>
        </w:rPr>
        <w:t>Article 17 de la Convention doivent être fixés de façon à couvrir les coûts raisonnables d</w:t>
      </w:r>
      <w:r w:rsidR="0066183D" w:rsidRPr="00C21A6F">
        <w:rPr>
          <w:lang w:val="fr-CH"/>
        </w:rPr>
        <w:t>'</w:t>
      </w:r>
      <w:r w:rsidRPr="00C21A6F">
        <w:rPr>
          <w:lang w:val="fr-CH"/>
        </w:rPr>
        <w:t>établissement, de fonctionnement et de réglementation du Registre international et les coûts raisonnables de l</w:t>
      </w:r>
      <w:r w:rsidR="0066183D" w:rsidRPr="00C21A6F">
        <w:rPr>
          <w:lang w:val="fr-CH"/>
        </w:rPr>
        <w:t>'</w:t>
      </w:r>
      <w:r w:rsidRPr="00C21A6F">
        <w:rPr>
          <w:lang w:val="fr-CH"/>
        </w:rPr>
        <w:t>Autorité de surveillance liés à l</w:t>
      </w:r>
      <w:r w:rsidR="0066183D" w:rsidRPr="00C21A6F">
        <w:rPr>
          <w:lang w:val="fr-CH"/>
        </w:rPr>
        <w:t>'</w:t>
      </w:r>
      <w:r w:rsidRPr="00C21A6F">
        <w:rPr>
          <w:lang w:val="fr-CH"/>
        </w:rPr>
        <w:t>exercice des fonctions, à l</w:t>
      </w:r>
      <w:r w:rsidR="0066183D" w:rsidRPr="00C21A6F">
        <w:rPr>
          <w:lang w:val="fr-CH"/>
        </w:rPr>
        <w:t>'</w:t>
      </w:r>
      <w:r w:rsidRPr="00C21A6F">
        <w:rPr>
          <w:lang w:val="fr-CH"/>
        </w:rPr>
        <w:t>exercice des pouvoirs et à l</w:t>
      </w:r>
      <w:r w:rsidR="0066183D" w:rsidRPr="00C21A6F">
        <w:rPr>
          <w:lang w:val="fr-CH"/>
        </w:rPr>
        <w:t>'</w:t>
      </w:r>
      <w:r w:rsidRPr="00C21A6F">
        <w:rPr>
          <w:lang w:val="fr-CH"/>
        </w:rPr>
        <w:t>exécution des obligations mentionnés au paragraphe 2 de l</w:t>
      </w:r>
      <w:r w:rsidR="0066183D" w:rsidRPr="00C21A6F">
        <w:rPr>
          <w:lang w:val="fr-CH"/>
        </w:rPr>
        <w:t>'</w:t>
      </w:r>
      <w:r w:rsidRPr="00C21A6F">
        <w:rPr>
          <w:lang w:val="fr-CH"/>
        </w:rPr>
        <w:t>Article 17 de la Convention". Lorsqu</w:t>
      </w:r>
      <w:r w:rsidR="0066183D" w:rsidRPr="00C21A6F">
        <w:rPr>
          <w:lang w:val="fr-CH"/>
        </w:rPr>
        <w:t>'</w:t>
      </w:r>
      <w:r w:rsidRPr="00C21A6F">
        <w:rPr>
          <w:lang w:val="fr-CH"/>
        </w:rPr>
        <w:t>elle fixera les tarifs qui seront appliqués, l</w:t>
      </w:r>
      <w:r w:rsidR="0066183D" w:rsidRPr="00C21A6F">
        <w:rPr>
          <w:lang w:val="fr-CH"/>
        </w:rPr>
        <w:t>'</w:t>
      </w:r>
      <w:r w:rsidRPr="00C21A6F">
        <w:rPr>
          <w:lang w:val="fr-CH"/>
        </w:rPr>
        <w:t>Autorité de surveillance sera habilitée à déterminer ces tarifs de façon à couvrir les coûts raisonnables d</w:t>
      </w:r>
      <w:r w:rsidR="0066183D" w:rsidRPr="00C21A6F">
        <w:rPr>
          <w:lang w:val="fr-CH"/>
        </w:rPr>
        <w:t>'</w:t>
      </w:r>
      <w:r w:rsidRPr="00C21A6F">
        <w:rPr>
          <w:lang w:val="fr-CH"/>
        </w:rPr>
        <w:t>établissement et les coûts raisonnables liés à l</w:t>
      </w:r>
      <w:r w:rsidR="0066183D" w:rsidRPr="00C21A6F">
        <w:rPr>
          <w:lang w:val="fr-CH"/>
        </w:rPr>
        <w:t>'</w:t>
      </w:r>
      <w:r w:rsidRPr="00C21A6F">
        <w:rPr>
          <w:lang w:val="fr-CH"/>
        </w:rPr>
        <w:t>établissement, au fonctionnement et à la réglementation du futur Registre international ainsi qu</w:t>
      </w:r>
      <w:r w:rsidR="0066183D" w:rsidRPr="00C21A6F">
        <w:rPr>
          <w:lang w:val="fr-CH"/>
        </w:rPr>
        <w:t>'</w:t>
      </w:r>
      <w:r w:rsidRPr="00C21A6F">
        <w:rPr>
          <w:lang w:val="fr-CH"/>
        </w:rPr>
        <w:t>à la surveillance du Registre et à l</w:t>
      </w:r>
      <w:r w:rsidR="0066183D" w:rsidRPr="00C21A6F">
        <w:rPr>
          <w:lang w:val="fr-CH"/>
        </w:rPr>
        <w:t>'</w:t>
      </w:r>
      <w:r w:rsidRPr="00C21A6F">
        <w:rPr>
          <w:lang w:val="fr-CH"/>
        </w:rPr>
        <w:t>exercice des autres fonctions incombant à l</w:t>
      </w:r>
      <w:r w:rsidR="0066183D" w:rsidRPr="00C21A6F">
        <w:rPr>
          <w:lang w:val="fr-CH"/>
        </w:rPr>
        <w:t>'</w:t>
      </w:r>
      <w:r w:rsidRPr="00C21A6F">
        <w:rPr>
          <w:lang w:val="fr-CH"/>
        </w:rPr>
        <w:t xml:space="preserve">Autorité de surveillance. </w:t>
      </w:r>
    </w:p>
    <w:p w14:paraId="58039C57" w14:textId="77777777" w:rsidR="0095214C" w:rsidRPr="00C21A6F" w:rsidRDefault="0095214C" w:rsidP="0066183D">
      <w:pPr>
        <w:tabs>
          <w:tab w:val="clear" w:pos="567"/>
          <w:tab w:val="clear" w:pos="1134"/>
          <w:tab w:val="clear" w:pos="1701"/>
          <w:tab w:val="clear" w:pos="2268"/>
          <w:tab w:val="clear" w:pos="2835"/>
        </w:tabs>
        <w:overflowPunct/>
        <w:autoSpaceDE/>
        <w:autoSpaceDN/>
        <w:adjustRightInd/>
        <w:spacing w:before="0" w:after="200"/>
        <w:textAlignment w:val="auto"/>
        <w:rPr>
          <w:rFonts w:asciiTheme="minorHAnsi" w:hAnsiTheme="minorHAnsi" w:cstheme="minorHAnsi"/>
          <w:sz w:val="22"/>
          <w:szCs w:val="22"/>
          <w:lang w:val="fr-CH"/>
        </w:rPr>
      </w:pPr>
      <w:r w:rsidRPr="00C21A6F">
        <w:rPr>
          <w:rFonts w:asciiTheme="minorHAnsi" w:hAnsiTheme="minorHAnsi" w:cstheme="minorHAnsi"/>
          <w:sz w:val="22"/>
          <w:szCs w:val="22"/>
          <w:lang w:val="fr-CH"/>
        </w:rPr>
        <w:br w:type="page"/>
      </w:r>
    </w:p>
    <w:p w14:paraId="1D91ADB8" w14:textId="77777777" w:rsidR="0095214C" w:rsidRPr="00C21A6F" w:rsidRDefault="0095214C" w:rsidP="0066183D">
      <w:pPr>
        <w:pStyle w:val="AnnexNo"/>
        <w:rPr>
          <w:lang w:val="fr-CH"/>
        </w:rPr>
      </w:pPr>
      <w:r w:rsidRPr="00C21A6F">
        <w:rPr>
          <w:lang w:val="fr-CH"/>
        </w:rPr>
        <w:lastRenderedPageBreak/>
        <w:t>ANNEXE 3</w:t>
      </w:r>
    </w:p>
    <w:p w14:paraId="78C225D6" w14:textId="2BCF628D" w:rsidR="0095214C" w:rsidRPr="00C21A6F" w:rsidRDefault="0095214C" w:rsidP="0066183D">
      <w:pPr>
        <w:pStyle w:val="Annextitle"/>
        <w:spacing w:after="0"/>
        <w:rPr>
          <w:rFonts w:eastAsiaTheme="minorEastAsia"/>
          <w:lang w:val="fr-CH"/>
        </w:rPr>
      </w:pPr>
      <w:r w:rsidRPr="00C21A6F">
        <w:rPr>
          <w:rFonts w:eastAsiaTheme="minorEastAsia"/>
          <w:lang w:val="fr-CH"/>
        </w:rPr>
        <w:t>Note précisant le rôle de l</w:t>
      </w:r>
      <w:r w:rsidR="0066183D" w:rsidRPr="00C21A6F">
        <w:rPr>
          <w:rFonts w:eastAsiaTheme="minorEastAsia"/>
          <w:lang w:val="fr-CH"/>
        </w:rPr>
        <w:t>'</w:t>
      </w:r>
      <w:r w:rsidRPr="00C21A6F">
        <w:rPr>
          <w:rFonts w:eastAsiaTheme="minorEastAsia"/>
          <w:lang w:val="fr-CH"/>
        </w:rPr>
        <w:t>Autorité de surveillance du système international d</w:t>
      </w:r>
      <w:r w:rsidR="0066183D" w:rsidRPr="00C21A6F">
        <w:rPr>
          <w:rFonts w:eastAsiaTheme="minorEastAsia"/>
          <w:lang w:val="fr-CH"/>
        </w:rPr>
        <w:t>'</w:t>
      </w:r>
      <w:r w:rsidRPr="00C21A6F">
        <w:rPr>
          <w:rFonts w:eastAsiaTheme="minorEastAsia"/>
          <w:lang w:val="fr-CH"/>
        </w:rPr>
        <w:t xml:space="preserve">inscription pour les biens spatiaux conformément au Protocole portant </w:t>
      </w:r>
      <w:r w:rsidRPr="00C21A6F">
        <w:rPr>
          <w:rFonts w:eastAsiaTheme="minorEastAsia"/>
          <w:lang w:val="fr-CH"/>
        </w:rPr>
        <w:br/>
        <w:t xml:space="preserve">sur les biens spatiaux de la Convention du Cap </w:t>
      </w:r>
    </w:p>
    <w:p w14:paraId="4B327336" w14:textId="20DFF819" w:rsidR="0095214C" w:rsidRPr="00C21A6F" w:rsidRDefault="0095214C" w:rsidP="0066183D">
      <w:pPr>
        <w:tabs>
          <w:tab w:val="clear" w:pos="567"/>
          <w:tab w:val="clear" w:pos="1134"/>
          <w:tab w:val="clear" w:pos="1701"/>
          <w:tab w:val="clear" w:pos="2268"/>
          <w:tab w:val="clear" w:pos="2835"/>
        </w:tabs>
        <w:overflowPunct/>
        <w:autoSpaceDE/>
        <w:autoSpaceDN/>
        <w:adjustRightInd/>
        <w:spacing w:after="200"/>
        <w:jc w:val="center"/>
        <w:textAlignment w:val="auto"/>
        <w:rPr>
          <w:rFonts w:asciiTheme="minorHAnsi" w:eastAsiaTheme="minorEastAsia" w:hAnsiTheme="minorHAnsi" w:cs="Verdana"/>
          <w:b/>
          <w:bCs/>
          <w:szCs w:val="24"/>
          <w:lang w:val="fr-CH" w:eastAsia="zh-CN"/>
        </w:rPr>
      </w:pPr>
      <w:r w:rsidRPr="00C21A6F">
        <w:rPr>
          <w:rFonts w:asciiTheme="minorHAnsi" w:eastAsiaTheme="minorEastAsia" w:hAnsiTheme="minorHAnsi" w:cs="Verdana"/>
          <w:b/>
          <w:bCs/>
          <w:szCs w:val="24"/>
          <w:lang w:val="fr-CH" w:eastAsia="zh-CN"/>
        </w:rPr>
        <w:t>(établi par le Secrétariat d</w:t>
      </w:r>
      <w:r w:rsidR="0066183D" w:rsidRPr="00C21A6F">
        <w:rPr>
          <w:rFonts w:asciiTheme="minorHAnsi" w:eastAsiaTheme="minorEastAsia" w:hAnsiTheme="minorHAnsi" w:cs="Verdana"/>
          <w:b/>
          <w:bCs/>
          <w:szCs w:val="24"/>
          <w:lang w:val="fr-CH" w:eastAsia="zh-CN"/>
        </w:rPr>
        <w:t>'</w:t>
      </w:r>
      <w:r w:rsidRPr="00C21A6F">
        <w:rPr>
          <w:rFonts w:asciiTheme="minorHAnsi" w:eastAsiaTheme="minorEastAsia" w:hAnsiTheme="minorHAnsi" w:cs="Verdana"/>
          <w:b/>
          <w:bCs/>
          <w:szCs w:val="24"/>
          <w:lang w:val="fr-CH" w:eastAsia="zh-CN"/>
        </w:rPr>
        <w:t>UNIDROIT – 10 février 2014)</w:t>
      </w:r>
    </w:p>
    <w:p w14:paraId="697AAAD1" w14:textId="1C90185C" w:rsidR="0095214C" w:rsidRPr="00C21A6F" w:rsidRDefault="0095214C" w:rsidP="0066183D">
      <w:pPr>
        <w:tabs>
          <w:tab w:val="clear" w:pos="567"/>
          <w:tab w:val="clear" w:pos="1134"/>
          <w:tab w:val="clear" w:pos="1701"/>
          <w:tab w:val="clear" w:pos="2268"/>
          <w:tab w:val="clear" w:pos="2835"/>
        </w:tabs>
        <w:overflowPunct/>
        <w:autoSpaceDE/>
        <w:autoSpaceDN/>
        <w:adjustRightInd/>
        <w:spacing w:before="360" w:after="200"/>
        <w:textAlignment w:val="auto"/>
        <w:rPr>
          <w:rFonts w:asciiTheme="minorHAnsi" w:eastAsiaTheme="minorEastAsia" w:hAnsiTheme="minorHAnsi" w:cs="Verdana"/>
          <w:szCs w:val="24"/>
          <w:lang w:val="fr-CH" w:eastAsia="zh-CN"/>
        </w:rPr>
      </w:pPr>
      <w:r w:rsidRPr="00C21A6F">
        <w:rPr>
          <w:rFonts w:asciiTheme="minorHAnsi" w:eastAsiaTheme="minorEastAsia" w:hAnsiTheme="minorHAnsi" w:cs="Verdana"/>
          <w:szCs w:val="24"/>
          <w:lang w:val="fr-CH" w:eastAsia="zh-CN"/>
        </w:rPr>
        <w:t>La présente note succincte vise à donner des renseignements sur les incidences qu</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aurait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exercice par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UIT des fonctions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Autorité de surveillance du système international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inscription pour les biens spatiaux, qui doit être établi conformément au Protocole portant sur les biens spatiaux de la Convention du Cap relative aux garanties internationales portant sur des matériels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 xml:space="preserve">équipement mobiles adoptée en 2001. </w:t>
      </w:r>
    </w:p>
    <w:p w14:paraId="21F809B7" w14:textId="11C7BD70" w:rsidR="0095214C" w:rsidRPr="00C21A6F" w:rsidRDefault="0095214C" w:rsidP="0066183D">
      <w:pPr>
        <w:rPr>
          <w:rFonts w:eastAsiaTheme="minorEastAsia"/>
          <w:lang w:val="fr-CH" w:eastAsia="zh-CN"/>
        </w:rPr>
      </w:pPr>
      <w:r w:rsidRPr="00C21A6F">
        <w:rPr>
          <w:rFonts w:eastAsiaTheme="minorEastAsia"/>
          <w:lang w:val="fr-CH" w:eastAsia="zh-CN"/>
        </w:rPr>
        <w:t>Cette Note s</w:t>
      </w:r>
      <w:r w:rsidR="0066183D" w:rsidRPr="00C21A6F">
        <w:rPr>
          <w:rFonts w:eastAsiaTheme="minorEastAsia"/>
          <w:lang w:val="fr-CH" w:eastAsia="zh-CN"/>
        </w:rPr>
        <w:t>'</w:t>
      </w:r>
      <w:r w:rsidRPr="00C21A6F">
        <w:rPr>
          <w:rFonts w:eastAsiaTheme="minorEastAsia"/>
          <w:lang w:val="fr-CH" w:eastAsia="zh-CN"/>
        </w:rPr>
        <w:t xml:space="preserve">appuie sur les règles de la Convention et du </w:t>
      </w:r>
      <w:r w:rsidRPr="00C21A6F">
        <w:rPr>
          <w:rFonts w:eastAsiaTheme="minorEastAsia" w:cstheme="minorBidi"/>
          <w:bCs/>
          <w:sz w:val="22"/>
          <w:lang w:val="fr-CH" w:eastAsia="zh-CN"/>
        </w:rPr>
        <w:t>Protocole portant sur les biens spatiaux</w:t>
      </w:r>
      <w:r w:rsidRPr="00C21A6F">
        <w:rPr>
          <w:rFonts w:eastAsiaTheme="minorEastAsia"/>
          <w:lang w:val="fr-CH" w:eastAsia="zh-CN"/>
        </w:rPr>
        <w:t>, mais fera essentiellement ressortir l</w:t>
      </w:r>
      <w:r w:rsidR="0066183D" w:rsidRPr="00C21A6F">
        <w:rPr>
          <w:rFonts w:eastAsiaTheme="minorEastAsia"/>
          <w:lang w:val="fr-CH" w:eastAsia="zh-CN"/>
        </w:rPr>
        <w:t>'</w:t>
      </w:r>
      <w:r w:rsidRPr="00C21A6F">
        <w:rPr>
          <w:rFonts w:eastAsiaTheme="minorEastAsia"/>
          <w:lang w:val="fr-CH" w:eastAsia="zh-CN"/>
        </w:rPr>
        <w:t>expérience pratique et les bons résultats obtenus par l</w:t>
      </w:r>
      <w:r w:rsidR="0066183D" w:rsidRPr="00C21A6F">
        <w:rPr>
          <w:rFonts w:eastAsiaTheme="minorEastAsia"/>
          <w:lang w:val="fr-CH" w:eastAsia="zh-CN"/>
        </w:rPr>
        <w:t>'</w:t>
      </w:r>
      <w:r w:rsidRPr="00C21A6F">
        <w:rPr>
          <w:rFonts w:eastAsiaTheme="minorEastAsia"/>
          <w:lang w:val="fr-CH" w:eastAsia="zh-CN"/>
        </w:rPr>
        <w:t>Organisation de l</w:t>
      </w:r>
      <w:r w:rsidR="0066183D" w:rsidRPr="00C21A6F">
        <w:rPr>
          <w:rFonts w:eastAsiaTheme="minorEastAsia"/>
          <w:lang w:val="fr-CH" w:eastAsia="zh-CN"/>
        </w:rPr>
        <w:t>'</w:t>
      </w:r>
      <w:r w:rsidRPr="00C21A6F">
        <w:rPr>
          <w:rFonts w:eastAsiaTheme="minorEastAsia"/>
          <w:lang w:val="fr-CH" w:eastAsia="zh-CN"/>
        </w:rPr>
        <w:t>aviation civile internationale (OACI), qui exerce les fonctions d</w:t>
      </w:r>
      <w:r w:rsidR="0066183D" w:rsidRPr="00C21A6F">
        <w:rPr>
          <w:rFonts w:eastAsiaTheme="minorEastAsia"/>
          <w:lang w:val="fr-CH" w:eastAsia="zh-CN"/>
        </w:rPr>
        <w:t>'</w:t>
      </w:r>
      <w:r w:rsidRPr="00C21A6F">
        <w:rPr>
          <w:rFonts w:eastAsiaTheme="minorEastAsia"/>
          <w:lang w:val="fr-CH" w:eastAsia="zh-CN"/>
        </w:rPr>
        <w:t xml:space="preserve">Autorité de surveillance du Registre international pour les garanties internationales portant sur des biens aéronautiques conformément au Protocole aéronautique à la Convention, depuis que le Registre est devenu opérationnel en mars 2006. </w:t>
      </w:r>
    </w:p>
    <w:p w14:paraId="439979A3" w14:textId="45C3FFF6" w:rsidR="0095214C" w:rsidRPr="00C21A6F" w:rsidRDefault="0095214C" w:rsidP="0066183D">
      <w:pPr>
        <w:pStyle w:val="Headingb"/>
        <w:rPr>
          <w:lang w:val="fr-CH"/>
        </w:rPr>
      </w:pPr>
      <w:r w:rsidRPr="00C21A6F">
        <w:rPr>
          <w:lang w:val="fr-CH"/>
        </w:rPr>
        <w:t>Rôle de l</w:t>
      </w:r>
      <w:r w:rsidR="0066183D" w:rsidRPr="00C21A6F">
        <w:rPr>
          <w:lang w:val="fr-CH"/>
        </w:rPr>
        <w:t>'</w:t>
      </w:r>
      <w:r w:rsidRPr="00C21A6F">
        <w:rPr>
          <w:lang w:val="fr-CH"/>
        </w:rPr>
        <w:t>Autorité de surveillance</w:t>
      </w:r>
    </w:p>
    <w:p w14:paraId="71DC38FB" w14:textId="795B3A43" w:rsidR="0095214C" w:rsidRPr="00C21A6F" w:rsidRDefault="0095214C" w:rsidP="0066183D">
      <w:pPr>
        <w:tabs>
          <w:tab w:val="clear" w:pos="567"/>
          <w:tab w:val="clear" w:pos="1134"/>
          <w:tab w:val="clear" w:pos="1701"/>
          <w:tab w:val="clear" w:pos="2268"/>
          <w:tab w:val="clear" w:pos="2835"/>
        </w:tabs>
        <w:overflowPunct/>
        <w:autoSpaceDE/>
        <w:autoSpaceDN/>
        <w:adjustRightInd/>
        <w:spacing w:after="200"/>
        <w:textAlignment w:val="auto"/>
        <w:rPr>
          <w:rFonts w:asciiTheme="minorHAnsi" w:eastAsiaTheme="minorEastAsia" w:hAnsiTheme="minorHAnsi" w:cs="Verdana"/>
          <w:szCs w:val="24"/>
          <w:lang w:val="fr-CH" w:eastAsia="zh-CN"/>
        </w:rPr>
      </w:pPr>
      <w:r w:rsidRPr="00C21A6F">
        <w:rPr>
          <w:rFonts w:asciiTheme="minorHAnsi" w:eastAsiaTheme="minorEastAsia" w:hAnsiTheme="minorHAnsi" w:cs="Verdana"/>
          <w:szCs w:val="24"/>
          <w:lang w:val="fr-CH" w:eastAsia="zh-CN"/>
        </w:rPr>
        <w:t>1</w:t>
      </w:r>
      <w:r w:rsidRPr="00C21A6F">
        <w:rPr>
          <w:rFonts w:asciiTheme="minorHAnsi" w:eastAsiaTheme="minorEastAsia" w:hAnsiTheme="minorHAnsi" w:cs="Verdana"/>
          <w:szCs w:val="24"/>
          <w:lang w:val="fr-CH" w:eastAsia="zh-CN"/>
        </w:rPr>
        <w:tab/>
        <w:t>Le rôle de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Autorité de surveillance est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 xml:space="preserve">établir ou de faire établir le Registre international, de nommer le Conservateur et de superviser </w:t>
      </w:r>
      <w:r w:rsidRPr="00C21A6F">
        <w:rPr>
          <w:rFonts w:asciiTheme="minorHAnsi" w:eastAsiaTheme="minorEastAsia" w:hAnsiTheme="minorHAnsi" w:cstheme="minorBidi"/>
          <w:sz w:val="22"/>
          <w:szCs w:val="22"/>
          <w:lang w:val="fr-CH" w:eastAsia="zh-CN"/>
        </w:rPr>
        <w:t>ses</w:t>
      </w:r>
      <w:r w:rsidRPr="00C21A6F">
        <w:rPr>
          <w:rFonts w:asciiTheme="minorHAnsi" w:eastAsiaTheme="minorEastAsia" w:hAnsiTheme="minorHAnsi" w:cs="Verdana"/>
          <w:szCs w:val="24"/>
          <w:lang w:val="fr-CH" w:eastAsia="zh-CN"/>
        </w:rPr>
        <w:t xml:space="preserve"> activités,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établir ou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approuver un règlement portant sur le fonctionnement du Registre international, de fixer les tarifs et le montant de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assurance contractée par le Registre international ou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une garantie financière que se procurera le Registre pour couvrir sa responsabilité en vertu de la Convention (voir le paragraphe 8 ci</w:t>
      </w:r>
      <w:r w:rsidRPr="00C21A6F">
        <w:rPr>
          <w:rFonts w:asciiTheme="minorHAnsi" w:eastAsiaTheme="minorEastAsia" w:hAnsiTheme="minorHAnsi" w:cs="Verdana"/>
          <w:szCs w:val="24"/>
          <w:lang w:val="fr-CH" w:eastAsia="zh-CN"/>
        </w:rPr>
        <w:noBreakHyphen/>
        <w:t>dessous) et de mener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autres activités énoncées à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Article 17 de la Convention du Cap. Il s</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agit notamment de faire rapport périodiquement aux Etats contractants sur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exécution de ses obligations en vertu de la Convention et du Protocole portant sur les biens spatiaux.</w:t>
      </w:r>
    </w:p>
    <w:p w14:paraId="2882DC10" w14:textId="7D8CD864" w:rsidR="0095214C" w:rsidRPr="00C21A6F" w:rsidRDefault="0095214C" w:rsidP="0066183D">
      <w:pPr>
        <w:tabs>
          <w:tab w:val="clear" w:pos="567"/>
          <w:tab w:val="clear" w:pos="1134"/>
          <w:tab w:val="clear" w:pos="1701"/>
          <w:tab w:val="clear" w:pos="2268"/>
          <w:tab w:val="clear" w:pos="2835"/>
        </w:tabs>
        <w:overflowPunct/>
        <w:autoSpaceDE/>
        <w:autoSpaceDN/>
        <w:adjustRightInd/>
        <w:spacing w:before="0" w:after="200"/>
        <w:textAlignment w:val="auto"/>
        <w:rPr>
          <w:rFonts w:asciiTheme="minorHAnsi" w:eastAsiaTheme="minorEastAsia" w:hAnsiTheme="minorHAnsi" w:cs="Verdana"/>
          <w:szCs w:val="24"/>
          <w:lang w:val="fr-CH" w:eastAsia="zh-CN"/>
        </w:rPr>
      </w:pPr>
      <w:r w:rsidRPr="00C21A6F">
        <w:rPr>
          <w:rFonts w:asciiTheme="minorHAnsi" w:eastAsiaTheme="minorEastAsia" w:hAnsiTheme="minorHAnsi" w:cs="Verdana"/>
          <w:szCs w:val="24"/>
          <w:lang w:val="fr-CH" w:eastAsia="zh-CN"/>
        </w:rPr>
        <w:t>2</w:t>
      </w:r>
      <w:r w:rsidRPr="00C21A6F">
        <w:rPr>
          <w:rFonts w:asciiTheme="minorHAnsi" w:eastAsiaTheme="minorEastAsia" w:hAnsiTheme="minorHAnsi" w:cs="Verdana"/>
          <w:szCs w:val="24"/>
          <w:lang w:val="fr-CH" w:eastAsia="zh-CN"/>
        </w:rPr>
        <w:tab/>
        <w:t>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Autorité de surveillance est chargée uniquement du Registre international. Elle n</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 aucune responsabilité quant à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interprétation du Protocole, sa mise en oeuvre pour les questions qui sont sans rapport avec le Registre ou toute autre fonction ou activité ne concernant pas le Registre.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interprétation relève en dernier ressort de la compétence des tribunaux nationaux, qui peuvent à cette fin tenir compte du Commentaire officiel sur la Convention et le Protocole portant sur les biens spatiaux. De même,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Autorité de surveillance n</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est pas chargée de statuer sur une inscription donnée, ni de donner des instructions au Conservateur pour qu</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il modifie des données relatives à une inscription donnée.</w:t>
      </w:r>
    </w:p>
    <w:p w14:paraId="3F41146D" w14:textId="77777777" w:rsidR="0095214C" w:rsidRPr="00C21A6F" w:rsidRDefault="0095214C" w:rsidP="0066183D">
      <w:pPr>
        <w:pStyle w:val="Headingb"/>
        <w:rPr>
          <w:lang w:val="fr-CH"/>
        </w:rPr>
      </w:pPr>
      <w:r w:rsidRPr="00C21A6F">
        <w:rPr>
          <w:lang w:val="fr-CH"/>
        </w:rPr>
        <w:t>Commission préparatoire</w:t>
      </w:r>
    </w:p>
    <w:p w14:paraId="3EB95F6E" w14:textId="311A874A" w:rsidR="0095214C" w:rsidRPr="00C21A6F" w:rsidRDefault="0095214C" w:rsidP="0066183D">
      <w:pPr>
        <w:tabs>
          <w:tab w:val="clear" w:pos="567"/>
          <w:tab w:val="clear" w:pos="1134"/>
          <w:tab w:val="clear" w:pos="1701"/>
          <w:tab w:val="clear" w:pos="2268"/>
          <w:tab w:val="clear" w:pos="2835"/>
        </w:tabs>
        <w:overflowPunct/>
        <w:autoSpaceDE/>
        <w:autoSpaceDN/>
        <w:adjustRightInd/>
        <w:spacing w:after="200"/>
        <w:textAlignment w:val="auto"/>
        <w:rPr>
          <w:rFonts w:asciiTheme="minorHAnsi" w:eastAsiaTheme="minorEastAsia" w:hAnsiTheme="minorHAnsi" w:cs="Verdana"/>
          <w:szCs w:val="24"/>
          <w:lang w:val="fr-CH" w:eastAsia="zh-CN"/>
        </w:rPr>
      </w:pPr>
      <w:r w:rsidRPr="00C21A6F">
        <w:rPr>
          <w:rFonts w:asciiTheme="minorHAnsi" w:eastAsiaTheme="minorEastAsia" w:hAnsiTheme="minorHAnsi" w:cs="Verdana"/>
          <w:szCs w:val="24"/>
          <w:lang w:val="fr-CH" w:eastAsia="zh-CN"/>
        </w:rPr>
        <w:t>3</w:t>
      </w:r>
      <w:r w:rsidRPr="00C21A6F">
        <w:rPr>
          <w:rFonts w:asciiTheme="minorHAnsi" w:eastAsiaTheme="minorEastAsia" w:hAnsiTheme="minorHAnsi" w:cs="Verdana"/>
          <w:szCs w:val="24"/>
          <w:lang w:val="fr-CH" w:eastAsia="zh-CN"/>
        </w:rPr>
        <w:tab/>
        <w:t>Si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UIT décide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exercer les fonctions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Autorité de surveillance, elle sera en mesure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assumer les responsabilités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un Registre international qui sera déjà pleinement opérationnel. Tous les travaux préliminaires liés à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établissement du Registre international, y compris la négociation du contrat visant à établir et à tenir le Registre, à élaborer le premier règlement et à nommer le premier Conservateur, auront été effectués au préalable par la Commission préparatoire établie conformément à la Résolution 1 de la Conférence diplomatique tenue à Berlin en février 2012. La Commission préparatoire, agissant en tant qu</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 xml:space="preserve">Autorité de surveillance </w:t>
      </w:r>
      <w:r w:rsidRPr="00C21A6F">
        <w:rPr>
          <w:rFonts w:asciiTheme="minorHAnsi" w:eastAsiaTheme="minorEastAsia" w:hAnsiTheme="minorHAnsi" w:cs="Verdana"/>
          <w:szCs w:val="24"/>
          <w:lang w:val="fr-CH" w:eastAsia="zh-CN"/>
        </w:rPr>
        <w:lastRenderedPageBreak/>
        <w:t>provisoire, ne transférera la responsabilité à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UIT qu</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au moment où le Registre international sera pleinement fonctionnel et où le règlement régissant son fonctionnement aura été élaboré. Bien entendu, il sera loisible à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UIT de modifier, de compléter ou de remplacer le règlement selon qu</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elle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estimera nécessaire.</w:t>
      </w:r>
    </w:p>
    <w:p w14:paraId="688EE3E3" w14:textId="1E6C2E27" w:rsidR="0095214C" w:rsidRPr="00C21A6F" w:rsidRDefault="0095214C" w:rsidP="0066183D">
      <w:pPr>
        <w:tabs>
          <w:tab w:val="clear" w:pos="567"/>
          <w:tab w:val="clear" w:pos="1134"/>
          <w:tab w:val="clear" w:pos="1701"/>
          <w:tab w:val="clear" w:pos="2268"/>
          <w:tab w:val="clear" w:pos="2835"/>
        </w:tabs>
        <w:overflowPunct/>
        <w:autoSpaceDE/>
        <w:autoSpaceDN/>
        <w:adjustRightInd/>
        <w:spacing w:before="0" w:after="200"/>
        <w:textAlignment w:val="auto"/>
        <w:rPr>
          <w:rFonts w:asciiTheme="minorHAnsi" w:eastAsiaTheme="minorEastAsia" w:hAnsiTheme="minorHAnsi" w:cs="Verdana"/>
          <w:szCs w:val="24"/>
          <w:lang w:val="fr-CH" w:eastAsia="zh-CN"/>
        </w:rPr>
      </w:pPr>
      <w:r w:rsidRPr="00C21A6F">
        <w:rPr>
          <w:rFonts w:asciiTheme="minorHAnsi" w:eastAsiaTheme="minorEastAsia" w:hAnsiTheme="minorHAnsi" w:cs="Verdana"/>
          <w:szCs w:val="24"/>
          <w:lang w:val="fr-CH" w:eastAsia="zh-CN"/>
        </w:rPr>
        <w:t>4</w:t>
      </w:r>
      <w:r w:rsidRPr="00C21A6F">
        <w:rPr>
          <w:rFonts w:asciiTheme="minorHAnsi" w:eastAsiaTheme="minorEastAsia" w:hAnsiTheme="minorHAnsi" w:cs="Verdana"/>
          <w:szCs w:val="24"/>
          <w:lang w:val="fr-CH" w:eastAsia="zh-CN"/>
        </w:rPr>
        <w:tab/>
        <w:t>La Commission préparatoire a déjà bien avancé dans ses travaux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élaboration du règlement, qui est fondé sur la dernière (sixième) édition du règlement applicable au Registre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aéronefs. Elle a tenu deux réunions et pratiquement achevé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élaboration du projet de règlement. De fait, il ne lui reste qu</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à examiner la question des critères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identification relatifs aux charges utiles et aux parties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un engin spatial ou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une charge utile.</w:t>
      </w:r>
    </w:p>
    <w:p w14:paraId="4CC96F01" w14:textId="47A6035E" w:rsidR="0095214C" w:rsidRPr="00C21A6F" w:rsidRDefault="0095214C" w:rsidP="0066183D">
      <w:pPr>
        <w:pStyle w:val="Headingb"/>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ind w:left="0" w:firstLine="0"/>
        <w:textAlignment w:val="auto"/>
        <w:outlineLvl w:val="9"/>
        <w:rPr>
          <w:rFonts w:asciiTheme="minorHAnsi" w:eastAsiaTheme="minorEastAsia" w:hAnsiTheme="minorHAnsi" w:cs="Verdana"/>
          <w:szCs w:val="24"/>
          <w:lang w:val="fr-CH" w:eastAsia="zh-CN"/>
        </w:rPr>
      </w:pPr>
      <w:r w:rsidRPr="00C21A6F">
        <w:rPr>
          <w:szCs w:val="24"/>
          <w:lang w:val="fr-CH"/>
        </w:rPr>
        <w:t>Commission</w:t>
      </w:r>
      <w:r w:rsidRPr="00C21A6F">
        <w:rPr>
          <w:rFonts w:asciiTheme="minorHAnsi" w:eastAsiaTheme="minorEastAsia" w:hAnsiTheme="minorHAnsi" w:cs="Verdana"/>
          <w:szCs w:val="24"/>
          <w:lang w:val="fr-CH" w:eastAsia="zh-CN"/>
        </w:rPr>
        <w:t xml:space="preserve">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experts</w:t>
      </w:r>
      <w:r w:rsidRPr="00C21A6F">
        <w:rPr>
          <w:rFonts w:asciiTheme="minorHAnsi" w:eastAsiaTheme="minorEastAsia" w:hAnsiTheme="minorHAnsi" w:cs="Verdana"/>
          <w:b w:val="0"/>
          <w:szCs w:val="24"/>
          <w:lang w:val="fr-CH" w:eastAsia="zh-CN"/>
        </w:rPr>
        <w:t xml:space="preserve"> </w:t>
      </w:r>
      <w:r w:rsidRPr="00C21A6F">
        <w:rPr>
          <w:rFonts w:asciiTheme="minorHAnsi" w:eastAsiaTheme="minorEastAsia" w:hAnsiTheme="minorHAnsi" w:cs="Verdana"/>
          <w:szCs w:val="24"/>
          <w:lang w:val="fr-CH" w:eastAsia="zh-CN"/>
        </w:rPr>
        <w:t>et Conseil consultatif du Registre international</w:t>
      </w:r>
    </w:p>
    <w:p w14:paraId="66B456A6" w14:textId="33A9BCD1" w:rsidR="0095214C" w:rsidRPr="00C21A6F" w:rsidRDefault="0095214C" w:rsidP="0066183D">
      <w:pPr>
        <w:tabs>
          <w:tab w:val="clear" w:pos="567"/>
          <w:tab w:val="clear" w:pos="1134"/>
          <w:tab w:val="clear" w:pos="1701"/>
          <w:tab w:val="clear" w:pos="2268"/>
          <w:tab w:val="clear" w:pos="2835"/>
        </w:tabs>
        <w:overflowPunct/>
        <w:autoSpaceDE/>
        <w:autoSpaceDN/>
        <w:adjustRightInd/>
        <w:spacing w:after="200"/>
        <w:textAlignment w:val="auto"/>
        <w:rPr>
          <w:rFonts w:asciiTheme="minorHAnsi" w:eastAsiaTheme="minorEastAsia" w:hAnsiTheme="minorHAnsi" w:cs="Verdana"/>
          <w:szCs w:val="24"/>
          <w:lang w:val="fr-CH" w:eastAsia="zh-CN"/>
        </w:rPr>
      </w:pPr>
      <w:r w:rsidRPr="00C21A6F">
        <w:rPr>
          <w:rFonts w:asciiTheme="minorHAnsi" w:eastAsiaTheme="minorEastAsia" w:hAnsiTheme="minorHAnsi" w:cs="Verdana"/>
          <w:szCs w:val="24"/>
          <w:lang w:val="fr-CH" w:eastAsia="zh-CN"/>
        </w:rPr>
        <w:t>5</w:t>
      </w:r>
      <w:r w:rsidRPr="00C21A6F">
        <w:rPr>
          <w:rFonts w:asciiTheme="minorHAnsi" w:eastAsiaTheme="minorEastAsia" w:hAnsiTheme="minorHAnsi" w:cs="Verdana"/>
          <w:szCs w:val="24"/>
          <w:lang w:val="fr-CH" w:eastAsia="zh-CN"/>
        </w:rPr>
        <w:tab/>
        <w:t>En vertu de la Résolution 3,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Autorité de surveillance est invitée à établir une Commission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experts comprenant un maximum de 20 membres à partir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une liste de personnes nommées par les Etats signataires et les Etats contractants du Protocole et possédant les qualifications et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expérience nécessaires, chargées de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assister dans ses fonctions. Une Commission analogue (CESAIR), composée de responsables gouvernementaux de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aviation civile, a été constituée en vue de conseiller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OACI, en sa qualité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Autorité de surveillance pour les biens aéronautiques. Le Registre international pour les biens aéronautiques a créé un Conseil consultatif du Registre international (IRAB), qui regroupe des experts techniques et des juristes de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industrie, en vue de fournir des avis au Conservateur en ce qui concerne les besoins des utilisateurs du système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inscription.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IRAB soumet des recommandations à la CESAIR, qui les examine et en recommande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application, moyennant les modifications qu</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il estime nécessaires, au Conseil de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 xml:space="preserve">OACI. </w:t>
      </w:r>
    </w:p>
    <w:p w14:paraId="2F6CFD9D" w14:textId="2BDF34EE" w:rsidR="0095214C" w:rsidRPr="00C21A6F" w:rsidRDefault="0095214C" w:rsidP="0066183D">
      <w:pPr>
        <w:pStyle w:val="Headingb"/>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ind w:left="0" w:firstLine="0"/>
        <w:textAlignment w:val="auto"/>
        <w:outlineLvl w:val="9"/>
        <w:rPr>
          <w:rFonts w:asciiTheme="minorHAnsi" w:eastAsiaTheme="minorEastAsia" w:hAnsiTheme="minorHAnsi" w:cs="Verdana"/>
          <w:bCs/>
          <w:szCs w:val="24"/>
          <w:lang w:val="fr-CH" w:eastAsia="zh-CN"/>
        </w:rPr>
      </w:pPr>
      <w:r w:rsidRPr="00C21A6F">
        <w:rPr>
          <w:rFonts w:asciiTheme="minorHAnsi" w:eastAsiaTheme="minorEastAsia" w:hAnsiTheme="minorHAnsi" w:cs="Verdana"/>
          <w:szCs w:val="24"/>
          <w:lang w:val="fr-CH" w:eastAsia="zh-CN"/>
        </w:rPr>
        <w:t>Tâches</w:t>
      </w:r>
      <w:r w:rsidRPr="00C21A6F">
        <w:rPr>
          <w:rFonts w:asciiTheme="minorHAnsi" w:eastAsiaTheme="minorEastAsia" w:hAnsiTheme="minorHAnsi" w:cs="Verdana"/>
          <w:b w:val="0"/>
          <w:szCs w:val="24"/>
          <w:lang w:val="fr-CH" w:eastAsia="zh-CN"/>
        </w:rPr>
        <w:t xml:space="preserve"> </w:t>
      </w:r>
      <w:r w:rsidRPr="00C21A6F">
        <w:rPr>
          <w:rFonts w:asciiTheme="minorHAnsi" w:eastAsiaTheme="minorEastAsia" w:hAnsiTheme="minorHAnsi" w:cs="Verdana"/>
          <w:szCs w:val="24"/>
          <w:lang w:val="fr-CH" w:eastAsia="zh-CN"/>
        </w:rPr>
        <w:t>incombant à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UIT</w:t>
      </w:r>
    </w:p>
    <w:p w14:paraId="034A4BAD" w14:textId="01B1C287" w:rsidR="0095214C" w:rsidRPr="00C21A6F" w:rsidRDefault="0095214C" w:rsidP="0066183D">
      <w:pPr>
        <w:tabs>
          <w:tab w:val="clear" w:pos="567"/>
          <w:tab w:val="clear" w:pos="1134"/>
          <w:tab w:val="clear" w:pos="1701"/>
          <w:tab w:val="clear" w:pos="2268"/>
          <w:tab w:val="clear" w:pos="2835"/>
        </w:tabs>
        <w:overflowPunct/>
        <w:autoSpaceDE/>
        <w:autoSpaceDN/>
        <w:adjustRightInd/>
        <w:spacing w:after="200"/>
        <w:textAlignment w:val="auto"/>
        <w:rPr>
          <w:rFonts w:asciiTheme="minorHAnsi" w:eastAsiaTheme="minorEastAsia" w:hAnsiTheme="minorHAnsi" w:cs="Verdana"/>
          <w:szCs w:val="24"/>
          <w:lang w:val="fr-CH" w:eastAsia="zh-CN"/>
        </w:rPr>
      </w:pPr>
      <w:r w:rsidRPr="00C21A6F">
        <w:rPr>
          <w:rFonts w:asciiTheme="minorHAnsi" w:eastAsiaTheme="minorEastAsia" w:hAnsiTheme="minorHAnsi" w:cs="Verdana"/>
          <w:szCs w:val="24"/>
          <w:lang w:val="fr-CH" w:eastAsia="zh-CN"/>
        </w:rPr>
        <w:t>6</w:t>
      </w:r>
      <w:r w:rsidRPr="00C21A6F">
        <w:rPr>
          <w:rFonts w:asciiTheme="minorHAnsi" w:eastAsiaTheme="minorEastAsia" w:hAnsiTheme="minorHAnsi" w:cs="Verdana"/>
          <w:szCs w:val="24"/>
          <w:lang w:val="fr-CH" w:eastAsia="zh-CN"/>
        </w:rPr>
        <w:tab/>
        <w:t>Il ressort des paragraphes qui précèdent que si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UIT, en sa qualité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Autorité de surveillance, est responsable du contrôle du Registre international pour les biens spatiaux, la charge que cela représentera pour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Union sera relativement négligeable. Le Registre sera pleinement opérationnel lorsque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UIT assumera les fonctions qui lui seront transférés par la Commission préparatoire,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Union bénéficiera des connaissances spécialisées nécessaires des professionnels du secteur que lui apportera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organisme équivalent de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IRAB, si un tel organisme est créé par le Registre international, et le Comité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experts gouvernementaux évaluera les propositions éventuelles qui lui seront présentées et les soumettra à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UIT, assorties des modifications qu</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il jugera appropriées. Le Registre fonctionne depuis maintenant huit ans et cet arrangement a donné de très bons résultats pour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OACI, qui n</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 pas jugé nécessaire de recruter du personnel supplémentaire pour s</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acquitter de ces fonctions.</w:t>
      </w:r>
    </w:p>
    <w:p w14:paraId="5445E4F1" w14:textId="26875B64" w:rsidR="0095214C" w:rsidRPr="00C21A6F" w:rsidRDefault="0095214C" w:rsidP="0066183D">
      <w:pPr>
        <w:pStyle w:val="Headingb"/>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ind w:left="0" w:firstLine="0"/>
        <w:textAlignment w:val="auto"/>
        <w:outlineLvl w:val="9"/>
        <w:rPr>
          <w:rFonts w:asciiTheme="minorHAnsi" w:eastAsiaTheme="minorEastAsia" w:hAnsiTheme="minorHAnsi" w:cs="Verdana"/>
          <w:szCs w:val="24"/>
          <w:lang w:val="fr-CH" w:eastAsia="zh-CN"/>
        </w:rPr>
      </w:pPr>
      <w:r w:rsidRPr="00C21A6F">
        <w:rPr>
          <w:rFonts w:asciiTheme="minorHAnsi" w:eastAsiaTheme="minorEastAsia" w:hAnsiTheme="minorHAnsi" w:cs="Verdana"/>
          <w:szCs w:val="24"/>
          <w:lang w:val="fr-CH" w:eastAsia="zh-CN"/>
        </w:rPr>
        <w:t>La responsabilité de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UIT pourrait-elle être engagée?</w:t>
      </w:r>
    </w:p>
    <w:p w14:paraId="186CDB21" w14:textId="2068C249" w:rsidR="0095214C" w:rsidRPr="00C21A6F" w:rsidRDefault="0095214C" w:rsidP="0066183D">
      <w:pPr>
        <w:tabs>
          <w:tab w:val="clear" w:pos="567"/>
          <w:tab w:val="clear" w:pos="1134"/>
          <w:tab w:val="clear" w:pos="1701"/>
          <w:tab w:val="clear" w:pos="2268"/>
          <w:tab w:val="clear" w:pos="2835"/>
        </w:tabs>
        <w:overflowPunct/>
        <w:autoSpaceDE/>
        <w:autoSpaceDN/>
        <w:adjustRightInd/>
        <w:spacing w:after="200"/>
        <w:textAlignment w:val="auto"/>
        <w:rPr>
          <w:rFonts w:asciiTheme="minorHAnsi" w:eastAsiaTheme="minorEastAsia" w:hAnsiTheme="minorHAnsi" w:cs="Verdana"/>
          <w:szCs w:val="24"/>
          <w:lang w:val="fr-CH" w:eastAsia="zh-CN"/>
        </w:rPr>
      </w:pPr>
      <w:r w:rsidRPr="00C21A6F">
        <w:rPr>
          <w:rFonts w:asciiTheme="minorHAnsi" w:eastAsiaTheme="minorEastAsia" w:hAnsiTheme="minorHAnsi" w:cs="Verdana"/>
          <w:szCs w:val="24"/>
          <w:lang w:val="fr-CH" w:eastAsia="zh-CN"/>
        </w:rPr>
        <w:t>7</w:t>
      </w:r>
      <w:r w:rsidRPr="00C21A6F">
        <w:rPr>
          <w:rFonts w:asciiTheme="minorHAnsi" w:eastAsiaTheme="minorEastAsia" w:hAnsiTheme="minorHAnsi" w:cs="Verdana"/>
          <w:szCs w:val="24"/>
          <w:lang w:val="fr-CH" w:eastAsia="zh-CN"/>
        </w:rPr>
        <w:tab/>
        <w:t>La réponse est négative. Conformément à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Article 27(2),</w:t>
      </w:r>
      <w:r w:rsidRPr="00C21A6F">
        <w:rPr>
          <w:rFonts w:asciiTheme="minorHAnsi" w:eastAsiaTheme="minorEastAsia" w:hAnsiTheme="minorHAnsi" w:cstheme="minorBidi"/>
          <w:sz w:val="22"/>
          <w:szCs w:val="22"/>
          <w:lang w:val="fr-CH" w:eastAsia="zh-CN"/>
        </w:rPr>
        <w:t xml:space="preserve"> </w:t>
      </w:r>
      <w:r w:rsidRPr="00C21A6F">
        <w:rPr>
          <w:rFonts w:asciiTheme="minorHAnsi" w:eastAsiaTheme="minorEastAsia" w:hAnsiTheme="minorHAnsi" w:cs="Verdana"/>
          <w:szCs w:val="24"/>
          <w:lang w:val="fr-CH" w:eastAsia="zh-CN"/>
        </w:rPr>
        <w:t>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Autorité de surveillance ainsi que ses responsables et employés jouissent de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immunité contre toute action judiciaire ou administrative conformément aux dispositions du Protocole.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Article XXVIII(2) du Protocole portant sur les biens spatiaux dispose que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Autorité de surveillance ainsi que ses responsables et employés jouissent de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immunité contre toute action judiciaire ou administrative conformément aux règles qui leur sont applicables en tant qu</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entité internationale ou à un autre titre. En sa qualité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institution spécialisée des Nations Unies,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 xml:space="preserve">UIT jouit déjà, sur le plan du droit international, des privilèges et immunités contenus dans les clauses types de la Convention des Nations Unies de 1947 sur les privilèges et immunités des institutions spécialisées, ainsi que dans </w:t>
      </w:r>
      <w:r w:rsidRPr="00C21A6F">
        <w:rPr>
          <w:rFonts w:asciiTheme="minorHAnsi" w:eastAsiaTheme="minorEastAsia" w:hAnsiTheme="minorHAnsi" w:cs="Verdana"/>
          <w:szCs w:val="24"/>
          <w:lang w:val="fr-CH" w:eastAsia="zh-CN"/>
        </w:rPr>
        <w:lastRenderedPageBreak/>
        <w:t>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Annexe IX de ladite Convention, vis-à-vis des pays qui sont parties à la Convention (il y a actuellement 123 parties à la Convention).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UIT elle-même connaît déjà les Sections 4 à 6 de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Article III de la Convention, qui dispose que les institutions spécialisées, leurs biens et avoirs ainsi que les locaux et les archives sont inviolables et qu</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ils jouissent de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 xml:space="preserve">immunité de juridiction, sauf dans la mesure où ces institutions y ont expressément renoncé. </w:t>
      </w:r>
    </w:p>
    <w:p w14:paraId="231F48D9" w14:textId="77777777" w:rsidR="0095214C" w:rsidRPr="00C21A6F" w:rsidRDefault="0095214C" w:rsidP="0066183D">
      <w:pPr>
        <w:pStyle w:val="Headingb"/>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ind w:left="0" w:firstLine="0"/>
        <w:textAlignment w:val="auto"/>
        <w:outlineLvl w:val="9"/>
        <w:rPr>
          <w:rFonts w:asciiTheme="minorHAnsi" w:eastAsiaTheme="minorEastAsia" w:hAnsiTheme="minorHAnsi" w:cs="Verdana"/>
          <w:bCs/>
          <w:szCs w:val="24"/>
          <w:lang w:val="fr-CH" w:eastAsia="zh-CN"/>
        </w:rPr>
      </w:pPr>
      <w:r w:rsidRPr="00C21A6F">
        <w:rPr>
          <w:rFonts w:asciiTheme="minorHAnsi" w:eastAsiaTheme="minorEastAsia" w:hAnsiTheme="minorHAnsi" w:cs="Verdana"/>
          <w:szCs w:val="24"/>
          <w:lang w:val="fr-CH" w:eastAsia="zh-CN"/>
        </w:rPr>
        <w:t xml:space="preserve">Responsabilité du Registre </w:t>
      </w:r>
    </w:p>
    <w:p w14:paraId="023A67BB" w14:textId="636E4B7D" w:rsidR="0095214C" w:rsidRPr="00C21A6F" w:rsidRDefault="0095214C" w:rsidP="0066183D">
      <w:pPr>
        <w:tabs>
          <w:tab w:val="clear" w:pos="567"/>
          <w:tab w:val="clear" w:pos="1134"/>
          <w:tab w:val="clear" w:pos="1701"/>
          <w:tab w:val="clear" w:pos="2268"/>
          <w:tab w:val="clear" w:pos="2835"/>
        </w:tabs>
        <w:overflowPunct/>
        <w:autoSpaceDE/>
        <w:autoSpaceDN/>
        <w:adjustRightInd/>
        <w:spacing w:after="200"/>
        <w:textAlignment w:val="auto"/>
        <w:rPr>
          <w:rFonts w:asciiTheme="minorHAnsi" w:eastAsiaTheme="minorEastAsia" w:hAnsiTheme="minorHAnsi" w:cs="Verdana"/>
          <w:szCs w:val="24"/>
          <w:lang w:val="fr-CH" w:eastAsia="zh-CN"/>
        </w:rPr>
      </w:pPr>
      <w:r w:rsidRPr="00C21A6F">
        <w:rPr>
          <w:rFonts w:asciiTheme="minorHAnsi" w:eastAsiaTheme="minorEastAsia" w:hAnsiTheme="minorHAnsi" w:cs="Verdana"/>
          <w:szCs w:val="24"/>
          <w:lang w:val="fr-CH" w:eastAsia="zh-CN"/>
        </w:rPr>
        <w:t>8</w:t>
      </w:r>
      <w:r w:rsidRPr="00C21A6F">
        <w:rPr>
          <w:rFonts w:asciiTheme="minorHAnsi" w:eastAsiaTheme="minorEastAsia" w:hAnsiTheme="minorHAnsi" w:cs="Verdana"/>
          <w:szCs w:val="24"/>
          <w:lang w:val="fr-CH" w:eastAsia="zh-CN"/>
        </w:rPr>
        <w:tab/>
        <w:t>A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inverse, conformément à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Article 28 de la Convention du Cap, le Conservateur sera soumis à une responsabilité objective et sera tenu au paiement de dommages-intérêts compensatoires pour les pertes subies par une personne lorsque le préjudice découle directement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une erreur ou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une omission du Conservateur ainsi que de ses responsables et employés, ou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un dysfonctionnement du système international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inscription, et sera tenu de contracter une assurance ou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obtenir une garantie financière couvrant la responsabilité visée dans la mesure déterminée par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Autorité de surveillance. Dans le cas du Registre international pour les biens aéronautiques, le niveau actuel de garantie s</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établit à 130 millions USD. Pendant les huit années de son fonctionnement, au cours desquelles environ 420 000 inscriptions ont été effectuées, le Registre n</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 été saisi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 xml:space="preserve">aucune réclamation. </w:t>
      </w:r>
    </w:p>
    <w:p w14:paraId="15AA1B92" w14:textId="77777777" w:rsidR="0095214C" w:rsidRPr="00C21A6F" w:rsidRDefault="0095214C" w:rsidP="0066183D">
      <w:pPr>
        <w:pStyle w:val="Headingb"/>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ind w:left="0" w:firstLine="0"/>
        <w:textAlignment w:val="auto"/>
        <w:outlineLvl w:val="9"/>
        <w:rPr>
          <w:rFonts w:asciiTheme="minorHAnsi" w:eastAsiaTheme="minorEastAsia" w:hAnsiTheme="minorHAnsi" w:cs="Verdana"/>
          <w:szCs w:val="24"/>
          <w:lang w:val="fr-CH" w:eastAsia="zh-CN"/>
        </w:rPr>
      </w:pPr>
      <w:r w:rsidRPr="00C21A6F">
        <w:rPr>
          <w:rFonts w:asciiTheme="minorHAnsi" w:eastAsiaTheme="minorEastAsia" w:hAnsiTheme="minorHAnsi" w:cs="Verdana"/>
          <w:szCs w:val="24"/>
          <w:lang w:val="fr-CH" w:eastAsia="zh-CN"/>
        </w:rPr>
        <w:t>Immunité des biens du Registre</w:t>
      </w:r>
      <w:r w:rsidRPr="00C21A6F">
        <w:rPr>
          <w:rFonts w:asciiTheme="minorHAnsi" w:eastAsiaTheme="minorEastAsia" w:hAnsiTheme="minorHAnsi" w:cs="Verdana"/>
          <w:b w:val="0"/>
          <w:szCs w:val="24"/>
          <w:lang w:val="fr-CH" w:eastAsia="zh-CN"/>
        </w:rPr>
        <w:t xml:space="preserve"> </w:t>
      </w:r>
    </w:p>
    <w:p w14:paraId="39F07114" w14:textId="560B2290" w:rsidR="0095214C" w:rsidRPr="00C21A6F" w:rsidRDefault="0095214C" w:rsidP="0066183D">
      <w:pPr>
        <w:tabs>
          <w:tab w:val="clear" w:pos="567"/>
          <w:tab w:val="clear" w:pos="1134"/>
          <w:tab w:val="clear" w:pos="1701"/>
          <w:tab w:val="clear" w:pos="2268"/>
          <w:tab w:val="clear" w:pos="2835"/>
        </w:tabs>
        <w:overflowPunct/>
        <w:autoSpaceDE/>
        <w:autoSpaceDN/>
        <w:adjustRightInd/>
        <w:spacing w:after="200"/>
        <w:textAlignment w:val="auto"/>
        <w:rPr>
          <w:rFonts w:asciiTheme="minorHAnsi" w:eastAsiaTheme="minorEastAsia" w:hAnsiTheme="minorHAnsi" w:cs="Verdana"/>
          <w:szCs w:val="24"/>
          <w:lang w:val="fr-CH" w:eastAsia="zh-CN"/>
        </w:rPr>
      </w:pPr>
      <w:r w:rsidRPr="00C21A6F">
        <w:rPr>
          <w:rFonts w:asciiTheme="minorHAnsi" w:eastAsiaTheme="minorEastAsia" w:hAnsiTheme="minorHAnsi" w:cs="Verdana"/>
          <w:szCs w:val="24"/>
          <w:lang w:val="fr-CH" w:eastAsia="zh-CN"/>
        </w:rPr>
        <w:t>9</w:t>
      </w:r>
      <w:r w:rsidRPr="00C21A6F">
        <w:rPr>
          <w:rFonts w:asciiTheme="minorHAnsi" w:eastAsiaTheme="minorEastAsia" w:hAnsiTheme="minorHAnsi" w:cs="Verdana"/>
          <w:szCs w:val="24"/>
          <w:lang w:val="fr-CH" w:eastAsia="zh-CN"/>
        </w:rPr>
        <w:tab/>
        <w:t>Les biens, documents, bases de données et archives du Registre international sont inviolables et ne peuvent faire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objet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une saisie ou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une autre action judiciaire ou administrative, mais sont accessibles à tout requérant ayant déposé une plainte à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encontre du Conservateur.</w:t>
      </w:r>
    </w:p>
    <w:p w14:paraId="582EF038" w14:textId="378114B0" w:rsidR="0095214C" w:rsidRPr="00C21A6F" w:rsidRDefault="0095214C" w:rsidP="0066183D">
      <w:pPr>
        <w:pStyle w:val="Headingb"/>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ind w:left="0" w:firstLine="0"/>
        <w:textAlignment w:val="auto"/>
        <w:outlineLvl w:val="9"/>
        <w:rPr>
          <w:rFonts w:asciiTheme="minorHAnsi" w:eastAsiaTheme="minorEastAsia" w:hAnsiTheme="minorHAnsi" w:cs="Verdana"/>
          <w:szCs w:val="24"/>
          <w:lang w:val="fr-CH" w:eastAsia="zh-CN"/>
        </w:rPr>
      </w:pPr>
      <w:r w:rsidRPr="00C21A6F">
        <w:rPr>
          <w:rFonts w:asciiTheme="minorHAnsi" w:eastAsiaTheme="minorEastAsia" w:hAnsiTheme="minorHAnsi" w:cs="Verdana"/>
          <w:szCs w:val="24"/>
          <w:lang w:val="fr-CH" w:eastAsia="zh-CN"/>
        </w:rPr>
        <w:t>Procédure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amendement/de révision applicable</w:t>
      </w:r>
      <w:r w:rsidRPr="00C21A6F">
        <w:rPr>
          <w:rFonts w:asciiTheme="minorHAnsi" w:eastAsiaTheme="minorEastAsia" w:hAnsiTheme="minorHAnsi" w:cs="Verdana"/>
          <w:b w:val="0"/>
          <w:szCs w:val="24"/>
          <w:lang w:val="fr-CH" w:eastAsia="zh-CN"/>
        </w:rPr>
        <w:t xml:space="preserve"> </w:t>
      </w:r>
      <w:r w:rsidRPr="00C21A6F">
        <w:rPr>
          <w:rFonts w:asciiTheme="minorHAnsi" w:eastAsiaTheme="minorEastAsia" w:hAnsiTheme="minorHAnsi" w:cs="Verdana"/>
          <w:szCs w:val="24"/>
          <w:lang w:val="fr-CH" w:eastAsia="zh-CN"/>
        </w:rPr>
        <w:t>au Protocole portant sur les objets spatiaux</w:t>
      </w:r>
    </w:p>
    <w:p w14:paraId="1BC27A06" w14:textId="64A603C9" w:rsidR="0095214C" w:rsidRPr="00C21A6F" w:rsidRDefault="0095214C" w:rsidP="0066183D">
      <w:pPr>
        <w:tabs>
          <w:tab w:val="clear" w:pos="567"/>
          <w:tab w:val="clear" w:pos="1134"/>
          <w:tab w:val="clear" w:pos="1701"/>
          <w:tab w:val="clear" w:pos="2268"/>
          <w:tab w:val="clear" w:pos="2835"/>
        </w:tabs>
        <w:overflowPunct/>
        <w:autoSpaceDE/>
        <w:autoSpaceDN/>
        <w:adjustRightInd/>
        <w:spacing w:after="200"/>
        <w:textAlignment w:val="auto"/>
        <w:rPr>
          <w:rFonts w:asciiTheme="minorHAnsi" w:eastAsiaTheme="minorEastAsia" w:hAnsiTheme="minorHAnsi" w:cs="Verdana"/>
          <w:szCs w:val="24"/>
          <w:lang w:val="fr-CH" w:eastAsia="zh-CN"/>
        </w:rPr>
      </w:pPr>
      <w:r w:rsidRPr="00C21A6F">
        <w:rPr>
          <w:rFonts w:asciiTheme="minorHAnsi" w:eastAsiaTheme="minorEastAsia" w:hAnsiTheme="minorHAnsi" w:cs="Verdana"/>
          <w:szCs w:val="24"/>
          <w:lang w:val="fr-CH" w:eastAsia="zh-CN"/>
        </w:rPr>
        <w:t>10</w:t>
      </w:r>
      <w:r w:rsidRPr="00C21A6F">
        <w:rPr>
          <w:rFonts w:asciiTheme="minorHAnsi" w:eastAsiaTheme="minorEastAsia" w:hAnsiTheme="minorHAnsi" w:cs="Verdana"/>
          <w:szCs w:val="24"/>
          <w:lang w:val="fr-CH" w:eastAsia="zh-CN"/>
        </w:rPr>
        <w:tab/>
        <w:t>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Article XLVII du Protocole dispose qu</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à la demande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au moins 25% des Etats parties, des Conférences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évaluation des Etats parties sont organisées par UNIDROIT en tant que Dépositaire, en consultation avec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Autorité de surveillance. En conséquence, UNIDROIT serait responsable de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organisation de toute Conférence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évaluation, mais agirait bien entendu en étroite collaboration avec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UIT si cette organisation exerçait les fonctions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Autorité de surveillance.</w:t>
      </w:r>
    </w:p>
    <w:p w14:paraId="0ECFFE51" w14:textId="77777777" w:rsidR="0095214C" w:rsidRPr="00C21A6F" w:rsidRDefault="0095214C" w:rsidP="0066183D">
      <w:pPr>
        <w:pStyle w:val="Headingb"/>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ind w:left="0" w:firstLine="0"/>
        <w:textAlignment w:val="auto"/>
        <w:outlineLvl w:val="9"/>
        <w:rPr>
          <w:rFonts w:asciiTheme="minorHAnsi" w:eastAsiaTheme="minorEastAsia" w:hAnsiTheme="minorHAnsi" w:cs="Verdana"/>
          <w:szCs w:val="24"/>
          <w:lang w:val="fr-CH" w:eastAsia="zh-CN"/>
        </w:rPr>
      </w:pPr>
      <w:r w:rsidRPr="00C21A6F">
        <w:rPr>
          <w:rFonts w:asciiTheme="minorHAnsi" w:eastAsiaTheme="minorEastAsia" w:hAnsiTheme="minorHAnsi" w:cs="Verdana"/>
          <w:szCs w:val="24"/>
          <w:lang w:val="fr-CH" w:eastAsia="zh-CN"/>
        </w:rPr>
        <w:t>Tarifs et coûts</w:t>
      </w:r>
    </w:p>
    <w:p w14:paraId="5C5C1D80" w14:textId="59CD2D79" w:rsidR="0095214C" w:rsidRPr="00C21A6F" w:rsidRDefault="0095214C" w:rsidP="0066183D">
      <w:pPr>
        <w:pStyle w:val="Reasons"/>
        <w:rPr>
          <w:lang w:val="fr-CH"/>
        </w:rPr>
      </w:pPr>
      <w:r w:rsidRPr="00C21A6F">
        <w:rPr>
          <w:rFonts w:asciiTheme="minorHAnsi" w:eastAsiaTheme="minorEastAsia" w:hAnsiTheme="minorHAnsi" w:cs="Verdana"/>
          <w:szCs w:val="24"/>
          <w:lang w:val="fr-CH" w:eastAsia="zh-CN"/>
        </w:rPr>
        <w:t>11</w:t>
      </w:r>
      <w:r w:rsidRPr="00C21A6F">
        <w:rPr>
          <w:rFonts w:asciiTheme="minorHAnsi" w:eastAsiaTheme="minorEastAsia" w:hAnsiTheme="minorHAnsi" w:cs="Verdana"/>
          <w:szCs w:val="24"/>
          <w:lang w:val="fr-CH" w:eastAsia="zh-CN"/>
        </w:rPr>
        <w:tab/>
        <w:t>En vertu de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Article XXXII du Protocole</w:t>
      </w:r>
      <w:r w:rsidRPr="00C21A6F">
        <w:rPr>
          <w:rFonts w:asciiTheme="minorHAnsi" w:eastAsiaTheme="minorEastAsia" w:hAnsiTheme="minorHAnsi" w:cstheme="minorBidi"/>
          <w:sz w:val="22"/>
          <w:szCs w:val="22"/>
          <w:lang w:val="fr-CH" w:eastAsia="zh-CN"/>
        </w:rPr>
        <w:t xml:space="preserve">, </w:t>
      </w:r>
      <w:r w:rsidRPr="00C21A6F">
        <w:rPr>
          <w:rFonts w:asciiTheme="minorHAnsi" w:eastAsiaTheme="minorEastAsia" w:hAnsiTheme="minorHAnsi" w:cs="Verdana"/>
          <w:szCs w:val="24"/>
          <w:lang w:val="fr-CH" w:eastAsia="zh-CN"/>
        </w:rPr>
        <w:t>les tarifs des services du Registre international doivent être fixés de façon à couvrir les coûts raisonnables d</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établissement, de fonctionnement et de réglementation du Registre international et les coûts raisonnables de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Autorité de surveillance liés à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exercice de ses fonctions mentionnées au paragraphe 2 de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Article 17 de la Convention. Cette disposition correspond à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Article XX(3) du Protocole aéronautique. En conséquence,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UIT, comme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OACI, pourrait couvrir, au titre des tarifs du Registre, les coûts raisonnables de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Autorité de surveillance liés à l</w:t>
      </w:r>
      <w:r w:rsidR="0066183D" w:rsidRPr="00C21A6F">
        <w:rPr>
          <w:rFonts w:asciiTheme="minorHAnsi" w:eastAsiaTheme="minorEastAsia" w:hAnsiTheme="minorHAnsi" w:cs="Verdana"/>
          <w:szCs w:val="24"/>
          <w:lang w:val="fr-CH" w:eastAsia="zh-CN"/>
        </w:rPr>
        <w:t>'</w:t>
      </w:r>
      <w:r w:rsidRPr="00C21A6F">
        <w:rPr>
          <w:rFonts w:asciiTheme="minorHAnsi" w:eastAsiaTheme="minorEastAsia" w:hAnsiTheme="minorHAnsi" w:cs="Verdana"/>
          <w:szCs w:val="24"/>
          <w:lang w:val="fr-CH" w:eastAsia="zh-CN"/>
        </w:rPr>
        <w:t>exercice de ses fonctions et il va sans dire que les tarifs seraient également fixés pour couvrir les coûts afférents au Conservateur et au personnel du Registre, mais sans but lucratif aucun.</w:t>
      </w:r>
    </w:p>
    <w:p w14:paraId="54E49A8E" w14:textId="77777777" w:rsidR="0095214C" w:rsidRPr="00C21A6F" w:rsidRDefault="0095214C" w:rsidP="0066183D">
      <w:pPr>
        <w:pStyle w:val="Reasons"/>
        <w:rPr>
          <w:lang w:val="fr-CH"/>
        </w:rPr>
      </w:pPr>
    </w:p>
    <w:p w14:paraId="610A185E" w14:textId="77777777" w:rsidR="0095214C" w:rsidRPr="00C21A6F" w:rsidRDefault="0095214C" w:rsidP="0066183D">
      <w:pPr>
        <w:jc w:val="center"/>
        <w:rPr>
          <w:lang w:val="fr-CH"/>
        </w:rPr>
      </w:pPr>
      <w:r w:rsidRPr="00C21A6F">
        <w:rPr>
          <w:lang w:val="fr-CH"/>
        </w:rPr>
        <w:t>______________</w:t>
      </w:r>
    </w:p>
    <w:p w14:paraId="5B55C5BC" w14:textId="77777777" w:rsidR="00F42451" w:rsidRPr="00C21A6F" w:rsidRDefault="00F42451" w:rsidP="0066183D">
      <w:pPr>
        <w:rPr>
          <w:lang w:val="fr-CH"/>
        </w:rPr>
      </w:pPr>
    </w:p>
    <w:sectPr w:rsidR="00F42451" w:rsidRPr="00C21A6F" w:rsidSect="003A0B7D">
      <w:headerReference w:type="default" r:id="rId75"/>
      <w:footerReference w:type="default" r:id="rId76"/>
      <w:footerReference w:type="first" r:id="rId7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BBEAB" w14:textId="77777777" w:rsidR="00401705" w:rsidRDefault="00401705">
      <w:r>
        <w:separator/>
      </w:r>
    </w:p>
  </w:endnote>
  <w:endnote w:type="continuationSeparator" w:id="0">
    <w:p w14:paraId="5069E8B0" w14:textId="77777777" w:rsidR="00401705" w:rsidRDefault="0040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BCB06" w14:textId="18EA940D" w:rsidR="00401705" w:rsidRPr="008B7A55" w:rsidRDefault="006A7F2D" w:rsidP="00EF029E">
    <w:pPr>
      <w:pStyle w:val="Footer"/>
      <w:tabs>
        <w:tab w:val="clear" w:pos="5954"/>
        <w:tab w:val="clear" w:pos="9639"/>
        <w:tab w:val="left" w:pos="7655"/>
        <w:tab w:val="right" w:pos="9498"/>
      </w:tabs>
      <w:rPr>
        <w:lang w:val="en-GB"/>
      </w:rPr>
    </w:pPr>
    <w:r>
      <w:t xml:space="preserve"> (443090)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17779" w14:textId="77777777" w:rsidR="006A7F2D" w:rsidRDefault="006A7F2D" w:rsidP="006A7F2D">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C4210" w14:textId="77777777" w:rsidR="00401705" w:rsidRDefault="00401705">
      <w:r>
        <w:t>____________________</w:t>
      </w:r>
    </w:p>
  </w:footnote>
  <w:footnote w:type="continuationSeparator" w:id="0">
    <w:p w14:paraId="43A61817" w14:textId="77777777" w:rsidR="00401705" w:rsidRDefault="00401705">
      <w:r>
        <w:continuationSeparator/>
      </w:r>
    </w:p>
  </w:footnote>
  <w:footnote w:id="1">
    <w:p w14:paraId="4836E9C1" w14:textId="77777777" w:rsidR="00401705" w:rsidRPr="008D4F2D" w:rsidRDefault="00401705" w:rsidP="005A665B">
      <w:pPr>
        <w:pStyle w:val="FootnoteText"/>
        <w:rPr>
          <w:lang w:val="fr-CH"/>
        </w:rPr>
      </w:pPr>
      <w:r>
        <w:rPr>
          <w:rStyle w:val="FootnoteReference"/>
        </w:rPr>
        <w:footnoteRef/>
      </w:r>
      <w:r>
        <w:tab/>
      </w:r>
      <w:r w:rsidRPr="001F53D8">
        <w:rPr>
          <w:color w:val="000000"/>
        </w:rPr>
        <w:t>L'Institut international pour l'unification du droit privé (UNIDROIT) est une organisation intergouvernementale indépendante qui a été créée en 1926 à Rome, en vue d'étudier, conformément à ses objectifs statutaires, les besoins et les méthodes permettant de moderniser, d'harmoniser et de coordonner le droit privé entre Etats et groupes d'Etats et, à cette fin, d'élaborer des instruments, des principes et des règles de droit uniformes.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F3FBD" w14:textId="77777777" w:rsidR="00401705" w:rsidRDefault="00401705" w:rsidP="00BD1614">
    <w:pPr>
      <w:pStyle w:val="Header"/>
    </w:pPr>
    <w:r>
      <w:fldChar w:fldCharType="begin"/>
    </w:r>
    <w:r>
      <w:instrText xml:space="preserve"> PAGE </w:instrText>
    </w:r>
    <w:r>
      <w:fldChar w:fldCharType="separate"/>
    </w:r>
    <w:r w:rsidR="008613E3">
      <w:rPr>
        <w:noProof/>
      </w:rPr>
      <w:t>19</w:t>
    </w:r>
    <w:r>
      <w:fldChar w:fldCharType="end"/>
    </w:r>
  </w:p>
  <w:p w14:paraId="24CD0576" w14:textId="33CEFA80" w:rsidR="00401705" w:rsidRDefault="00401705" w:rsidP="008B7A55">
    <w:pPr>
      <w:pStyle w:val="Header"/>
    </w:pPr>
    <w:r>
      <w:t>PP18/53-F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9EED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E0AF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207D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1CCC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CCE9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E40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FA6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3051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4650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06455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F3"/>
    <w:rsid w:val="000054D8"/>
    <w:rsid w:val="00013D76"/>
    <w:rsid w:val="000142D0"/>
    <w:rsid w:val="00034DC0"/>
    <w:rsid w:val="0004265D"/>
    <w:rsid w:val="00046861"/>
    <w:rsid w:val="00047736"/>
    <w:rsid w:val="0005283E"/>
    <w:rsid w:val="00060D74"/>
    <w:rsid w:val="0006219D"/>
    <w:rsid w:val="000705BE"/>
    <w:rsid w:val="00072D5C"/>
    <w:rsid w:val="00073048"/>
    <w:rsid w:val="0008398C"/>
    <w:rsid w:val="00084308"/>
    <w:rsid w:val="00087BC0"/>
    <w:rsid w:val="000A7D7C"/>
    <w:rsid w:val="000B14B6"/>
    <w:rsid w:val="000B3C7B"/>
    <w:rsid w:val="000C0F1C"/>
    <w:rsid w:val="000C467B"/>
    <w:rsid w:val="000D15FB"/>
    <w:rsid w:val="000D5011"/>
    <w:rsid w:val="000F06F1"/>
    <w:rsid w:val="000F58F7"/>
    <w:rsid w:val="001051E4"/>
    <w:rsid w:val="00113D80"/>
    <w:rsid w:val="001222A4"/>
    <w:rsid w:val="00127BCE"/>
    <w:rsid w:val="00133C6A"/>
    <w:rsid w:val="001354EA"/>
    <w:rsid w:val="00136FCE"/>
    <w:rsid w:val="00153BA4"/>
    <w:rsid w:val="001728AA"/>
    <w:rsid w:val="001849AE"/>
    <w:rsid w:val="001927EF"/>
    <w:rsid w:val="001941AD"/>
    <w:rsid w:val="001A0682"/>
    <w:rsid w:val="001B3E1B"/>
    <w:rsid w:val="001B4D8D"/>
    <w:rsid w:val="001B55B4"/>
    <w:rsid w:val="001C397B"/>
    <w:rsid w:val="001D31B2"/>
    <w:rsid w:val="001E1B9B"/>
    <w:rsid w:val="001E2226"/>
    <w:rsid w:val="001F6233"/>
    <w:rsid w:val="00206ECB"/>
    <w:rsid w:val="002355CD"/>
    <w:rsid w:val="00240252"/>
    <w:rsid w:val="00270B2F"/>
    <w:rsid w:val="0027479D"/>
    <w:rsid w:val="002772B2"/>
    <w:rsid w:val="002A02AB"/>
    <w:rsid w:val="002A0E1B"/>
    <w:rsid w:val="002C1059"/>
    <w:rsid w:val="002C2F9C"/>
    <w:rsid w:val="002D0DFE"/>
    <w:rsid w:val="002D54C1"/>
    <w:rsid w:val="002D7D38"/>
    <w:rsid w:val="002F28E2"/>
    <w:rsid w:val="00301B85"/>
    <w:rsid w:val="00322DEA"/>
    <w:rsid w:val="00344BDB"/>
    <w:rsid w:val="003478DC"/>
    <w:rsid w:val="00355FBD"/>
    <w:rsid w:val="003809E7"/>
    <w:rsid w:val="00381461"/>
    <w:rsid w:val="00387C33"/>
    <w:rsid w:val="00397D61"/>
    <w:rsid w:val="003A0B7D"/>
    <w:rsid w:val="003A45C2"/>
    <w:rsid w:val="003B4A72"/>
    <w:rsid w:val="003C4BE2"/>
    <w:rsid w:val="003D147D"/>
    <w:rsid w:val="003D34D9"/>
    <w:rsid w:val="003D637A"/>
    <w:rsid w:val="003E1B2F"/>
    <w:rsid w:val="003E28B5"/>
    <w:rsid w:val="003E3BF1"/>
    <w:rsid w:val="003F1950"/>
    <w:rsid w:val="003F650F"/>
    <w:rsid w:val="00401705"/>
    <w:rsid w:val="00407109"/>
    <w:rsid w:val="00417658"/>
    <w:rsid w:val="00426A72"/>
    <w:rsid w:val="00430015"/>
    <w:rsid w:val="004470E3"/>
    <w:rsid w:val="004678D0"/>
    <w:rsid w:val="00482954"/>
    <w:rsid w:val="00485CA0"/>
    <w:rsid w:val="004951C0"/>
    <w:rsid w:val="00497DDE"/>
    <w:rsid w:val="004A6A61"/>
    <w:rsid w:val="004B67FF"/>
    <w:rsid w:val="004C219E"/>
    <w:rsid w:val="004C7196"/>
    <w:rsid w:val="004D0577"/>
    <w:rsid w:val="004D12DA"/>
    <w:rsid w:val="005004F3"/>
    <w:rsid w:val="00524001"/>
    <w:rsid w:val="005434CF"/>
    <w:rsid w:val="005446F1"/>
    <w:rsid w:val="00544EED"/>
    <w:rsid w:val="0054717F"/>
    <w:rsid w:val="005517CC"/>
    <w:rsid w:val="00561C14"/>
    <w:rsid w:val="00562EA1"/>
    <w:rsid w:val="00564B63"/>
    <w:rsid w:val="005759C2"/>
    <w:rsid w:val="00575DC7"/>
    <w:rsid w:val="005836C2"/>
    <w:rsid w:val="005A3043"/>
    <w:rsid w:val="005A4EFD"/>
    <w:rsid w:val="005A5ABE"/>
    <w:rsid w:val="005A5C58"/>
    <w:rsid w:val="005A665B"/>
    <w:rsid w:val="005A66D6"/>
    <w:rsid w:val="005A6741"/>
    <w:rsid w:val="005B05AA"/>
    <w:rsid w:val="005C2ECC"/>
    <w:rsid w:val="005C6744"/>
    <w:rsid w:val="005E419E"/>
    <w:rsid w:val="005E5A0F"/>
    <w:rsid w:val="005F289B"/>
    <w:rsid w:val="005F63BD"/>
    <w:rsid w:val="005F6474"/>
    <w:rsid w:val="00602680"/>
    <w:rsid w:val="00611CF1"/>
    <w:rsid w:val="00615E09"/>
    <w:rsid w:val="006166AB"/>
    <w:rsid w:val="006201D9"/>
    <w:rsid w:val="00625616"/>
    <w:rsid w:val="006277DB"/>
    <w:rsid w:val="00635B7B"/>
    <w:rsid w:val="00643580"/>
    <w:rsid w:val="00655B98"/>
    <w:rsid w:val="00656733"/>
    <w:rsid w:val="0066183D"/>
    <w:rsid w:val="00663946"/>
    <w:rsid w:val="006710E6"/>
    <w:rsid w:val="00686973"/>
    <w:rsid w:val="006A139B"/>
    <w:rsid w:val="006A2656"/>
    <w:rsid w:val="006A6342"/>
    <w:rsid w:val="006A7F2D"/>
    <w:rsid w:val="006B6C9C"/>
    <w:rsid w:val="006C43C5"/>
    <w:rsid w:val="006C7AE3"/>
    <w:rsid w:val="006D55E8"/>
    <w:rsid w:val="006D6153"/>
    <w:rsid w:val="006E00F0"/>
    <w:rsid w:val="006E1921"/>
    <w:rsid w:val="006F02D3"/>
    <w:rsid w:val="006F36F9"/>
    <w:rsid w:val="007004AA"/>
    <w:rsid w:val="00705708"/>
    <w:rsid w:val="0070576B"/>
    <w:rsid w:val="00706F9E"/>
    <w:rsid w:val="00713335"/>
    <w:rsid w:val="00727C2F"/>
    <w:rsid w:val="00735F13"/>
    <w:rsid w:val="00751C4D"/>
    <w:rsid w:val="00753496"/>
    <w:rsid w:val="007717F2"/>
    <w:rsid w:val="00772E3B"/>
    <w:rsid w:val="007806B7"/>
    <w:rsid w:val="007809F6"/>
    <w:rsid w:val="0078134C"/>
    <w:rsid w:val="00786915"/>
    <w:rsid w:val="007957AE"/>
    <w:rsid w:val="007A5830"/>
    <w:rsid w:val="007B71A1"/>
    <w:rsid w:val="007D2E82"/>
    <w:rsid w:val="00801256"/>
    <w:rsid w:val="008531D2"/>
    <w:rsid w:val="00853520"/>
    <w:rsid w:val="008613E3"/>
    <w:rsid w:val="00864DD5"/>
    <w:rsid w:val="008703CB"/>
    <w:rsid w:val="00871BD8"/>
    <w:rsid w:val="00874E27"/>
    <w:rsid w:val="00885385"/>
    <w:rsid w:val="00886B00"/>
    <w:rsid w:val="008915E8"/>
    <w:rsid w:val="00892AC4"/>
    <w:rsid w:val="008A255A"/>
    <w:rsid w:val="008B61AF"/>
    <w:rsid w:val="008B7A55"/>
    <w:rsid w:val="008C2939"/>
    <w:rsid w:val="008C33C2"/>
    <w:rsid w:val="008C3750"/>
    <w:rsid w:val="008C3AF6"/>
    <w:rsid w:val="008C6137"/>
    <w:rsid w:val="008C7DA7"/>
    <w:rsid w:val="008E2DB4"/>
    <w:rsid w:val="00901DD5"/>
    <w:rsid w:val="0090735B"/>
    <w:rsid w:val="009129E8"/>
    <w:rsid w:val="00912D5E"/>
    <w:rsid w:val="00912DE5"/>
    <w:rsid w:val="00920F82"/>
    <w:rsid w:val="00934340"/>
    <w:rsid w:val="0095214C"/>
    <w:rsid w:val="00956DC7"/>
    <w:rsid w:val="00966CD3"/>
    <w:rsid w:val="00976FBE"/>
    <w:rsid w:val="009856C6"/>
    <w:rsid w:val="00987A20"/>
    <w:rsid w:val="00995B16"/>
    <w:rsid w:val="009A0E15"/>
    <w:rsid w:val="009C1380"/>
    <w:rsid w:val="009D29C5"/>
    <w:rsid w:val="009D4037"/>
    <w:rsid w:val="009F0592"/>
    <w:rsid w:val="00A1447F"/>
    <w:rsid w:val="00A209D0"/>
    <w:rsid w:val="00A20E72"/>
    <w:rsid w:val="00A246DC"/>
    <w:rsid w:val="00A27522"/>
    <w:rsid w:val="00A47BAF"/>
    <w:rsid w:val="00A542D3"/>
    <w:rsid w:val="00A5784F"/>
    <w:rsid w:val="00A810D0"/>
    <w:rsid w:val="00A8436E"/>
    <w:rsid w:val="00A95B66"/>
    <w:rsid w:val="00AB7ADA"/>
    <w:rsid w:val="00AD08C8"/>
    <w:rsid w:val="00AE0667"/>
    <w:rsid w:val="00B41E0A"/>
    <w:rsid w:val="00B50F46"/>
    <w:rsid w:val="00B5461E"/>
    <w:rsid w:val="00B56DE0"/>
    <w:rsid w:val="00B61528"/>
    <w:rsid w:val="00B71F12"/>
    <w:rsid w:val="00B9483F"/>
    <w:rsid w:val="00B94FAB"/>
    <w:rsid w:val="00B96B1E"/>
    <w:rsid w:val="00BB1854"/>
    <w:rsid w:val="00BB2A6F"/>
    <w:rsid w:val="00BB5BD6"/>
    <w:rsid w:val="00BB6749"/>
    <w:rsid w:val="00BD1614"/>
    <w:rsid w:val="00BD1CEE"/>
    <w:rsid w:val="00BD5DA6"/>
    <w:rsid w:val="00BE3CD7"/>
    <w:rsid w:val="00BF7D25"/>
    <w:rsid w:val="00C010C0"/>
    <w:rsid w:val="00C0322D"/>
    <w:rsid w:val="00C05509"/>
    <w:rsid w:val="00C06796"/>
    <w:rsid w:val="00C13965"/>
    <w:rsid w:val="00C21A6F"/>
    <w:rsid w:val="00C33A04"/>
    <w:rsid w:val="00C40CB5"/>
    <w:rsid w:val="00C54CE6"/>
    <w:rsid w:val="00C575E2"/>
    <w:rsid w:val="00C7368B"/>
    <w:rsid w:val="00C868F1"/>
    <w:rsid w:val="00C92746"/>
    <w:rsid w:val="00CA7242"/>
    <w:rsid w:val="00CC4DC5"/>
    <w:rsid w:val="00CD35EA"/>
    <w:rsid w:val="00CD36CD"/>
    <w:rsid w:val="00CE1A7C"/>
    <w:rsid w:val="00CF058C"/>
    <w:rsid w:val="00CF24C8"/>
    <w:rsid w:val="00CF3F3C"/>
    <w:rsid w:val="00D0343F"/>
    <w:rsid w:val="00D0464B"/>
    <w:rsid w:val="00D12C74"/>
    <w:rsid w:val="00D2263F"/>
    <w:rsid w:val="00D23A8D"/>
    <w:rsid w:val="00D42616"/>
    <w:rsid w:val="00D56483"/>
    <w:rsid w:val="00D5658F"/>
    <w:rsid w:val="00D56AD6"/>
    <w:rsid w:val="00D6229E"/>
    <w:rsid w:val="00D70019"/>
    <w:rsid w:val="00D71201"/>
    <w:rsid w:val="00D74B58"/>
    <w:rsid w:val="00D82ABE"/>
    <w:rsid w:val="00D92206"/>
    <w:rsid w:val="00DA4ABA"/>
    <w:rsid w:val="00DA685B"/>
    <w:rsid w:val="00DA742B"/>
    <w:rsid w:val="00DF25C1"/>
    <w:rsid w:val="00DF48F7"/>
    <w:rsid w:val="00DF4964"/>
    <w:rsid w:val="00DF4D73"/>
    <w:rsid w:val="00DF79B0"/>
    <w:rsid w:val="00E016E0"/>
    <w:rsid w:val="00E1047D"/>
    <w:rsid w:val="00E1297A"/>
    <w:rsid w:val="00E14658"/>
    <w:rsid w:val="00E14BAB"/>
    <w:rsid w:val="00E34BBF"/>
    <w:rsid w:val="00E42D8C"/>
    <w:rsid w:val="00E443FA"/>
    <w:rsid w:val="00E47C03"/>
    <w:rsid w:val="00E54FCE"/>
    <w:rsid w:val="00E60DA1"/>
    <w:rsid w:val="00E74A5B"/>
    <w:rsid w:val="00E75C2D"/>
    <w:rsid w:val="00E93D35"/>
    <w:rsid w:val="00E953BA"/>
    <w:rsid w:val="00EA3361"/>
    <w:rsid w:val="00EA45DB"/>
    <w:rsid w:val="00EC58D1"/>
    <w:rsid w:val="00ED2CD9"/>
    <w:rsid w:val="00EE0309"/>
    <w:rsid w:val="00EF029E"/>
    <w:rsid w:val="00F053C8"/>
    <w:rsid w:val="00F07DA7"/>
    <w:rsid w:val="00F16D07"/>
    <w:rsid w:val="00F42451"/>
    <w:rsid w:val="00F564C1"/>
    <w:rsid w:val="00F7497E"/>
    <w:rsid w:val="00F77FA2"/>
    <w:rsid w:val="00F8357A"/>
    <w:rsid w:val="00F83B8E"/>
    <w:rsid w:val="00FA1B77"/>
    <w:rsid w:val="00FB4B65"/>
    <w:rsid w:val="00FB5741"/>
    <w:rsid w:val="00FB74B8"/>
    <w:rsid w:val="00FC0519"/>
    <w:rsid w:val="00FC1199"/>
    <w:rsid w:val="00FC49E0"/>
    <w:rsid w:val="00FE5B8D"/>
    <w:rsid w:val="00FE7DF6"/>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0E155F3"/>
  <w15:docId w15:val="{606AD410-0441-42F4-8349-46396206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aliases w:val="超级链接,Style 58,超?级链"/>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Table">
    <w:name w:val="Table_#"/>
    <w:basedOn w:val="Normal"/>
    <w:next w:val="Normal"/>
    <w:uiPriority w:val="99"/>
    <w:rsid w:val="00CF058C"/>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basedOn w:val="DefaultParagraphFont"/>
    <w:link w:val="FootnoteText"/>
    <w:rsid w:val="005A665B"/>
    <w:rPr>
      <w:rFonts w:ascii="Calibri" w:hAnsi="Calibri"/>
      <w:sz w:val="24"/>
      <w:lang w:val="fr-FR" w:eastAsia="en-US"/>
    </w:rPr>
  </w:style>
  <w:style w:type="paragraph" w:customStyle="1" w:styleId="Heain">
    <w:name w:val="Heain"/>
    <w:basedOn w:val="Normal"/>
    <w:rsid w:val="00976FBE"/>
    <w:rPr>
      <w:lang w:val="fr-CH"/>
    </w:rPr>
  </w:style>
  <w:style w:type="character" w:styleId="FollowedHyperlink">
    <w:name w:val="FollowedHyperlink"/>
    <w:basedOn w:val="DefaultParagraphFont"/>
    <w:semiHidden/>
    <w:unhideWhenUsed/>
    <w:rsid w:val="00656733"/>
    <w:rPr>
      <w:color w:val="800080" w:themeColor="followedHyperlink"/>
      <w:u w:val="single"/>
    </w:rPr>
  </w:style>
  <w:style w:type="character" w:styleId="CommentReference">
    <w:name w:val="annotation reference"/>
    <w:basedOn w:val="DefaultParagraphFont"/>
    <w:semiHidden/>
    <w:unhideWhenUsed/>
    <w:rsid w:val="00892AC4"/>
    <w:rPr>
      <w:sz w:val="16"/>
      <w:szCs w:val="16"/>
    </w:rPr>
  </w:style>
  <w:style w:type="paragraph" w:styleId="CommentText">
    <w:name w:val="annotation text"/>
    <w:basedOn w:val="Normal"/>
    <w:link w:val="CommentTextChar"/>
    <w:semiHidden/>
    <w:unhideWhenUsed/>
    <w:rsid w:val="00892AC4"/>
    <w:rPr>
      <w:sz w:val="20"/>
    </w:rPr>
  </w:style>
  <w:style w:type="character" w:customStyle="1" w:styleId="CommentTextChar">
    <w:name w:val="Comment Text Char"/>
    <w:basedOn w:val="DefaultParagraphFont"/>
    <w:link w:val="CommentText"/>
    <w:semiHidden/>
    <w:rsid w:val="00892AC4"/>
    <w:rPr>
      <w:rFonts w:ascii="Calibri" w:hAnsi="Calibri"/>
      <w:lang w:val="fr-FR" w:eastAsia="en-US"/>
    </w:rPr>
  </w:style>
  <w:style w:type="paragraph" w:styleId="CommentSubject">
    <w:name w:val="annotation subject"/>
    <w:basedOn w:val="CommentText"/>
    <w:next w:val="CommentText"/>
    <w:link w:val="CommentSubjectChar"/>
    <w:semiHidden/>
    <w:unhideWhenUsed/>
    <w:rsid w:val="00892AC4"/>
    <w:rPr>
      <w:b/>
      <w:bCs/>
    </w:rPr>
  </w:style>
  <w:style w:type="character" w:customStyle="1" w:styleId="CommentSubjectChar">
    <w:name w:val="Comment Subject Char"/>
    <w:basedOn w:val="CommentTextChar"/>
    <w:link w:val="CommentSubject"/>
    <w:semiHidden/>
    <w:rsid w:val="00892AC4"/>
    <w:rPr>
      <w:rFonts w:ascii="Calibri" w:hAnsi="Calibri"/>
      <w:b/>
      <w:bCs/>
      <w:lang w:val="fr-FR" w:eastAsia="en-US"/>
    </w:rPr>
  </w:style>
  <w:style w:type="paragraph" w:styleId="Revision">
    <w:name w:val="Revision"/>
    <w:hidden/>
    <w:uiPriority w:val="99"/>
    <w:semiHidden/>
    <w:rsid w:val="00892AC4"/>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5861">
      <w:bodyDiv w:val="1"/>
      <w:marLeft w:val="0"/>
      <w:marRight w:val="0"/>
      <w:marTop w:val="0"/>
      <w:marBottom w:val="0"/>
      <w:divBdr>
        <w:top w:val="none" w:sz="0" w:space="0" w:color="auto"/>
        <w:left w:val="none" w:sz="0" w:space="0" w:color="auto"/>
        <w:bottom w:val="none" w:sz="0" w:space="0" w:color="auto"/>
        <w:right w:val="none" w:sz="0" w:space="0" w:color="auto"/>
      </w:divBdr>
      <w:divsChild>
        <w:div w:id="1506554810">
          <w:marLeft w:val="75"/>
          <w:marRight w:val="75"/>
          <w:marTop w:val="0"/>
          <w:marBottom w:val="75"/>
          <w:divBdr>
            <w:top w:val="none" w:sz="0" w:space="0" w:color="auto"/>
            <w:left w:val="none" w:sz="0" w:space="0" w:color="auto"/>
            <w:bottom w:val="none" w:sz="0" w:space="0" w:color="auto"/>
            <w:right w:val="none" w:sz="0" w:space="0" w:color="auto"/>
          </w:divBdr>
        </w:div>
      </w:divsChild>
    </w:div>
    <w:div w:id="604507926">
      <w:bodyDiv w:val="1"/>
      <w:marLeft w:val="0"/>
      <w:marRight w:val="0"/>
      <w:marTop w:val="0"/>
      <w:marBottom w:val="0"/>
      <w:divBdr>
        <w:top w:val="none" w:sz="0" w:space="0" w:color="auto"/>
        <w:left w:val="none" w:sz="0" w:space="0" w:color="auto"/>
        <w:bottom w:val="none" w:sz="0" w:space="0" w:color="auto"/>
        <w:right w:val="none" w:sz="0" w:space="0" w:color="auto"/>
      </w:divBdr>
      <w:divsChild>
        <w:div w:id="1017854063">
          <w:marLeft w:val="75"/>
          <w:marRight w:val="75"/>
          <w:marTop w:val="0"/>
          <w:marBottom w:val="75"/>
          <w:divBdr>
            <w:top w:val="none" w:sz="0" w:space="0" w:color="auto"/>
            <w:left w:val="none" w:sz="0" w:space="0" w:color="auto"/>
            <w:bottom w:val="none" w:sz="0" w:space="0" w:color="auto"/>
            <w:right w:val="none" w:sz="0" w:space="0" w:color="auto"/>
          </w:divBdr>
        </w:div>
      </w:divsChild>
    </w:div>
    <w:div w:id="981539357">
      <w:bodyDiv w:val="1"/>
      <w:marLeft w:val="0"/>
      <w:marRight w:val="0"/>
      <w:marTop w:val="0"/>
      <w:marBottom w:val="0"/>
      <w:divBdr>
        <w:top w:val="none" w:sz="0" w:space="0" w:color="auto"/>
        <w:left w:val="none" w:sz="0" w:space="0" w:color="auto"/>
        <w:bottom w:val="none" w:sz="0" w:space="0" w:color="auto"/>
        <w:right w:val="none" w:sz="0" w:space="0" w:color="auto"/>
      </w:divBdr>
      <w:divsChild>
        <w:div w:id="352388965">
          <w:marLeft w:val="75"/>
          <w:marRight w:val="75"/>
          <w:marTop w:val="0"/>
          <w:marBottom w:val="75"/>
          <w:divBdr>
            <w:top w:val="none" w:sz="0" w:space="0" w:color="auto"/>
            <w:left w:val="none" w:sz="0" w:space="0" w:color="auto"/>
            <w:bottom w:val="none" w:sz="0" w:space="0" w:color="auto"/>
            <w:right w:val="none" w:sz="0" w:space="0" w:color="auto"/>
          </w:divBdr>
        </w:div>
      </w:divsChild>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1-CL-C-0121/en" TargetMode="External"/><Relationship Id="rId18" Type="http://schemas.openxmlformats.org/officeDocument/2006/relationships/hyperlink" Target="http://www.itu.int/md/S13-CL-C-0015/en" TargetMode="External"/><Relationship Id="rId26" Type="http://schemas.openxmlformats.org/officeDocument/2006/relationships/hyperlink" Target="http://www.itu.int/md/S14-CL-INF-0012/en" TargetMode="External"/><Relationship Id="rId39" Type="http://schemas.openxmlformats.org/officeDocument/2006/relationships/hyperlink" Target="https://www.itu.int/md/S16-CL-C-0082/en" TargetMode="External"/><Relationship Id="rId21" Type="http://schemas.openxmlformats.org/officeDocument/2006/relationships/hyperlink" Target="http://www.itu.int/md/S13-CL-C-0107/en" TargetMode="External"/><Relationship Id="rId34" Type="http://schemas.openxmlformats.org/officeDocument/2006/relationships/hyperlink" Target="https://www.itu.int/md/S14-PP-C-0161/en" TargetMode="External"/><Relationship Id="rId42" Type="http://schemas.openxmlformats.org/officeDocument/2006/relationships/hyperlink" Target="http://www.itu.int/md/S16-CL-C-0120/en" TargetMode="External"/><Relationship Id="rId47" Type="http://schemas.openxmlformats.org/officeDocument/2006/relationships/hyperlink" Target="http://www.itu.int/en/ITU-R/space/spaceAssetsProtocol/potocolSpaceAssets09032012-EN.pdf" TargetMode="External"/><Relationship Id="rId50" Type="http://schemas.openxmlformats.org/officeDocument/2006/relationships/hyperlink" Target="https://www.itu.int/en/ITU-R/space/spaceAssets/Forms/spaceAssetsWebView.aspx" TargetMode="External"/><Relationship Id="rId55" Type="http://schemas.openxmlformats.org/officeDocument/2006/relationships/hyperlink" Target="http://www.itu.int/en/ITU-R/space/spaceAssetsProtocol/potocolSpaceAssets09032012-EN.pdf" TargetMode="External"/><Relationship Id="rId63" Type="http://schemas.openxmlformats.org/officeDocument/2006/relationships/hyperlink" Target="http://www.itu.int/md/S14-CL-C-0013/en" TargetMode="External"/><Relationship Id="rId68" Type="http://schemas.openxmlformats.org/officeDocument/2006/relationships/hyperlink" Target="http://www.itu.int/md/S14-CL-C-0094/en"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extranet.itu.int/ITU-R/space-assets" TargetMode="External"/><Relationship Id="rId2" Type="http://schemas.openxmlformats.org/officeDocument/2006/relationships/numbering" Target="numbering.xml"/><Relationship Id="rId16" Type="http://schemas.openxmlformats.org/officeDocument/2006/relationships/hyperlink" Target="http://www.itu.int/md/S12-CL-C-0077/en" TargetMode="External"/><Relationship Id="rId29" Type="http://schemas.openxmlformats.org/officeDocument/2006/relationships/hyperlink" Target="http://www.itu.int/md/S14-CL-C-0071/en" TargetMode="External"/><Relationship Id="rId11" Type="http://schemas.openxmlformats.org/officeDocument/2006/relationships/hyperlink" Target="http://www.itu.int/md/S11-CL-C-0100/en" TargetMode="External"/><Relationship Id="rId24" Type="http://schemas.openxmlformats.org/officeDocument/2006/relationships/hyperlink" Target="https://www.itu.int/md/S13-CL-C-0121/en" TargetMode="External"/><Relationship Id="rId32" Type="http://schemas.openxmlformats.org/officeDocument/2006/relationships/hyperlink" Target="http://www.itu.int/md/S14-PP-C-0062/en" TargetMode="External"/><Relationship Id="rId37" Type="http://schemas.openxmlformats.org/officeDocument/2006/relationships/hyperlink" Target="http://www.itu.int/md/S15-CL-C-0123/en" TargetMode="External"/><Relationship Id="rId40" Type="http://schemas.openxmlformats.org/officeDocument/2006/relationships/hyperlink" Target="https://www.itu.int/md/S16-CL-C-0118/en" TargetMode="External"/><Relationship Id="rId45" Type="http://schemas.openxmlformats.org/officeDocument/2006/relationships/hyperlink" Target="https://www.itu.int/md/S17-CL-C-0111/en" TargetMode="External"/><Relationship Id="rId53" Type="http://schemas.openxmlformats.org/officeDocument/2006/relationships/hyperlink" Target="https://www.itu.int/md/S17-CL-C-0036/en" TargetMode="External"/><Relationship Id="rId58" Type="http://schemas.openxmlformats.org/officeDocument/2006/relationships/hyperlink" Target="http://www.itu.int/en/ITU-R/space/spaceAssets/DCME-SP-Doc43-resolution1-EN.pdf" TargetMode="External"/><Relationship Id="rId66" Type="http://schemas.openxmlformats.org/officeDocument/2006/relationships/hyperlink" Target="http://www.itu.int/md/S14-CL-C-0051/en" TargetMode="External"/><Relationship Id="rId74" Type="http://schemas.openxmlformats.org/officeDocument/2006/relationships/hyperlink" Target="https://www.unidroit.org/fr/instruments/garanties-internationales/protocole-aeronautique"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itu.int/md/S13-CL-C-0055/en" TargetMode="External"/><Relationship Id="rId10" Type="http://schemas.openxmlformats.org/officeDocument/2006/relationships/hyperlink" Target="http://www.itu.int/md/S11-CL-C-0092/en" TargetMode="External"/><Relationship Id="rId19" Type="http://schemas.openxmlformats.org/officeDocument/2006/relationships/hyperlink" Target="http://www.itu.int/md/S13-CL-C-0055/en" TargetMode="External"/><Relationship Id="rId31" Type="http://schemas.openxmlformats.org/officeDocument/2006/relationships/hyperlink" Target="http://www.itu.int/md/S14-CL-C-0096/en" TargetMode="External"/><Relationship Id="rId44" Type="http://schemas.openxmlformats.org/officeDocument/2006/relationships/hyperlink" Target="https://www.itu.int/md/S17-CL-C-0094/en" TargetMode="External"/><Relationship Id="rId52" Type="http://schemas.openxmlformats.org/officeDocument/2006/relationships/hyperlink" Target="https://www.itu.int/md/S17-CL-C-0036/en" TargetMode="External"/><Relationship Id="rId60" Type="http://schemas.openxmlformats.org/officeDocument/2006/relationships/hyperlink" Target="http://www.itu.int/md/S12-CL-C-0036/en" TargetMode="External"/><Relationship Id="rId65" Type="http://schemas.openxmlformats.org/officeDocument/2006/relationships/hyperlink" Target="http://www.itu.int/md/S14-CL-C-0071/en" TargetMode="External"/><Relationship Id="rId73" Type="http://schemas.openxmlformats.org/officeDocument/2006/relationships/hyperlink" Target="https://www.unidroit.org/fr/instruments/garanties-internationales/convention-du-cap"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S11-CL-C-0026/en" TargetMode="External"/><Relationship Id="rId14" Type="http://schemas.openxmlformats.org/officeDocument/2006/relationships/hyperlink" Target="http://www.itu.int/md/S12-CL-C-0036/en" TargetMode="External"/><Relationship Id="rId22" Type="http://schemas.openxmlformats.org/officeDocument/2006/relationships/hyperlink" Target="https://www.itu.int/md/S13-CL-C-0119/en" TargetMode="External"/><Relationship Id="rId27" Type="http://schemas.openxmlformats.org/officeDocument/2006/relationships/hyperlink" Target="http://www.itu.int/md/S14-CL-C-0051/en" TargetMode="External"/><Relationship Id="rId30" Type="http://schemas.openxmlformats.org/officeDocument/2006/relationships/hyperlink" Target="http://www.itu.int/md/S14-CL-C-0094/en" TargetMode="External"/><Relationship Id="rId35" Type="http://schemas.openxmlformats.org/officeDocument/2006/relationships/hyperlink" Target="https://www.itu.int/md/S14-PP-C-0175/en" TargetMode="External"/><Relationship Id="rId43" Type="http://schemas.openxmlformats.org/officeDocument/2006/relationships/hyperlink" Target="https://www.itu.int/md/S17-CL-C-0036/en" TargetMode="External"/><Relationship Id="rId48" Type="http://schemas.openxmlformats.org/officeDocument/2006/relationships/hyperlink" Target="https://www.unidroit.org/fr/instruments/garanties-internationales/convention-du-cap" TargetMode="External"/><Relationship Id="rId56" Type="http://schemas.openxmlformats.org/officeDocument/2006/relationships/hyperlink" Target="http://www.itu.int/council/C2011/link/026f_protocol.pdf" TargetMode="External"/><Relationship Id="rId64" Type="http://schemas.openxmlformats.org/officeDocument/2006/relationships/hyperlink" Target="http://www.itu.int/md/S14-CL-INF-0012/en" TargetMode="External"/><Relationship Id="rId69" Type="http://schemas.openxmlformats.org/officeDocument/2006/relationships/hyperlink" Target="http://www.itu.int/md/S14-CL-C-0096/en" TargetMode="External"/><Relationship Id="rId77"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itu.int/md/S17-CL-C-0128/en" TargetMode="External"/><Relationship Id="rId72" Type="http://schemas.openxmlformats.org/officeDocument/2006/relationships/hyperlink" Target="http://www.itu.int/en/ITU-R/space/spaceAssetsProtocol/potocolSpaceAssets09032012-EN.pdf" TargetMode="External"/><Relationship Id="rId3" Type="http://schemas.openxmlformats.org/officeDocument/2006/relationships/styles" Target="styles.xml"/><Relationship Id="rId12" Type="http://schemas.openxmlformats.org/officeDocument/2006/relationships/hyperlink" Target="http://www.itu.int/md/S11-CL-C-0120/en" TargetMode="External"/><Relationship Id="rId17" Type="http://schemas.openxmlformats.org/officeDocument/2006/relationships/hyperlink" Target="http://www.itu.int/md/S12-CL-C-0094/en" TargetMode="External"/><Relationship Id="rId25" Type="http://schemas.openxmlformats.org/officeDocument/2006/relationships/hyperlink" Target="http://www.itu.int/md/S14-CL-C-0013/en" TargetMode="External"/><Relationship Id="rId33" Type="http://schemas.openxmlformats.org/officeDocument/2006/relationships/hyperlink" Target="http://www.itu.int/md/S14-PP-INF-0001/en" TargetMode="External"/><Relationship Id="rId38" Type="http://schemas.openxmlformats.org/officeDocument/2006/relationships/hyperlink" Target="http://www.itu.int/md/S16-CL-C-0036/en" TargetMode="External"/><Relationship Id="rId46" Type="http://schemas.openxmlformats.org/officeDocument/2006/relationships/hyperlink" Target="https://www.itu.int/md/S17-CL-C-0128/en" TargetMode="External"/><Relationship Id="rId59" Type="http://schemas.openxmlformats.org/officeDocument/2006/relationships/hyperlink" Target="http://www.itu.int/en/ITU-R/space/spaceAssets/DCME-SP-Doc43-resolution2-EN.pdf" TargetMode="External"/><Relationship Id="rId67" Type="http://schemas.openxmlformats.org/officeDocument/2006/relationships/hyperlink" Target="http://www.itu.int/md/S14-CL-C-0065/en" TargetMode="External"/><Relationship Id="rId20" Type="http://schemas.openxmlformats.org/officeDocument/2006/relationships/hyperlink" Target="http://www.itu.int/md/S13-CL-C-0078/en" TargetMode="External"/><Relationship Id="rId41" Type="http://schemas.openxmlformats.org/officeDocument/2006/relationships/hyperlink" Target="https://www.itu.int/md/S16-CL-C-0119/en" TargetMode="External"/><Relationship Id="rId54" Type="http://schemas.openxmlformats.org/officeDocument/2006/relationships/hyperlink" Target="http://www.itu.int/md/S11-CL-C-0100/en" TargetMode="External"/><Relationship Id="rId62" Type="http://schemas.openxmlformats.org/officeDocument/2006/relationships/hyperlink" Target="http://www.itu.int/md/S13-CL-C-0107/en" TargetMode="External"/><Relationship Id="rId70" Type="http://schemas.openxmlformats.org/officeDocument/2006/relationships/hyperlink" Target="http://www.itu.int/md/S14-CL-C-0013/en"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S12-CL-C-0068/en" TargetMode="External"/><Relationship Id="rId23" Type="http://schemas.openxmlformats.org/officeDocument/2006/relationships/hyperlink" Target="https://www.itu.int/md/S13-CL-C-0120/en" TargetMode="External"/><Relationship Id="rId28" Type="http://schemas.openxmlformats.org/officeDocument/2006/relationships/hyperlink" Target="http://www.itu.int/md/S14-CL-C-0065/en" TargetMode="External"/><Relationship Id="rId36" Type="http://schemas.openxmlformats.org/officeDocument/2006/relationships/hyperlink" Target="http://www.itu.int/md/S15-CL-C-0026/en" TargetMode="External"/><Relationship Id="rId49" Type="http://schemas.openxmlformats.org/officeDocument/2006/relationships/hyperlink" Target="https://www.unidroit.org/fr/instruments/garanties-internationales/protocole-aeronautique" TargetMode="External"/><Relationship Id="rId57" Type="http://schemas.openxmlformats.org/officeDocument/2006/relationships/hyperlink" Target="http://www.itu.int/en/ITU-R/space/spaceAssets/DCME-SP-Doc43-finalAct-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3A856-F2A5-41DE-98FC-8706E1AD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PF_PP18.dotx</Template>
  <TotalTime>95</TotalTime>
  <Pages>19</Pages>
  <Words>8801</Words>
  <Characters>54258</Characters>
  <Application>Microsoft Office Word</Application>
  <DocSecurity>0</DocSecurity>
  <Lines>452</Lines>
  <Paragraphs>125</Paragraphs>
  <ScaleCrop>false</ScaleCrop>
  <HeadingPairs>
    <vt:vector size="2" baseType="variant">
      <vt:variant>
        <vt:lpstr>Title</vt:lpstr>
      </vt:variant>
      <vt:variant>
        <vt:i4>1</vt:i4>
      </vt:variant>
    </vt:vector>
  </HeadingPairs>
  <TitlesOfParts>
    <vt:vector size="1" baseType="lpstr">
      <vt:lpstr>UNIDROIT space protocol</vt:lpstr>
    </vt:vector>
  </TitlesOfParts>
  <Manager/>
  <Company/>
  <LinksUpToDate>false</LinksUpToDate>
  <CharactersWithSpaces>62934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UNIDROIT Protocole portant sur les biens spatiaux</dc:title>
  <dc:subject>Plenipotentiary Conference (PP-18)</dc:subject>
  <dc:creator>Gozel, Elsa</dc:creator>
  <cp:keywords>PP-18, Plenipotentiaire</cp:keywords>
  <dc:description/>
  <cp:lastModifiedBy>Mestrallet, Francoise</cp:lastModifiedBy>
  <cp:revision>31</cp:revision>
  <cp:lastPrinted>2018-09-25T06:50:00Z</cp:lastPrinted>
  <dcterms:created xsi:type="dcterms:W3CDTF">2018-09-25T05:45:00Z</dcterms:created>
  <dcterms:modified xsi:type="dcterms:W3CDTF">2018-09-25T11:52:00Z</dcterms:modified>
  <cp:category>Conference document</cp:category>
</cp:coreProperties>
</file>