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743DF" w:rsidTr="00682B62">
        <w:trPr>
          <w:cantSplit/>
        </w:trPr>
        <w:tc>
          <w:tcPr>
            <w:tcW w:w="6911" w:type="dxa"/>
          </w:tcPr>
          <w:p w:rsidR="00255FA1" w:rsidRPr="000743DF" w:rsidRDefault="00255FA1" w:rsidP="00590543">
            <w:pPr>
              <w:rPr>
                <w:b/>
                <w:bCs/>
                <w:szCs w:val="22"/>
              </w:rPr>
            </w:pPr>
            <w:bookmarkStart w:id="0" w:name="dbreak"/>
            <w:bookmarkStart w:id="1" w:name="dpp"/>
            <w:bookmarkEnd w:id="0"/>
            <w:bookmarkEnd w:id="1"/>
            <w:r w:rsidRPr="000743DF">
              <w:rPr>
                <w:rStyle w:val="PageNumber"/>
                <w:rFonts w:cs="Times"/>
                <w:b/>
                <w:sz w:val="30"/>
                <w:szCs w:val="30"/>
              </w:rPr>
              <w:t>Conferencia de Plenipotenciarios (PP-1</w:t>
            </w:r>
            <w:r w:rsidR="00C43474" w:rsidRPr="000743DF">
              <w:rPr>
                <w:rStyle w:val="PageNumber"/>
                <w:rFonts w:cs="Times"/>
                <w:b/>
                <w:sz w:val="30"/>
                <w:szCs w:val="30"/>
              </w:rPr>
              <w:t>8</w:t>
            </w:r>
            <w:r w:rsidRPr="000743DF">
              <w:rPr>
                <w:rStyle w:val="PageNumber"/>
                <w:rFonts w:cs="Times"/>
                <w:b/>
                <w:sz w:val="30"/>
                <w:szCs w:val="30"/>
              </w:rPr>
              <w:t>)</w:t>
            </w:r>
            <w:r w:rsidRPr="000743DF">
              <w:rPr>
                <w:rStyle w:val="PageNumber"/>
                <w:rFonts w:cs="Times"/>
                <w:sz w:val="26"/>
                <w:szCs w:val="26"/>
              </w:rPr>
              <w:br/>
            </w:r>
            <w:r w:rsidR="00C43474" w:rsidRPr="000743DF">
              <w:rPr>
                <w:rStyle w:val="PageNumber"/>
                <w:b/>
                <w:bCs/>
                <w:szCs w:val="24"/>
              </w:rPr>
              <w:t>Dub</w:t>
            </w:r>
            <w:r w:rsidR="006375E0" w:rsidRPr="000743DF">
              <w:rPr>
                <w:rStyle w:val="PageNumber"/>
                <w:b/>
                <w:bCs/>
                <w:szCs w:val="24"/>
              </w:rPr>
              <w:t>á</w:t>
            </w:r>
            <w:r w:rsidR="00C43474" w:rsidRPr="000743DF">
              <w:rPr>
                <w:rStyle w:val="PageNumber"/>
                <w:b/>
                <w:bCs/>
                <w:szCs w:val="24"/>
              </w:rPr>
              <w:t>i</w:t>
            </w:r>
            <w:r w:rsidRPr="000743DF">
              <w:rPr>
                <w:rStyle w:val="PageNumber"/>
                <w:b/>
                <w:bCs/>
                <w:szCs w:val="24"/>
              </w:rPr>
              <w:t>,</w:t>
            </w:r>
            <w:r w:rsidRPr="000743DF">
              <w:rPr>
                <w:rStyle w:val="PageNumber"/>
                <w:b/>
                <w:szCs w:val="24"/>
              </w:rPr>
              <w:t xml:space="preserve"> 2</w:t>
            </w:r>
            <w:r w:rsidR="00C43474" w:rsidRPr="000743DF">
              <w:rPr>
                <w:rStyle w:val="PageNumber"/>
                <w:b/>
                <w:szCs w:val="24"/>
              </w:rPr>
              <w:t>9</w:t>
            </w:r>
            <w:r w:rsidRPr="000743DF">
              <w:rPr>
                <w:rStyle w:val="PageNumber"/>
                <w:b/>
                <w:szCs w:val="24"/>
              </w:rPr>
              <w:t xml:space="preserve"> de octubre </w:t>
            </w:r>
            <w:r w:rsidR="00491A25" w:rsidRPr="000743DF">
              <w:rPr>
                <w:rStyle w:val="PageNumber"/>
                <w:b/>
                <w:szCs w:val="24"/>
              </w:rPr>
              <w:t>–</w:t>
            </w:r>
            <w:r w:rsidRPr="000743DF">
              <w:rPr>
                <w:rStyle w:val="PageNumber"/>
                <w:b/>
                <w:szCs w:val="24"/>
              </w:rPr>
              <w:t xml:space="preserve"> </w:t>
            </w:r>
            <w:r w:rsidR="00C43474" w:rsidRPr="000743DF">
              <w:rPr>
                <w:rStyle w:val="PageNumber"/>
                <w:b/>
                <w:szCs w:val="24"/>
              </w:rPr>
              <w:t>16</w:t>
            </w:r>
            <w:r w:rsidRPr="000743DF">
              <w:rPr>
                <w:rStyle w:val="PageNumber"/>
                <w:b/>
                <w:szCs w:val="24"/>
              </w:rPr>
              <w:t xml:space="preserve"> de noviembre de 201</w:t>
            </w:r>
            <w:r w:rsidR="00C43474" w:rsidRPr="000743DF">
              <w:rPr>
                <w:rStyle w:val="PageNumber"/>
                <w:b/>
                <w:szCs w:val="24"/>
              </w:rPr>
              <w:t>8</w:t>
            </w:r>
          </w:p>
        </w:tc>
        <w:tc>
          <w:tcPr>
            <w:tcW w:w="3120" w:type="dxa"/>
          </w:tcPr>
          <w:p w:rsidR="00255FA1" w:rsidRPr="000743DF" w:rsidRDefault="00255FA1" w:rsidP="00590543">
            <w:pPr>
              <w:spacing w:before="0"/>
              <w:rPr>
                <w:rFonts w:cstheme="minorHAnsi"/>
              </w:rPr>
            </w:pPr>
            <w:bookmarkStart w:id="2" w:name="ditulogo"/>
            <w:bookmarkEnd w:id="2"/>
            <w:r w:rsidRPr="000743DF">
              <w:rPr>
                <w:rFonts w:cstheme="minorHAnsi"/>
                <w:b/>
                <w:bCs/>
                <w:noProof/>
                <w:szCs w:val="24"/>
                <w:lang w:val="en-GB"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743DF" w:rsidTr="00682B62">
        <w:trPr>
          <w:cantSplit/>
        </w:trPr>
        <w:tc>
          <w:tcPr>
            <w:tcW w:w="6911" w:type="dxa"/>
            <w:tcBorders>
              <w:bottom w:val="single" w:sz="12" w:space="0" w:color="auto"/>
            </w:tcBorders>
          </w:tcPr>
          <w:p w:rsidR="00255FA1" w:rsidRPr="000743DF" w:rsidRDefault="00255FA1" w:rsidP="00590543">
            <w:pPr>
              <w:spacing w:before="0" w:after="48"/>
              <w:rPr>
                <w:rFonts w:cstheme="minorHAnsi"/>
                <w:b/>
                <w:smallCaps/>
                <w:szCs w:val="24"/>
              </w:rPr>
            </w:pPr>
            <w:bookmarkStart w:id="3" w:name="dhead"/>
          </w:p>
        </w:tc>
        <w:tc>
          <w:tcPr>
            <w:tcW w:w="3120" w:type="dxa"/>
            <w:tcBorders>
              <w:bottom w:val="single" w:sz="12" w:space="0" w:color="auto"/>
            </w:tcBorders>
          </w:tcPr>
          <w:p w:rsidR="00255FA1" w:rsidRPr="000743DF" w:rsidRDefault="00255FA1" w:rsidP="00590543">
            <w:pPr>
              <w:spacing w:before="0" w:after="48"/>
              <w:rPr>
                <w:rFonts w:cstheme="minorHAnsi"/>
                <w:b/>
                <w:smallCaps/>
                <w:szCs w:val="24"/>
              </w:rPr>
            </w:pPr>
          </w:p>
        </w:tc>
      </w:tr>
      <w:tr w:rsidR="00255FA1" w:rsidRPr="000743DF" w:rsidTr="00682B62">
        <w:trPr>
          <w:cantSplit/>
        </w:trPr>
        <w:tc>
          <w:tcPr>
            <w:tcW w:w="6911" w:type="dxa"/>
            <w:tcBorders>
              <w:top w:val="single" w:sz="12" w:space="0" w:color="auto"/>
            </w:tcBorders>
          </w:tcPr>
          <w:p w:rsidR="00255FA1" w:rsidRPr="000743DF" w:rsidRDefault="00255FA1" w:rsidP="00590543">
            <w:pPr>
              <w:spacing w:before="0"/>
              <w:rPr>
                <w:rFonts w:cstheme="minorHAnsi"/>
                <w:b/>
                <w:szCs w:val="24"/>
              </w:rPr>
            </w:pPr>
          </w:p>
        </w:tc>
        <w:tc>
          <w:tcPr>
            <w:tcW w:w="3120" w:type="dxa"/>
            <w:tcBorders>
              <w:top w:val="single" w:sz="12" w:space="0" w:color="auto"/>
            </w:tcBorders>
          </w:tcPr>
          <w:p w:rsidR="00255FA1" w:rsidRPr="000743DF" w:rsidRDefault="00255FA1" w:rsidP="00590543">
            <w:pPr>
              <w:spacing w:before="0"/>
              <w:rPr>
                <w:rFonts w:cstheme="minorHAnsi"/>
                <w:szCs w:val="24"/>
              </w:rPr>
            </w:pPr>
          </w:p>
        </w:tc>
      </w:tr>
      <w:tr w:rsidR="00255FA1" w:rsidRPr="000743DF" w:rsidTr="00682B62">
        <w:trPr>
          <w:cantSplit/>
        </w:trPr>
        <w:tc>
          <w:tcPr>
            <w:tcW w:w="6911" w:type="dxa"/>
          </w:tcPr>
          <w:p w:rsidR="00255FA1" w:rsidRPr="000743DF" w:rsidRDefault="00006EAE" w:rsidP="00590543">
            <w:pPr>
              <w:pStyle w:val="Committee"/>
              <w:framePr w:hSpace="0" w:wrap="auto" w:hAnchor="text" w:yAlign="inline"/>
              <w:spacing w:after="0" w:line="240" w:lineRule="auto"/>
              <w:rPr>
                <w:lang w:val="es-ES_tradnl"/>
              </w:rPr>
            </w:pPr>
            <w:r w:rsidRPr="000743DF">
              <w:rPr>
                <w:lang w:val="es-ES_tradnl"/>
              </w:rPr>
              <w:t>SESIÓN PLENARIA</w:t>
            </w:r>
          </w:p>
        </w:tc>
        <w:tc>
          <w:tcPr>
            <w:tcW w:w="3120" w:type="dxa"/>
          </w:tcPr>
          <w:p w:rsidR="00255FA1" w:rsidRPr="000743DF" w:rsidRDefault="00006EAE" w:rsidP="00590543">
            <w:pPr>
              <w:spacing w:before="0"/>
              <w:rPr>
                <w:rFonts w:cstheme="minorHAnsi"/>
                <w:szCs w:val="24"/>
              </w:rPr>
            </w:pPr>
            <w:r w:rsidRPr="000743DF">
              <w:rPr>
                <w:rFonts w:cstheme="minorHAnsi"/>
                <w:b/>
                <w:szCs w:val="24"/>
              </w:rPr>
              <w:t xml:space="preserve">Documento </w:t>
            </w:r>
            <w:r w:rsidR="001273D5" w:rsidRPr="000743DF">
              <w:rPr>
                <w:rFonts w:cstheme="minorHAnsi"/>
                <w:b/>
                <w:szCs w:val="24"/>
              </w:rPr>
              <w:t>52</w:t>
            </w:r>
            <w:r w:rsidRPr="000743DF">
              <w:rPr>
                <w:rFonts w:cstheme="minorHAnsi"/>
                <w:b/>
                <w:szCs w:val="24"/>
              </w:rPr>
              <w:t>-S</w:t>
            </w:r>
          </w:p>
        </w:tc>
      </w:tr>
      <w:tr w:rsidR="00255FA1" w:rsidRPr="000743DF" w:rsidTr="00682B62">
        <w:trPr>
          <w:cantSplit/>
        </w:trPr>
        <w:tc>
          <w:tcPr>
            <w:tcW w:w="6911" w:type="dxa"/>
          </w:tcPr>
          <w:p w:rsidR="00255FA1" w:rsidRPr="000743DF" w:rsidRDefault="00255FA1" w:rsidP="00590543">
            <w:pPr>
              <w:spacing w:before="0"/>
              <w:rPr>
                <w:rFonts w:cstheme="minorHAnsi"/>
                <w:b/>
                <w:szCs w:val="24"/>
              </w:rPr>
            </w:pPr>
          </w:p>
        </w:tc>
        <w:tc>
          <w:tcPr>
            <w:tcW w:w="3120" w:type="dxa"/>
          </w:tcPr>
          <w:p w:rsidR="00255FA1" w:rsidRPr="000743DF" w:rsidRDefault="001273D5" w:rsidP="00590543">
            <w:pPr>
              <w:spacing w:before="0"/>
              <w:rPr>
                <w:rFonts w:cstheme="minorHAnsi"/>
                <w:b/>
                <w:szCs w:val="24"/>
              </w:rPr>
            </w:pPr>
            <w:r w:rsidRPr="000743DF">
              <w:rPr>
                <w:rStyle w:val="PageNumber"/>
                <w:b/>
                <w:szCs w:val="24"/>
              </w:rPr>
              <w:t>5</w:t>
            </w:r>
            <w:r w:rsidR="00006EAE" w:rsidRPr="000743DF">
              <w:rPr>
                <w:rStyle w:val="PageNumber"/>
                <w:b/>
                <w:szCs w:val="24"/>
              </w:rPr>
              <w:t xml:space="preserve"> de </w:t>
            </w:r>
            <w:r w:rsidRPr="000743DF">
              <w:rPr>
                <w:rStyle w:val="PageNumber"/>
                <w:b/>
                <w:szCs w:val="24"/>
              </w:rPr>
              <w:t>octubre</w:t>
            </w:r>
            <w:r w:rsidR="00006EAE" w:rsidRPr="000743DF">
              <w:rPr>
                <w:rStyle w:val="PageNumber"/>
                <w:b/>
                <w:szCs w:val="24"/>
              </w:rPr>
              <w:t xml:space="preserve"> </w:t>
            </w:r>
            <w:r w:rsidR="00006EAE" w:rsidRPr="000743DF">
              <w:rPr>
                <w:rFonts w:cstheme="minorHAnsi"/>
                <w:b/>
                <w:szCs w:val="24"/>
              </w:rPr>
              <w:t>de 2018</w:t>
            </w:r>
          </w:p>
        </w:tc>
      </w:tr>
      <w:tr w:rsidR="00255FA1" w:rsidRPr="000743DF" w:rsidTr="00682B62">
        <w:trPr>
          <w:cantSplit/>
        </w:trPr>
        <w:tc>
          <w:tcPr>
            <w:tcW w:w="6911" w:type="dxa"/>
          </w:tcPr>
          <w:p w:rsidR="00255FA1" w:rsidRPr="000743DF" w:rsidRDefault="00255FA1" w:rsidP="00590543">
            <w:pPr>
              <w:spacing w:before="0"/>
              <w:rPr>
                <w:rFonts w:cstheme="minorHAnsi"/>
                <w:b/>
                <w:smallCaps/>
                <w:szCs w:val="24"/>
              </w:rPr>
            </w:pPr>
          </w:p>
        </w:tc>
        <w:tc>
          <w:tcPr>
            <w:tcW w:w="3120" w:type="dxa"/>
          </w:tcPr>
          <w:p w:rsidR="00255FA1" w:rsidRPr="000743DF" w:rsidRDefault="00006EAE" w:rsidP="00590543">
            <w:pPr>
              <w:spacing w:before="0"/>
              <w:rPr>
                <w:rFonts w:cstheme="minorHAnsi"/>
                <w:b/>
                <w:szCs w:val="24"/>
              </w:rPr>
            </w:pPr>
            <w:r w:rsidRPr="000743DF">
              <w:rPr>
                <w:rFonts w:cstheme="minorHAnsi"/>
                <w:b/>
                <w:szCs w:val="24"/>
              </w:rPr>
              <w:t>Original: inglés</w:t>
            </w:r>
          </w:p>
        </w:tc>
      </w:tr>
      <w:tr w:rsidR="00255FA1" w:rsidRPr="000743DF" w:rsidTr="00682B62">
        <w:trPr>
          <w:cantSplit/>
        </w:trPr>
        <w:tc>
          <w:tcPr>
            <w:tcW w:w="10031" w:type="dxa"/>
            <w:gridSpan w:val="2"/>
          </w:tcPr>
          <w:p w:rsidR="00255FA1" w:rsidRPr="000743DF" w:rsidRDefault="00255FA1" w:rsidP="00590543">
            <w:pPr>
              <w:spacing w:before="0"/>
              <w:rPr>
                <w:rFonts w:cstheme="minorHAnsi"/>
                <w:b/>
                <w:szCs w:val="24"/>
              </w:rPr>
            </w:pPr>
          </w:p>
        </w:tc>
      </w:tr>
      <w:tr w:rsidR="00255FA1" w:rsidRPr="000743DF" w:rsidTr="00682B62">
        <w:trPr>
          <w:cantSplit/>
        </w:trPr>
        <w:tc>
          <w:tcPr>
            <w:tcW w:w="10031" w:type="dxa"/>
            <w:gridSpan w:val="2"/>
          </w:tcPr>
          <w:p w:rsidR="00255FA1" w:rsidRPr="000743DF" w:rsidRDefault="001273D5" w:rsidP="00590543">
            <w:pPr>
              <w:pStyle w:val="Source"/>
            </w:pPr>
            <w:bookmarkStart w:id="4" w:name="dsource" w:colFirst="0" w:colLast="0"/>
            <w:bookmarkEnd w:id="3"/>
            <w:r w:rsidRPr="000743DF">
              <w:t>Informe del Secretario General</w:t>
            </w:r>
          </w:p>
        </w:tc>
      </w:tr>
      <w:tr w:rsidR="00255FA1" w:rsidRPr="000743DF" w:rsidTr="00682B62">
        <w:trPr>
          <w:cantSplit/>
        </w:trPr>
        <w:tc>
          <w:tcPr>
            <w:tcW w:w="10031" w:type="dxa"/>
            <w:gridSpan w:val="2"/>
          </w:tcPr>
          <w:p w:rsidR="00255FA1" w:rsidRPr="000743DF" w:rsidRDefault="00E81D17" w:rsidP="00590543">
            <w:pPr>
              <w:pStyle w:val="Title1"/>
            </w:pPr>
            <w:bookmarkStart w:id="5" w:name="dtitle1" w:colFirst="0" w:colLast="0"/>
            <w:bookmarkStart w:id="6" w:name="_GoBack"/>
            <w:bookmarkEnd w:id="4"/>
            <w:r w:rsidRPr="000743DF">
              <w:t>INFORME DE SITUACIÓN: IMPLEMENTACIÓN DE UN PROYECTO PILOTO DE PYME</w:t>
            </w:r>
            <w:r w:rsidR="003231A3" w:rsidRPr="000743DF">
              <w:t xml:space="preserve"> </w:t>
            </w:r>
            <w:r w:rsidRPr="000743DF">
              <w:br/>
            </w:r>
            <w:r w:rsidR="00F0267C" w:rsidRPr="000743DF">
              <w:t>Y PARTICIPACIÓN ACTUAL DE LAS PYME EN LA uIT</w:t>
            </w:r>
            <w:bookmarkEnd w:id="6"/>
          </w:p>
        </w:tc>
      </w:tr>
      <w:bookmarkEnd w:id="5"/>
    </w:tbl>
    <w:p w:rsidR="006B1025" w:rsidRPr="000743DF" w:rsidRDefault="006B1025" w:rsidP="00590543"/>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B1025" w:rsidRPr="000743DF" w:rsidTr="00E92A17">
        <w:trPr>
          <w:trHeight w:val="3372"/>
        </w:trPr>
        <w:tc>
          <w:tcPr>
            <w:tcW w:w="8080" w:type="dxa"/>
            <w:tcBorders>
              <w:top w:val="single" w:sz="12" w:space="0" w:color="auto"/>
              <w:left w:val="single" w:sz="12" w:space="0" w:color="auto"/>
              <w:bottom w:val="single" w:sz="12" w:space="0" w:color="auto"/>
              <w:right w:val="single" w:sz="12" w:space="0" w:color="auto"/>
            </w:tcBorders>
          </w:tcPr>
          <w:p w:rsidR="006B1025" w:rsidRPr="000743DF" w:rsidRDefault="006B1025" w:rsidP="00590543">
            <w:pPr>
              <w:pStyle w:val="Headingb"/>
            </w:pPr>
            <w:r w:rsidRPr="000743DF">
              <w:t>Resumen</w:t>
            </w:r>
          </w:p>
          <w:p w:rsidR="006B1025" w:rsidRPr="000743DF" w:rsidRDefault="006B1025" w:rsidP="00590543">
            <w:r w:rsidRPr="000743DF">
              <w:t>El Consejo 2017 decidió poner en marcha un proyecto piloto de participación de PYME en las Comisiones de Estudio del UIT-T y del UIT-D interesadas. Las Comisiones de Estudio 5, 11, 16 y 20 del UIT-T han decidido participar en este proyecto, así como las dos Comisiones de Estudio del UIT-D. El Consejo encargó a la Secretaría que presentara un informe de situación al Consejo 2018, y un informe más completo sobre los resultados a la PP-18.</w:t>
            </w:r>
          </w:p>
          <w:p w:rsidR="006B1025" w:rsidRPr="000743DF" w:rsidRDefault="006B1025" w:rsidP="00590543">
            <w:pPr>
              <w:pStyle w:val="Headingb"/>
            </w:pPr>
            <w:r w:rsidRPr="000743DF">
              <w:t>Acción solicitada</w:t>
            </w:r>
          </w:p>
          <w:p w:rsidR="006B1025" w:rsidRPr="000743DF" w:rsidRDefault="006B1025" w:rsidP="004B492D">
            <w:r w:rsidRPr="000743DF">
              <w:t>Se invita a</w:t>
            </w:r>
            <w:r w:rsidR="002F3CC4" w:rsidRPr="000743DF">
              <w:t xml:space="preserve"> </w:t>
            </w:r>
            <w:r w:rsidRPr="000743DF">
              <w:t>l</w:t>
            </w:r>
            <w:r w:rsidR="002F3CC4" w:rsidRPr="000743DF">
              <w:t>a</w:t>
            </w:r>
            <w:r w:rsidRPr="000743DF">
              <w:t xml:space="preserve"> C</w:t>
            </w:r>
            <w:r w:rsidR="002F3CC4" w:rsidRPr="000743DF">
              <w:t>onferencia de Plenipotenciarios</w:t>
            </w:r>
            <w:r w:rsidRPr="000743DF">
              <w:t xml:space="preserve"> a </w:t>
            </w:r>
            <w:r w:rsidRPr="000743DF">
              <w:rPr>
                <w:b/>
              </w:rPr>
              <w:t>tomar nota</w:t>
            </w:r>
            <w:r w:rsidRPr="000743DF">
              <w:t xml:space="preserve"> de la </w:t>
            </w:r>
            <w:r w:rsidR="00F0267C" w:rsidRPr="000743DF">
              <w:t>evolución de la ejecución</w:t>
            </w:r>
            <w:r w:rsidRPr="000743DF">
              <w:t xml:space="preserve"> de este proyecto</w:t>
            </w:r>
            <w:r w:rsidR="002F3CC4" w:rsidRPr="000743DF">
              <w:t xml:space="preserve"> </w:t>
            </w:r>
            <w:r w:rsidR="004B492D" w:rsidRPr="000743DF">
              <w:t>y</w:t>
            </w:r>
            <w:r w:rsidR="002F3CC4" w:rsidRPr="000743DF">
              <w:t xml:space="preserve"> </w:t>
            </w:r>
            <w:r w:rsidR="00F0267C" w:rsidRPr="000743DF">
              <w:t xml:space="preserve">a </w:t>
            </w:r>
            <w:r w:rsidR="002F3CC4" w:rsidRPr="000743DF">
              <w:rPr>
                <w:b/>
                <w:bCs/>
              </w:rPr>
              <w:t>decid</w:t>
            </w:r>
            <w:r w:rsidR="00F0267C" w:rsidRPr="000743DF">
              <w:rPr>
                <w:b/>
                <w:bCs/>
              </w:rPr>
              <w:t>ir</w:t>
            </w:r>
            <w:r w:rsidR="002F3CC4" w:rsidRPr="000743DF">
              <w:t xml:space="preserve"> </w:t>
            </w:r>
            <w:r w:rsidR="00F0267C" w:rsidRPr="000743DF">
              <w:t>las medidas que se han de tomar en adelante, habida cuenta de las opciones presentadas por el Secretario General</w:t>
            </w:r>
            <w:r w:rsidR="002F3CC4" w:rsidRPr="000743DF">
              <w:rPr>
                <w:rFonts w:cstheme="minorHAnsi"/>
              </w:rPr>
              <w:t>.</w:t>
            </w:r>
          </w:p>
          <w:p w:rsidR="006B1025" w:rsidRPr="000743DF" w:rsidRDefault="006B1025" w:rsidP="00590543">
            <w:pPr>
              <w:pStyle w:val="Table"/>
              <w:keepNext w:val="0"/>
              <w:spacing w:before="0" w:after="0"/>
              <w:rPr>
                <w:caps w:val="0"/>
                <w:sz w:val="22"/>
                <w:lang w:val="es-ES_tradnl"/>
              </w:rPr>
            </w:pPr>
            <w:r w:rsidRPr="000743DF">
              <w:rPr>
                <w:caps w:val="0"/>
                <w:sz w:val="22"/>
                <w:lang w:val="es-ES_tradnl"/>
              </w:rPr>
              <w:t>____________</w:t>
            </w:r>
          </w:p>
          <w:p w:rsidR="006B1025" w:rsidRPr="000743DF" w:rsidRDefault="003231A3" w:rsidP="00590543">
            <w:pPr>
              <w:pStyle w:val="Headingb"/>
            </w:pPr>
            <w:r w:rsidRPr="000743DF">
              <w:t>Referencias</w:t>
            </w:r>
          </w:p>
          <w:p w:rsidR="003231A3" w:rsidRPr="000743DF" w:rsidRDefault="00B14D27" w:rsidP="00590543">
            <w:hyperlink r:id="rId8" w:history="1">
              <w:r w:rsidR="00420AC0" w:rsidRPr="000743DF">
                <w:rPr>
                  <w:rStyle w:val="Hyperlink"/>
                  <w:i/>
                  <w:iCs/>
                </w:rPr>
                <w:t>Informe del</w:t>
              </w:r>
              <w:r w:rsidR="003231A3" w:rsidRPr="000743DF">
                <w:rPr>
                  <w:rStyle w:val="Hyperlink"/>
                  <w:i/>
                  <w:iCs/>
                </w:rPr>
                <w:t xml:space="preserve"> </w:t>
              </w:r>
              <w:r w:rsidR="00420AC0" w:rsidRPr="000743DF">
                <w:rPr>
                  <w:rStyle w:val="Hyperlink"/>
                  <w:i/>
                  <w:iCs/>
                </w:rPr>
                <w:t>GTC-RHF</w:t>
              </w:r>
              <w:r w:rsidR="003231A3" w:rsidRPr="000743DF">
                <w:rPr>
                  <w:rStyle w:val="Hyperlink"/>
                  <w:i/>
                  <w:iCs/>
                </w:rPr>
                <w:t xml:space="preserve"> </w:t>
              </w:r>
              <w:r w:rsidR="00420AC0" w:rsidRPr="000743DF">
                <w:rPr>
                  <w:rStyle w:val="Hyperlink"/>
                  <w:i/>
                  <w:iCs/>
                </w:rPr>
                <w:t>al</w:t>
              </w:r>
              <w:r w:rsidR="003231A3" w:rsidRPr="000743DF">
                <w:rPr>
                  <w:rStyle w:val="Hyperlink"/>
                  <w:i/>
                  <w:iCs/>
                </w:rPr>
                <w:t xml:space="preserve"> </w:t>
              </w:r>
              <w:r w:rsidR="00420AC0" w:rsidRPr="000743DF">
                <w:rPr>
                  <w:rStyle w:val="Hyperlink"/>
                  <w:i/>
                  <w:iCs/>
                </w:rPr>
                <w:t>Consejo</w:t>
              </w:r>
              <w:r w:rsidR="003231A3" w:rsidRPr="000743DF">
                <w:rPr>
                  <w:rStyle w:val="Hyperlink"/>
                  <w:i/>
                  <w:iCs/>
                </w:rPr>
                <w:t>-17</w:t>
              </w:r>
            </w:hyperlink>
            <w:r w:rsidR="00420AC0" w:rsidRPr="000743DF">
              <w:rPr>
                <w:i/>
                <w:iCs/>
              </w:rPr>
              <w:t xml:space="preserve"> (An</w:t>
            </w:r>
            <w:r w:rsidR="003231A3" w:rsidRPr="000743DF">
              <w:rPr>
                <w:i/>
                <w:iCs/>
              </w:rPr>
              <w:t>ex</w:t>
            </w:r>
            <w:r w:rsidR="00420AC0" w:rsidRPr="000743DF">
              <w:rPr>
                <w:i/>
                <w:iCs/>
              </w:rPr>
              <w:t>o</w:t>
            </w:r>
            <w:r w:rsidR="003231A3" w:rsidRPr="000743DF">
              <w:rPr>
                <w:i/>
                <w:iCs/>
              </w:rPr>
              <w:t xml:space="preserve"> K)</w:t>
            </w:r>
          </w:p>
        </w:tc>
      </w:tr>
    </w:tbl>
    <w:p w:rsidR="006B1025" w:rsidRPr="000743DF" w:rsidRDefault="006B1025" w:rsidP="00590543">
      <w:pPr>
        <w:pStyle w:val="Heading1"/>
      </w:pPr>
      <w:r w:rsidRPr="000743DF">
        <w:t>1</w:t>
      </w:r>
      <w:r w:rsidRPr="000743DF">
        <w:tab/>
        <w:t>Antecedentes</w:t>
      </w:r>
    </w:p>
    <w:p w:rsidR="00473A17" w:rsidRPr="000743DF" w:rsidRDefault="00473A17" w:rsidP="00590543">
      <w:pPr>
        <w:rPr>
          <w:rFonts w:asciiTheme="minorHAnsi" w:hAnsiTheme="minorHAnsi"/>
          <w:b/>
          <w:szCs w:val="24"/>
        </w:rPr>
      </w:pPr>
      <w:r w:rsidRPr="000743DF">
        <w:t>1.1</w:t>
      </w:r>
      <w:r w:rsidRPr="000743DF">
        <w:tab/>
        <w:t>El Consejo 2017 decidió poner en marcha un proyecto piloto de participación de PYME en las Comisiones de Estudio interesadas del UIT-T y el UIT-D</w:t>
      </w:r>
      <w:r w:rsidR="00F0267C" w:rsidRPr="000743DF">
        <w:t xml:space="preserve"> para</w:t>
      </w:r>
      <w:r w:rsidRPr="000743DF">
        <w:t xml:space="preserve"> que las PYME pued</w:t>
      </w:r>
      <w:r w:rsidR="00F0267C" w:rsidRPr="000743DF">
        <w:t>a</w:t>
      </w:r>
      <w:r w:rsidRPr="000743DF">
        <w:t xml:space="preserve">n participar plenamente en las reuniones de las Comisiones de Estudio participantes, pero sin ningún papel en la toma de decisiones, incluidos los cargos de dirección y la adopción de </w:t>
      </w:r>
      <w:r w:rsidR="00F0267C" w:rsidRPr="000743DF">
        <w:t>R</w:t>
      </w:r>
      <w:r w:rsidRPr="000743DF">
        <w:t xml:space="preserve">esoluciones o </w:t>
      </w:r>
      <w:r w:rsidR="00F0267C" w:rsidRPr="000743DF">
        <w:t>R</w:t>
      </w:r>
      <w:r w:rsidRPr="000743DF">
        <w:t xml:space="preserve">ecomendaciones. </w:t>
      </w:r>
      <w:r w:rsidR="00BA4A5F" w:rsidRPr="000743DF">
        <w:t>El mandato completo del proyecto piloto puede consultarse</w:t>
      </w:r>
      <w:r w:rsidRPr="000743DF">
        <w:t xml:space="preserve"> </w:t>
      </w:r>
      <w:hyperlink r:id="rId9" w:history="1">
        <w:r w:rsidR="00BA4A5F" w:rsidRPr="000743DF">
          <w:rPr>
            <w:rStyle w:val="Hyperlink"/>
          </w:rPr>
          <w:t>aquí</w:t>
        </w:r>
      </w:hyperlink>
      <w:r w:rsidRPr="000743DF">
        <w:rPr>
          <w:rStyle w:val="FootnoteReference"/>
        </w:rPr>
        <w:footnoteReference w:id="1"/>
      </w:r>
      <w:r w:rsidRPr="000743DF">
        <w:t>.</w:t>
      </w:r>
    </w:p>
    <w:p w:rsidR="00473A17" w:rsidRPr="000743DF" w:rsidRDefault="00473A17" w:rsidP="00590543">
      <w:r w:rsidRPr="000743DF">
        <w:t>1.2</w:t>
      </w:r>
      <w:r w:rsidRPr="000743DF">
        <w:tab/>
        <w:t>Para poder participar, las PYME deben recibir la aprobación de las administraciones correspondientes de su Gobierno con arreglo a las definiciones nacionales de las PYME.</w:t>
      </w:r>
    </w:p>
    <w:p w:rsidR="00473A17" w:rsidRPr="000743DF" w:rsidRDefault="00473A17" w:rsidP="00590543">
      <w:r w:rsidRPr="000743DF">
        <w:lastRenderedPageBreak/>
        <w:t>1.3</w:t>
      </w:r>
      <w:r w:rsidRPr="000743DF">
        <w:tab/>
        <w:t>El proyecto piloto será promovido por las Oficinas, las organizaciones regionales, las administraciones y las Oficinas Regionales y Zona</w:t>
      </w:r>
      <w:r w:rsidR="00BA4A5F" w:rsidRPr="000743DF">
        <w:t>les</w:t>
      </w:r>
      <w:r w:rsidRPr="000743DF">
        <w:t xml:space="preserve"> de la UIT a través del contacto c</w:t>
      </w:r>
      <w:r w:rsidR="005345CE" w:rsidRPr="000743DF">
        <w:t>on PYME y asociaciones de PYME.</w:t>
      </w:r>
    </w:p>
    <w:p w:rsidR="00473A17" w:rsidRPr="000743DF" w:rsidRDefault="00473A17" w:rsidP="00590543">
      <w:r w:rsidRPr="000743DF">
        <w:t>1.4</w:t>
      </w:r>
      <w:r w:rsidRPr="000743DF">
        <w:tab/>
        <w:t>El Consejo</w:t>
      </w:r>
      <w:r w:rsidR="005345CE" w:rsidRPr="000743DF">
        <w:t xml:space="preserve"> 2017</w:t>
      </w:r>
      <w:r w:rsidRPr="000743DF">
        <w:t xml:space="preserve"> encargó a la Secretaría que presentara un </w:t>
      </w:r>
      <w:r w:rsidR="005345CE" w:rsidRPr="000743DF">
        <w:t>informe de situación al Consejo </w:t>
      </w:r>
      <w:r w:rsidRPr="000743DF">
        <w:t>2018, y un informe más completo sobre los resultados a la PP-18.</w:t>
      </w:r>
    </w:p>
    <w:p w:rsidR="00473A17" w:rsidRPr="000743DF" w:rsidRDefault="00473A17" w:rsidP="00914BFC">
      <w:pPr>
        <w:pStyle w:val="Heading1"/>
      </w:pPr>
      <w:r w:rsidRPr="000743DF">
        <w:t>2</w:t>
      </w:r>
      <w:r w:rsidRPr="000743DF">
        <w:tab/>
        <w:t>Situación actual</w:t>
      </w:r>
      <w:r w:rsidR="00D4538F" w:rsidRPr="000743DF">
        <w:t xml:space="preserve"> </w:t>
      </w:r>
      <w:r w:rsidR="00BA4A5F" w:rsidRPr="000743DF">
        <w:t>de la ejecución del proyecto piloto</w:t>
      </w:r>
    </w:p>
    <w:p w:rsidR="00F81173" w:rsidRPr="000743DF" w:rsidRDefault="00F81173" w:rsidP="004B12BD">
      <w:r w:rsidRPr="000743DF">
        <w:t>2.1</w:t>
      </w:r>
      <w:r w:rsidRPr="000743DF">
        <w:tab/>
      </w:r>
      <w:r w:rsidR="00BA4A5F" w:rsidRPr="000743DF">
        <w:t>En el UIT-T participan en el proyecto piloto las siguientes Comisiones de Estudio</w:t>
      </w:r>
      <w:r w:rsidRPr="000743DF">
        <w:t>:</w:t>
      </w:r>
    </w:p>
    <w:p w:rsidR="00F81173" w:rsidRPr="000743DF" w:rsidRDefault="00F81173" w:rsidP="00590543">
      <w:pPr>
        <w:pStyle w:val="enumlev1"/>
      </w:pPr>
      <w:r w:rsidRPr="000743DF">
        <w:t>•</w:t>
      </w:r>
      <w:r w:rsidRPr="000743DF">
        <w:tab/>
      </w:r>
      <w:hyperlink r:id="rId10" w:history="1">
        <w:r w:rsidRPr="000743DF">
          <w:rPr>
            <w:rStyle w:val="Hyperlink"/>
          </w:rPr>
          <w:t>Comisión de Estudio 5 – Medio ambiente y economía circular</w:t>
        </w:r>
      </w:hyperlink>
    </w:p>
    <w:p w:rsidR="00F81173" w:rsidRPr="000743DF" w:rsidRDefault="00F81173" w:rsidP="00590543">
      <w:pPr>
        <w:pStyle w:val="enumlev1"/>
      </w:pPr>
      <w:r w:rsidRPr="000743DF">
        <w:t>•</w:t>
      </w:r>
      <w:r w:rsidRPr="000743DF">
        <w:tab/>
      </w:r>
      <w:hyperlink r:id="rId11" w:history="1">
        <w:r w:rsidRPr="000743DF">
          <w:rPr>
            <w:rStyle w:val="Hyperlink"/>
          </w:rPr>
          <w:t>Comisión de Estudio 11 – Requisitos</w:t>
        </w:r>
        <w:r w:rsidR="00BA4A5F" w:rsidRPr="000743DF">
          <w:rPr>
            <w:rStyle w:val="Hyperlink"/>
          </w:rPr>
          <w:t xml:space="preserve"> y</w:t>
        </w:r>
        <w:r w:rsidRPr="000743DF">
          <w:rPr>
            <w:rStyle w:val="Hyperlink"/>
          </w:rPr>
          <w:t xml:space="preserve"> p</w:t>
        </w:r>
        <w:r w:rsidR="00F073A5" w:rsidRPr="000743DF">
          <w:rPr>
            <w:rStyle w:val="Hyperlink"/>
          </w:rPr>
          <w:t xml:space="preserve">rotocolos </w:t>
        </w:r>
        <w:r w:rsidR="00BA4A5F" w:rsidRPr="000743DF">
          <w:rPr>
            <w:rStyle w:val="Hyperlink"/>
          </w:rPr>
          <w:t xml:space="preserve">de señalización </w:t>
        </w:r>
        <w:r w:rsidR="00F073A5" w:rsidRPr="000743DF">
          <w:rPr>
            <w:rStyle w:val="Hyperlink"/>
          </w:rPr>
          <w:t xml:space="preserve">y especificaciones de </w:t>
        </w:r>
        <w:r w:rsidRPr="000743DF">
          <w:rPr>
            <w:rStyle w:val="Hyperlink"/>
          </w:rPr>
          <w:t>pruebas</w:t>
        </w:r>
      </w:hyperlink>
    </w:p>
    <w:p w:rsidR="00F81173" w:rsidRPr="000743DF" w:rsidRDefault="00F81173" w:rsidP="00590543">
      <w:pPr>
        <w:pStyle w:val="enumlev1"/>
      </w:pPr>
      <w:r w:rsidRPr="000743DF">
        <w:t>•</w:t>
      </w:r>
      <w:r w:rsidRPr="000743DF">
        <w:tab/>
      </w:r>
      <w:hyperlink r:id="rId12" w:history="1">
        <w:r w:rsidRPr="000743DF">
          <w:rPr>
            <w:rStyle w:val="Hyperlink"/>
          </w:rPr>
          <w:t xml:space="preserve">Comisión de Estudio 16 – </w:t>
        </w:r>
        <w:r w:rsidR="00BA4A5F" w:rsidRPr="000743DF">
          <w:rPr>
            <w:rStyle w:val="Hyperlink"/>
          </w:rPr>
          <w:t>Codificación, sistemas y aplicaciones de m</w:t>
        </w:r>
        <w:r w:rsidR="007D4CE6" w:rsidRPr="000743DF">
          <w:rPr>
            <w:rStyle w:val="Hyperlink"/>
          </w:rPr>
          <w:t>ultimedios</w:t>
        </w:r>
      </w:hyperlink>
    </w:p>
    <w:p w:rsidR="00F81173" w:rsidRPr="000743DF" w:rsidRDefault="00F81173" w:rsidP="00590543">
      <w:pPr>
        <w:pStyle w:val="enumlev1"/>
      </w:pPr>
      <w:r w:rsidRPr="000743DF">
        <w:t>•</w:t>
      </w:r>
      <w:r w:rsidRPr="000743DF">
        <w:tab/>
      </w:r>
      <w:hyperlink r:id="rId13" w:history="1">
        <w:r w:rsidRPr="000743DF">
          <w:rPr>
            <w:rStyle w:val="Hyperlink"/>
          </w:rPr>
          <w:t xml:space="preserve">Comisión de Estudio 20 – </w:t>
        </w:r>
        <w:r w:rsidR="007D4CE6" w:rsidRPr="000743DF">
          <w:rPr>
            <w:rStyle w:val="Hyperlink"/>
          </w:rPr>
          <w:t>Internet de las cosas (IoT) y Ciudades y Comunidades Inteligentes (C+CI)</w:t>
        </w:r>
      </w:hyperlink>
    </w:p>
    <w:p w:rsidR="00F81173" w:rsidRPr="000743DF" w:rsidRDefault="001352B9" w:rsidP="00590543">
      <w:r w:rsidRPr="000743DF">
        <w:t>En la actualidad, las administraciones correspondientes han dado su aprobación a 15 PYME para participar en las reuniones del UIT-T en el marco del proyecto piloto, 3 se encuentran actualmente en el proceso de admisión</w:t>
      </w:r>
      <w:r w:rsidR="00BA4A5F" w:rsidRPr="000743DF">
        <w:t xml:space="preserve"> y otras 4 han manifestado su interés en participar</w:t>
      </w:r>
      <w:r w:rsidR="00F81173" w:rsidRPr="000743DF">
        <w:t xml:space="preserve">. </w:t>
      </w:r>
      <w:r w:rsidR="00BA4A5F" w:rsidRPr="000743DF">
        <w:t>Esta participación ya ha arrojado resultados positivos. Por ejemplo, en la CE</w:t>
      </w:r>
      <w:r w:rsidR="006130B2" w:rsidRPr="000743DF">
        <w:t> </w:t>
      </w:r>
      <w:r w:rsidR="00BA4A5F" w:rsidRPr="000743DF">
        <w:t>16 del UIT-T</w:t>
      </w:r>
      <w:r w:rsidR="00F81173" w:rsidRPr="000743DF">
        <w:t xml:space="preserve"> ASTEM (Jap</w:t>
      </w:r>
      <w:r w:rsidR="00BA4A5F" w:rsidRPr="000743DF">
        <w:t>ó</w:t>
      </w:r>
      <w:r w:rsidR="00F81173" w:rsidRPr="000743DF">
        <w:t xml:space="preserve">n) </w:t>
      </w:r>
      <w:r w:rsidR="00BA4A5F" w:rsidRPr="000743DF">
        <w:t>ha contribuido notablemente a la normalización de terminales de TVIP accesibles y sus pruebas, cuyos resultados pueden encontrarse en la Recomendación UIT</w:t>
      </w:r>
      <w:r w:rsidR="00F81173" w:rsidRPr="000743DF">
        <w:t xml:space="preserve">-T H.702 </w:t>
      </w:r>
      <w:r w:rsidR="00BA4A5F" w:rsidRPr="000743DF">
        <w:t>y en el Documento Técnico UIT</w:t>
      </w:r>
      <w:r w:rsidR="00F81173" w:rsidRPr="000743DF">
        <w:t>-T HSTP-CONF-H702. Wayfindr</w:t>
      </w:r>
      <w:r w:rsidR="00BA4A5F" w:rsidRPr="000743DF">
        <w:t xml:space="preserve"> (Reino Unido) ha aportado especificaciones para un sistema de navegación en red de audio para personas con deficiencias visuales y sus pruebas de conformidad (Recomendación UIT</w:t>
      </w:r>
      <w:r w:rsidR="00F81173" w:rsidRPr="000743DF">
        <w:t xml:space="preserve">-T F.921 </w:t>
      </w:r>
      <w:r w:rsidR="00BA4A5F" w:rsidRPr="000743DF">
        <w:t>y Documento Técnico UIT</w:t>
      </w:r>
      <w:r w:rsidR="00F81173" w:rsidRPr="000743DF">
        <w:t xml:space="preserve">-T HSTP-CONF-F921). </w:t>
      </w:r>
      <w:r w:rsidR="00BA4A5F" w:rsidRPr="000743DF">
        <w:t xml:space="preserve">Asimismo, </w:t>
      </w:r>
      <w:r w:rsidR="00F81173" w:rsidRPr="000743DF">
        <w:t xml:space="preserve">Wayfindr </w:t>
      </w:r>
      <w:r w:rsidR="00BA4A5F" w:rsidRPr="000743DF">
        <w:t xml:space="preserve">ha </w:t>
      </w:r>
      <w:r w:rsidR="00C34C9A" w:rsidRPr="000743DF">
        <w:t>elaborado el material de formación en línea conexo, que puede obtenerse a través de la</w:t>
      </w:r>
      <w:r w:rsidR="00F81173" w:rsidRPr="000743DF">
        <w:t xml:space="preserve"> </w:t>
      </w:r>
      <w:hyperlink r:id="rId14" w:history="1">
        <w:r w:rsidR="00C34C9A" w:rsidRPr="000743DF">
          <w:rPr>
            <w:rStyle w:val="Hyperlink"/>
          </w:rPr>
          <w:t>plataforma Academia UIT</w:t>
        </w:r>
      </w:hyperlink>
      <w:r w:rsidR="00F81173" w:rsidRPr="000743DF">
        <w:t>.</w:t>
      </w:r>
    </w:p>
    <w:p w:rsidR="00F81173" w:rsidRPr="000743DF" w:rsidRDefault="00F81173" w:rsidP="00590543">
      <w:r w:rsidRPr="000743DF">
        <w:t>2.2</w:t>
      </w:r>
      <w:r w:rsidRPr="000743DF">
        <w:tab/>
      </w:r>
      <w:r w:rsidR="00DB7B76" w:rsidRPr="000743DF">
        <w:t>Las dos Comisiones de Estudio del UIT-D también participan en el proyecto piloto</w:t>
      </w:r>
      <w:r w:rsidR="00635CD1" w:rsidRPr="000743DF">
        <w:t>:</w:t>
      </w:r>
    </w:p>
    <w:p w:rsidR="00F81173" w:rsidRPr="000743DF" w:rsidRDefault="00B14D27" w:rsidP="00590543">
      <w:pPr>
        <w:pStyle w:val="enumlev1"/>
      </w:pPr>
      <w:hyperlink r:id="rId15" w:history="1">
        <w:r w:rsidR="0071493E" w:rsidRPr="000743DF">
          <w:t>•</w:t>
        </w:r>
        <w:r w:rsidR="0071493E" w:rsidRPr="000743DF">
          <w:tab/>
        </w:r>
        <w:r w:rsidR="0071493E" w:rsidRPr="000743DF">
          <w:rPr>
            <w:rStyle w:val="Hyperlink"/>
          </w:rPr>
          <w:t xml:space="preserve">Comisión de Estudio </w:t>
        </w:r>
        <w:r w:rsidR="00F81173" w:rsidRPr="000743DF">
          <w:rPr>
            <w:rStyle w:val="Hyperlink"/>
          </w:rPr>
          <w:t xml:space="preserve">1 </w:t>
        </w:r>
        <w:r w:rsidR="0071493E" w:rsidRPr="000743DF">
          <w:rPr>
            <w:rStyle w:val="Hyperlink"/>
          </w:rPr>
          <w:t>–</w:t>
        </w:r>
        <w:r w:rsidR="00F81173" w:rsidRPr="000743DF">
          <w:rPr>
            <w:rStyle w:val="Hyperlink"/>
          </w:rPr>
          <w:t xml:space="preserve"> </w:t>
        </w:r>
        <w:r w:rsidR="0071493E" w:rsidRPr="000743DF">
          <w:rPr>
            <w:rStyle w:val="Hyperlink"/>
          </w:rPr>
          <w:t>Entorno propicio para el desarrollo de las telecomunicaciones/TIC</w:t>
        </w:r>
      </w:hyperlink>
    </w:p>
    <w:p w:rsidR="00F81173" w:rsidRPr="000743DF" w:rsidRDefault="00B14D27" w:rsidP="00590543">
      <w:pPr>
        <w:pStyle w:val="enumlev1"/>
      </w:pPr>
      <w:hyperlink r:id="rId16" w:history="1">
        <w:r w:rsidR="00AE4FBE" w:rsidRPr="000743DF">
          <w:t>•</w:t>
        </w:r>
        <w:r w:rsidR="00AE4FBE" w:rsidRPr="000743DF">
          <w:tab/>
        </w:r>
        <w:r w:rsidR="0071493E" w:rsidRPr="000743DF">
          <w:rPr>
            <w:rStyle w:val="Hyperlink"/>
          </w:rPr>
          <w:t xml:space="preserve">Comisión de Estudio </w:t>
        </w:r>
        <w:r w:rsidR="00F81173" w:rsidRPr="000743DF">
          <w:rPr>
            <w:rStyle w:val="Hyperlink"/>
          </w:rPr>
          <w:t xml:space="preserve">2 </w:t>
        </w:r>
        <w:r w:rsidR="00AE4FBE" w:rsidRPr="000743DF">
          <w:rPr>
            <w:rStyle w:val="Hyperlink"/>
          </w:rPr>
          <w:t>–</w:t>
        </w:r>
        <w:r w:rsidR="00F81173" w:rsidRPr="000743DF">
          <w:rPr>
            <w:rStyle w:val="Hyperlink"/>
          </w:rPr>
          <w:t xml:space="preserve"> </w:t>
        </w:r>
        <w:r w:rsidR="00AE4FBE" w:rsidRPr="000743DF">
          <w:rPr>
            <w:rStyle w:val="Hyperlink"/>
          </w:rPr>
          <w:t>Servicios y aplicaciones de TIC en pro del desarrollo sostenible</w:t>
        </w:r>
      </w:hyperlink>
    </w:p>
    <w:p w:rsidR="00F81173" w:rsidRPr="000743DF" w:rsidRDefault="00DB7B76" w:rsidP="00BF2AE7">
      <w:r w:rsidRPr="000743DF">
        <w:t>En total, 8 PYME han recibido de sus administraciones el permiso para participar en las Comisiones de Estudio y los Grupos de Relator del UIT-D. La mayoría de las PYME participantes en el proyecto piloto han presentado contribuciones a las reuniones de las Comisiones de Estudio 1 y 2 del UIT-D y han participado en las actividades temáticas llevadas a cabo en las Comisiones de Estudio del UIT-D en</w:t>
      </w:r>
      <w:r w:rsidR="00F81173" w:rsidRPr="000743DF">
        <w:t xml:space="preserve"> 2018. </w:t>
      </w:r>
      <w:r w:rsidRPr="000743DF">
        <w:t>Las PYME han demostrado un interés especial por la computación en la nube, el acceso rural, la ciberseguridad, la cibersalud y otras aplicaciones de TIC</w:t>
      </w:r>
      <w:r w:rsidR="00F81173" w:rsidRPr="000743DF">
        <w:t>.</w:t>
      </w:r>
    </w:p>
    <w:p w:rsidR="00F81173" w:rsidRPr="000743DF" w:rsidRDefault="00DB7B76" w:rsidP="00590543">
      <w:r w:rsidRPr="000743DF">
        <w:t>Entre las Comisiones de Estudio del UIT-T y del UIT-D, se han in</w:t>
      </w:r>
      <w:r w:rsidR="00BF2AE7" w:rsidRPr="000743DF">
        <w:t>scrito en el proyecto piloto 22 </w:t>
      </w:r>
      <w:r w:rsidRPr="000743DF">
        <w:t>PYME y una de ellas participa tanto en el UIT-T como en el UIT-D</w:t>
      </w:r>
      <w:r w:rsidR="00F81173" w:rsidRPr="000743DF">
        <w:t>.</w:t>
      </w:r>
    </w:p>
    <w:p w:rsidR="00F81173" w:rsidRPr="000743DF" w:rsidRDefault="00F81173" w:rsidP="00BF2AE7">
      <w:r w:rsidRPr="000743DF">
        <w:t>2.3</w:t>
      </w:r>
      <w:r w:rsidRPr="000743DF">
        <w:tab/>
      </w:r>
      <w:r w:rsidR="00DB7B76" w:rsidRPr="000743DF">
        <w:t xml:space="preserve">Puede encontrarse en el </w:t>
      </w:r>
      <w:r w:rsidR="00DB7B76" w:rsidRPr="000743DF">
        <w:rPr>
          <w:b/>
          <w:bCs/>
        </w:rPr>
        <w:t>Anexo</w:t>
      </w:r>
      <w:r w:rsidR="00DB7B76" w:rsidRPr="000743DF">
        <w:t xml:space="preserve"> la lista complet</w:t>
      </w:r>
      <w:r w:rsidR="00BF2AE7" w:rsidRPr="000743DF">
        <w:t>a</w:t>
      </w:r>
      <w:r w:rsidR="00DB7B76" w:rsidRPr="000743DF">
        <w:t xml:space="preserve"> de PYME participantes en el proyecto piloto</w:t>
      </w:r>
      <w:r w:rsidRPr="000743DF">
        <w:t>.</w:t>
      </w:r>
    </w:p>
    <w:p w:rsidR="00F81173" w:rsidRPr="000743DF" w:rsidRDefault="00F81173" w:rsidP="00663DE9">
      <w:pPr>
        <w:keepNext/>
        <w:keepLines/>
      </w:pPr>
      <w:r w:rsidRPr="000743DF">
        <w:lastRenderedPageBreak/>
        <w:t>2.4</w:t>
      </w:r>
      <w:r w:rsidRPr="000743DF">
        <w:tab/>
      </w:r>
      <w:r w:rsidR="00DB7B76" w:rsidRPr="000743DF">
        <w:t>Para llegar más fácil y eficazmente a las PYME, la UIT está poniéndose en contacto con asociaciones y redes nacionales, regionales y mundiales, como</w:t>
      </w:r>
      <w:r w:rsidRPr="000743DF">
        <w:t xml:space="preserve"> </w:t>
      </w:r>
      <w:hyperlink r:id="rId17" w:history="1">
        <w:r w:rsidRPr="000743DF">
          <w:rPr>
            <w:rStyle w:val="Hyperlink"/>
          </w:rPr>
          <w:t>WITSA</w:t>
        </w:r>
      </w:hyperlink>
      <w:r w:rsidRPr="000743DF">
        <w:t xml:space="preserve">, </w:t>
      </w:r>
      <w:r w:rsidR="00DB7B76" w:rsidRPr="000743DF">
        <w:t>una asociación de TIC mundial, y</w:t>
      </w:r>
      <w:r w:rsidRPr="000743DF">
        <w:t xml:space="preserve"> </w:t>
      </w:r>
      <w:hyperlink r:id="rId18" w:history="1">
        <w:r w:rsidRPr="000743DF">
          <w:rPr>
            <w:rStyle w:val="Hyperlink"/>
          </w:rPr>
          <w:t>CABASE</w:t>
        </w:r>
      </w:hyperlink>
      <w:r w:rsidRPr="000743DF">
        <w:t xml:space="preserve">, </w:t>
      </w:r>
      <w:r w:rsidR="00DB7B76" w:rsidRPr="000743DF">
        <w:t xml:space="preserve">asociación empresarial de </w:t>
      </w:r>
      <w:r w:rsidRPr="000743DF">
        <w:t xml:space="preserve">Argentina. </w:t>
      </w:r>
      <w:r w:rsidR="00DB7B76" w:rsidRPr="000743DF">
        <w:t>Estas asociaciones están ayudando a dar a conocer el proyecto piloto de PYME</w:t>
      </w:r>
      <w:r w:rsidRPr="000743DF">
        <w:t>.</w:t>
      </w:r>
    </w:p>
    <w:p w:rsidR="00F81173" w:rsidRPr="000743DF" w:rsidRDefault="00AE4FBE" w:rsidP="00590543">
      <w:pPr>
        <w:pStyle w:val="Heading1"/>
      </w:pPr>
      <w:r w:rsidRPr="000743DF">
        <w:t>3</w:t>
      </w:r>
      <w:r w:rsidR="00F81173" w:rsidRPr="000743DF">
        <w:tab/>
      </w:r>
      <w:r w:rsidR="00181BFB" w:rsidRPr="000743DF">
        <w:t>Participación de las PYME en la UIT en la actualidad</w:t>
      </w:r>
    </w:p>
    <w:p w:rsidR="00F81173" w:rsidRPr="000743DF" w:rsidRDefault="00F81173" w:rsidP="00590543">
      <w:r w:rsidRPr="000743DF">
        <w:t>3.1</w:t>
      </w:r>
      <w:r w:rsidRPr="000743DF">
        <w:tab/>
      </w:r>
      <w:r w:rsidR="00181BFB" w:rsidRPr="000743DF">
        <w:t xml:space="preserve">Además de a través del proyecto piloto, en la actualidad las PYME pueden participar en las actividades de la UIT de diversas maneras: en las Comisiones de Estudio como Miembros de Sector, Asociados o integradas en las delegaciones nacionales; y en </w:t>
      </w:r>
      <w:r w:rsidRPr="000743DF">
        <w:t xml:space="preserve">ITU Telecom World, </w:t>
      </w:r>
      <w:r w:rsidR="00181BFB" w:rsidRPr="000743DF">
        <w:t>la CMSI y los diversos eventos mundiales y regionales organizados por los Sectores, incluidos los talleres, las formaciones y demás actividades abiertas a los no miembros</w:t>
      </w:r>
      <w:r w:rsidR="00AE4FBE" w:rsidRPr="000743DF">
        <w:t>.</w:t>
      </w:r>
    </w:p>
    <w:p w:rsidR="00F81173" w:rsidRPr="000743DF" w:rsidRDefault="00F81173" w:rsidP="00590543">
      <w:r w:rsidRPr="000743DF">
        <w:t>3.2</w:t>
      </w:r>
      <w:r w:rsidRPr="000743DF">
        <w:tab/>
      </w:r>
      <w:r w:rsidR="00181BFB" w:rsidRPr="000743DF">
        <w:t>Ya hay una cantidad notable de PYME que participan en la UIT como Miembros de Sector o Asociados. El número exacto depende de la definición, pero las últimas estimaciones indican que en la actualidad la UIT cuenta con más de 60 PYME entre sus Asociados y Miembros de Sector</w:t>
      </w:r>
      <w:r w:rsidR="00AE4FBE" w:rsidRPr="000743DF">
        <w:rPr>
          <w:rStyle w:val="FootnoteReference"/>
        </w:rPr>
        <w:footnoteReference w:id="2"/>
      </w:r>
      <w:r w:rsidRPr="000743DF">
        <w:t>.</w:t>
      </w:r>
    </w:p>
    <w:p w:rsidR="00F81173" w:rsidRPr="000743DF" w:rsidRDefault="00F81173" w:rsidP="003E5D30">
      <w:r w:rsidRPr="000743DF">
        <w:t>3.3</w:t>
      </w:r>
      <w:r w:rsidRPr="000743DF">
        <w:tab/>
      </w:r>
      <w:r w:rsidR="00181BFB" w:rsidRPr="000743DF">
        <w:t xml:space="preserve">Los eventos </w:t>
      </w:r>
      <w:r w:rsidRPr="000743DF">
        <w:t xml:space="preserve">ITU Telecom World </w:t>
      </w:r>
      <w:r w:rsidR="00181BFB" w:rsidRPr="000743DF">
        <w:t>han ido formado una plataforma de servicios internacionales de apoyo y promoción de las PYME. Cada vez más PYME exponen sus productos en los eventos</w:t>
      </w:r>
      <w:r w:rsidRPr="000743DF">
        <w:t xml:space="preserve"> ITU Telecom World</w:t>
      </w:r>
      <w:r w:rsidR="00181BFB" w:rsidRPr="000743DF">
        <w:t>, ya sea en los Pabellones Nacionales, en los Pabellones Temáticos o en puestos independientes. Las soluciones, productos y servicios de las PYME abarcan una serie de sectores y tecnologías, incluida la utilización innovadora de las TIC en la sanidad, la educación, las finanzas, los servicios públicos, la agricultura y el mercado laboral</w:t>
      </w:r>
      <w:r w:rsidRPr="000743DF">
        <w:t xml:space="preserve">. </w:t>
      </w:r>
      <w:r w:rsidR="00181BFB" w:rsidRPr="000743DF">
        <w:t>El</w:t>
      </w:r>
      <w:r w:rsidRPr="000743DF">
        <w:t xml:space="preserve"> </w:t>
      </w:r>
      <w:hyperlink r:id="rId19" w:history="1">
        <w:r w:rsidRPr="000743DF">
          <w:rPr>
            <w:color w:val="0000FF"/>
            <w:u w:val="single"/>
          </w:rPr>
          <w:t>ITU Telecom World SME Programme</w:t>
        </w:r>
      </w:hyperlink>
      <w:r w:rsidRPr="000743DF">
        <w:t xml:space="preserve"> </w:t>
      </w:r>
      <w:r w:rsidR="00181BFB" w:rsidRPr="000743DF">
        <w:t>se centra en ayudar a las PYME de fuerte crecimiento y repercusión social a difundir sus productos o servicios de TIC o a mejorar sus modelos empresariales de TIC</w:t>
      </w:r>
      <w:r w:rsidRPr="000743DF">
        <w:t>. ITU TELECOM ha</w:t>
      </w:r>
      <w:r w:rsidR="00BF1D06" w:rsidRPr="000743DF">
        <w:t xml:space="preserve"> ayudado a las</w:t>
      </w:r>
      <w:hyperlink r:id="rId20" w:history="1">
        <w:r w:rsidR="00BF1D06" w:rsidRPr="000743DF">
          <w:rPr>
            <w:rStyle w:val="Hyperlink"/>
          </w:rPr>
          <w:t xml:space="preserve"> PYME tecnológicas a encontrar nuevas oportunidades de mercado</w:t>
        </w:r>
        <w:r w:rsidR="00BF1D06" w:rsidRPr="000743DF">
          <w:t>, multiplicar</w:t>
        </w:r>
      </w:hyperlink>
      <w:r w:rsidR="00BF1D06" w:rsidRPr="000743DF">
        <w:t xml:space="preserve"> sus actividades comerciales y lograr la máxima repercusión a nivel mundial. Concretamente, se han insistido en dar visibilidad a través de la exposición, en prestar servicios de asesoría y acompañamiento, en encontrar a los inversores idóneos y en ofrecer el reconocimiento que suponen los Premios</w:t>
      </w:r>
      <w:r w:rsidRPr="000743DF">
        <w:t xml:space="preserve"> ITU Telecom Global SME Awards. </w:t>
      </w:r>
      <w:r w:rsidR="00BF1D06" w:rsidRPr="000743DF">
        <w:t>Desde</w:t>
      </w:r>
      <w:r w:rsidRPr="000743DF">
        <w:t xml:space="preserve"> 2015, </w:t>
      </w:r>
      <w:r w:rsidR="00BF1D06" w:rsidRPr="000743DF">
        <w:t>más de</w:t>
      </w:r>
      <w:r w:rsidRPr="000743DF">
        <w:t xml:space="preserve"> 500 </w:t>
      </w:r>
      <w:r w:rsidR="00BF1D06" w:rsidRPr="000743DF">
        <w:t xml:space="preserve">PYME tecnológicas han expuesto </w:t>
      </w:r>
      <w:r w:rsidR="003E5D30" w:rsidRPr="000743DF">
        <w:t xml:space="preserve">sus productos o participado en </w:t>
      </w:r>
      <w:r w:rsidR="00BF1D06" w:rsidRPr="000743DF">
        <w:t>el</w:t>
      </w:r>
      <w:r w:rsidRPr="000743DF">
        <w:t xml:space="preserve"> ITU Telecom World SME </w:t>
      </w:r>
      <w:r w:rsidR="00AE4FBE" w:rsidRPr="000743DF">
        <w:t xml:space="preserve">Programme </w:t>
      </w:r>
      <w:r w:rsidR="00BF1D06" w:rsidRPr="000743DF">
        <w:t>y en los Premios. Varios ganadores de los Premios han ampliado sus actividades en los mercados nacionales e internacionales</w:t>
      </w:r>
      <w:r w:rsidR="00AE4FBE" w:rsidRPr="000743DF">
        <w:t>.</w:t>
      </w:r>
    </w:p>
    <w:p w:rsidR="00F81173" w:rsidRPr="000743DF" w:rsidRDefault="00F81173" w:rsidP="00590543">
      <w:r w:rsidRPr="000743DF">
        <w:t>3.4</w:t>
      </w:r>
      <w:r w:rsidRPr="000743DF">
        <w:tab/>
      </w:r>
      <w:r w:rsidR="00712622" w:rsidRPr="000743DF">
        <w:t xml:space="preserve">Además, el Foro de la CMSI se ha convertido en una plataforma de creciente interés para las PYME y las nuevas empresas. La UIT y los coorganizadores del evento animan a las PYME y las nuevas empresas a presentar sus tecnologías innovadoras y a interactuar con la amplia comunidad de interesados de la CMSI. Las PYME y las nuevas empresas han empezado a exponer sus productos, entre los que se cuentan drones, robots e inteligencias artificiales de carácter social, programas de capacitación en línea, TIC para la erradicación </w:t>
      </w:r>
      <w:r w:rsidR="00343B40" w:rsidRPr="000743DF">
        <w:t>d</w:t>
      </w:r>
      <w:r w:rsidR="00712622" w:rsidRPr="000743DF">
        <w:t>el hambre y soluciones de cibersalud</w:t>
      </w:r>
      <w:r w:rsidRPr="000743DF">
        <w:rPr>
          <w:color w:val="212529"/>
          <w:shd w:val="clear" w:color="auto" w:fill="FFFFFF"/>
        </w:rPr>
        <w:t>.</w:t>
      </w:r>
    </w:p>
    <w:p w:rsidR="00F81173" w:rsidRPr="000743DF" w:rsidRDefault="00F81173" w:rsidP="00590543">
      <w:r w:rsidRPr="000743DF">
        <w:t>3.5</w:t>
      </w:r>
      <w:r w:rsidRPr="000743DF">
        <w:tab/>
      </w:r>
      <w:r w:rsidR="00712622" w:rsidRPr="000743DF">
        <w:t xml:space="preserve">La UIT lleva a cabo muchas otras actividades, como Grupos Temáticos, talleres y formaciones, abiertas a los no miembros que brindan a las PYME una oportunidad de participar en la UIT y ampliar sus conocimientos sobre temas clave y lo que se está haciendo en el resto del </w:t>
      </w:r>
      <w:r w:rsidR="00712622" w:rsidRPr="000743DF">
        <w:lastRenderedPageBreak/>
        <w:t>mundo. Las PYME tienen también la ocasión de encontrarse con representantes de gobiernos, instituciones académicas, la sociedad civil y grandes empresas de otras partes del mundo, que quizá buscan las soluciones que ofrecen esas PYME o socios locales para responder a las necesidades específicas de los mercados emergentes</w:t>
      </w:r>
      <w:r w:rsidRPr="000743DF">
        <w:t>.</w:t>
      </w:r>
    </w:p>
    <w:p w:rsidR="00F81173" w:rsidRPr="000743DF" w:rsidRDefault="00F81173" w:rsidP="00590543">
      <w:r w:rsidRPr="000743DF">
        <w:t>3.6</w:t>
      </w:r>
      <w:r w:rsidRPr="000743DF">
        <w:tab/>
      </w:r>
      <w:r w:rsidR="00712622" w:rsidRPr="000743DF">
        <w:t>Algunos E</w:t>
      </w:r>
      <w:r w:rsidR="00B842C7" w:rsidRPr="000743DF">
        <w:t>s</w:t>
      </w:r>
      <w:r w:rsidR="00712622" w:rsidRPr="000743DF">
        <w:t xml:space="preserve">tados Miembros integran a las PYME en sus delegaciones. Las empresas más pequeñas, centradas en el establecimiento de relaciones a escala mundial y en la obtención de información, pueden considerar que la participación en una delegación nacional ya responde a sus necesidades, pues no buscan influir en las actividades mediante sus propias contribuciones. </w:t>
      </w:r>
      <w:r w:rsidR="00B842C7" w:rsidRPr="000743DF">
        <w:t>Por otra parte, hay muchas PYME que no pueden dedicar los recursos necesarios para contribuir a una norma o decisión concreta durante todo el proceso que ello conlleva, pero sí pueden participar ocasionalmente en la UIT. Dicho esto, es posible que algunas de esas empresas se adhieran en el futuro como Asociados o Miembros de Sector</w:t>
      </w:r>
      <w:r w:rsidRPr="000743DF">
        <w:t>.</w:t>
      </w:r>
    </w:p>
    <w:p w:rsidR="00F81173" w:rsidRPr="000743DF" w:rsidRDefault="00F81173" w:rsidP="00590543">
      <w:pPr>
        <w:pStyle w:val="Heading1"/>
      </w:pPr>
      <w:r w:rsidRPr="000743DF">
        <w:t>4</w:t>
      </w:r>
      <w:r w:rsidRPr="000743DF">
        <w:tab/>
        <w:t>An</w:t>
      </w:r>
      <w:r w:rsidR="00B842C7" w:rsidRPr="000743DF">
        <w:t>álisis</w:t>
      </w:r>
    </w:p>
    <w:p w:rsidR="00F81173" w:rsidRPr="000743DF" w:rsidRDefault="00F81173" w:rsidP="00590543">
      <w:r w:rsidRPr="000743DF">
        <w:t>4.1</w:t>
      </w:r>
      <w:r w:rsidRPr="000743DF">
        <w:tab/>
      </w:r>
      <w:r w:rsidR="00B842C7" w:rsidRPr="000743DF">
        <w:t>Los primeros resultados del proyecto piloto de PYME han sido positivos. Como ya se ha indicado, en muy poco tiempo 22 PYME han recibido la aprobación de sus administraciones para participar en el proyecto, que, al haberse lanzado en el segundo semestre de 2017, probablemente no haya alcanzado aún todo su potencial</w:t>
      </w:r>
      <w:r w:rsidR="00AE4FBE" w:rsidRPr="000743DF">
        <w:t>.</w:t>
      </w:r>
    </w:p>
    <w:p w:rsidR="00F81173" w:rsidRPr="000743DF" w:rsidRDefault="00F81173" w:rsidP="00590543">
      <w:r w:rsidRPr="000743DF">
        <w:t>4.2</w:t>
      </w:r>
      <w:r w:rsidRPr="000743DF">
        <w:tab/>
      </w:r>
      <w:r w:rsidR="00B842C7" w:rsidRPr="000743DF">
        <w:t>A partir de los resultados del proyecto piloto, se abren a la UIT las opciones que se exponen a continuación</w:t>
      </w:r>
      <w:r w:rsidRPr="000743DF">
        <w:t>:</w:t>
      </w:r>
    </w:p>
    <w:p w:rsidR="00F81173" w:rsidRPr="000743DF" w:rsidRDefault="00F81173" w:rsidP="00590543">
      <w:pPr>
        <w:rPr>
          <w:rFonts w:cstheme="minorHAnsi"/>
        </w:rPr>
      </w:pPr>
      <w:r w:rsidRPr="000743DF">
        <w:rPr>
          <w:rFonts w:cstheme="minorHAnsi"/>
        </w:rPr>
        <w:t>4.3</w:t>
      </w:r>
      <w:r w:rsidRPr="000743DF">
        <w:rPr>
          <w:rFonts w:cstheme="minorHAnsi"/>
        </w:rPr>
        <w:tab/>
      </w:r>
      <w:r w:rsidR="00B842C7" w:rsidRPr="000743DF">
        <w:rPr>
          <w:rFonts w:cstheme="minorHAnsi"/>
          <w:b/>
          <w:u w:val="single"/>
        </w:rPr>
        <w:t xml:space="preserve">Crear una nueva categoría de </w:t>
      </w:r>
      <w:r w:rsidR="006A6410" w:rsidRPr="000743DF">
        <w:rPr>
          <w:rFonts w:cstheme="minorHAnsi"/>
          <w:b/>
          <w:u w:val="single"/>
        </w:rPr>
        <w:t xml:space="preserve">miembro </w:t>
      </w:r>
      <w:r w:rsidR="00B842C7" w:rsidRPr="000743DF">
        <w:rPr>
          <w:rFonts w:cstheme="minorHAnsi"/>
          <w:b/>
          <w:u w:val="single"/>
        </w:rPr>
        <w:t>para las PYME</w:t>
      </w:r>
      <w:r w:rsidRPr="000743DF">
        <w:rPr>
          <w:rFonts w:cstheme="minorHAnsi"/>
          <w:bCs/>
        </w:rPr>
        <w:t xml:space="preserve">. </w:t>
      </w:r>
      <w:r w:rsidR="00363798" w:rsidRPr="000743DF">
        <w:rPr>
          <w:rFonts w:cstheme="minorHAnsi"/>
          <w:bCs/>
        </w:rPr>
        <w:t xml:space="preserve">De escogerse esta opción, habrá que definir los procedimientos de admisión pertinentes, las tasas aplicables y las normas relativas a la participación. Como ya se ha dicho, </w:t>
      </w:r>
      <w:r w:rsidR="00261582" w:rsidRPr="000743DF">
        <w:rPr>
          <w:rFonts w:cstheme="minorHAnsi"/>
        </w:rPr>
        <w:t xml:space="preserve">para poder participar </w:t>
      </w:r>
      <w:r w:rsidR="00363798" w:rsidRPr="000743DF">
        <w:rPr>
          <w:rFonts w:cstheme="minorHAnsi"/>
        </w:rPr>
        <w:t>en el proyecto piloto</w:t>
      </w:r>
      <w:r w:rsidRPr="000743DF">
        <w:rPr>
          <w:rFonts w:cstheme="minorHAnsi"/>
        </w:rPr>
        <w:t xml:space="preserve">, </w:t>
      </w:r>
      <w:r w:rsidR="00261582" w:rsidRPr="000743DF">
        <w:rPr>
          <w:rFonts w:cstheme="minorHAnsi"/>
        </w:rPr>
        <w:t>las PYME deben recibir la aprobación de las administraciones correspondientes de su Gobierno con arreglo a las definiciones nacionales de las PYME</w:t>
      </w:r>
      <w:r w:rsidRPr="000743DF">
        <w:rPr>
          <w:rFonts w:cstheme="minorHAnsi"/>
        </w:rPr>
        <w:t xml:space="preserve">. </w:t>
      </w:r>
      <w:r w:rsidR="00363798" w:rsidRPr="000743DF">
        <w:rPr>
          <w:rFonts w:cstheme="minorHAnsi"/>
        </w:rPr>
        <w:t xml:space="preserve">No obstante, si la UIT crease una nueva categoría de </w:t>
      </w:r>
      <w:r w:rsidR="00BD142E" w:rsidRPr="000743DF">
        <w:rPr>
          <w:rFonts w:cstheme="minorHAnsi"/>
        </w:rPr>
        <w:t xml:space="preserve">miembro </w:t>
      </w:r>
      <w:r w:rsidR="00363798" w:rsidRPr="000743DF">
        <w:rPr>
          <w:rFonts w:cstheme="minorHAnsi"/>
        </w:rPr>
        <w:t xml:space="preserve">para las PYME, sería necesario establecer unos criterios para limitar el tamaño de las empresas a las que se podría imponer una tasa reducida. Por ejemplo, si la UIT adoptase la definición de PYME de la Unión Europea, que fija el límite en </w:t>
      </w:r>
      <w:r w:rsidRPr="000743DF">
        <w:rPr>
          <w:rFonts w:cstheme="minorHAnsi"/>
        </w:rPr>
        <w:t>300 empl</w:t>
      </w:r>
      <w:r w:rsidR="00363798" w:rsidRPr="000743DF">
        <w:rPr>
          <w:rFonts w:cstheme="minorHAnsi"/>
        </w:rPr>
        <w:t>eados, más de 60 Miembros de Sector y Asociados actuales tendrían derecho a una tasa reducida, lo que supondría una considerable pérdida de ingresos</w:t>
      </w:r>
      <w:r w:rsidRPr="000743DF">
        <w:rPr>
          <w:rFonts w:cstheme="minorHAnsi"/>
        </w:rPr>
        <w:t xml:space="preserve">. </w:t>
      </w:r>
      <w:r w:rsidR="00363798" w:rsidRPr="000743DF">
        <w:rPr>
          <w:rFonts w:cstheme="minorHAnsi"/>
        </w:rPr>
        <w:t xml:space="preserve">Sabiendo que el objetivo es atraer a PYME y nuevas empresas, sobre todo de los países en desarrollo, que suelen ser bastante más pequeñas, determinar que las PYME y las nuevas empresas con bastante menos de 300 empleados podrían acceder a esta nueva categoría de </w:t>
      </w:r>
      <w:r w:rsidR="00BD142E" w:rsidRPr="000743DF">
        <w:rPr>
          <w:rFonts w:cstheme="minorHAnsi"/>
        </w:rPr>
        <w:t xml:space="preserve">miembro </w:t>
      </w:r>
      <w:r w:rsidR="00363798" w:rsidRPr="000743DF">
        <w:rPr>
          <w:rFonts w:cstheme="minorHAnsi"/>
        </w:rPr>
        <w:t>no tendría probablemente efectos sobre los ingresos</w:t>
      </w:r>
      <w:r w:rsidR="00AE4FBE" w:rsidRPr="000743DF">
        <w:rPr>
          <w:rFonts w:cstheme="minorHAnsi"/>
        </w:rPr>
        <w:t>.</w:t>
      </w:r>
    </w:p>
    <w:p w:rsidR="00F81173" w:rsidRPr="000743DF" w:rsidRDefault="00F81173" w:rsidP="00590543">
      <w:pPr>
        <w:rPr>
          <w:rFonts w:cstheme="minorHAnsi"/>
        </w:rPr>
      </w:pPr>
      <w:r w:rsidRPr="000743DF">
        <w:rPr>
          <w:rFonts w:cstheme="minorHAnsi"/>
        </w:rPr>
        <w:t>4.4</w:t>
      </w:r>
      <w:r w:rsidRPr="000743DF">
        <w:rPr>
          <w:rFonts w:cstheme="minorHAnsi"/>
        </w:rPr>
        <w:tab/>
      </w:r>
      <w:r w:rsidR="00363798" w:rsidRPr="000743DF">
        <w:rPr>
          <w:rFonts w:cstheme="minorHAnsi"/>
          <w:b/>
          <w:u w:val="single"/>
        </w:rPr>
        <w:t>Animar a los Estados Miembros a integrar a las PYME en sus delegaciones nacionales</w:t>
      </w:r>
      <w:r w:rsidRPr="000743DF">
        <w:rPr>
          <w:rFonts w:cstheme="minorHAnsi"/>
        </w:rPr>
        <w:t xml:space="preserve">. </w:t>
      </w:r>
      <w:r w:rsidR="00C0654F" w:rsidRPr="000743DF">
        <w:rPr>
          <w:rFonts w:cstheme="minorHAnsi"/>
        </w:rPr>
        <w:t>La Secretaría podría obrar en este sentido organizando, en paralelo a los eventos de la UIT existentes, actividades especiales para las PYME, como talleres informativos, herramientas y actividades de capacitación, acompañamiento de nuevos delegados y orientación para las PYME a fin de que conozcan mejor la UIT y sus reglas y procedimientos, que pueden resultar complejas si no se está familiarizado con ellas</w:t>
      </w:r>
      <w:r w:rsidR="00C33553" w:rsidRPr="000743DF">
        <w:rPr>
          <w:rFonts w:cstheme="minorHAnsi"/>
        </w:rPr>
        <w:t>.</w:t>
      </w:r>
    </w:p>
    <w:p w:rsidR="00F81173" w:rsidRPr="000743DF" w:rsidRDefault="00F81173" w:rsidP="00C65B84">
      <w:pPr>
        <w:rPr>
          <w:rFonts w:cstheme="minorHAnsi"/>
        </w:rPr>
      </w:pPr>
      <w:r w:rsidRPr="000743DF">
        <w:rPr>
          <w:rFonts w:cstheme="minorHAnsi"/>
        </w:rPr>
        <w:t>4.5</w:t>
      </w:r>
      <w:r w:rsidRPr="000743DF">
        <w:rPr>
          <w:rFonts w:cstheme="minorHAnsi"/>
        </w:rPr>
        <w:tab/>
      </w:r>
      <w:r w:rsidR="00C0654F" w:rsidRPr="000743DF">
        <w:rPr>
          <w:rFonts w:cstheme="minorHAnsi"/>
          <w:b/>
          <w:u w:val="single"/>
        </w:rPr>
        <w:t xml:space="preserve">Permitir a las PYME participar en las Comisiones de Estudio en régimen de </w:t>
      </w:r>
      <w:r w:rsidR="00C65B84" w:rsidRPr="000743DF">
        <w:rPr>
          <w:rFonts w:cstheme="minorHAnsi"/>
          <w:b/>
          <w:u w:val="single"/>
        </w:rPr>
        <w:t>"</w:t>
      </w:r>
      <w:r w:rsidR="00C0654F" w:rsidRPr="000743DF">
        <w:rPr>
          <w:rFonts w:cstheme="minorHAnsi"/>
          <w:b/>
          <w:u w:val="single"/>
        </w:rPr>
        <w:t>pago por participación</w:t>
      </w:r>
      <w:r w:rsidR="00C65B84" w:rsidRPr="000743DF">
        <w:rPr>
          <w:rFonts w:cstheme="minorHAnsi"/>
          <w:b/>
          <w:u w:val="single"/>
        </w:rPr>
        <w:t>"</w:t>
      </w:r>
      <w:r w:rsidRPr="000743DF">
        <w:rPr>
          <w:rFonts w:cstheme="minorHAnsi"/>
        </w:rPr>
        <w:t xml:space="preserve">. </w:t>
      </w:r>
      <w:r w:rsidR="00C0654F" w:rsidRPr="000743DF">
        <w:rPr>
          <w:rFonts w:cstheme="minorHAnsi"/>
        </w:rPr>
        <w:t xml:space="preserve">Una gran ventaja de este método es que ofrecería a las PYME una manera asequible y flexible de participar en las Comisiones de Estudio y que </w:t>
      </w:r>
      <w:r w:rsidR="0098308C" w:rsidRPr="000743DF">
        <w:rPr>
          <w:rFonts w:cstheme="minorHAnsi"/>
        </w:rPr>
        <w:t xml:space="preserve">algunas incluso podrían posteriormente convertirse en Asociados o Miembros de Sector. El inconveniente es que resulta difícil para una empresa influir en los procesos de normalización/definición de prácticas idóneas </w:t>
      </w:r>
      <w:r w:rsidR="0098308C" w:rsidRPr="000743DF">
        <w:rPr>
          <w:rFonts w:cstheme="minorHAnsi"/>
        </w:rPr>
        <w:lastRenderedPageBreak/>
        <w:t>participando sólo ocasionalmente. Es necesario estudiar más detalladamente la viabilidad de esta opción y encontrar un método eficiente de inscripción y pago. La UIT podría también, a través de sus asociaciones, consultar con las PYME para conocer su nivel de interés por esta opción</w:t>
      </w:r>
      <w:r w:rsidR="00C33553" w:rsidRPr="000743DF">
        <w:rPr>
          <w:rFonts w:cstheme="minorHAnsi"/>
        </w:rPr>
        <w:t>.</w:t>
      </w:r>
    </w:p>
    <w:p w:rsidR="00F81173" w:rsidRPr="000743DF" w:rsidRDefault="00F81173" w:rsidP="00590543">
      <w:pPr>
        <w:rPr>
          <w:rFonts w:cstheme="minorHAnsi"/>
        </w:rPr>
      </w:pPr>
      <w:r w:rsidRPr="000743DF">
        <w:rPr>
          <w:rFonts w:cstheme="minorHAnsi"/>
        </w:rPr>
        <w:t>4.6</w:t>
      </w:r>
      <w:r w:rsidRPr="000743DF">
        <w:rPr>
          <w:rFonts w:cstheme="minorHAnsi"/>
        </w:rPr>
        <w:tab/>
      </w:r>
      <w:r w:rsidR="00FD5B04" w:rsidRPr="000743DF">
        <w:rPr>
          <w:rFonts w:cstheme="minorHAnsi"/>
          <w:b/>
          <w:u w:val="single"/>
        </w:rPr>
        <w:t>Mejorar los eventos y actividades de la UIT existentes</w:t>
      </w:r>
      <w:r w:rsidRPr="000743DF">
        <w:rPr>
          <w:rFonts w:cstheme="minorHAnsi"/>
        </w:rPr>
        <w:t xml:space="preserve">, </w:t>
      </w:r>
      <w:r w:rsidR="00FD5B04" w:rsidRPr="000743DF">
        <w:rPr>
          <w:rFonts w:cstheme="minorHAnsi"/>
        </w:rPr>
        <w:t xml:space="preserve">que ya ofrecen </w:t>
      </w:r>
      <w:r w:rsidR="00C656A8" w:rsidRPr="000743DF">
        <w:rPr>
          <w:rFonts w:cstheme="minorHAnsi"/>
        </w:rPr>
        <w:t>o</w:t>
      </w:r>
      <w:r w:rsidR="00FD5B04" w:rsidRPr="000743DF">
        <w:rPr>
          <w:rFonts w:cstheme="minorHAnsi"/>
        </w:rPr>
        <w:t>portunidades especiales para las PYME</w:t>
      </w:r>
      <w:r w:rsidRPr="000743DF">
        <w:rPr>
          <w:rFonts w:cstheme="minorHAnsi"/>
        </w:rPr>
        <w:t xml:space="preserve">. </w:t>
      </w:r>
      <w:r w:rsidRPr="000743DF">
        <w:rPr>
          <w:rFonts w:cstheme="minorHAnsi"/>
          <w:b/>
          <w:u w:val="single"/>
        </w:rPr>
        <w:t>TELECOM World</w:t>
      </w:r>
      <w:r w:rsidR="00126CE6" w:rsidRPr="000743DF">
        <w:rPr>
          <w:rFonts w:cstheme="minorHAnsi"/>
          <w:bCs/>
        </w:rPr>
        <w:t>,</w:t>
      </w:r>
      <w:r w:rsidRPr="000743DF">
        <w:rPr>
          <w:rFonts w:cstheme="minorHAnsi"/>
          <w:bCs/>
        </w:rPr>
        <w:t xml:space="preserve"> </w:t>
      </w:r>
      <w:r w:rsidR="00126CE6" w:rsidRPr="000743DF">
        <w:rPr>
          <w:rFonts w:cstheme="minorHAnsi"/>
        </w:rPr>
        <w:t>por ejemplo, sigue evolucionando para adaptarse a las necesidades específicas de las PYME con iniciativas concretas. Las PYME manifiestan cada vez más interés por la</w:t>
      </w:r>
      <w:r w:rsidRPr="000743DF">
        <w:rPr>
          <w:rFonts w:cstheme="minorHAnsi"/>
        </w:rPr>
        <w:t xml:space="preserve"> </w:t>
      </w:r>
      <w:r w:rsidR="00126CE6" w:rsidRPr="000743DF">
        <w:rPr>
          <w:rFonts w:cstheme="minorHAnsi"/>
          <w:b/>
          <w:u w:val="single"/>
        </w:rPr>
        <w:t>CMSI</w:t>
      </w:r>
      <w:r w:rsidR="00126CE6" w:rsidRPr="000743DF">
        <w:rPr>
          <w:rFonts w:cstheme="minorHAnsi"/>
          <w:bCs/>
        </w:rPr>
        <w:t xml:space="preserve"> </w:t>
      </w:r>
      <w:r w:rsidR="00126CE6" w:rsidRPr="000743DF">
        <w:rPr>
          <w:rFonts w:cstheme="minorHAnsi"/>
        </w:rPr>
        <w:t>y se han invertido esfuerzos en atraer a las PYME a los</w:t>
      </w:r>
      <w:r w:rsidRPr="000743DF">
        <w:rPr>
          <w:rFonts w:cstheme="minorHAnsi"/>
        </w:rPr>
        <w:t xml:space="preserve"> </w:t>
      </w:r>
      <w:r w:rsidR="00126CE6" w:rsidRPr="000743DF">
        <w:rPr>
          <w:rFonts w:cstheme="minorHAnsi"/>
          <w:b/>
          <w:u w:val="single"/>
        </w:rPr>
        <w:t>talleres y actividades informales</w:t>
      </w:r>
      <w:r w:rsidR="00126CE6" w:rsidRPr="000743DF">
        <w:rPr>
          <w:rFonts w:cstheme="minorHAnsi"/>
          <w:bCs/>
        </w:rPr>
        <w:t xml:space="preserve"> regionales y Sectoriales</w:t>
      </w:r>
      <w:r w:rsidRPr="000743DF">
        <w:rPr>
          <w:rFonts w:cstheme="minorHAnsi"/>
        </w:rPr>
        <w:t xml:space="preserve">. </w:t>
      </w:r>
      <w:r w:rsidR="00126CE6" w:rsidRPr="000743DF">
        <w:rPr>
          <w:rFonts w:cstheme="minorHAnsi"/>
        </w:rPr>
        <w:t xml:space="preserve">Estas actividades podrían intensificarse y multiplicarse a partir de la experiencia obtenida y de las respuestas recibidas hasta la fecha. La UIT se está preparando para lanzar una </w:t>
      </w:r>
      <w:r w:rsidRPr="000743DF">
        <w:rPr>
          <w:rFonts w:cstheme="minorHAnsi"/>
          <w:b/>
          <w:u w:val="single"/>
        </w:rPr>
        <w:t>n</w:t>
      </w:r>
      <w:r w:rsidR="00126CE6" w:rsidRPr="000743DF">
        <w:rPr>
          <w:rFonts w:cstheme="minorHAnsi"/>
          <w:b/>
          <w:u w:val="single"/>
        </w:rPr>
        <w:t>ueva plataforma en línea llamada</w:t>
      </w:r>
      <w:r w:rsidRPr="000743DF">
        <w:rPr>
          <w:rFonts w:cstheme="minorHAnsi"/>
          <w:b/>
          <w:u w:val="single"/>
        </w:rPr>
        <w:t xml:space="preserve"> </w:t>
      </w:r>
      <w:r w:rsidR="00BD40F4" w:rsidRPr="000743DF">
        <w:rPr>
          <w:rFonts w:cstheme="minorHAnsi"/>
          <w:b/>
          <w:u w:val="single"/>
        </w:rPr>
        <w:t>"</w:t>
      </w:r>
      <w:r w:rsidRPr="000743DF">
        <w:rPr>
          <w:rFonts w:cstheme="minorHAnsi"/>
          <w:b/>
          <w:u w:val="single"/>
        </w:rPr>
        <w:t>MyITU</w:t>
      </w:r>
      <w:r w:rsidR="00BD40F4" w:rsidRPr="000743DF">
        <w:rPr>
          <w:rFonts w:cstheme="minorHAnsi"/>
          <w:b/>
          <w:u w:val="single"/>
        </w:rPr>
        <w:t>"</w:t>
      </w:r>
      <w:r w:rsidRPr="000743DF">
        <w:rPr>
          <w:rFonts w:cstheme="minorHAnsi"/>
        </w:rPr>
        <w:t xml:space="preserve">, </w:t>
      </w:r>
      <w:r w:rsidR="00126CE6" w:rsidRPr="000743DF">
        <w:rPr>
          <w:rFonts w:cstheme="minorHAnsi"/>
        </w:rPr>
        <w:t>que ayudará a la Secretaría a comunicar más eficazmente y atraer a las PYME. Esta plataforma ofrecerá contenidos personalizados para los usuarios y será fácilmente accesible en formato móvil, por lo que llegará a nuevos usuarios</w:t>
      </w:r>
      <w:r w:rsidRPr="000743DF">
        <w:rPr>
          <w:rFonts w:cstheme="minorHAnsi"/>
        </w:rPr>
        <w:t>.</w:t>
      </w:r>
    </w:p>
    <w:p w:rsidR="00F81173" w:rsidRPr="000743DF" w:rsidRDefault="00F81173" w:rsidP="00590543">
      <w:pPr>
        <w:rPr>
          <w:rFonts w:cstheme="minorHAnsi"/>
        </w:rPr>
      </w:pPr>
      <w:r w:rsidRPr="000743DF">
        <w:rPr>
          <w:rFonts w:cstheme="minorHAnsi"/>
        </w:rPr>
        <w:t>4.7</w:t>
      </w:r>
      <w:r w:rsidRPr="000743DF">
        <w:rPr>
          <w:rFonts w:cstheme="minorHAnsi"/>
        </w:rPr>
        <w:tab/>
      </w:r>
      <w:r w:rsidR="00126CE6" w:rsidRPr="000743DF">
        <w:rPr>
          <w:rFonts w:cstheme="minorHAnsi"/>
          <w:b/>
          <w:u w:val="single"/>
        </w:rPr>
        <w:t>Reforzar la colaboración con las asociaciones de PYME</w:t>
      </w:r>
      <w:r w:rsidRPr="000743DF">
        <w:rPr>
          <w:rFonts w:cstheme="minorHAnsi"/>
        </w:rPr>
        <w:t xml:space="preserve"> </w:t>
      </w:r>
      <w:r w:rsidR="00126CE6" w:rsidRPr="000743DF">
        <w:rPr>
          <w:rFonts w:cstheme="minorHAnsi"/>
        </w:rPr>
        <w:t>en materia de formación y talleres e invitarlas a participar en las Comisiones de Estudio y las Conferencias de la UIT (en calidad de observadores), así como en las diversas actividades de la UIT abiertas al público. La colaboración con estas asociaciones es para la UIT una manera eficaz de llegar a muchas PYME de todo el mundo</w:t>
      </w:r>
      <w:r w:rsidRPr="000743DF">
        <w:rPr>
          <w:rFonts w:cstheme="minorHAnsi"/>
        </w:rPr>
        <w:t>.</w:t>
      </w:r>
    </w:p>
    <w:p w:rsidR="00F81173" w:rsidRPr="000743DF" w:rsidRDefault="00F81173" w:rsidP="00590543">
      <w:pPr>
        <w:pStyle w:val="Heading1"/>
      </w:pPr>
      <w:r w:rsidRPr="000743DF">
        <w:t>5</w:t>
      </w:r>
      <w:r w:rsidRPr="000743DF">
        <w:tab/>
      </w:r>
      <w:r w:rsidR="00126CE6" w:rsidRPr="000743DF">
        <w:t>Opciones para el futuro</w:t>
      </w:r>
    </w:p>
    <w:p w:rsidR="00F81173" w:rsidRPr="000743DF" w:rsidRDefault="00F81173" w:rsidP="00590543">
      <w:r w:rsidRPr="000743DF">
        <w:t>5.1</w:t>
      </w:r>
      <w:r w:rsidRPr="000743DF">
        <w:tab/>
      </w:r>
      <w:r w:rsidR="00126CE6" w:rsidRPr="000743DF">
        <w:t>De acuerdo con los resultados obtenidos hasta la fecha del proyecto piloto y del análisis presentado, se presentan a la consideración de la PP-18 las siguientes opciones para el futuro</w:t>
      </w:r>
      <w:r w:rsidRPr="000743DF">
        <w:t>:</w:t>
      </w:r>
    </w:p>
    <w:p w:rsidR="00F81173" w:rsidRPr="000743DF" w:rsidRDefault="0004278C" w:rsidP="00590543">
      <w:pPr>
        <w:pStyle w:val="enumlev1"/>
      </w:pPr>
      <w:r w:rsidRPr="000743DF">
        <w:rPr>
          <w:bCs/>
        </w:rPr>
        <w:t>1)</w:t>
      </w:r>
      <w:r w:rsidRPr="000743DF">
        <w:rPr>
          <w:bCs/>
        </w:rPr>
        <w:tab/>
      </w:r>
      <w:r w:rsidR="00126CE6" w:rsidRPr="000743DF">
        <w:rPr>
          <w:b/>
          <w:u w:val="single"/>
        </w:rPr>
        <w:t>Crear una nueva categoría para la participación</w:t>
      </w:r>
      <w:r w:rsidR="00F81173" w:rsidRPr="000743DF">
        <w:t xml:space="preserve"> </w:t>
      </w:r>
      <w:r w:rsidR="00126CE6" w:rsidRPr="000743DF">
        <w:t>de nuevas empresas y PYME</w:t>
      </w:r>
      <w:r w:rsidR="0091335F" w:rsidRPr="000743DF">
        <w:t xml:space="preserve"> a título de prueba y definir los procedimientos de admisión pertinentes, las tasas aplicables y las normas de participación</w:t>
      </w:r>
      <w:r w:rsidRPr="000743DF">
        <w:t>.</w:t>
      </w:r>
    </w:p>
    <w:p w:rsidR="00F81173" w:rsidRPr="000743DF" w:rsidRDefault="0004278C" w:rsidP="00590543">
      <w:pPr>
        <w:pStyle w:val="enumlev1"/>
        <w:rPr>
          <w:rFonts w:cstheme="minorHAnsi"/>
        </w:rPr>
      </w:pPr>
      <w:r w:rsidRPr="000743DF">
        <w:rPr>
          <w:bCs/>
        </w:rPr>
        <w:t>2)</w:t>
      </w:r>
      <w:r w:rsidRPr="000743DF">
        <w:rPr>
          <w:bCs/>
        </w:rPr>
        <w:tab/>
      </w:r>
      <w:r w:rsidR="0091335F" w:rsidRPr="000743DF">
        <w:rPr>
          <w:rFonts w:cstheme="minorHAnsi"/>
          <w:b/>
          <w:u w:val="single"/>
        </w:rPr>
        <w:t>Ampliar la duración del proyecto piloto</w:t>
      </w:r>
      <w:r w:rsidR="00F81173" w:rsidRPr="000743DF">
        <w:rPr>
          <w:rFonts w:cstheme="minorHAnsi"/>
        </w:rPr>
        <w:t xml:space="preserve"> </w:t>
      </w:r>
      <w:r w:rsidR="0091335F" w:rsidRPr="000743DF">
        <w:rPr>
          <w:rFonts w:cstheme="minorHAnsi"/>
        </w:rPr>
        <w:t>y examinar y modificar los métodos de trabajo, según proceda</w:t>
      </w:r>
      <w:r w:rsidRPr="000743DF">
        <w:rPr>
          <w:rFonts w:cstheme="minorHAnsi"/>
        </w:rPr>
        <w:t>.</w:t>
      </w:r>
    </w:p>
    <w:p w:rsidR="00F81173" w:rsidRPr="000743DF" w:rsidRDefault="00063FE5" w:rsidP="00590543">
      <w:pPr>
        <w:pStyle w:val="enumlev1"/>
        <w:rPr>
          <w:rFonts w:cstheme="minorHAnsi"/>
        </w:rPr>
      </w:pPr>
      <w:r w:rsidRPr="000743DF">
        <w:rPr>
          <w:bCs/>
        </w:rPr>
        <w:t>3)</w:t>
      </w:r>
      <w:r w:rsidRPr="000743DF">
        <w:rPr>
          <w:bCs/>
        </w:rPr>
        <w:tab/>
      </w:r>
      <w:r w:rsidR="0091335F" w:rsidRPr="000743DF">
        <w:rPr>
          <w:rFonts w:cstheme="minorHAnsi"/>
          <w:b/>
          <w:u w:val="single"/>
        </w:rPr>
        <w:t>Considerar diversas opciones para que la UIT atraiga a las PYME</w:t>
      </w:r>
      <w:r w:rsidR="00F81173" w:rsidRPr="000743DF">
        <w:rPr>
          <w:rFonts w:cstheme="minorHAnsi"/>
        </w:rPr>
        <w:t xml:space="preserve">, </w:t>
      </w:r>
      <w:r w:rsidR="0091335F" w:rsidRPr="000743DF">
        <w:rPr>
          <w:rFonts w:cstheme="minorHAnsi"/>
        </w:rPr>
        <w:t xml:space="preserve">tanto en calidad de </w:t>
      </w:r>
      <w:r w:rsidR="004733AC" w:rsidRPr="000743DF">
        <w:rPr>
          <w:rFonts w:cstheme="minorHAnsi"/>
        </w:rPr>
        <w:t xml:space="preserve">miembros </w:t>
      </w:r>
      <w:r w:rsidR="007748C4" w:rsidRPr="000743DF">
        <w:rPr>
          <w:rFonts w:cstheme="minorHAnsi"/>
        </w:rPr>
        <w:t>como de no miembros.</w:t>
      </w:r>
    </w:p>
    <w:p w:rsidR="00F81173" w:rsidRPr="000743DF" w:rsidRDefault="00063FE5" w:rsidP="00590543">
      <w:pPr>
        <w:pStyle w:val="enumlev1"/>
        <w:rPr>
          <w:rFonts w:cstheme="minorHAnsi"/>
        </w:rPr>
      </w:pPr>
      <w:r w:rsidRPr="000743DF">
        <w:rPr>
          <w:bCs/>
        </w:rPr>
        <w:t>4)</w:t>
      </w:r>
      <w:r w:rsidRPr="000743DF">
        <w:rPr>
          <w:bCs/>
        </w:rPr>
        <w:tab/>
      </w:r>
      <w:r w:rsidR="0091335F" w:rsidRPr="000743DF">
        <w:rPr>
          <w:rFonts w:cstheme="minorHAnsi"/>
          <w:b/>
          <w:u w:val="single"/>
        </w:rPr>
        <w:t>Dar por terminado el proyecto piloto</w:t>
      </w:r>
      <w:r w:rsidR="0091335F" w:rsidRPr="000743DF">
        <w:rPr>
          <w:rFonts w:cstheme="minorHAnsi"/>
        </w:rPr>
        <w:t xml:space="preserve"> y conservar la práctica actual</w:t>
      </w:r>
      <w:r w:rsidR="00F81173" w:rsidRPr="000743DF">
        <w:rPr>
          <w:rFonts w:cstheme="minorHAnsi"/>
        </w:rPr>
        <w:t>.</w:t>
      </w:r>
    </w:p>
    <w:p w:rsidR="00F81173" w:rsidRPr="000743DF" w:rsidRDefault="00F81173" w:rsidP="00590543">
      <w:pPr>
        <w:rPr>
          <w:rFonts w:cstheme="minorHAnsi"/>
          <w:b/>
        </w:rPr>
      </w:pPr>
      <w:r w:rsidRPr="000743DF">
        <w:rPr>
          <w:rFonts w:cstheme="minorHAnsi"/>
          <w:b/>
        </w:rPr>
        <w:br w:type="page"/>
      </w:r>
    </w:p>
    <w:p w:rsidR="00F81173" w:rsidRPr="000743DF" w:rsidRDefault="004E6552" w:rsidP="00590543">
      <w:pPr>
        <w:pStyle w:val="AnnexNo"/>
      </w:pPr>
      <w:r w:rsidRPr="000743DF">
        <w:lastRenderedPageBreak/>
        <w:t>AN</w:t>
      </w:r>
      <w:r w:rsidR="00F81173" w:rsidRPr="000743DF">
        <w:t>EX</w:t>
      </w:r>
      <w:r w:rsidRPr="000743DF">
        <w:t>O</w:t>
      </w:r>
    </w:p>
    <w:p w:rsidR="00F81173" w:rsidRPr="000743DF" w:rsidRDefault="0091335F" w:rsidP="0073684E">
      <w:pPr>
        <w:pStyle w:val="Annextitle"/>
      </w:pPr>
      <w:r w:rsidRPr="000743DF">
        <w:t>Entidades que participan en el Proyecto piloto para PYME</w:t>
      </w:r>
    </w:p>
    <w:tbl>
      <w:tblPr>
        <w:tblStyle w:val="TableGrid"/>
        <w:tblW w:w="0" w:type="auto"/>
        <w:jc w:val="center"/>
        <w:tblLook w:val="04A0" w:firstRow="1" w:lastRow="0" w:firstColumn="1" w:lastColumn="0" w:noHBand="0" w:noVBand="1"/>
      </w:tblPr>
      <w:tblGrid>
        <w:gridCol w:w="663"/>
        <w:gridCol w:w="3903"/>
        <w:gridCol w:w="2020"/>
        <w:gridCol w:w="1291"/>
        <w:gridCol w:w="1732"/>
      </w:tblGrid>
      <w:tr w:rsidR="00F81173" w:rsidRPr="000743DF" w:rsidTr="004E6552">
        <w:trPr>
          <w:tblHeader/>
          <w:jc w:val="center"/>
        </w:trPr>
        <w:tc>
          <w:tcPr>
            <w:tcW w:w="663" w:type="dxa"/>
            <w:shd w:val="clear" w:color="auto" w:fill="auto"/>
            <w:vAlign w:val="center"/>
          </w:tcPr>
          <w:p w:rsidR="00F81173" w:rsidRPr="000743DF" w:rsidRDefault="00F81173" w:rsidP="00590543">
            <w:pPr>
              <w:pStyle w:val="Tablehead"/>
            </w:pPr>
          </w:p>
        </w:tc>
        <w:tc>
          <w:tcPr>
            <w:tcW w:w="3903" w:type="dxa"/>
            <w:shd w:val="clear" w:color="auto" w:fill="auto"/>
            <w:vAlign w:val="center"/>
          </w:tcPr>
          <w:p w:rsidR="00F81173" w:rsidRPr="000743DF" w:rsidRDefault="004E6552" w:rsidP="00590543">
            <w:pPr>
              <w:pStyle w:val="Tablehead"/>
            </w:pPr>
            <w:r w:rsidRPr="000743DF">
              <w:t>Nombre</w:t>
            </w:r>
          </w:p>
        </w:tc>
        <w:tc>
          <w:tcPr>
            <w:tcW w:w="2020" w:type="dxa"/>
            <w:shd w:val="clear" w:color="auto" w:fill="auto"/>
            <w:vAlign w:val="center"/>
          </w:tcPr>
          <w:p w:rsidR="00F81173" w:rsidRPr="000743DF" w:rsidRDefault="0091335F" w:rsidP="00590543">
            <w:pPr>
              <w:pStyle w:val="Tablehead"/>
            </w:pPr>
            <w:r w:rsidRPr="000743DF">
              <w:t>Estado Miembro aprobador</w:t>
            </w:r>
          </w:p>
        </w:tc>
        <w:tc>
          <w:tcPr>
            <w:tcW w:w="1291" w:type="dxa"/>
            <w:shd w:val="clear" w:color="auto" w:fill="auto"/>
            <w:vAlign w:val="center"/>
          </w:tcPr>
          <w:p w:rsidR="00F81173" w:rsidRPr="000743DF" w:rsidRDefault="00F81173" w:rsidP="00590543">
            <w:pPr>
              <w:pStyle w:val="Tablehead"/>
            </w:pPr>
            <w:r w:rsidRPr="000743DF">
              <w:t>Sector</w:t>
            </w:r>
          </w:p>
        </w:tc>
        <w:tc>
          <w:tcPr>
            <w:tcW w:w="1732" w:type="dxa"/>
            <w:shd w:val="clear" w:color="auto" w:fill="auto"/>
            <w:vAlign w:val="center"/>
          </w:tcPr>
          <w:p w:rsidR="00F81173" w:rsidRPr="000743DF" w:rsidRDefault="004E6552" w:rsidP="00590543">
            <w:pPr>
              <w:pStyle w:val="Tablehead"/>
            </w:pPr>
            <w:r w:rsidRPr="000743DF">
              <w:t xml:space="preserve">Comisión de </w:t>
            </w:r>
            <w:r w:rsidRPr="000743DF">
              <w:br/>
              <w:t>Estudio</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w:t>
            </w:r>
          </w:p>
        </w:tc>
        <w:tc>
          <w:tcPr>
            <w:tcW w:w="3903" w:type="dxa"/>
            <w:shd w:val="clear" w:color="auto" w:fill="auto"/>
          </w:tcPr>
          <w:p w:rsidR="00F81173" w:rsidRPr="000743DF" w:rsidRDefault="00F81173" w:rsidP="00590543">
            <w:pPr>
              <w:pStyle w:val="Tabletext"/>
            </w:pPr>
            <w:r w:rsidRPr="000743DF">
              <w:t>Proge-Software</w:t>
            </w:r>
          </w:p>
        </w:tc>
        <w:tc>
          <w:tcPr>
            <w:tcW w:w="2020" w:type="dxa"/>
            <w:shd w:val="clear" w:color="auto" w:fill="auto"/>
          </w:tcPr>
          <w:p w:rsidR="00F81173" w:rsidRPr="000743DF" w:rsidRDefault="004E6552" w:rsidP="00590543">
            <w:pPr>
              <w:pStyle w:val="Tabletext"/>
              <w:jc w:val="center"/>
            </w:pPr>
            <w:r w:rsidRPr="000743DF">
              <w:t>Italia</w:t>
            </w:r>
          </w:p>
        </w:tc>
        <w:tc>
          <w:tcPr>
            <w:tcW w:w="1291" w:type="dxa"/>
            <w:shd w:val="clear" w:color="auto" w:fill="auto"/>
          </w:tcPr>
          <w:p w:rsidR="00F81173" w:rsidRPr="000743DF" w:rsidRDefault="004E6552" w:rsidP="00590543">
            <w:pPr>
              <w:pStyle w:val="Tabletext"/>
              <w:jc w:val="center"/>
            </w:pPr>
            <w:r w:rsidRPr="000743DF">
              <w:t>UIT</w:t>
            </w:r>
            <w:r w:rsidR="00F81173" w:rsidRPr="000743DF">
              <w:t>-D</w:t>
            </w:r>
          </w:p>
        </w:tc>
        <w:tc>
          <w:tcPr>
            <w:tcW w:w="1732" w:type="dxa"/>
            <w:shd w:val="clear" w:color="auto" w:fill="auto"/>
          </w:tcPr>
          <w:p w:rsidR="00F81173" w:rsidRPr="000743DF" w:rsidRDefault="004E6552" w:rsidP="00590543">
            <w:pPr>
              <w:pStyle w:val="Tabletext"/>
              <w:jc w:val="center"/>
            </w:pPr>
            <w:r w:rsidRPr="000743DF">
              <w:t>CE </w:t>
            </w:r>
            <w:r w:rsidR="00F81173" w:rsidRPr="000743DF">
              <w:t>1/2</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2</w:t>
            </w:r>
          </w:p>
        </w:tc>
        <w:tc>
          <w:tcPr>
            <w:tcW w:w="3903" w:type="dxa"/>
            <w:shd w:val="clear" w:color="auto" w:fill="auto"/>
          </w:tcPr>
          <w:p w:rsidR="00F81173" w:rsidRPr="000743DF" w:rsidRDefault="00F81173" w:rsidP="00590543">
            <w:pPr>
              <w:pStyle w:val="Tabletext"/>
            </w:pPr>
            <w:r w:rsidRPr="000743DF">
              <w:t>Forum Europe</w:t>
            </w:r>
          </w:p>
        </w:tc>
        <w:tc>
          <w:tcPr>
            <w:tcW w:w="2020" w:type="dxa"/>
            <w:shd w:val="clear" w:color="auto" w:fill="auto"/>
          </w:tcPr>
          <w:p w:rsidR="00F81173" w:rsidRPr="000743DF" w:rsidRDefault="004E6552" w:rsidP="00590543">
            <w:pPr>
              <w:pStyle w:val="Tabletext"/>
              <w:jc w:val="center"/>
            </w:pPr>
            <w:r w:rsidRPr="000743DF">
              <w:t>Reino Unido</w:t>
            </w:r>
          </w:p>
        </w:tc>
        <w:tc>
          <w:tcPr>
            <w:tcW w:w="1291" w:type="dxa"/>
            <w:shd w:val="clear" w:color="auto" w:fill="auto"/>
          </w:tcPr>
          <w:p w:rsidR="00F81173" w:rsidRPr="000743DF" w:rsidRDefault="004E6552" w:rsidP="00590543">
            <w:pPr>
              <w:pStyle w:val="Tabletext"/>
              <w:jc w:val="center"/>
            </w:pPr>
            <w:r w:rsidRPr="000743DF">
              <w:t>UIT-D</w:t>
            </w:r>
          </w:p>
        </w:tc>
        <w:tc>
          <w:tcPr>
            <w:tcW w:w="1732" w:type="dxa"/>
            <w:shd w:val="clear" w:color="auto" w:fill="auto"/>
          </w:tcPr>
          <w:p w:rsidR="00F81173" w:rsidRPr="000743DF" w:rsidRDefault="004E6552" w:rsidP="00590543">
            <w:pPr>
              <w:pStyle w:val="Tabletext"/>
              <w:jc w:val="center"/>
            </w:pPr>
            <w:r w:rsidRPr="000743DF">
              <w:t>CE </w:t>
            </w:r>
            <w:r w:rsidR="00F81173" w:rsidRPr="000743DF">
              <w:t>1/2</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3</w:t>
            </w:r>
          </w:p>
        </w:tc>
        <w:tc>
          <w:tcPr>
            <w:tcW w:w="3903" w:type="dxa"/>
            <w:shd w:val="clear" w:color="auto" w:fill="auto"/>
          </w:tcPr>
          <w:p w:rsidR="00F81173" w:rsidRPr="000743DF" w:rsidRDefault="00F81173" w:rsidP="00590543">
            <w:pPr>
              <w:pStyle w:val="Tabletext"/>
            </w:pPr>
            <w:r w:rsidRPr="000743DF">
              <w:t>DAIWA Computer Co. Ltd.</w:t>
            </w:r>
          </w:p>
        </w:tc>
        <w:tc>
          <w:tcPr>
            <w:tcW w:w="2020" w:type="dxa"/>
            <w:shd w:val="clear" w:color="auto" w:fill="auto"/>
          </w:tcPr>
          <w:p w:rsidR="00F81173" w:rsidRPr="000743DF" w:rsidRDefault="004E6552" w:rsidP="00590543">
            <w:pPr>
              <w:pStyle w:val="Tabletext"/>
              <w:jc w:val="center"/>
            </w:pPr>
            <w:r w:rsidRPr="000743DF">
              <w:t>Japó</w:t>
            </w:r>
            <w:r w:rsidR="00F81173" w:rsidRPr="000743DF">
              <w:t>n</w:t>
            </w:r>
          </w:p>
        </w:tc>
        <w:tc>
          <w:tcPr>
            <w:tcW w:w="1291" w:type="dxa"/>
            <w:shd w:val="clear" w:color="auto" w:fill="auto"/>
          </w:tcPr>
          <w:p w:rsidR="00F81173" w:rsidRPr="000743DF" w:rsidRDefault="004E6552" w:rsidP="00590543">
            <w:pPr>
              <w:pStyle w:val="Tabletext"/>
              <w:jc w:val="center"/>
            </w:pPr>
            <w:r w:rsidRPr="000743DF">
              <w:t>UIT-D</w:t>
            </w:r>
          </w:p>
        </w:tc>
        <w:tc>
          <w:tcPr>
            <w:tcW w:w="1732" w:type="dxa"/>
            <w:shd w:val="clear" w:color="auto" w:fill="auto"/>
          </w:tcPr>
          <w:p w:rsidR="00F81173" w:rsidRPr="000743DF" w:rsidRDefault="004E6552" w:rsidP="00590543">
            <w:pPr>
              <w:pStyle w:val="Tabletext"/>
              <w:jc w:val="center"/>
            </w:pPr>
            <w:r w:rsidRPr="000743DF">
              <w:t>CE </w:t>
            </w:r>
            <w:r w:rsidR="00F81173" w:rsidRPr="000743DF">
              <w:t>1/2</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4</w:t>
            </w:r>
          </w:p>
        </w:tc>
        <w:tc>
          <w:tcPr>
            <w:tcW w:w="3903" w:type="dxa"/>
            <w:shd w:val="clear" w:color="auto" w:fill="auto"/>
          </w:tcPr>
          <w:p w:rsidR="00F81173" w:rsidRPr="000743DF" w:rsidRDefault="00F81173" w:rsidP="00590543">
            <w:pPr>
              <w:pStyle w:val="Tabletext"/>
            </w:pPr>
            <w:r w:rsidRPr="000743DF">
              <w:t>Guardtime</w:t>
            </w:r>
          </w:p>
        </w:tc>
        <w:tc>
          <w:tcPr>
            <w:tcW w:w="2020" w:type="dxa"/>
            <w:shd w:val="clear" w:color="auto" w:fill="auto"/>
          </w:tcPr>
          <w:p w:rsidR="00F81173" w:rsidRPr="000743DF" w:rsidRDefault="00F81173" w:rsidP="00590543">
            <w:pPr>
              <w:pStyle w:val="Tabletext"/>
              <w:jc w:val="center"/>
            </w:pPr>
            <w:r w:rsidRPr="000743DF">
              <w:t>Estonia</w:t>
            </w:r>
          </w:p>
        </w:tc>
        <w:tc>
          <w:tcPr>
            <w:tcW w:w="1291" w:type="dxa"/>
            <w:shd w:val="clear" w:color="auto" w:fill="auto"/>
          </w:tcPr>
          <w:p w:rsidR="00F81173" w:rsidRPr="000743DF" w:rsidRDefault="004E6552" w:rsidP="00590543">
            <w:pPr>
              <w:pStyle w:val="Tabletext"/>
              <w:jc w:val="center"/>
            </w:pPr>
            <w:r w:rsidRPr="000743DF">
              <w:t>UIT-D</w:t>
            </w:r>
          </w:p>
        </w:tc>
        <w:tc>
          <w:tcPr>
            <w:tcW w:w="1732" w:type="dxa"/>
            <w:shd w:val="clear" w:color="auto" w:fill="auto"/>
          </w:tcPr>
          <w:p w:rsidR="00F81173" w:rsidRPr="000743DF" w:rsidRDefault="004E6552" w:rsidP="00590543">
            <w:pPr>
              <w:pStyle w:val="Tabletext"/>
              <w:jc w:val="center"/>
            </w:pPr>
            <w:r w:rsidRPr="000743DF">
              <w:t>CE </w:t>
            </w:r>
            <w:r w:rsidR="00F81173" w:rsidRPr="000743DF">
              <w:t>2</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5</w:t>
            </w:r>
          </w:p>
        </w:tc>
        <w:tc>
          <w:tcPr>
            <w:tcW w:w="3903" w:type="dxa"/>
            <w:shd w:val="clear" w:color="auto" w:fill="auto"/>
          </w:tcPr>
          <w:p w:rsidR="00F81173" w:rsidRPr="000743DF" w:rsidRDefault="00F81173" w:rsidP="00590543">
            <w:pPr>
              <w:pStyle w:val="Tabletext"/>
            </w:pPr>
            <w:r w:rsidRPr="000743DF">
              <w:t>Melody International Ltd.</w:t>
            </w:r>
          </w:p>
        </w:tc>
        <w:tc>
          <w:tcPr>
            <w:tcW w:w="2020" w:type="dxa"/>
            <w:shd w:val="clear" w:color="auto" w:fill="auto"/>
          </w:tcPr>
          <w:p w:rsidR="00F81173" w:rsidRPr="000743DF" w:rsidRDefault="004E6552" w:rsidP="00590543">
            <w:pPr>
              <w:pStyle w:val="Tabletext"/>
              <w:jc w:val="center"/>
            </w:pPr>
            <w:r w:rsidRPr="000743DF">
              <w:t>Japón</w:t>
            </w:r>
          </w:p>
        </w:tc>
        <w:tc>
          <w:tcPr>
            <w:tcW w:w="1291" w:type="dxa"/>
            <w:shd w:val="clear" w:color="auto" w:fill="auto"/>
          </w:tcPr>
          <w:p w:rsidR="00F81173" w:rsidRPr="000743DF" w:rsidRDefault="004E6552" w:rsidP="00590543">
            <w:pPr>
              <w:pStyle w:val="Tabletext"/>
              <w:jc w:val="center"/>
            </w:pPr>
            <w:r w:rsidRPr="000743DF">
              <w:t>UIT-D</w:t>
            </w:r>
          </w:p>
        </w:tc>
        <w:tc>
          <w:tcPr>
            <w:tcW w:w="1732" w:type="dxa"/>
            <w:shd w:val="clear" w:color="auto" w:fill="auto"/>
          </w:tcPr>
          <w:p w:rsidR="00F81173" w:rsidRPr="000743DF" w:rsidRDefault="004E6552" w:rsidP="00590543">
            <w:pPr>
              <w:pStyle w:val="Tabletext"/>
              <w:jc w:val="center"/>
            </w:pPr>
            <w:r w:rsidRPr="000743DF">
              <w:t>CE </w:t>
            </w:r>
            <w:r w:rsidR="00F81173" w:rsidRPr="000743DF">
              <w:t>2</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6</w:t>
            </w:r>
          </w:p>
        </w:tc>
        <w:tc>
          <w:tcPr>
            <w:tcW w:w="3903" w:type="dxa"/>
            <w:shd w:val="clear" w:color="auto" w:fill="auto"/>
          </w:tcPr>
          <w:p w:rsidR="00F81173" w:rsidRPr="000743DF" w:rsidRDefault="00F81173" w:rsidP="00590543">
            <w:pPr>
              <w:pStyle w:val="Tabletext"/>
            </w:pPr>
            <w:r w:rsidRPr="000743DF">
              <w:t>OrangeTechLab Inc.</w:t>
            </w:r>
          </w:p>
        </w:tc>
        <w:tc>
          <w:tcPr>
            <w:tcW w:w="2020" w:type="dxa"/>
            <w:shd w:val="clear" w:color="auto" w:fill="auto"/>
          </w:tcPr>
          <w:p w:rsidR="00F81173" w:rsidRPr="000743DF" w:rsidRDefault="004E6552" w:rsidP="00590543">
            <w:pPr>
              <w:pStyle w:val="Tabletext"/>
              <w:jc w:val="center"/>
            </w:pPr>
            <w:r w:rsidRPr="000743DF">
              <w:t>Japón</w:t>
            </w:r>
          </w:p>
        </w:tc>
        <w:tc>
          <w:tcPr>
            <w:tcW w:w="1291" w:type="dxa"/>
            <w:shd w:val="clear" w:color="auto" w:fill="auto"/>
          </w:tcPr>
          <w:p w:rsidR="00F81173" w:rsidRPr="000743DF" w:rsidRDefault="004E6552" w:rsidP="00590543">
            <w:pPr>
              <w:pStyle w:val="Tabletext"/>
              <w:jc w:val="center"/>
            </w:pPr>
            <w:r w:rsidRPr="000743DF">
              <w:t>UIT-D</w:t>
            </w:r>
          </w:p>
        </w:tc>
        <w:tc>
          <w:tcPr>
            <w:tcW w:w="1732" w:type="dxa"/>
            <w:shd w:val="clear" w:color="auto" w:fill="auto"/>
          </w:tcPr>
          <w:p w:rsidR="00F81173" w:rsidRPr="000743DF" w:rsidRDefault="004E6552" w:rsidP="00590543">
            <w:pPr>
              <w:pStyle w:val="Tabletext"/>
              <w:jc w:val="center"/>
            </w:pPr>
            <w:r w:rsidRPr="000743DF">
              <w:t>CE </w:t>
            </w:r>
            <w:r w:rsidR="00F81173" w:rsidRPr="000743DF">
              <w:t>2</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7</w:t>
            </w:r>
          </w:p>
        </w:tc>
        <w:tc>
          <w:tcPr>
            <w:tcW w:w="3903" w:type="dxa"/>
          </w:tcPr>
          <w:p w:rsidR="00F81173" w:rsidRPr="000743DF" w:rsidRDefault="00F81173" w:rsidP="00590543">
            <w:pPr>
              <w:pStyle w:val="Tabletext"/>
            </w:pPr>
            <w:r w:rsidRPr="000743DF">
              <w:t>SatRevolution S.A.</w:t>
            </w:r>
          </w:p>
        </w:tc>
        <w:tc>
          <w:tcPr>
            <w:tcW w:w="2020" w:type="dxa"/>
          </w:tcPr>
          <w:p w:rsidR="00F81173" w:rsidRPr="000743DF" w:rsidRDefault="004E6552" w:rsidP="00590543">
            <w:pPr>
              <w:pStyle w:val="Tabletext"/>
              <w:jc w:val="center"/>
            </w:pPr>
            <w:r w:rsidRPr="000743DF">
              <w:t>Polonia</w:t>
            </w:r>
          </w:p>
        </w:tc>
        <w:tc>
          <w:tcPr>
            <w:tcW w:w="1291" w:type="dxa"/>
          </w:tcPr>
          <w:p w:rsidR="00F81173" w:rsidRPr="000743DF" w:rsidRDefault="004E6552" w:rsidP="00590543">
            <w:pPr>
              <w:pStyle w:val="Tabletext"/>
              <w:jc w:val="center"/>
            </w:pPr>
            <w:r w:rsidRPr="000743DF">
              <w:t>UIT-D</w:t>
            </w:r>
          </w:p>
        </w:tc>
        <w:tc>
          <w:tcPr>
            <w:tcW w:w="1732" w:type="dxa"/>
          </w:tcPr>
          <w:p w:rsidR="00F81173" w:rsidRPr="000743DF" w:rsidRDefault="004E6552" w:rsidP="00590543">
            <w:pPr>
              <w:pStyle w:val="Tabletext"/>
              <w:jc w:val="center"/>
            </w:pPr>
            <w:r w:rsidRPr="000743DF">
              <w:t>CE </w:t>
            </w:r>
            <w:r w:rsidR="00F81173" w:rsidRPr="000743DF">
              <w:t>2</w:t>
            </w:r>
          </w:p>
        </w:tc>
      </w:tr>
      <w:tr w:rsidR="00F81173" w:rsidRPr="000743DF" w:rsidTr="004E6552">
        <w:trPr>
          <w:trHeight w:val="596"/>
          <w:jc w:val="center"/>
        </w:trPr>
        <w:tc>
          <w:tcPr>
            <w:tcW w:w="663" w:type="dxa"/>
            <w:shd w:val="clear" w:color="auto" w:fill="auto"/>
          </w:tcPr>
          <w:p w:rsidR="00F81173" w:rsidRPr="000743DF" w:rsidRDefault="00F81173" w:rsidP="00590543">
            <w:pPr>
              <w:pStyle w:val="Tabletext"/>
              <w:jc w:val="center"/>
            </w:pPr>
            <w:r w:rsidRPr="000743DF">
              <w:t>8</w:t>
            </w:r>
          </w:p>
        </w:tc>
        <w:tc>
          <w:tcPr>
            <w:tcW w:w="3903" w:type="dxa"/>
            <w:shd w:val="clear" w:color="auto" w:fill="auto"/>
          </w:tcPr>
          <w:p w:rsidR="00F81173" w:rsidRPr="000743DF" w:rsidRDefault="00F81173" w:rsidP="00590543">
            <w:pPr>
              <w:pStyle w:val="Tabletext"/>
            </w:pPr>
            <w:r w:rsidRPr="000743DF">
              <w:t>ASTEM Co. Ltd.</w:t>
            </w:r>
          </w:p>
        </w:tc>
        <w:tc>
          <w:tcPr>
            <w:tcW w:w="2020" w:type="dxa"/>
            <w:shd w:val="clear" w:color="auto" w:fill="auto"/>
          </w:tcPr>
          <w:p w:rsidR="00F81173" w:rsidRPr="000743DF" w:rsidRDefault="004E6552" w:rsidP="00590543">
            <w:pPr>
              <w:pStyle w:val="Tabletext"/>
              <w:jc w:val="center"/>
            </w:pPr>
            <w:r w:rsidRPr="000743DF">
              <w:t>Japón</w:t>
            </w:r>
          </w:p>
        </w:tc>
        <w:tc>
          <w:tcPr>
            <w:tcW w:w="1291" w:type="dxa"/>
            <w:shd w:val="clear" w:color="auto" w:fill="auto"/>
          </w:tcPr>
          <w:p w:rsidR="00F81173" w:rsidRPr="000743DF" w:rsidRDefault="004E6552" w:rsidP="00590543">
            <w:pPr>
              <w:pStyle w:val="Tabletext"/>
              <w:jc w:val="center"/>
            </w:pPr>
            <w:r w:rsidRPr="000743DF">
              <w:t>UIT-D</w:t>
            </w:r>
          </w:p>
          <w:p w:rsidR="00F81173" w:rsidRPr="000743DF" w:rsidRDefault="004E6552" w:rsidP="00590543">
            <w:pPr>
              <w:pStyle w:val="Tabletext"/>
              <w:jc w:val="center"/>
            </w:pPr>
            <w:r w:rsidRPr="000743DF">
              <w:t>UIT</w:t>
            </w:r>
            <w:r w:rsidR="00F81173" w:rsidRPr="000743DF">
              <w:t>-T</w:t>
            </w:r>
          </w:p>
        </w:tc>
        <w:tc>
          <w:tcPr>
            <w:tcW w:w="1732" w:type="dxa"/>
            <w:shd w:val="clear" w:color="auto" w:fill="auto"/>
          </w:tcPr>
          <w:p w:rsidR="00F81173" w:rsidRPr="000743DF" w:rsidRDefault="004E6552" w:rsidP="00590543">
            <w:pPr>
              <w:pStyle w:val="Tabletext"/>
              <w:jc w:val="center"/>
            </w:pPr>
            <w:r w:rsidRPr="000743DF">
              <w:t>CE </w:t>
            </w:r>
            <w:r w:rsidR="00F81173" w:rsidRPr="000743DF">
              <w:t>2</w:t>
            </w:r>
          </w:p>
          <w:p w:rsidR="00F81173" w:rsidRPr="000743DF" w:rsidRDefault="004E6552" w:rsidP="00590543">
            <w:pPr>
              <w:pStyle w:val="Tabletext"/>
              <w:jc w:val="center"/>
            </w:pPr>
            <w:r w:rsidRPr="000743DF">
              <w:t>CE </w:t>
            </w:r>
            <w:r w:rsidR="00F81173" w:rsidRPr="000743DF">
              <w:t>16</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9</w:t>
            </w:r>
          </w:p>
        </w:tc>
        <w:tc>
          <w:tcPr>
            <w:tcW w:w="3903" w:type="dxa"/>
            <w:shd w:val="clear" w:color="auto" w:fill="auto"/>
          </w:tcPr>
          <w:p w:rsidR="00F81173" w:rsidRPr="00B14D27" w:rsidRDefault="00F81173" w:rsidP="00590543">
            <w:pPr>
              <w:pStyle w:val="Tabletext"/>
              <w:rPr>
                <w:lang w:val="en-GB"/>
              </w:rPr>
            </w:pPr>
            <w:r w:rsidRPr="00B14D27">
              <w:rPr>
                <w:lang w:val="en-GB"/>
              </w:rPr>
              <w:t>Hellenic Electronic Equipment Quality Assurance Center s.a. (HEEQAC S.A.)</w:t>
            </w:r>
          </w:p>
        </w:tc>
        <w:tc>
          <w:tcPr>
            <w:tcW w:w="2020" w:type="dxa"/>
            <w:shd w:val="clear" w:color="auto" w:fill="auto"/>
          </w:tcPr>
          <w:p w:rsidR="00F81173" w:rsidRPr="000743DF" w:rsidRDefault="004E6552" w:rsidP="00590543">
            <w:pPr>
              <w:pStyle w:val="Tabletext"/>
              <w:jc w:val="center"/>
            </w:pPr>
            <w:r w:rsidRPr="000743DF">
              <w:t>Grecia</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w:t>
            </w:r>
            <w:r w:rsidR="00F81173" w:rsidRPr="000743DF">
              <w:t>5</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10</w:t>
            </w:r>
          </w:p>
        </w:tc>
        <w:tc>
          <w:tcPr>
            <w:tcW w:w="3903" w:type="dxa"/>
            <w:shd w:val="clear" w:color="auto" w:fill="auto"/>
          </w:tcPr>
          <w:p w:rsidR="00F81173" w:rsidRPr="000743DF" w:rsidRDefault="00F81173" w:rsidP="00590543">
            <w:pPr>
              <w:pStyle w:val="Tabletext"/>
            </w:pPr>
            <w:r w:rsidRPr="000743DF">
              <w:t>Wave Control</w:t>
            </w:r>
          </w:p>
        </w:tc>
        <w:tc>
          <w:tcPr>
            <w:tcW w:w="2020" w:type="dxa"/>
            <w:shd w:val="clear" w:color="auto" w:fill="auto"/>
          </w:tcPr>
          <w:p w:rsidR="00F81173" w:rsidRPr="000743DF" w:rsidRDefault="004E6552" w:rsidP="00590543">
            <w:pPr>
              <w:pStyle w:val="Tabletext"/>
              <w:jc w:val="center"/>
            </w:pPr>
            <w:r w:rsidRPr="000743DF">
              <w:t>España</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w:t>
            </w:r>
            <w:r w:rsidR="00F81173" w:rsidRPr="000743DF">
              <w:t>5</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11</w:t>
            </w:r>
          </w:p>
        </w:tc>
        <w:tc>
          <w:tcPr>
            <w:tcW w:w="3903" w:type="dxa"/>
            <w:shd w:val="clear" w:color="auto" w:fill="auto"/>
          </w:tcPr>
          <w:p w:rsidR="00F81173" w:rsidRPr="000743DF" w:rsidRDefault="00F81173" w:rsidP="00590543">
            <w:pPr>
              <w:pStyle w:val="Tabletext"/>
            </w:pPr>
            <w:r w:rsidRPr="000743DF">
              <w:t>MJRD Assessment Inc</w:t>
            </w:r>
          </w:p>
        </w:tc>
        <w:tc>
          <w:tcPr>
            <w:tcW w:w="2020" w:type="dxa"/>
            <w:shd w:val="clear" w:color="auto" w:fill="auto"/>
          </w:tcPr>
          <w:p w:rsidR="00F81173" w:rsidRPr="000743DF" w:rsidRDefault="00F81173" w:rsidP="00590543">
            <w:pPr>
              <w:pStyle w:val="Tabletext"/>
              <w:jc w:val="center"/>
            </w:pPr>
            <w:r w:rsidRPr="000743DF">
              <w:t>Canad</w:t>
            </w:r>
            <w:r w:rsidR="004E6552" w:rsidRPr="000743DF">
              <w:t>á</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w:t>
            </w:r>
            <w:r w:rsidR="00F81173" w:rsidRPr="000743DF">
              <w:t>5</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12</w:t>
            </w:r>
          </w:p>
        </w:tc>
        <w:tc>
          <w:tcPr>
            <w:tcW w:w="3903" w:type="dxa"/>
            <w:shd w:val="clear" w:color="auto" w:fill="auto"/>
          </w:tcPr>
          <w:p w:rsidR="00F81173" w:rsidRPr="000743DF" w:rsidRDefault="00F81173" w:rsidP="00590543">
            <w:pPr>
              <w:pStyle w:val="Tabletext"/>
            </w:pPr>
            <w:r w:rsidRPr="000743DF">
              <w:t>Closing the Loop</w:t>
            </w:r>
          </w:p>
        </w:tc>
        <w:tc>
          <w:tcPr>
            <w:tcW w:w="2020" w:type="dxa"/>
            <w:shd w:val="clear" w:color="auto" w:fill="auto"/>
          </w:tcPr>
          <w:p w:rsidR="00F81173" w:rsidRPr="000743DF" w:rsidRDefault="004E6552" w:rsidP="00590543">
            <w:pPr>
              <w:pStyle w:val="Tabletext"/>
              <w:jc w:val="center"/>
            </w:pPr>
            <w:r w:rsidRPr="000743DF">
              <w:t>Países Bajos</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w:t>
            </w:r>
            <w:r w:rsidR="00F81173" w:rsidRPr="000743DF">
              <w:t>5</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13</w:t>
            </w:r>
          </w:p>
        </w:tc>
        <w:tc>
          <w:tcPr>
            <w:tcW w:w="3903" w:type="dxa"/>
            <w:shd w:val="clear" w:color="auto" w:fill="auto"/>
          </w:tcPr>
          <w:p w:rsidR="00F81173" w:rsidRPr="000743DF" w:rsidRDefault="00F81173" w:rsidP="00590543">
            <w:pPr>
              <w:pStyle w:val="Tabletext"/>
            </w:pPr>
            <w:r w:rsidRPr="000743DF">
              <w:t>Vaulto Technologies Ltd</w:t>
            </w:r>
          </w:p>
        </w:tc>
        <w:tc>
          <w:tcPr>
            <w:tcW w:w="2020" w:type="dxa"/>
            <w:shd w:val="clear" w:color="auto" w:fill="auto"/>
          </w:tcPr>
          <w:p w:rsidR="00F81173" w:rsidRPr="000743DF" w:rsidRDefault="00F81173" w:rsidP="00590543">
            <w:pPr>
              <w:pStyle w:val="Tabletext"/>
              <w:jc w:val="center"/>
            </w:pPr>
            <w:r w:rsidRPr="000743DF">
              <w:t>Israel</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w:t>
            </w:r>
            <w:r w:rsidR="00F81173" w:rsidRPr="000743DF">
              <w:t>11</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14</w:t>
            </w:r>
          </w:p>
        </w:tc>
        <w:tc>
          <w:tcPr>
            <w:tcW w:w="3903" w:type="dxa"/>
            <w:shd w:val="clear" w:color="auto" w:fill="auto"/>
          </w:tcPr>
          <w:p w:rsidR="00F81173" w:rsidRPr="000743DF" w:rsidRDefault="00F81173" w:rsidP="00590543">
            <w:pPr>
              <w:pStyle w:val="Tabletext"/>
            </w:pPr>
            <w:r w:rsidRPr="000743DF">
              <w:t>Wayfindr</w:t>
            </w:r>
          </w:p>
        </w:tc>
        <w:tc>
          <w:tcPr>
            <w:tcW w:w="2020" w:type="dxa"/>
            <w:shd w:val="clear" w:color="auto" w:fill="auto"/>
          </w:tcPr>
          <w:p w:rsidR="00F81173" w:rsidRPr="000743DF" w:rsidRDefault="004E6552" w:rsidP="00590543">
            <w:pPr>
              <w:pStyle w:val="Tabletext"/>
              <w:jc w:val="center"/>
            </w:pPr>
            <w:r w:rsidRPr="000743DF">
              <w:t>Reino Unido</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w:t>
            </w:r>
            <w:r w:rsidR="00F81173" w:rsidRPr="000743DF">
              <w:t>16</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15</w:t>
            </w:r>
          </w:p>
        </w:tc>
        <w:tc>
          <w:tcPr>
            <w:tcW w:w="3903" w:type="dxa"/>
            <w:shd w:val="clear" w:color="auto" w:fill="auto"/>
          </w:tcPr>
          <w:p w:rsidR="00F81173" w:rsidRPr="000743DF" w:rsidRDefault="00F81173" w:rsidP="00590543">
            <w:pPr>
              <w:pStyle w:val="Tabletext"/>
            </w:pPr>
            <w:r w:rsidRPr="000743DF">
              <w:t>Alkira Technologies</w:t>
            </w:r>
          </w:p>
        </w:tc>
        <w:tc>
          <w:tcPr>
            <w:tcW w:w="2020" w:type="dxa"/>
            <w:shd w:val="clear" w:color="auto" w:fill="auto"/>
          </w:tcPr>
          <w:p w:rsidR="00F81173" w:rsidRPr="000743DF" w:rsidRDefault="00F81173" w:rsidP="00590543">
            <w:pPr>
              <w:pStyle w:val="Tabletext"/>
              <w:jc w:val="center"/>
            </w:pPr>
            <w:r w:rsidRPr="000743DF">
              <w:t>Australia</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16</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16</w:t>
            </w:r>
          </w:p>
        </w:tc>
        <w:tc>
          <w:tcPr>
            <w:tcW w:w="3903" w:type="dxa"/>
            <w:shd w:val="clear" w:color="auto" w:fill="auto"/>
          </w:tcPr>
          <w:p w:rsidR="00F81173" w:rsidRPr="000743DF" w:rsidRDefault="00F81173" w:rsidP="00590543">
            <w:pPr>
              <w:pStyle w:val="Tabletext"/>
            </w:pPr>
            <w:r w:rsidRPr="000743DF">
              <w:t>Alfa Electronics</w:t>
            </w:r>
          </w:p>
        </w:tc>
        <w:tc>
          <w:tcPr>
            <w:tcW w:w="2020" w:type="dxa"/>
            <w:shd w:val="clear" w:color="auto" w:fill="auto"/>
          </w:tcPr>
          <w:p w:rsidR="00F81173" w:rsidRPr="000743DF" w:rsidRDefault="004E6552" w:rsidP="00590543">
            <w:pPr>
              <w:pStyle w:val="Tabletext"/>
              <w:jc w:val="center"/>
            </w:pPr>
            <w:r w:rsidRPr="000743DF">
              <w:t>Egipto</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w:t>
            </w:r>
            <w:r w:rsidR="00F81173" w:rsidRPr="000743DF">
              <w:t>20</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17</w:t>
            </w:r>
          </w:p>
        </w:tc>
        <w:tc>
          <w:tcPr>
            <w:tcW w:w="3903" w:type="dxa"/>
            <w:shd w:val="clear" w:color="auto" w:fill="auto"/>
          </w:tcPr>
          <w:p w:rsidR="00F81173" w:rsidRPr="000743DF" w:rsidRDefault="00F81173" w:rsidP="00590543">
            <w:pPr>
              <w:pStyle w:val="Tabletext"/>
            </w:pPr>
            <w:r w:rsidRPr="000743DF">
              <w:t>SpimeSense Labs</w:t>
            </w:r>
          </w:p>
        </w:tc>
        <w:tc>
          <w:tcPr>
            <w:tcW w:w="2020" w:type="dxa"/>
            <w:shd w:val="clear" w:color="auto" w:fill="auto"/>
          </w:tcPr>
          <w:p w:rsidR="00F81173" w:rsidRPr="000743DF" w:rsidRDefault="004E6552" w:rsidP="00590543">
            <w:pPr>
              <w:pStyle w:val="Tabletext"/>
              <w:jc w:val="center"/>
            </w:pPr>
            <w:r w:rsidRPr="000743DF">
              <w:t>Egipto</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20</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18</w:t>
            </w:r>
          </w:p>
        </w:tc>
        <w:tc>
          <w:tcPr>
            <w:tcW w:w="3903" w:type="dxa"/>
            <w:shd w:val="clear" w:color="auto" w:fill="auto"/>
          </w:tcPr>
          <w:p w:rsidR="00F81173" w:rsidRPr="000743DF" w:rsidRDefault="00F81173" w:rsidP="00590543">
            <w:pPr>
              <w:pStyle w:val="Tabletext"/>
            </w:pPr>
            <w:r w:rsidRPr="000743DF">
              <w:t>Root Technologies</w:t>
            </w:r>
          </w:p>
        </w:tc>
        <w:tc>
          <w:tcPr>
            <w:tcW w:w="2020" w:type="dxa"/>
            <w:shd w:val="clear" w:color="auto" w:fill="auto"/>
          </w:tcPr>
          <w:p w:rsidR="00F81173" w:rsidRPr="000743DF" w:rsidRDefault="004E6552" w:rsidP="00590543">
            <w:pPr>
              <w:pStyle w:val="Tabletext"/>
              <w:jc w:val="center"/>
            </w:pPr>
            <w:r w:rsidRPr="000743DF">
              <w:t>Egipto</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20</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19</w:t>
            </w:r>
          </w:p>
        </w:tc>
        <w:tc>
          <w:tcPr>
            <w:tcW w:w="3903" w:type="dxa"/>
            <w:shd w:val="clear" w:color="auto" w:fill="auto"/>
          </w:tcPr>
          <w:p w:rsidR="00F81173" w:rsidRPr="000743DF" w:rsidRDefault="00F81173" w:rsidP="00590543">
            <w:pPr>
              <w:pStyle w:val="Tabletext"/>
            </w:pPr>
            <w:r w:rsidRPr="000743DF">
              <w:t>Innov-Alliance-Tech</w:t>
            </w:r>
          </w:p>
        </w:tc>
        <w:tc>
          <w:tcPr>
            <w:tcW w:w="2020" w:type="dxa"/>
            <w:shd w:val="clear" w:color="auto" w:fill="auto"/>
          </w:tcPr>
          <w:p w:rsidR="00F81173" w:rsidRPr="000743DF" w:rsidRDefault="004E6552" w:rsidP="00590543">
            <w:pPr>
              <w:pStyle w:val="Tabletext"/>
              <w:jc w:val="center"/>
            </w:pPr>
            <w:r w:rsidRPr="000743DF">
              <w:t>Túnez</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20</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20</w:t>
            </w:r>
          </w:p>
        </w:tc>
        <w:tc>
          <w:tcPr>
            <w:tcW w:w="3903" w:type="dxa"/>
            <w:shd w:val="clear" w:color="auto" w:fill="auto"/>
          </w:tcPr>
          <w:p w:rsidR="00F81173" w:rsidRPr="000743DF" w:rsidRDefault="00F81173" w:rsidP="00590543">
            <w:pPr>
              <w:pStyle w:val="Tabletext"/>
            </w:pPr>
            <w:r w:rsidRPr="000743DF">
              <w:t>Device Gateway SA</w:t>
            </w:r>
          </w:p>
        </w:tc>
        <w:tc>
          <w:tcPr>
            <w:tcW w:w="2020" w:type="dxa"/>
            <w:shd w:val="clear" w:color="auto" w:fill="auto"/>
          </w:tcPr>
          <w:p w:rsidR="00F81173" w:rsidRPr="000743DF" w:rsidRDefault="004E6552" w:rsidP="00590543">
            <w:pPr>
              <w:pStyle w:val="Tabletext"/>
              <w:jc w:val="center"/>
            </w:pPr>
            <w:r w:rsidRPr="000743DF">
              <w:t>Suiza</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20</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21</w:t>
            </w:r>
          </w:p>
        </w:tc>
        <w:tc>
          <w:tcPr>
            <w:tcW w:w="3903" w:type="dxa"/>
            <w:shd w:val="clear" w:color="auto" w:fill="auto"/>
          </w:tcPr>
          <w:p w:rsidR="00F81173" w:rsidRPr="000743DF" w:rsidRDefault="00F81173" w:rsidP="00590543">
            <w:pPr>
              <w:pStyle w:val="Tabletext"/>
            </w:pPr>
            <w:r w:rsidRPr="000743DF">
              <w:t>Arianous ICT Development Co.</w:t>
            </w:r>
          </w:p>
        </w:tc>
        <w:tc>
          <w:tcPr>
            <w:tcW w:w="2020" w:type="dxa"/>
            <w:shd w:val="clear" w:color="auto" w:fill="auto"/>
          </w:tcPr>
          <w:p w:rsidR="00F81173" w:rsidRPr="000743DF" w:rsidRDefault="004E6552" w:rsidP="00590543">
            <w:pPr>
              <w:pStyle w:val="Tabletext"/>
              <w:jc w:val="center"/>
            </w:pPr>
            <w:r w:rsidRPr="000743DF">
              <w:t>Irán (República Islámica del)</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20</w:t>
            </w:r>
          </w:p>
        </w:tc>
      </w:tr>
      <w:tr w:rsidR="00F81173" w:rsidRPr="000743DF" w:rsidTr="004E6552">
        <w:trPr>
          <w:jc w:val="center"/>
        </w:trPr>
        <w:tc>
          <w:tcPr>
            <w:tcW w:w="663" w:type="dxa"/>
            <w:shd w:val="clear" w:color="auto" w:fill="auto"/>
          </w:tcPr>
          <w:p w:rsidR="00F81173" w:rsidRPr="000743DF" w:rsidRDefault="00F81173" w:rsidP="00590543">
            <w:pPr>
              <w:pStyle w:val="Tabletext"/>
              <w:jc w:val="center"/>
            </w:pPr>
            <w:r w:rsidRPr="000743DF">
              <w:t>22</w:t>
            </w:r>
          </w:p>
        </w:tc>
        <w:tc>
          <w:tcPr>
            <w:tcW w:w="3903" w:type="dxa"/>
            <w:shd w:val="clear" w:color="auto" w:fill="auto"/>
          </w:tcPr>
          <w:p w:rsidR="00F81173" w:rsidRPr="000743DF" w:rsidRDefault="00F81173" w:rsidP="00590543">
            <w:pPr>
              <w:pStyle w:val="Tabletext"/>
            </w:pPr>
            <w:r w:rsidRPr="000743DF">
              <w:t>Archimède Solutions SARL</w:t>
            </w:r>
          </w:p>
        </w:tc>
        <w:tc>
          <w:tcPr>
            <w:tcW w:w="2020" w:type="dxa"/>
            <w:shd w:val="clear" w:color="auto" w:fill="auto"/>
          </w:tcPr>
          <w:p w:rsidR="00F81173" w:rsidRPr="000743DF" w:rsidRDefault="004E6552" w:rsidP="00590543">
            <w:pPr>
              <w:pStyle w:val="Tabletext"/>
              <w:jc w:val="center"/>
            </w:pPr>
            <w:r w:rsidRPr="000743DF">
              <w:t>Suiza</w:t>
            </w:r>
          </w:p>
        </w:tc>
        <w:tc>
          <w:tcPr>
            <w:tcW w:w="1291" w:type="dxa"/>
            <w:shd w:val="clear" w:color="auto" w:fill="auto"/>
          </w:tcPr>
          <w:p w:rsidR="00F81173" w:rsidRPr="000743DF" w:rsidRDefault="004E6552" w:rsidP="00590543">
            <w:pPr>
              <w:pStyle w:val="Tabletext"/>
              <w:jc w:val="center"/>
            </w:pPr>
            <w:r w:rsidRPr="000743DF">
              <w:t>UIT-T</w:t>
            </w:r>
          </w:p>
        </w:tc>
        <w:tc>
          <w:tcPr>
            <w:tcW w:w="1732" w:type="dxa"/>
            <w:shd w:val="clear" w:color="auto" w:fill="auto"/>
          </w:tcPr>
          <w:p w:rsidR="00F81173" w:rsidRPr="000743DF" w:rsidRDefault="004E6552" w:rsidP="00590543">
            <w:pPr>
              <w:pStyle w:val="Tabletext"/>
              <w:jc w:val="center"/>
            </w:pPr>
            <w:r w:rsidRPr="000743DF">
              <w:t>CE 20</w:t>
            </w:r>
          </w:p>
        </w:tc>
      </w:tr>
    </w:tbl>
    <w:p w:rsidR="004E6552" w:rsidRPr="000743DF" w:rsidRDefault="004E6552" w:rsidP="00590543">
      <w:pPr>
        <w:pStyle w:val="Reasons"/>
      </w:pPr>
    </w:p>
    <w:p w:rsidR="004E6552" w:rsidRPr="000743DF" w:rsidRDefault="004E6552" w:rsidP="00590543">
      <w:pPr>
        <w:jc w:val="center"/>
      </w:pPr>
      <w:r w:rsidRPr="000743DF">
        <w:t>______________</w:t>
      </w:r>
    </w:p>
    <w:sectPr w:rsidR="004E6552" w:rsidRPr="000743DF" w:rsidSect="00A70E95">
      <w:headerReference w:type="defaul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F87" w:rsidRDefault="00E40F87">
      <w:r>
        <w:separator/>
      </w:r>
    </w:p>
  </w:endnote>
  <w:endnote w:type="continuationSeparator" w:id="0">
    <w:p w:rsidR="00E40F87" w:rsidRDefault="00E4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F87" w:rsidRDefault="00E40F87">
      <w:r>
        <w:t>____________________</w:t>
      </w:r>
    </w:p>
  </w:footnote>
  <w:footnote w:type="continuationSeparator" w:id="0">
    <w:p w:rsidR="00E40F87" w:rsidRDefault="00E40F87">
      <w:r>
        <w:continuationSeparator/>
      </w:r>
    </w:p>
  </w:footnote>
  <w:footnote w:id="1">
    <w:p w:rsidR="00473A17" w:rsidRPr="00B14D27" w:rsidRDefault="00473A17" w:rsidP="00A52A91">
      <w:pPr>
        <w:pStyle w:val="FootnoteText"/>
        <w:rPr>
          <w:lang w:val="es-ES"/>
        </w:rPr>
      </w:pPr>
      <w:r>
        <w:rPr>
          <w:rStyle w:val="FootnoteReference"/>
        </w:rPr>
        <w:footnoteRef/>
      </w:r>
      <w:r w:rsidR="00A224A1" w:rsidRPr="00B14D27">
        <w:rPr>
          <w:lang w:val="es-ES"/>
        </w:rPr>
        <w:tab/>
      </w:r>
      <w:r w:rsidR="00F75AB7" w:rsidRPr="00B14D27">
        <w:rPr>
          <w:lang w:val="es-ES"/>
        </w:rPr>
        <w:t>Informe del Presidente del</w:t>
      </w:r>
      <w:r w:rsidRPr="00B14D27">
        <w:rPr>
          <w:lang w:val="es-ES"/>
        </w:rPr>
        <w:t xml:space="preserve"> </w:t>
      </w:r>
      <w:r w:rsidR="00F75AB7" w:rsidRPr="00B14D27">
        <w:rPr>
          <w:lang w:val="es-ES"/>
        </w:rPr>
        <w:t>GTC-RHF al</w:t>
      </w:r>
      <w:r w:rsidRPr="00B14D27">
        <w:rPr>
          <w:lang w:val="es-ES"/>
        </w:rPr>
        <w:t xml:space="preserve"> </w:t>
      </w:r>
      <w:r w:rsidR="00F75AB7" w:rsidRPr="00B14D27">
        <w:rPr>
          <w:lang w:val="es-ES"/>
        </w:rPr>
        <w:t xml:space="preserve">Consejo </w:t>
      </w:r>
      <w:r w:rsidR="00966B26" w:rsidRPr="00B14D27">
        <w:rPr>
          <w:lang w:val="es-ES"/>
        </w:rPr>
        <w:t>20</w:t>
      </w:r>
      <w:r w:rsidRPr="00B14D27">
        <w:rPr>
          <w:lang w:val="es-ES"/>
        </w:rPr>
        <w:t xml:space="preserve">17, </w:t>
      </w:r>
      <w:r w:rsidR="00A52A91" w:rsidRPr="00B14D27">
        <w:rPr>
          <w:lang w:val="es-ES"/>
        </w:rPr>
        <w:t>punto</w:t>
      </w:r>
      <w:r w:rsidRPr="00B14D27">
        <w:rPr>
          <w:lang w:val="es-ES"/>
        </w:rPr>
        <w:t xml:space="preserve"> 48 (</w:t>
      </w:r>
      <w:r w:rsidR="006A7212" w:rsidRPr="00B14D27">
        <w:rPr>
          <w:lang w:val="es-ES"/>
        </w:rPr>
        <w:t>página</w:t>
      </w:r>
      <w:r w:rsidRPr="00B14D27">
        <w:rPr>
          <w:lang w:val="es-ES"/>
        </w:rPr>
        <w:t xml:space="preserve"> 53);</w:t>
      </w:r>
      <w:r w:rsidR="00A224A1" w:rsidRPr="00B14D27">
        <w:rPr>
          <w:lang w:val="es-ES"/>
        </w:rPr>
        <w:t xml:space="preserve"> </w:t>
      </w:r>
      <w:r w:rsidR="004D00C9" w:rsidRPr="00B14D27">
        <w:rPr>
          <w:lang w:val="es-ES"/>
        </w:rPr>
        <w:t>el mandato puede consultarse en el A</w:t>
      </w:r>
      <w:r w:rsidR="00A224A1" w:rsidRPr="00B14D27">
        <w:rPr>
          <w:lang w:val="es-ES"/>
        </w:rPr>
        <w:t>nex</w:t>
      </w:r>
      <w:r w:rsidR="004D00C9" w:rsidRPr="00B14D27">
        <w:rPr>
          <w:lang w:val="es-ES"/>
        </w:rPr>
        <w:t>o</w:t>
      </w:r>
      <w:r w:rsidR="00A224A1" w:rsidRPr="00B14D27">
        <w:rPr>
          <w:lang w:val="es-ES"/>
        </w:rPr>
        <w:t> </w:t>
      </w:r>
      <w:r w:rsidRPr="00B14D27">
        <w:rPr>
          <w:lang w:val="es-ES"/>
        </w:rPr>
        <w:t>K p</w:t>
      </w:r>
      <w:r w:rsidR="004D00C9" w:rsidRPr="00B14D27">
        <w:rPr>
          <w:lang w:val="es-ES"/>
        </w:rPr>
        <w:t>ágina</w:t>
      </w:r>
      <w:r w:rsidRPr="00B14D27">
        <w:rPr>
          <w:lang w:val="es-ES"/>
        </w:rPr>
        <w:t xml:space="preserve"> 93.</w:t>
      </w:r>
    </w:p>
  </w:footnote>
  <w:footnote w:id="2">
    <w:p w:rsidR="00AE4FBE" w:rsidRPr="00181BFB" w:rsidRDefault="00AE4FBE" w:rsidP="00181BFB">
      <w:pPr>
        <w:pStyle w:val="FootnoteText"/>
        <w:rPr>
          <w:lang w:val="es-ES"/>
        </w:rPr>
      </w:pPr>
      <w:r w:rsidRPr="003B4F68">
        <w:rPr>
          <w:rStyle w:val="FootnoteReference"/>
          <w:sz w:val="14"/>
        </w:rPr>
        <w:footnoteRef/>
      </w:r>
      <w:r w:rsidRPr="00181BFB">
        <w:rPr>
          <w:sz w:val="20"/>
          <w:lang w:val="es-ES"/>
        </w:rPr>
        <w:tab/>
      </w:r>
      <w:r w:rsidR="00181BFB" w:rsidRPr="00181BFB">
        <w:rPr>
          <w:lang w:val="es-ES"/>
        </w:rPr>
        <w:t>No se dispone de una definición de PYME reconocida a escala internacional. La estimación de más de</w:t>
      </w:r>
      <w:r w:rsidRPr="00181BFB">
        <w:rPr>
          <w:lang w:val="es-ES"/>
        </w:rPr>
        <w:t xml:space="preserve"> 60 </w:t>
      </w:r>
      <w:r w:rsidR="00181BFB" w:rsidRPr="00181BFB">
        <w:rPr>
          <w:lang w:val="es-ES"/>
        </w:rPr>
        <w:t>PYME Miembros de Sector o Asociados de la UIT se basa en la definici</w:t>
      </w:r>
      <w:r w:rsidR="00181BFB">
        <w:rPr>
          <w:lang w:val="es-ES"/>
        </w:rPr>
        <w:t>ón de la Unión Europea, a saber, empresas con menos de 300 empleados</w:t>
      </w:r>
      <w:r w:rsidRPr="00181BFB">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B14D27">
      <w:rPr>
        <w:noProof/>
      </w:rPr>
      <w:t>6</w:t>
    </w:r>
    <w:r>
      <w:fldChar w:fldCharType="end"/>
    </w:r>
  </w:p>
  <w:p w:rsidR="00255FA1" w:rsidRDefault="00255FA1" w:rsidP="00E81D17">
    <w:pPr>
      <w:pStyle w:val="Header"/>
    </w:pPr>
    <w:r>
      <w:rPr>
        <w:lang w:val="en-US"/>
      </w:rPr>
      <w:t>PP1</w:t>
    </w:r>
    <w:r w:rsidR="00C43474">
      <w:rPr>
        <w:lang w:val="en-US"/>
      </w:rPr>
      <w:t>8</w:t>
    </w:r>
    <w:r w:rsidR="00006EAE">
      <w:t>/</w:t>
    </w:r>
    <w:r w:rsidR="00E81D17">
      <w:t>52</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74115"/>
    <w:multiLevelType w:val="hybridMultilevel"/>
    <w:tmpl w:val="2DCC71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45F56"/>
    <w:multiLevelType w:val="hybridMultilevel"/>
    <w:tmpl w:val="7C6A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7"/>
    <w:rsid w:val="0000188C"/>
    <w:rsid w:val="00006EAE"/>
    <w:rsid w:val="0004278C"/>
    <w:rsid w:val="00060B45"/>
    <w:rsid w:val="00063FE5"/>
    <w:rsid w:val="00066D8A"/>
    <w:rsid w:val="000743DF"/>
    <w:rsid w:val="000775BE"/>
    <w:rsid w:val="000863AB"/>
    <w:rsid w:val="000A1523"/>
    <w:rsid w:val="000B0840"/>
    <w:rsid w:val="000B1752"/>
    <w:rsid w:val="000C36B8"/>
    <w:rsid w:val="000C3D2A"/>
    <w:rsid w:val="0010546D"/>
    <w:rsid w:val="00126CE6"/>
    <w:rsid w:val="001273D5"/>
    <w:rsid w:val="001352B9"/>
    <w:rsid w:val="00135F93"/>
    <w:rsid w:val="001632E3"/>
    <w:rsid w:val="00166667"/>
    <w:rsid w:val="001729A9"/>
    <w:rsid w:val="00176D6F"/>
    <w:rsid w:val="00181BFB"/>
    <w:rsid w:val="001D4983"/>
    <w:rsid w:val="001D6EC3"/>
    <w:rsid w:val="001D787B"/>
    <w:rsid w:val="001E3D06"/>
    <w:rsid w:val="00225F6B"/>
    <w:rsid w:val="00237C17"/>
    <w:rsid w:val="00242376"/>
    <w:rsid w:val="00255FA1"/>
    <w:rsid w:val="00261582"/>
    <w:rsid w:val="00262FF4"/>
    <w:rsid w:val="002C5D69"/>
    <w:rsid w:val="002C6527"/>
    <w:rsid w:val="002E44FC"/>
    <w:rsid w:val="002F3CC4"/>
    <w:rsid w:val="003231A3"/>
    <w:rsid w:val="00343B40"/>
    <w:rsid w:val="00363798"/>
    <w:rsid w:val="003707E5"/>
    <w:rsid w:val="00391611"/>
    <w:rsid w:val="003933AA"/>
    <w:rsid w:val="003D0027"/>
    <w:rsid w:val="003E5D30"/>
    <w:rsid w:val="003E6E73"/>
    <w:rsid w:val="00420AC0"/>
    <w:rsid w:val="00450F4F"/>
    <w:rsid w:val="004733AC"/>
    <w:rsid w:val="00473A17"/>
    <w:rsid w:val="00484B72"/>
    <w:rsid w:val="00491A25"/>
    <w:rsid w:val="004A346E"/>
    <w:rsid w:val="004A63A9"/>
    <w:rsid w:val="004B07DB"/>
    <w:rsid w:val="004B09D4"/>
    <w:rsid w:val="004B0BCB"/>
    <w:rsid w:val="004B12BD"/>
    <w:rsid w:val="004B492D"/>
    <w:rsid w:val="004C39C6"/>
    <w:rsid w:val="004D00C9"/>
    <w:rsid w:val="004D23BA"/>
    <w:rsid w:val="004E069C"/>
    <w:rsid w:val="004E08E0"/>
    <w:rsid w:val="004E28FB"/>
    <w:rsid w:val="004E6552"/>
    <w:rsid w:val="004F4BB1"/>
    <w:rsid w:val="00504FD4"/>
    <w:rsid w:val="00507662"/>
    <w:rsid w:val="00522242"/>
    <w:rsid w:val="00523448"/>
    <w:rsid w:val="005345CE"/>
    <w:rsid w:val="005359B6"/>
    <w:rsid w:val="005470E8"/>
    <w:rsid w:val="00550FCF"/>
    <w:rsid w:val="00556958"/>
    <w:rsid w:val="00565F7F"/>
    <w:rsid w:val="00567ED5"/>
    <w:rsid w:val="00590543"/>
    <w:rsid w:val="00592355"/>
    <w:rsid w:val="005D1164"/>
    <w:rsid w:val="005D6488"/>
    <w:rsid w:val="005F6278"/>
    <w:rsid w:val="00601280"/>
    <w:rsid w:val="006130B2"/>
    <w:rsid w:val="00635CD1"/>
    <w:rsid w:val="006375E0"/>
    <w:rsid w:val="00641DBD"/>
    <w:rsid w:val="006455D2"/>
    <w:rsid w:val="006537F3"/>
    <w:rsid w:val="00663DE9"/>
    <w:rsid w:val="006A6410"/>
    <w:rsid w:val="006A7212"/>
    <w:rsid w:val="006B1025"/>
    <w:rsid w:val="006B5512"/>
    <w:rsid w:val="006C190D"/>
    <w:rsid w:val="00712622"/>
    <w:rsid w:val="007137F9"/>
    <w:rsid w:val="0071493E"/>
    <w:rsid w:val="00720686"/>
    <w:rsid w:val="0073684E"/>
    <w:rsid w:val="00737EFF"/>
    <w:rsid w:val="00750806"/>
    <w:rsid w:val="00752A45"/>
    <w:rsid w:val="007748C4"/>
    <w:rsid w:val="007875D2"/>
    <w:rsid w:val="007A7971"/>
    <w:rsid w:val="007D4CE6"/>
    <w:rsid w:val="007E7E3D"/>
    <w:rsid w:val="007F6EBC"/>
    <w:rsid w:val="00882773"/>
    <w:rsid w:val="008B4706"/>
    <w:rsid w:val="008B6676"/>
    <w:rsid w:val="008D3196"/>
    <w:rsid w:val="008E51C5"/>
    <w:rsid w:val="008F7109"/>
    <w:rsid w:val="009107B0"/>
    <w:rsid w:val="0091335F"/>
    <w:rsid w:val="00914BFC"/>
    <w:rsid w:val="009220DE"/>
    <w:rsid w:val="00930E84"/>
    <w:rsid w:val="009405F3"/>
    <w:rsid w:val="0094188E"/>
    <w:rsid w:val="00966B26"/>
    <w:rsid w:val="0098308C"/>
    <w:rsid w:val="0099270D"/>
    <w:rsid w:val="0099551E"/>
    <w:rsid w:val="009A1A86"/>
    <w:rsid w:val="009E0C42"/>
    <w:rsid w:val="00A15486"/>
    <w:rsid w:val="00A224A1"/>
    <w:rsid w:val="00A24481"/>
    <w:rsid w:val="00A52A91"/>
    <w:rsid w:val="00A548AE"/>
    <w:rsid w:val="00A67E6B"/>
    <w:rsid w:val="00A70E95"/>
    <w:rsid w:val="00AA1F73"/>
    <w:rsid w:val="00AB34CA"/>
    <w:rsid w:val="00AD400E"/>
    <w:rsid w:val="00AE4FBE"/>
    <w:rsid w:val="00AF0DC5"/>
    <w:rsid w:val="00B14D27"/>
    <w:rsid w:val="00B501AB"/>
    <w:rsid w:val="00B73978"/>
    <w:rsid w:val="00B77C4D"/>
    <w:rsid w:val="00B842C7"/>
    <w:rsid w:val="00BA4A5F"/>
    <w:rsid w:val="00BB13FE"/>
    <w:rsid w:val="00BC7EE2"/>
    <w:rsid w:val="00BD142E"/>
    <w:rsid w:val="00BD40F4"/>
    <w:rsid w:val="00BF1D06"/>
    <w:rsid w:val="00BF2AE7"/>
    <w:rsid w:val="00BF5475"/>
    <w:rsid w:val="00BF6B5B"/>
    <w:rsid w:val="00C0654F"/>
    <w:rsid w:val="00C33553"/>
    <w:rsid w:val="00C34C9A"/>
    <w:rsid w:val="00C42D2D"/>
    <w:rsid w:val="00C43474"/>
    <w:rsid w:val="00C6070A"/>
    <w:rsid w:val="00C61A48"/>
    <w:rsid w:val="00C64338"/>
    <w:rsid w:val="00C656A8"/>
    <w:rsid w:val="00C65B84"/>
    <w:rsid w:val="00C7325E"/>
    <w:rsid w:val="00C7760C"/>
    <w:rsid w:val="00C80F8F"/>
    <w:rsid w:val="00C84355"/>
    <w:rsid w:val="00C96A02"/>
    <w:rsid w:val="00CA3051"/>
    <w:rsid w:val="00CD20D9"/>
    <w:rsid w:val="00CD701A"/>
    <w:rsid w:val="00D05AAE"/>
    <w:rsid w:val="00D05E6B"/>
    <w:rsid w:val="00D254A6"/>
    <w:rsid w:val="00D42B55"/>
    <w:rsid w:val="00D4538F"/>
    <w:rsid w:val="00D57D70"/>
    <w:rsid w:val="00DA3EBA"/>
    <w:rsid w:val="00DB7B76"/>
    <w:rsid w:val="00E05D81"/>
    <w:rsid w:val="00E40F87"/>
    <w:rsid w:val="00E53DFC"/>
    <w:rsid w:val="00E657B3"/>
    <w:rsid w:val="00E66FC3"/>
    <w:rsid w:val="00E677DD"/>
    <w:rsid w:val="00E77F17"/>
    <w:rsid w:val="00E81D17"/>
    <w:rsid w:val="00E921EC"/>
    <w:rsid w:val="00EB23D0"/>
    <w:rsid w:val="00EC395A"/>
    <w:rsid w:val="00F01632"/>
    <w:rsid w:val="00F0267C"/>
    <w:rsid w:val="00F04858"/>
    <w:rsid w:val="00F073A5"/>
    <w:rsid w:val="00F271A2"/>
    <w:rsid w:val="00F3510D"/>
    <w:rsid w:val="00F43C07"/>
    <w:rsid w:val="00F43D44"/>
    <w:rsid w:val="00F75AB7"/>
    <w:rsid w:val="00F80E6E"/>
    <w:rsid w:val="00F81173"/>
    <w:rsid w:val="00FD5B04"/>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D061179-1A50-4089-ACC7-B0AB3C33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Table">
    <w:name w:val="Table_#"/>
    <w:basedOn w:val="Normal"/>
    <w:next w:val="Normal"/>
    <w:rsid w:val="006B1025"/>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81173"/>
    <w:pPr>
      <w:ind w:left="720"/>
      <w:contextualSpacing/>
    </w:pPr>
    <w:rPr>
      <w:lang w:val="en-GB"/>
    </w:rPr>
  </w:style>
  <w:style w:type="table" w:styleId="TableGrid">
    <w:name w:val="Table Grid"/>
    <w:basedOn w:val="TableNormal"/>
    <w:rsid w:val="00F8117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81173"/>
  </w:style>
  <w:style w:type="character" w:styleId="FollowedHyperlink">
    <w:name w:val="FollowedHyperlink"/>
    <w:basedOn w:val="DefaultParagraphFont"/>
    <w:semiHidden/>
    <w:unhideWhenUsed/>
    <w:rsid w:val="00F811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120/es" TargetMode="External"/><Relationship Id="rId13" Type="http://schemas.openxmlformats.org/officeDocument/2006/relationships/hyperlink" Target="https://www.itu.int/es/ITU-T/studygroups/2017-2020/20/Pages/default.aspx" TargetMode="External"/><Relationship Id="rId18" Type="http://schemas.openxmlformats.org/officeDocument/2006/relationships/hyperlink" Target="https://www.cabase.org.a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es/ITU-T/studygroups/2017-2020/16/Pages/default.aspx" TargetMode="External"/><Relationship Id="rId17" Type="http://schemas.openxmlformats.org/officeDocument/2006/relationships/hyperlink" Target="https://witsa.org/" TargetMode="External"/><Relationship Id="rId2" Type="http://schemas.openxmlformats.org/officeDocument/2006/relationships/styles" Target="styles.xml"/><Relationship Id="rId16" Type="http://schemas.openxmlformats.org/officeDocument/2006/relationships/hyperlink" Target="https://www.itu.int/net4/ITU-D/CDS/sg/index.asp?lg=3&amp;sp=2018&amp;stg=2" TargetMode="External"/><Relationship Id="rId20" Type="http://schemas.openxmlformats.org/officeDocument/2006/relationships/hyperlink" Target="http://telecomworld.itu.int/Documents/WT18/WT18_Flyer-SM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s/ITU-T/studygroups/2017-2020/11/Pages/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net4/ITU-D/CDS/sg/index.asp?lg=3&amp;sp=2018&amp;stg=1" TargetMode="External"/><Relationship Id="rId23" Type="http://schemas.openxmlformats.org/officeDocument/2006/relationships/fontTable" Target="fontTable.xml"/><Relationship Id="rId10" Type="http://schemas.openxmlformats.org/officeDocument/2006/relationships/hyperlink" Target="https://www.itu.int/es/ITU-T/studygroups/2017-2020/05/Pages/default.aspx" TargetMode="External"/><Relationship Id="rId19" Type="http://schemas.openxmlformats.org/officeDocument/2006/relationships/hyperlink" Target="https://telecomworld.itu.int/2018-event/sme/" TargetMode="External"/><Relationship Id="rId4" Type="http://schemas.openxmlformats.org/officeDocument/2006/relationships/webSettings" Target="webSettings.xml"/><Relationship Id="rId9" Type="http://schemas.openxmlformats.org/officeDocument/2006/relationships/hyperlink" Target="https://www.itu.int/md/S17-CL-C-0120/es" TargetMode="External"/><Relationship Id="rId14" Type="http://schemas.openxmlformats.org/officeDocument/2006/relationships/hyperlink" Target="https://itu.int/go/academy/t/f921"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34</TotalTime>
  <Pages>6</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SITUACIÓN: IMPLEMENTACIÓN DE UN PROYECTO PILOTO DE PYME </dc:title>
  <dc:subject>Plenipotentiary Conference (PP-18)</dc:subject>
  <dc:creator>Spanish</dc:creator>
  <cp:keywords>PP-18, Plenipotentiary</cp:keywords>
  <dc:description/>
  <cp:lastModifiedBy>Mestrallet, Francoise</cp:lastModifiedBy>
  <cp:revision>50</cp:revision>
  <dcterms:created xsi:type="dcterms:W3CDTF">2018-10-11T11:40:00Z</dcterms:created>
  <dcterms:modified xsi:type="dcterms:W3CDTF">2018-10-18T11:03:00Z</dcterms:modified>
  <cp:category>Conference document</cp:category>
</cp:coreProperties>
</file>