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378C5" w:rsidRPr="00A812A9" w:rsidTr="00257BDE">
        <w:trPr>
          <w:cantSplit/>
          <w:trHeight w:val="1276"/>
        </w:trPr>
        <w:tc>
          <w:tcPr>
            <w:tcW w:w="6911" w:type="dxa"/>
          </w:tcPr>
          <w:p w:rsidR="00E378C5" w:rsidRPr="00A812A9" w:rsidRDefault="007E26B0" w:rsidP="001F40B7">
            <w:pPr>
              <w:spacing w:before="360" w:after="48" w:line="240" w:lineRule="atLeast"/>
              <w:rPr>
                <w:position w:val="6"/>
              </w:rPr>
            </w:pPr>
            <w:bookmarkStart w:id="0" w:name="dpp"/>
            <w:bookmarkStart w:id="1" w:name="_GoBack"/>
            <w:bookmarkEnd w:id="0"/>
            <w:bookmarkEnd w:id="1"/>
            <w:r w:rsidRPr="00936F04">
              <w:rPr>
                <w:rFonts w:cs="Times"/>
                <w:b/>
                <w:position w:val="6"/>
                <w:sz w:val="30"/>
                <w:szCs w:val="30"/>
              </w:rPr>
              <w:t>Plenipotentiary Conference (PP-1</w:t>
            </w:r>
            <w:r>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Pr>
                <w:b/>
                <w:bCs/>
                <w:position w:val="6"/>
              </w:rPr>
              <w:t>Dubai</w:t>
            </w:r>
            <w:r w:rsidRPr="00936F04">
              <w:rPr>
                <w:b/>
                <w:bCs/>
                <w:position w:val="6"/>
              </w:rPr>
              <w:t xml:space="preserve">, </w:t>
            </w:r>
            <w:r>
              <w:rPr>
                <w:b/>
                <w:bCs/>
                <w:position w:val="6"/>
              </w:rPr>
              <w:t>29</w:t>
            </w:r>
            <w:r w:rsidRPr="00936F04">
              <w:rPr>
                <w:b/>
                <w:bCs/>
                <w:position w:val="6"/>
              </w:rPr>
              <w:t xml:space="preserve"> October </w:t>
            </w:r>
            <w:r>
              <w:rPr>
                <w:b/>
                <w:bCs/>
                <w:position w:val="6"/>
              </w:rPr>
              <w:t>– 16 November 2018</w:t>
            </w:r>
          </w:p>
        </w:tc>
        <w:tc>
          <w:tcPr>
            <w:tcW w:w="3120" w:type="dxa"/>
          </w:tcPr>
          <w:p w:rsidR="00E378C5" w:rsidRPr="00A812A9" w:rsidRDefault="00257BDE" w:rsidP="0049335F">
            <w:bookmarkStart w:id="2" w:name="ditulogo"/>
            <w:bookmarkEnd w:id="2"/>
            <w:r w:rsidRPr="00A812A9">
              <w:rPr>
                <w:noProof/>
                <w:lang w:val="en-US" w:eastAsia="zh-CN"/>
              </w:rPr>
              <w:drawing>
                <wp:inline distT="0" distB="0" distL="0" distR="0" wp14:anchorId="4CDF6E3F" wp14:editId="3295557B">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E378C5" w:rsidRPr="00A812A9">
        <w:trPr>
          <w:cantSplit/>
        </w:trPr>
        <w:tc>
          <w:tcPr>
            <w:tcW w:w="6911" w:type="dxa"/>
            <w:tcBorders>
              <w:bottom w:val="single" w:sz="12" w:space="0" w:color="auto"/>
            </w:tcBorders>
          </w:tcPr>
          <w:p w:rsidR="00E378C5" w:rsidRPr="00A812A9" w:rsidRDefault="00E378C5" w:rsidP="001B6B68">
            <w:pPr>
              <w:spacing w:before="0" w:after="48" w:line="240" w:lineRule="atLeast"/>
              <w:rPr>
                <w:b/>
                <w:smallCaps/>
              </w:rPr>
            </w:pPr>
          </w:p>
        </w:tc>
        <w:tc>
          <w:tcPr>
            <w:tcW w:w="3120" w:type="dxa"/>
            <w:tcBorders>
              <w:bottom w:val="single" w:sz="12" w:space="0" w:color="auto"/>
            </w:tcBorders>
          </w:tcPr>
          <w:p w:rsidR="00E378C5" w:rsidRPr="00A812A9" w:rsidRDefault="00E378C5" w:rsidP="001B6B68">
            <w:pPr>
              <w:spacing w:before="0" w:line="240" w:lineRule="atLeast"/>
            </w:pPr>
          </w:p>
        </w:tc>
      </w:tr>
      <w:tr w:rsidR="00E378C5" w:rsidRPr="00A812A9">
        <w:trPr>
          <w:cantSplit/>
        </w:trPr>
        <w:tc>
          <w:tcPr>
            <w:tcW w:w="6911" w:type="dxa"/>
            <w:tcBorders>
              <w:top w:val="single" w:sz="12" w:space="0" w:color="auto"/>
            </w:tcBorders>
          </w:tcPr>
          <w:p w:rsidR="00E378C5" w:rsidRPr="00A812A9" w:rsidRDefault="00E378C5" w:rsidP="001B6B68">
            <w:pPr>
              <w:spacing w:before="0" w:after="48" w:line="240" w:lineRule="atLeast"/>
              <w:rPr>
                <w:b/>
                <w:smallCaps/>
              </w:rPr>
            </w:pPr>
          </w:p>
        </w:tc>
        <w:tc>
          <w:tcPr>
            <w:tcW w:w="3120" w:type="dxa"/>
            <w:tcBorders>
              <w:top w:val="single" w:sz="12" w:space="0" w:color="auto"/>
            </w:tcBorders>
          </w:tcPr>
          <w:p w:rsidR="00E378C5" w:rsidRPr="00A812A9" w:rsidRDefault="00E378C5" w:rsidP="001B6B68">
            <w:pPr>
              <w:spacing w:before="0" w:line="240" w:lineRule="atLeast"/>
            </w:pPr>
          </w:p>
        </w:tc>
      </w:tr>
      <w:tr w:rsidR="00E378C5" w:rsidRPr="00A812A9">
        <w:trPr>
          <w:cantSplit/>
          <w:trHeight w:val="23"/>
        </w:trPr>
        <w:tc>
          <w:tcPr>
            <w:tcW w:w="6911" w:type="dxa"/>
            <w:vMerge w:val="restart"/>
          </w:tcPr>
          <w:p w:rsidR="00E378C5" w:rsidRPr="00A812A9" w:rsidRDefault="00260E35" w:rsidP="001B6B68">
            <w:pPr>
              <w:tabs>
                <w:tab w:val="left" w:pos="851"/>
              </w:tabs>
              <w:spacing w:before="0" w:line="240" w:lineRule="atLeast"/>
              <w:rPr>
                <w:b/>
              </w:rPr>
            </w:pPr>
            <w:bookmarkStart w:id="3" w:name="dmeeting" w:colFirst="0" w:colLast="0"/>
            <w:bookmarkStart w:id="4" w:name="dnum" w:colFirst="1" w:colLast="1"/>
            <w:r>
              <w:rPr>
                <w:b/>
              </w:rPr>
              <w:t>PLENARY MEETING</w:t>
            </w:r>
          </w:p>
        </w:tc>
        <w:tc>
          <w:tcPr>
            <w:tcW w:w="3120" w:type="dxa"/>
          </w:tcPr>
          <w:p w:rsidR="00E378C5" w:rsidRPr="00A812A9" w:rsidRDefault="00E378C5" w:rsidP="001B6B68">
            <w:pPr>
              <w:tabs>
                <w:tab w:val="left" w:pos="851"/>
              </w:tabs>
              <w:spacing w:before="0" w:line="240" w:lineRule="atLeast"/>
              <w:rPr>
                <w:b/>
              </w:rPr>
            </w:pPr>
            <w:r w:rsidRPr="00A812A9">
              <w:rPr>
                <w:b/>
              </w:rPr>
              <w:t xml:space="preserve">Document </w:t>
            </w:r>
            <w:r w:rsidR="007E26B0">
              <w:rPr>
                <w:b/>
              </w:rPr>
              <w:t>52</w:t>
            </w:r>
            <w:r w:rsidRPr="00A812A9">
              <w:rPr>
                <w:b/>
              </w:rPr>
              <w:t>-E</w:t>
            </w:r>
          </w:p>
        </w:tc>
      </w:tr>
      <w:tr w:rsidR="00E378C5" w:rsidRPr="00A812A9">
        <w:trPr>
          <w:cantSplit/>
          <w:trHeight w:val="23"/>
        </w:trPr>
        <w:tc>
          <w:tcPr>
            <w:tcW w:w="6911" w:type="dxa"/>
            <w:vMerge/>
          </w:tcPr>
          <w:p w:rsidR="00E378C5" w:rsidRPr="00A812A9" w:rsidRDefault="00E378C5" w:rsidP="001B6B68">
            <w:pPr>
              <w:tabs>
                <w:tab w:val="left" w:pos="851"/>
              </w:tabs>
              <w:spacing w:before="0" w:line="240" w:lineRule="atLeast"/>
              <w:rPr>
                <w:b/>
              </w:rPr>
            </w:pPr>
            <w:bookmarkStart w:id="5" w:name="ddate" w:colFirst="1" w:colLast="1"/>
            <w:bookmarkEnd w:id="3"/>
            <w:bookmarkEnd w:id="4"/>
          </w:p>
        </w:tc>
        <w:tc>
          <w:tcPr>
            <w:tcW w:w="3120" w:type="dxa"/>
          </w:tcPr>
          <w:p w:rsidR="00E378C5" w:rsidRPr="00A812A9" w:rsidRDefault="00CD3C23" w:rsidP="001B6B68">
            <w:pPr>
              <w:tabs>
                <w:tab w:val="left" w:pos="993"/>
              </w:tabs>
              <w:spacing w:before="0"/>
              <w:rPr>
                <w:b/>
              </w:rPr>
            </w:pPr>
            <w:r>
              <w:rPr>
                <w:b/>
              </w:rPr>
              <w:t>5 October</w:t>
            </w:r>
            <w:r w:rsidR="00E674E6" w:rsidRPr="00A812A9">
              <w:rPr>
                <w:b/>
              </w:rPr>
              <w:t xml:space="preserve"> </w:t>
            </w:r>
            <w:r w:rsidR="00E378C5" w:rsidRPr="00A812A9">
              <w:rPr>
                <w:b/>
              </w:rPr>
              <w:t>201</w:t>
            </w:r>
            <w:r w:rsidR="00F619CD" w:rsidRPr="00A812A9">
              <w:rPr>
                <w:b/>
              </w:rPr>
              <w:t>8</w:t>
            </w:r>
          </w:p>
        </w:tc>
      </w:tr>
      <w:tr w:rsidR="00E378C5" w:rsidRPr="00A812A9">
        <w:trPr>
          <w:cantSplit/>
          <w:trHeight w:val="23"/>
        </w:trPr>
        <w:tc>
          <w:tcPr>
            <w:tcW w:w="6911" w:type="dxa"/>
            <w:vMerge/>
          </w:tcPr>
          <w:p w:rsidR="00E378C5" w:rsidRPr="00A812A9" w:rsidRDefault="00E378C5" w:rsidP="001B6B68">
            <w:pPr>
              <w:tabs>
                <w:tab w:val="left" w:pos="851"/>
              </w:tabs>
              <w:spacing w:before="0" w:line="240" w:lineRule="atLeast"/>
              <w:rPr>
                <w:b/>
              </w:rPr>
            </w:pPr>
            <w:bookmarkStart w:id="6" w:name="dorlang" w:colFirst="1" w:colLast="1"/>
            <w:bookmarkEnd w:id="5"/>
          </w:p>
        </w:tc>
        <w:tc>
          <w:tcPr>
            <w:tcW w:w="3120" w:type="dxa"/>
          </w:tcPr>
          <w:p w:rsidR="00E378C5" w:rsidRPr="00A812A9" w:rsidRDefault="00E378C5" w:rsidP="001B6B68">
            <w:pPr>
              <w:tabs>
                <w:tab w:val="left" w:pos="993"/>
              </w:tabs>
              <w:spacing w:before="0"/>
              <w:rPr>
                <w:b/>
              </w:rPr>
            </w:pPr>
            <w:r w:rsidRPr="00A812A9">
              <w:rPr>
                <w:b/>
              </w:rPr>
              <w:t>Original: English</w:t>
            </w:r>
          </w:p>
        </w:tc>
      </w:tr>
      <w:tr w:rsidR="00E378C5" w:rsidRPr="00A812A9">
        <w:trPr>
          <w:cantSplit/>
        </w:trPr>
        <w:tc>
          <w:tcPr>
            <w:tcW w:w="10031" w:type="dxa"/>
            <w:gridSpan w:val="2"/>
          </w:tcPr>
          <w:p w:rsidR="00E378C5" w:rsidRPr="00A812A9" w:rsidRDefault="00E378C5">
            <w:pPr>
              <w:pStyle w:val="Source"/>
            </w:pPr>
            <w:bookmarkStart w:id="7" w:name="dsource" w:colFirst="0" w:colLast="0"/>
            <w:bookmarkEnd w:id="6"/>
            <w:r w:rsidRPr="00A812A9">
              <w:t>Report by the Secretary-General</w:t>
            </w:r>
          </w:p>
        </w:tc>
      </w:tr>
      <w:tr w:rsidR="00E378C5" w:rsidRPr="00A812A9">
        <w:trPr>
          <w:cantSplit/>
        </w:trPr>
        <w:tc>
          <w:tcPr>
            <w:tcW w:w="10031" w:type="dxa"/>
            <w:gridSpan w:val="2"/>
          </w:tcPr>
          <w:p w:rsidR="00E378C5" w:rsidRPr="00A812A9" w:rsidRDefault="00462916" w:rsidP="00CD781A">
            <w:pPr>
              <w:pStyle w:val="Title1"/>
            </w:pPr>
            <w:bookmarkStart w:id="8" w:name="dtitle1" w:colFirst="0" w:colLast="0"/>
            <w:bookmarkEnd w:id="7"/>
            <w:r w:rsidRPr="00A812A9">
              <w:rPr>
                <w:rFonts w:cstheme="minorHAnsi"/>
              </w:rPr>
              <w:t>status report: implementation of an SME Pilot project</w:t>
            </w:r>
            <w:r w:rsidR="000A729C" w:rsidRPr="00A812A9">
              <w:rPr>
                <w:rFonts w:cstheme="minorHAnsi"/>
              </w:rPr>
              <w:t xml:space="preserve"> and current participation of Smes </w:t>
            </w:r>
            <w:r w:rsidR="00CD781A" w:rsidRPr="00A812A9">
              <w:rPr>
                <w:rFonts w:cstheme="minorHAnsi"/>
              </w:rPr>
              <w:t>in itu</w:t>
            </w:r>
          </w:p>
        </w:tc>
      </w:tr>
      <w:bookmarkEnd w:id="8"/>
    </w:tbl>
    <w:p w:rsidR="00E378C5" w:rsidRPr="00A812A9" w:rsidRDefault="00E378C5"/>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378C5" w:rsidRPr="00A812A9">
        <w:trPr>
          <w:trHeight w:val="3372"/>
        </w:trPr>
        <w:tc>
          <w:tcPr>
            <w:tcW w:w="8080" w:type="dxa"/>
            <w:tcBorders>
              <w:top w:val="single" w:sz="12" w:space="0" w:color="auto"/>
              <w:left w:val="single" w:sz="12" w:space="0" w:color="auto"/>
              <w:bottom w:val="single" w:sz="12" w:space="0" w:color="auto"/>
              <w:right w:val="single" w:sz="12" w:space="0" w:color="auto"/>
            </w:tcBorders>
          </w:tcPr>
          <w:p w:rsidR="00685EE3" w:rsidRPr="00A812A9" w:rsidRDefault="00685EE3" w:rsidP="00685EE3">
            <w:pPr>
              <w:pStyle w:val="Headingb"/>
            </w:pPr>
            <w:r w:rsidRPr="00A812A9">
              <w:t>Summary</w:t>
            </w:r>
          </w:p>
          <w:p w:rsidR="00462916" w:rsidRPr="00A812A9" w:rsidRDefault="00D865A7" w:rsidP="0028297D">
            <w:pPr>
              <w:jc w:val="both"/>
              <w:rPr>
                <w:rFonts w:cstheme="minorHAnsi"/>
              </w:rPr>
            </w:pPr>
            <w:r w:rsidRPr="00A812A9">
              <w:rPr>
                <w:rFonts w:cstheme="minorHAnsi"/>
              </w:rPr>
              <w:t>Council-</w:t>
            </w:r>
            <w:r w:rsidR="00462916" w:rsidRPr="00A812A9">
              <w:rPr>
                <w:rFonts w:cstheme="minorHAnsi"/>
              </w:rPr>
              <w:t xml:space="preserve">17 decided to launch an SME pilot project in interested ITU-T and ITU-D Study Groups. </w:t>
            </w:r>
            <w:r w:rsidR="003D47A9" w:rsidRPr="00A812A9">
              <w:rPr>
                <w:rFonts w:cstheme="minorHAnsi"/>
              </w:rPr>
              <w:t>ITU-</w:t>
            </w:r>
            <w:r w:rsidR="00840E6F" w:rsidRPr="00A812A9">
              <w:rPr>
                <w:rFonts w:cstheme="minorHAnsi"/>
              </w:rPr>
              <w:t>T SG</w:t>
            </w:r>
            <w:r w:rsidR="003D47A9" w:rsidRPr="00A812A9">
              <w:rPr>
                <w:rFonts w:cstheme="minorHAnsi"/>
              </w:rPr>
              <w:t xml:space="preserve">5, </w:t>
            </w:r>
            <w:r w:rsidR="00F36574">
              <w:rPr>
                <w:rFonts w:cstheme="minorHAnsi"/>
              </w:rPr>
              <w:t xml:space="preserve">SG11, </w:t>
            </w:r>
            <w:r w:rsidR="00840E6F" w:rsidRPr="00A812A9">
              <w:rPr>
                <w:rFonts w:cstheme="minorHAnsi"/>
              </w:rPr>
              <w:t>SG16</w:t>
            </w:r>
            <w:r w:rsidR="0028297D" w:rsidRPr="00A812A9">
              <w:rPr>
                <w:rFonts w:cstheme="minorHAnsi"/>
              </w:rPr>
              <w:t>,</w:t>
            </w:r>
            <w:r w:rsidR="00840E6F" w:rsidRPr="00A812A9">
              <w:rPr>
                <w:rFonts w:cstheme="minorHAnsi"/>
              </w:rPr>
              <w:t xml:space="preserve"> and SG20</w:t>
            </w:r>
            <w:r w:rsidR="00260E35">
              <w:rPr>
                <w:rFonts w:cstheme="minorHAnsi"/>
              </w:rPr>
              <w:t xml:space="preserve"> have decided to participate in </w:t>
            </w:r>
            <w:r w:rsidR="00462916" w:rsidRPr="00A812A9">
              <w:rPr>
                <w:rFonts w:cstheme="minorHAnsi"/>
              </w:rPr>
              <w:t xml:space="preserve">this project, as well as the two ITU-D Study Groups. Council instructed the </w:t>
            </w:r>
            <w:r w:rsidR="0028297D" w:rsidRPr="00A812A9">
              <w:rPr>
                <w:rFonts w:cstheme="minorHAnsi"/>
              </w:rPr>
              <w:t>s</w:t>
            </w:r>
            <w:r w:rsidR="00462916" w:rsidRPr="00A812A9">
              <w:rPr>
                <w:rFonts w:cstheme="minorHAnsi"/>
              </w:rPr>
              <w:t>ecretariat to provi</w:t>
            </w:r>
            <w:r w:rsidRPr="00A812A9">
              <w:rPr>
                <w:rFonts w:cstheme="minorHAnsi"/>
              </w:rPr>
              <w:t>de a progress report to Council-</w:t>
            </w:r>
            <w:r w:rsidR="00462916" w:rsidRPr="00A812A9">
              <w:rPr>
                <w:rFonts w:cstheme="minorHAnsi"/>
              </w:rPr>
              <w:t>18, and a fuller report to PP</w:t>
            </w:r>
            <w:r w:rsidR="00260E35">
              <w:rPr>
                <w:rFonts w:cstheme="minorHAnsi"/>
              </w:rPr>
              <w:noBreakHyphen/>
            </w:r>
            <w:r w:rsidR="00462916" w:rsidRPr="00A812A9">
              <w:rPr>
                <w:rFonts w:cstheme="minorHAnsi"/>
              </w:rPr>
              <w:t xml:space="preserve">18 on outcomes. </w:t>
            </w:r>
          </w:p>
          <w:p w:rsidR="00685EE3" w:rsidRPr="00A812A9" w:rsidRDefault="00685EE3" w:rsidP="00685EE3">
            <w:pPr>
              <w:pStyle w:val="Headingb"/>
            </w:pPr>
            <w:r w:rsidRPr="00A812A9">
              <w:t>Action required</w:t>
            </w:r>
          </w:p>
          <w:p w:rsidR="00685EE3" w:rsidRPr="00A812A9" w:rsidRDefault="00B449AD" w:rsidP="002A6C5C">
            <w:r w:rsidRPr="005F5804">
              <w:rPr>
                <w:rFonts w:cstheme="minorHAnsi"/>
              </w:rPr>
              <w:t>The Plenipotentiary Conference</w:t>
            </w:r>
            <w:r w:rsidR="00685EE3" w:rsidRPr="005F5804">
              <w:rPr>
                <w:rFonts w:cstheme="minorHAnsi"/>
              </w:rPr>
              <w:t xml:space="preserve"> is invited </w:t>
            </w:r>
            <w:r w:rsidR="00685EE3" w:rsidRPr="005F5804">
              <w:rPr>
                <w:rFonts w:cstheme="minorHAnsi"/>
                <w:b/>
                <w:bCs/>
              </w:rPr>
              <w:t xml:space="preserve">to </w:t>
            </w:r>
            <w:r w:rsidR="00462916" w:rsidRPr="005F5804">
              <w:rPr>
                <w:rFonts w:cstheme="minorHAnsi"/>
                <w:b/>
                <w:bCs/>
              </w:rPr>
              <w:t xml:space="preserve">note </w:t>
            </w:r>
            <w:r w:rsidR="00462916" w:rsidRPr="005F5804">
              <w:rPr>
                <w:rFonts w:cstheme="minorHAnsi"/>
              </w:rPr>
              <w:t>the status of implementation of this project</w:t>
            </w:r>
            <w:r w:rsidR="001F40B7" w:rsidRPr="005F5804">
              <w:rPr>
                <w:rFonts w:cstheme="minorHAnsi"/>
              </w:rPr>
              <w:t xml:space="preserve"> and </w:t>
            </w:r>
            <w:r w:rsidR="001F40B7" w:rsidRPr="005F5804">
              <w:rPr>
                <w:rFonts w:cstheme="minorHAnsi"/>
                <w:b/>
              </w:rPr>
              <w:t xml:space="preserve">decide </w:t>
            </w:r>
            <w:r w:rsidR="001F40B7" w:rsidRPr="005F5804">
              <w:rPr>
                <w:rFonts w:cstheme="minorHAnsi"/>
              </w:rPr>
              <w:t>next steps, taking into account the options provided by th</w:t>
            </w:r>
            <w:r w:rsidR="008D1EA0" w:rsidRPr="005F5804">
              <w:rPr>
                <w:rFonts w:cstheme="minorHAnsi"/>
              </w:rPr>
              <w:t>e Secretary General</w:t>
            </w:r>
            <w:r w:rsidR="001F40B7" w:rsidRPr="005F5804">
              <w:rPr>
                <w:rFonts w:cstheme="minorHAnsi"/>
              </w:rPr>
              <w:t>.</w:t>
            </w:r>
          </w:p>
          <w:p w:rsidR="00685EE3" w:rsidRPr="00A812A9" w:rsidRDefault="00685EE3" w:rsidP="00685EE3">
            <w:pPr>
              <w:pStyle w:val="Table"/>
              <w:keepNext w:val="0"/>
              <w:spacing w:before="0" w:after="0"/>
              <w:rPr>
                <w:caps w:val="0"/>
              </w:rPr>
            </w:pPr>
            <w:r w:rsidRPr="00A812A9">
              <w:rPr>
                <w:caps w:val="0"/>
              </w:rPr>
              <w:t>____________</w:t>
            </w:r>
          </w:p>
          <w:p w:rsidR="00685EE3" w:rsidRPr="00A812A9" w:rsidRDefault="00685EE3" w:rsidP="00685EE3">
            <w:pPr>
              <w:pStyle w:val="Headingb"/>
            </w:pPr>
            <w:r w:rsidRPr="00A812A9">
              <w:t>References</w:t>
            </w:r>
          </w:p>
          <w:p w:rsidR="00E378C5" w:rsidRPr="00A812A9" w:rsidRDefault="00F57557" w:rsidP="008D1EA0">
            <w:pPr>
              <w:rPr>
                <w:i/>
                <w:iCs/>
              </w:rPr>
            </w:pPr>
            <w:hyperlink r:id="rId9" w:history="1">
              <w:r w:rsidR="008D1EA0" w:rsidRPr="00A812A9">
                <w:rPr>
                  <w:rStyle w:val="Hyperlink"/>
                  <w:i/>
                  <w:iCs/>
                </w:rPr>
                <w:t>Report of the CWG-FHR to Council-17</w:t>
              </w:r>
            </w:hyperlink>
            <w:r w:rsidR="008D1EA0" w:rsidRPr="00A812A9">
              <w:rPr>
                <w:i/>
                <w:iCs/>
              </w:rPr>
              <w:t xml:space="preserve"> (Annex K)</w:t>
            </w:r>
          </w:p>
        </w:tc>
      </w:tr>
    </w:tbl>
    <w:p w:rsidR="00F1127F" w:rsidRDefault="00F1127F" w:rsidP="00F1127F">
      <w:pPr>
        <w:rPr>
          <w:rFonts w:cstheme="minorHAnsi"/>
          <w:b/>
          <w:sz w:val="28"/>
        </w:rPr>
      </w:pPr>
      <w:bookmarkStart w:id="9" w:name="dstart"/>
      <w:bookmarkStart w:id="10" w:name="dbreak"/>
      <w:bookmarkEnd w:id="9"/>
      <w:bookmarkEnd w:id="10"/>
    </w:p>
    <w:p w:rsidR="00685EE3" w:rsidRPr="00F1127F" w:rsidRDefault="00925274" w:rsidP="00F1127F">
      <w:pPr>
        <w:rPr>
          <w:rFonts w:cstheme="minorHAnsi"/>
          <w:sz w:val="28"/>
        </w:rPr>
      </w:pPr>
      <w:r w:rsidRPr="00F1127F">
        <w:rPr>
          <w:rFonts w:cstheme="minorHAnsi"/>
          <w:b/>
          <w:sz w:val="28"/>
        </w:rPr>
        <w:t>1</w:t>
      </w:r>
      <w:r w:rsidRPr="00F1127F">
        <w:rPr>
          <w:rFonts w:cstheme="minorHAnsi"/>
          <w:b/>
          <w:sz w:val="28"/>
        </w:rPr>
        <w:tab/>
      </w:r>
      <w:r w:rsidR="00685EE3" w:rsidRPr="00F1127F">
        <w:rPr>
          <w:rFonts w:cstheme="minorHAnsi"/>
          <w:b/>
          <w:sz w:val="28"/>
        </w:rPr>
        <w:t>Background</w:t>
      </w:r>
    </w:p>
    <w:p w:rsidR="00462916" w:rsidRPr="00A812A9" w:rsidRDefault="00925274" w:rsidP="0028297D">
      <w:pPr>
        <w:jc w:val="both"/>
        <w:rPr>
          <w:rFonts w:cstheme="minorHAnsi"/>
        </w:rPr>
      </w:pPr>
      <w:r w:rsidRPr="00A812A9">
        <w:rPr>
          <w:rFonts w:cstheme="minorHAnsi"/>
        </w:rPr>
        <w:t>1.1</w:t>
      </w:r>
      <w:r w:rsidRPr="00A812A9">
        <w:rPr>
          <w:rFonts w:cstheme="minorHAnsi"/>
        </w:rPr>
        <w:tab/>
      </w:r>
      <w:r w:rsidR="00462916" w:rsidRPr="00A812A9">
        <w:rPr>
          <w:rFonts w:cstheme="minorHAnsi"/>
        </w:rPr>
        <w:t xml:space="preserve">Council 2017 decided to launch an SME pilot project in interested ITU-T and ITU-D Study Groups, whereby SMEs may participate fully in the meetings of the participating Study Groups but they will have no role in the decision-making, including leadership roles and the adoption of resolutions or recommendations. </w:t>
      </w:r>
      <w:r w:rsidR="001F40B7" w:rsidRPr="00A812A9">
        <w:rPr>
          <w:rFonts w:cstheme="minorHAnsi"/>
        </w:rPr>
        <w:t>The full terms of reference for the pilot project</w:t>
      </w:r>
      <w:r w:rsidR="00C91BFA" w:rsidRPr="00A812A9">
        <w:rPr>
          <w:rFonts w:cstheme="minorHAnsi"/>
        </w:rPr>
        <w:t xml:space="preserve"> are </w:t>
      </w:r>
      <w:r w:rsidR="00C91BFA" w:rsidRPr="006A57F4">
        <w:rPr>
          <w:rFonts w:cstheme="minorHAnsi"/>
        </w:rPr>
        <w:t>available</w:t>
      </w:r>
      <w:r w:rsidR="00C91BFA" w:rsidRPr="006A57F4">
        <w:t xml:space="preserve"> </w:t>
      </w:r>
      <w:hyperlink r:id="rId10" w:history="1">
        <w:r w:rsidR="00C91BFA" w:rsidRPr="006A57F4">
          <w:rPr>
            <w:rStyle w:val="Hyperlink"/>
          </w:rPr>
          <w:t>here</w:t>
        </w:r>
      </w:hyperlink>
      <w:r w:rsidR="00C91BFA" w:rsidRPr="006A57F4">
        <w:t>.</w:t>
      </w:r>
      <w:r w:rsidR="00D9633B" w:rsidRPr="006A57F4">
        <w:rPr>
          <w:rStyle w:val="FootnoteReference"/>
          <w:rFonts w:asciiTheme="minorHAnsi" w:hAnsiTheme="minorHAnsi" w:cstheme="minorHAnsi"/>
        </w:rPr>
        <w:footnoteReference w:id="1"/>
      </w:r>
      <w:r w:rsidR="00D9633B" w:rsidRPr="00A812A9">
        <w:rPr>
          <w:rFonts w:ascii="Segoe UI" w:hAnsi="Segoe UI" w:cs="Segoe UI"/>
          <w:color w:val="000000"/>
          <w:sz w:val="20"/>
        </w:rPr>
        <w:t xml:space="preserve"> </w:t>
      </w:r>
    </w:p>
    <w:p w:rsidR="00462916" w:rsidRPr="00A812A9" w:rsidRDefault="00925274" w:rsidP="0028297D">
      <w:pPr>
        <w:jc w:val="both"/>
        <w:rPr>
          <w:rFonts w:cstheme="minorHAnsi"/>
        </w:rPr>
      </w:pPr>
      <w:r w:rsidRPr="00A812A9">
        <w:rPr>
          <w:rFonts w:cstheme="minorHAnsi"/>
        </w:rPr>
        <w:t>1.2</w:t>
      </w:r>
      <w:r w:rsidRPr="00A812A9">
        <w:rPr>
          <w:rFonts w:cstheme="minorHAnsi"/>
        </w:rPr>
        <w:tab/>
      </w:r>
      <w:r w:rsidR="00462916" w:rsidRPr="00A812A9">
        <w:rPr>
          <w:rFonts w:cstheme="minorHAnsi"/>
        </w:rPr>
        <w:t xml:space="preserve">In order to participate, SMEs must be approved by their relevant government Administration, according to national definitions of SMEs. </w:t>
      </w:r>
    </w:p>
    <w:p w:rsidR="00462916" w:rsidRPr="00A812A9" w:rsidRDefault="00925274" w:rsidP="0028297D">
      <w:pPr>
        <w:jc w:val="both"/>
        <w:rPr>
          <w:rFonts w:cstheme="minorHAnsi"/>
        </w:rPr>
      </w:pPr>
      <w:r w:rsidRPr="00A812A9">
        <w:rPr>
          <w:rFonts w:cstheme="minorHAnsi"/>
        </w:rPr>
        <w:t>1.3</w:t>
      </w:r>
      <w:r w:rsidRPr="00A812A9">
        <w:rPr>
          <w:rFonts w:cstheme="minorHAnsi"/>
        </w:rPr>
        <w:tab/>
      </w:r>
      <w:r w:rsidR="00462916" w:rsidRPr="00A812A9">
        <w:rPr>
          <w:rFonts w:cstheme="minorHAnsi"/>
        </w:rPr>
        <w:t xml:space="preserve">The pilot project is to be promoted with the Bureaux, regional organizations, administrations and the ITU regional and area offices through contact with SMEs and SME associations. </w:t>
      </w:r>
    </w:p>
    <w:p w:rsidR="00462916" w:rsidRPr="00A812A9" w:rsidRDefault="007F67B5" w:rsidP="0028297D">
      <w:pPr>
        <w:jc w:val="both"/>
        <w:rPr>
          <w:rFonts w:cstheme="minorHAnsi"/>
        </w:rPr>
      </w:pPr>
      <w:r w:rsidRPr="00A812A9">
        <w:rPr>
          <w:rFonts w:cstheme="minorHAnsi"/>
        </w:rPr>
        <w:lastRenderedPageBreak/>
        <w:t>1.4</w:t>
      </w:r>
      <w:r w:rsidR="00925274" w:rsidRPr="00A812A9">
        <w:rPr>
          <w:rFonts w:cstheme="minorHAnsi"/>
        </w:rPr>
        <w:tab/>
      </w:r>
      <w:r w:rsidR="00462916" w:rsidRPr="00A812A9">
        <w:rPr>
          <w:rFonts w:cstheme="minorHAnsi"/>
        </w:rPr>
        <w:t>Council</w:t>
      </w:r>
      <w:r w:rsidR="00D865A7" w:rsidRPr="00A812A9">
        <w:rPr>
          <w:rFonts w:cstheme="minorHAnsi"/>
        </w:rPr>
        <w:t>-17</w:t>
      </w:r>
      <w:r w:rsidR="00462916" w:rsidRPr="00A812A9">
        <w:rPr>
          <w:rFonts w:cstheme="minorHAnsi"/>
        </w:rPr>
        <w:t xml:space="preserve"> instructed the </w:t>
      </w:r>
      <w:r w:rsidR="0028297D" w:rsidRPr="00A812A9">
        <w:rPr>
          <w:rFonts w:cstheme="minorHAnsi"/>
        </w:rPr>
        <w:t>s</w:t>
      </w:r>
      <w:r w:rsidR="00462916" w:rsidRPr="00A812A9">
        <w:rPr>
          <w:rFonts w:cstheme="minorHAnsi"/>
        </w:rPr>
        <w:t>ecretari</w:t>
      </w:r>
      <w:r w:rsidR="00840E6F" w:rsidRPr="00A812A9">
        <w:rPr>
          <w:rFonts w:cstheme="minorHAnsi"/>
        </w:rPr>
        <w:t>at to provide a</w:t>
      </w:r>
      <w:r w:rsidR="00462916" w:rsidRPr="00A812A9">
        <w:rPr>
          <w:rFonts w:cstheme="minorHAnsi"/>
        </w:rPr>
        <w:t xml:space="preserve"> progress report to Council</w:t>
      </w:r>
      <w:r w:rsidR="0028297D" w:rsidRPr="00A812A9">
        <w:rPr>
          <w:rFonts w:cstheme="minorHAnsi"/>
        </w:rPr>
        <w:t>-</w:t>
      </w:r>
      <w:r w:rsidR="00462916" w:rsidRPr="00A812A9">
        <w:rPr>
          <w:rFonts w:cstheme="minorHAnsi"/>
        </w:rPr>
        <w:t>18, and a fuller report to PP</w:t>
      </w:r>
      <w:r w:rsidR="0028297D" w:rsidRPr="00A812A9">
        <w:rPr>
          <w:rFonts w:cstheme="minorHAnsi"/>
        </w:rPr>
        <w:t>-</w:t>
      </w:r>
      <w:r w:rsidR="00462916" w:rsidRPr="00A812A9">
        <w:rPr>
          <w:rFonts w:cstheme="minorHAnsi"/>
        </w:rPr>
        <w:t xml:space="preserve">18 on outcomes. </w:t>
      </w:r>
    </w:p>
    <w:p w:rsidR="00685EE3" w:rsidRPr="00F1127F" w:rsidRDefault="00925274" w:rsidP="00F1127F">
      <w:pPr>
        <w:rPr>
          <w:rFonts w:cstheme="minorHAnsi"/>
          <w:sz w:val="28"/>
        </w:rPr>
      </w:pPr>
      <w:r w:rsidRPr="00F1127F">
        <w:rPr>
          <w:rFonts w:cstheme="minorHAnsi"/>
          <w:b/>
          <w:sz w:val="28"/>
        </w:rPr>
        <w:t>2</w:t>
      </w:r>
      <w:r w:rsidRPr="00F1127F">
        <w:rPr>
          <w:rFonts w:cstheme="minorHAnsi"/>
          <w:b/>
          <w:sz w:val="28"/>
        </w:rPr>
        <w:tab/>
      </w:r>
      <w:r w:rsidR="00685EE3" w:rsidRPr="00F1127F">
        <w:rPr>
          <w:rFonts w:cstheme="minorHAnsi"/>
          <w:b/>
          <w:sz w:val="28"/>
        </w:rPr>
        <w:t>Current situation</w:t>
      </w:r>
      <w:r w:rsidR="00D15129" w:rsidRPr="00F1127F">
        <w:rPr>
          <w:rFonts w:cstheme="minorHAnsi"/>
          <w:b/>
          <w:sz w:val="28"/>
        </w:rPr>
        <w:t xml:space="preserve"> for pilot implementation</w:t>
      </w:r>
    </w:p>
    <w:p w:rsidR="00D15129" w:rsidRPr="00A812A9" w:rsidRDefault="00925274" w:rsidP="00D15129">
      <w:r w:rsidRPr="00A812A9">
        <w:rPr>
          <w:rFonts w:cstheme="minorHAnsi"/>
        </w:rPr>
        <w:t>2.1</w:t>
      </w:r>
      <w:r w:rsidRPr="00A812A9">
        <w:rPr>
          <w:rFonts w:cstheme="minorHAnsi"/>
        </w:rPr>
        <w:tab/>
      </w:r>
      <w:r w:rsidR="00D15129" w:rsidRPr="00A812A9">
        <w:t>In ITU-T, the following Study Groups participated in the pilot project:</w:t>
      </w:r>
    </w:p>
    <w:p w:rsidR="00D15129" w:rsidRDefault="00F57557" w:rsidP="00D15129">
      <w:pPr>
        <w:pStyle w:val="ListParagraph"/>
        <w:numPr>
          <w:ilvl w:val="0"/>
          <w:numId w:val="12"/>
        </w:numPr>
      </w:pPr>
      <w:hyperlink r:id="rId11" w:history="1">
        <w:r w:rsidR="00D15129" w:rsidRPr="00A812A9">
          <w:rPr>
            <w:rStyle w:val="Hyperlink"/>
          </w:rPr>
          <w:t xml:space="preserve">Study Group 5 </w:t>
        </w:r>
        <w:r w:rsidR="00652971">
          <w:rPr>
            <w:rStyle w:val="Hyperlink"/>
          </w:rPr>
          <w:t>–</w:t>
        </w:r>
        <w:r w:rsidR="00D15129" w:rsidRPr="00A812A9">
          <w:rPr>
            <w:rStyle w:val="Hyperlink"/>
          </w:rPr>
          <w:t xml:space="preserve"> Environment and circular economy</w:t>
        </w:r>
      </w:hyperlink>
      <w:r w:rsidR="00D15129" w:rsidRPr="00A812A9">
        <w:t xml:space="preserve"> </w:t>
      </w:r>
    </w:p>
    <w:p w:rsidR="00996684" w:rsidRPr="00996684" w:rsidRDefault="00F57557" w:rsidP="001631D1">
      <w:pPr>
        <w:pStyle w:val="ListParagraph"/>
        <w:numPr>
          <w:ilvl w:val="0"/>
          <w:numId w:val="12"/>
        </w:numPr>
      </w:pPr>
      <w:hyperlink r:id="rId12" w:history="1">
        <w:r w:rsidR="00996684" w:rsidRPr="00996684">
          <w:rPr>
            <w:rStyle w:val="Hyperlink"/>
          </w:rPr>
          <w:t xml:space="preserve">Study Group 11 </w:t>
        </w:r>
        <w:r w:rsidR="00652971">
          <w:rPr>
            <w:rStyle w:val="Hyperlink"/>
          </w:rPr>
          <w:t>–</w:t>
        </w:r>
        <w:r w:rsidR="00996684" w:rsidRPr="00996684">
          <w:rPr>
            <w:rStyle w:val="Hyperlink"/>
          </w:rPr>
          <w:t xml:space="preserve"> Signalling requirements, protocols and test specifications</w:t>
        </w:r>
      </w:hyperlink>
    </w:p>
    <w:p w:rsidR="00D15129" w:rsidRPr="00A812A9" w:rsidRDefault="00F57557" w:rsidP="001631D1">
      <w:pPr>
        <w:pStyle w:val="ListParagraph"/>
        <w:numPr>
          <w:ilvl w:val="0"/>
          <w:numId w:val="12"/>
        </w:numPr>
      </w:pPr>
      <w:hyperlink r:id="rId13" w:history="1">
        <w:r w:rsidR="00D15129" w:rsidRPr="00A812A9">
          <w:rPr>
            <w:rStyle w:val="Hyperlink"/>
          </w:rPr>
          <w:t xml:space="preserve">Study Group 16 </w:t>
        </w:r>
        <w:r w:rsidR="001631D1" w:rsidRPr="00A812A9">
          <w:rPr>
            <w:rStyle w:val="Hyperlink"/>
          </w:rPr>
          <w:t>–</w:t>
        </w:r>
        <w:r w:rsidR="00D15129" w:rsidRPr="00A812A9">
          <w:rPr>
            <w:rStyle w:val="Hyperlink"/>
          </w:rPr>
          <w:t xml:space="preserve"> Multimedi</w:t>
        </w:r>
        <w:r w:rsidR="001631D1" w:rsidRPr="00A812A9">
          <w:rPr>
            <w:rStyle w:val="Hyperlink"/>
          </w:rPr>
          <w:t>a coding, systems and applications</w:t>
        </w:r>
      </w:hyperlink>
      <w:r w:rsidR="00D15129" w:rsidRPr="00A812A9">
        <w:t xml:space="preserve"> </w:t>
      </w:r>
    </w:p>
    <w:p w:rsidR="00D15129" w:rsidRPr="00A812A9" w:rsidRDefault="00F57557" w:rsidP="00D15129">
      <w:pPr>
        <w:pStyle w:val="ListParagraph"/>
        <w:numPr>
          <w:ilvl w:val="0"/>
          <w:numId w:val="12"/>
        </w:numPr>
      </w:pPr>
      <w:hyperlink r:id="rId14" w:history="1">
        <w:r w:rsidR="00D15129" w:rsidRPr="00A812A9">
          <w:rPr>
            <w:rStyle w:val="Hyperlink"/>
          </w:rPr>
          <w:t xml:space="preserve">Study Group 20 </w:t>
        </w:r>
        <w:r w:rsidR="00652971">
          <w:rPr>
            <w:rStyle w:val="Hyperlink"/>
          </w:rPr>
          <w:t>–</w:t>
        </w:r>
        <w:r w:rsidR="00D15129" w:rsidRPr="00A812A9">
          <w:rPr>
            <w:rStyle w:val="Hyperlink"/>
          </w:rPr>
          <w:t xml:space="preserve"> </w:t>
        </w:r>
        <w:proofErr w:type="spellStart"/>
        <w:r w:rsidR="00D15129" w:rsidRPr="00A812A9">
          <w:rPr>
            <w:rStyle w:val="Hyperlink"/>
          </w:rPr>
          <w:t>IoT</w:t>
        </w:r>
        <w:proofErr w:type="spellEnd"/>
        <w:r w:rsidR="00D15129" w:rsidRPr="00A812A9">
          <w:rPr>
            <w:rStyle w:val="Hyperlink"/>
          </w:rPr>
          <w:t>, smart cities &amp; communities</w:t>
        </w:r>
      </w:hyperlink>
      <w:r w:rsidR="00D15129" w:rsidRPr="00A812A9">
        <w:t xml:space="preserve"> </w:t>
      </w:r>
    </w:p>
    <w:p w:rsidR="00154E90" w:rsidRPr="00F36574" w:rsidRDefault="00837C0C" w:rsidP="00F36574">
      <w:r w:rsidRPr="00A812A9">
        <w:t xml:space="preserve">Currently, </w:t>
      </w:r>
      <w:r w:rsidR="008D1EA0" w:rsidRPr="00996684">
        <w:t>1</w:t>
      </w:r>
      <w:r w:rsidR="00F63C24">
        <w:t>5</w:t>
      </w:r>
      <w:r w:rsidR="00D15129" w:rsidRPr="00996684">
        <w:t xml:space="preserve"> SMEs</w:t>
      </w:r>
      <w:r w:rsidR="000422D3">
        <w:t xml:space="preserve"> have been approved by </w:t>
      </w:r>
      <w:r w:rsidR="00D15129" w:rsidRPr="00A812A9">
        <w:t>relevant administrations to participate in ITU-T m</w:t>
      </w:r>
      <w:r w:rsidR="0055702E">
        <w:t xml:space="preserve">eetings under the pilot, with </w:t>
      </w:r>
      <w:r w:rsidR="00BF4C89">
        <w:t>3</w:t>
      </w:r>
      <w:r w:rsidR="00D15129" w:rsidRPr="00A812A9">
        <w:t xml:space="preserve"> </w:t>
      </w:r>
      <w:r w:rsidR="0055702E">
        <w:t>more i</w:t>
      </w:r>
      <w:r w:rsidR="00D15129" w:rsidRPr="00A812A9">
        <w:t>n the admission process</w:t>
      </w:r>
      <w:r w:rsidR="0055702E">
        <w:t>, and another 4 having</w:t>
      </w:r>
      <w:r w:rsidR="00BF4C89">
        <w:t xml:space="preserve"> expressed interest</w:t>
      </w:r>
      <w:r w:rsidR="00D15129" w:rsidRPr="00A812A9">
        <w:t xml:space="preserve">. </w:t>
      </w:r>
      <w:r w:rsidR="00996684">
        <w:t>Already this participation has led to some positive results. For example, i</w:t>
      </w:r>
      <w:r w:rsidR="00154E90" w:rsidRPr="00A812A9">
        <w:t xml:space="preserve">n ITU-T SG16, ASTEM (Japan) contributed significant specifications for standards on accessible IPTV terminals and their testing, </w:t>
      </w:r>
      <w:r w:rsidR="00154E90">
        <w:t>which</w:t>
      </w:r>
      <w:r w:rsidR="00154E90" w:rsidRPr="00A812A9">
        <w:t xml:space="preserve"> are now found in Recommendation ITU-T H.702 and Technical Paper ITU-T HSTP-CONF-H702. </w:t>
      </w:r>
      <w:proofErr w:type="spellStart"/>
      <w:r w:rsidR="00154E90" w:rsidRPr="00A812A9">
        <w:t>Wayfindr</w:t>
      </w:r>
      <w:proofErr w:type="spellEnd"/>
      <w:r w:rsidR="00154E90" w:rsidRPr="00A812A9">
        <w:t xml:space="preserve">, from the UK, brought specifications for audio-based network navigation system for persons with vision impairment and its conformance testing (Recommendation ITU-T F.921 and Technical Paper ITU-T HSTP-CONF-F921). </w:t>
      </w:r>
      <w:proofErr w:type="spellStart"/>
      <w:r w:rsidR="00154E90" w:rsidRPr="00A812A9">
        <w:t>Wayfindr</w:t>
      </w:r>
      <w:proofErr w:type="spellEnd"/>
      <w:r w:rsidR="00154E90" w:rsidRPr="00A812A9">
        <w:t xml:space="preserve"> also developed an associated online training material that is </w:t>
      </w:r>
      <w:hyperlink r:id="rId15" w:history="1">
        <w:r w:rsidR="00154E90" w:rsidRPr="000B47ED">
          <w:rPr>
            <w:rStyle w:val="Hyperlink"/>
          </w:rPr>
          <w:t>available from the ITU Academy platform</w:t>
        </w:r>
      </w:hyperlink>
      <w:r w:rsidR="00154E90" w:rsidRPr="00A812A9">
        <w:t>.</w:t>
      </w:r>
    </w:p>
    <w:p w:rsidR="00D15129" w:rsidRPr="00A812A9" w:rsidRDefault="00925274" w:rsidP="00D15129">
      <w:pPr>
        <w:snapToGrid w:val="0"/>
        <w:spacing w:after="120"/>
        <w:jc w:val="both"/>
        <w:rPr>
          <w:rFonts w:cstheme="minorHAnsi"/>
        </w:rPr>
      </w:pPr>
      <w:r w:rsidRPr="00A812A9">
        <w:rPr>
          <w:rFonts w:cstheme="minorHAnsi"/>
        </w:rPr>
        <w:t>2.2</w:t>
      </w:r>
      <w:r w:rsidRPr="00A812A9">
        <w:rPr>
          <w:rFonts w:cstheme="minorHAnsi"/>
        </w:rPr>
        <w:tab/>
      </w:r>
      <w:r w:rsidR="00D15129" w:rsidRPr="00A812A9">
        <w:rPr>
          <w:rFonts w:cstheme="minorHAnsi"/>
        </w:rPr>
        <w:t xml:space="preserve">The two ITU-D Study Groups also participated in the pilot project: </w:t>
      </w:r>
    </w:p>
    <w:p w:rsidR="00D15129" w:rsidRPr="00EF5D8A" w:rsidRDefault="00F57557" w:rsidP="00F1127F">
      <w:pPr>
        <w:pStyle w:val="ListParagraph"/>
        <w:numPr>
          <w:ilvl w:val="0"/>
          <w:numId w:val="12"/>
        </w:numPr>
      </w:pPr>
      <w:hyperlink r:id="rId16" w:history="1">
        <w:r w:rsidR="00D15129" w:rsidRPr="00CD3C23">
          <w:rPr>
            <w:rStyle w:val="Hyperlink"/>
          </w:rPr>
          <w:t>Study Group 1 - Enabling environment for the development of telecommunications/ICTs</w:t>
        </w:r>
      </w:hyperlink>
    </w:p>
    <w:p w:rsidR="001F40B7" w:rsidRPr="00EF5D8A" w:rsidRDefault="00F57557" w:rsidP="00F1127F">
      <w:pPr>
        <w:pStyle w:val="ListParagraph"/>
        <w:numPr>
          <w:ilvl w:val="0"/>
          <w:numId w:val="12"/>
        </w:numPr>
      </w:pPr>
      <w:hyperlink r:id="rId17" w:history="1">
        <w:r w:rsidR="00D15129" w:rsidRPr="00CD3C23">
          <w:rPr>
            <w:rStyle w:val="Hyperlink"/>
          </w:rPr>
          <w:t>Study Group 2 - ICT services and applications for the promotion of sustainable development</w:t>
        </w:r>
      </w:hyperlink>
    </w:p>
    <w:p w:rsidR="00D15129" w:rsidRDefault="00D15129" w:rsidP="00AF066E">
      <w:pPr>
        <w:snapToGrid w:val="0"/>
        <w:spacing w:after="120"/>
        <w:jc w:val="both"/>
        <w:rPr>
          <w:rStyle w:val="eop"/>
          <w:rFonts w:cs="Segoe UI"/>
        </w:rPr>
      </w:pPr>
      <w:r w:rsidRPr="00A812A9">
        <w:rPr>
          <w:rFonts w:cstheme="minorHAnsi"/>
        </w:rPr>
        <w:t>In total</w:t>
      </w:r>
      <w:r w:rsidR="008D1EA0" w:rsidRPr="00F36574">
        <w:rPr>
          <w:rFonts w:cstheme="minorHAnsi"/>
        </w:rPr>
        <w:t xml:space="preserve">, </w:t>
      </w:r>
      <w:r w:rsidR="00F11C42">
        <w:rPr>
          <w:rFonts w:cstheme="minorHAnsi"/>
        </w:rPr>
        <w:t>8</w:t>
      </w:r>
      <w:r w:rsidR="00AD4463" w:rsidRPr="00A812A9">
        <w:rPr>
          <w:rFonts w:cstheme="minorHAnsi"/>
        </w:rPr>
        <w:t xml:space="preserve"> </w:t>
      </w:r>
      <w:r w:rsidRPr="00A812A9">
        <w:rPr>
          <w:rFonts w:cstheme="minorHAnsi"/>
        </w:rPr>
        <w:t>SME</w:t>
      </w:r>
      <w:r w:rsidR="00AD4463">
        <w:rPr>
          <w:rFonts w:cstheme="minorHAnsi"/>
        </w:rPr>
        <w:t xml:space="preserve"> have been approved by administrations to</w:t>
      </w:r>
      <w:r w:rsidRPr="00A812A9">
        <w:rPr>
          <w:rFonts w:cstheme="minorHAnsi"/>
        </w:rPr>
        <w:t xml:space="preserve"> participate in ITU-D S</w:t>
      </w:r>
      <w:r w:rsidR="00AD4463">
        <w:rPr>
          <w:rFonts w:cstheme="minorHAnsi"/>
        </w:rPr>
        <w:t xml:space="preserve">tudy </w:t>
      </w:r>
      <w:r w:rsidRPr="00A812A9">
        <w:rPr>
          <w:rFonts w:cstheme="minorHAnsi"/>
        </w:rPr>
        <w:t>G</w:t>
      </w:r>
      <w:r w:rsidR="00AD4463">
        <w:rPr>
          <w:rFonts w:cstheme="minorHAnsi"/>
        </w:rPr>
        <w:t>roup and Rapporteur Group</w:t>
      </w:r>
      <w:r w:rsidRPr="00A812A9">
        <w:rPr>
          <w:rFonts w:cstheme="minorHAnsi"/>
        </w:rPr>
        <w:t xml:space="preserve"> meetings.</w:t>
      </w:r>
      <w:r w:rsidR="00D74D15">
        <w:rPr>
          <w:rFonts w:cstheme="minorHAnsi"/>
        </w:rPr>
        <w:t xml:space="preserve"> </w:t>
      </w:r>
      <w:r w:rsidR="007639B8">
        <w:rPr>
          <w:rStyle w:val="eop"/>
          <w:rFonts w:cs="Segoe UI"/>
        </w:rPr>
        <w:t xml:space="preserve">Most </w:t>
      </w:r>
      <w:r w:rsidR="00D74D15" w:rsidRPr="00B527A1">
        <w:rPr>
          <w:rStyle w:val="eop"/>
          <w:rFonts w:cs="Segoe UI"/>
        </w:rPr>
        <w:t>of these SME pilot participants have also submitted contributions to the ITU-D Study Group 1 and 2 meetings</w:t>
      </w:r>
      <w:r w:rsidR="00C13C15">
        <w:rPr>
          <w:rStyle w:val="eop"/>
          <w:rFonts w:cs="Segoe UI"/>
        </w:rPr>
        <w:t xml:space="preserve"> and participated in topical activities that have taken place within the ITU-D Study Groups in 2018</w:t>
      </w:r>
      <w:r w:rsidR="00D74D15" w:rsidRPr="00B527A1">
        <w:rPr>
          <w:rStyle w:val="eop"/>
          <w:rFonts w:cs="Segoe UI"/>
        </w:rPr>
        <w:t xml:space="preserve">. </w:t>
      </w:r>
      <w:r w:rsidR="00D74D15">
        <w:rPr>
          <w:rStyle w:val="eop"/>
          <w:rFonts w:cs="Segoe UI"/>
        </w:rPr>
        <w:t>SMEs have shown a particular interest in a</w:t>
      </w:r>
      <w:r w:rsidR="00D74D15" w:rsidRPr="00B527A1">
        <w:rPr>
          <w:rStyle w:val="eop"/>
          <w:rFonts w:cs="Segoe UI"/>
        </w:rPr>
        <w:t>reas such as cloud computing, rural access, cybersecurity</w:t>
      </w:r>
      <w:r w:rsidR="00D74D15">
        <w:rPr>
          <w:rStyle w:val="eop"/>
          <w:rFonts w:cs="Segoe UI"/>
        </w:rPr>
        <w:t>, e-health</w:t>
      </w:r>
      <w:r w:rsidR="00D74D15" w:rsidRPr="00B527A1">
        <w:rPr>
          <w:rStyle w:val="eop"/>
          <w:rFonts w:cs="Segoe UI"/>
        </w:rPr>
        <w:t xml:space="preserve"> and </w:t>
      </w:r>
      <w:r w:rsidR="00D74D15">
        <w:rPr>
          <w:rStyle w:val="eop"/>
          <w:rFonts w:cs="Segoe UI"/>
        </w:rPr>
        <w:t xml:space="preserve">other </w:t>
      </w:r>
      <w:r w:rsidR="00D74D15" w:rsidRPr="00B527A1">
        <w:rPr>
          <w:rStyle w:val="eop"/>
          <w:rFonts w:cs="Segoe UI"/>
        </w:rPr>
        <w:t xml:space="preserve">ICT </w:t>
      </w:r>
      <w:r w:rsidR="00D74D15">
        <w:rPr>
          <w:rStyle w:val="eop"/>
          <w:rFonts w:cs="Segoe UI"/>
        </w:rPr>
        <w:t>applications</w:t>
      </w:r>
      <w:r w:rsidR="00D74D15" w:rsidRPr="00B527A1">
        <w:rPr>
          <w:rStyle w:val="eop"/>
          <w:rFonts w:cs="Segoe UI"/>
        </w:rPr>
        <w:t>.</w:t>
      </w:r>
    </w:p>
    <w:p w:rsidR="009E3035" w:rsidRPr="00A812A9" w:rsidRDefault="009E3035" w:rsidP="00AF066E">
      <w:pPr>
        <w:snapToGrid w:val="0"/>
        <w:spacing w:after="120"/>
        <w:jc w:val="both"/>
        <w:rPr>
          <w:rFonts w:cstheme="minorHAnsi"/>
        </w:rPr>
      </w:pPr>
      <w:r>
        <w:rPr>
          <w:rStyle w:val="eop"/>
          <w:rFonts w:cs="Segoe UI"/>
        </w:rPr>
        <w:t>There are a total of 2</w:t>
      </w:r>
      <w:r w:rsidR="00F11C42">
        <w:rPr>
          <w:rStyle w:val="eop"/>
          <w:rFonts w:cs="Segoe UI"/>
        </w:rPr>
        <w:t>2</w:t>
      </w:r>
      <w:r>
        <w:rPr>
          <w:rStyle w:val="eop"/>
          <w:rFonts w:cs="Segoe UI"/>
        </w:rPr>
        <w:t xml:space="preserve"> SMEs registered for the pilot project across study groups in ITU-T and ITU</w:t>
      </w:r>
      <w:r w:rsidR="000B47ED">
        <w:rPr>
          <w:rStyle w:val="eop"/>
          <w:rFonts w:cs="Segoe UI"/>
        </w:rPr>
        <w:noBreakHyphen/>
      </w:r>
      <w:r>
        <w:rPr>
          <w:rStyle w:val="eop"/>
          <w:rFonts w:cs="Segoe UI"/>
        </w:rPr>
        <w:t>D. One SME is registered for both ITU-T and ITU-D.</w:t>
      </w:r>
    </w:p>
    <w:p w:rsidR="001F40B7" w:rsidRPr="00A812A9" w:rsidRDefault="001F40B7" w:rsidP="0028297D">
      <w:pPr>
        <w:snapToGrid w:val="0"/>
        <w:spacing w:after="120"/>
        <w:jc w:val="both"/>
        <w:rPr>
          <w:rFonts w:cstheme="minorHAnsi"/>
        </w:rPr>
      </w:pPr>
      <w:r w:rsidRPr="00A812A9">
        <w:rPr>
          <w:rFonts w:cstheme="minorHAnsi"/>
        </w:rPr>
        <w:t>2.3.</w:t>
      </w:r>
      <w:r w:rsidRPr="00A812A9">
        <w:rPr>
          <w:rFonts w:cstheme="minorHAnsi"/>
        </w:rPr>
        <w:tab/>
        <w:t>A full list of the SMEs that</w:t>
      </w:r>
      <w:r w:rsidR="00837C0C" w:rsidRPr="00A812A9">
        <w:rPr>
          <w:rFonts w:cstheme="minorHAnsi"/>
        </w:rPr>
        <w:t xml:space="preserve"> have</w:t>
      </w:r>
      <w:r w:rsidRPr="00A812A9">
        <w:rPr>
          <w:rFonts w:cstheme="minorHAnsi"/>
        </w:rPr>
        <w:t xml:space="preserve"> participated in the pilot project are available in </w:t>
      </w:r>
      <w:r w:rsidRPr="00A812A9">
        <w:rPr>
          <w:rFonts w:cstheme="minorHAnsi"/>
          <w:b/>
        </w:rPr>
        <w:t>Annex</w:t>
      </w:r>
      <w:r w:rsidR="008D1EA0" w:rsidRPr="00A812A9">
        <w:rPr>
          <w:rFonts w:cstheme="minorHAnsi"/>
        </w:rPr>
        <w:t>.</w:t>
      </w:r>
    </w:p>
    <w:p w:rsidR="00D15129" w:rsidRDefault="001B0FD9" w:rsidP="00D15129">
      <w:r>
        <w:t>2</w:t>
      </w:r>
      <w:r w:rsidR="00035519">
        <w:t>.4</w:t>
      </w:r>
      <w:r w:rsidR="00035519">
        <w:tab/>
      </w:r>
      <w:r w:rsidR="00D15129" w:rsidRPr="00A812A9">
        <w:t xml:space="preserve">ITU is </w:t>
      </w:r>
      <w:r w:rsidR="00596C3E">
        <w:t>partnering</w:t>
      </w:r>
      <w:r w:rsidR="00D15129" w:rsidRPr="00A812A9">
        <w:t xml:space="preserve"> with</w:t>
      </w:r>
      <w:r w:rsidR="00596C3E">
        <w:t xml:space="preserve"> global, regional and national networks and associations to more efficiently and effectively reach </w:t>
      </w:r>
      <w:r>
        <w:t xml:space="preserve">out to </w:t>
      </w:r>
      <w:r w:rsidR="00596C3E">
        <w:t>SMEs. Examples include</w:t>
      </w:r>
      <w:r w:rsidR="00D15129" w:rsidRPr="00A812A9">
        <w:t xml:space="preserve"> </w:t>
      </w:r>
      <w:hyperlink r:id="rId18" w:history="1">
        <w:r w:rsidR="00D15129" w:rsidRPr="00A812A9">
          <w:rPr>
            <w:rStyle w:val="Hyperlink"/>
          </w:rPr>
          <w:t>WITSA</w:t>
        </w:r>
      </w:hyperlink>
      <w:r w:rsidR="00596C3E">
        <w:t xml:space="preserve">, a global ICT association and </w:t>
      </w:r>
      <w:hyperlink r:id="rId19" w:history="1">
        <w:r w:rsidR="00596C3E" w:rsidRPr="00A812A9">
          <w:rPr>
            <w:rStyle w:val="Hyperlink"/>
          </w:rPr>
          <w:t>CABASE</w:t>
        </w:r>
      </w:hyperlink>
      <w:r w:rsidR="00596C3E" w:rsidRPr="00A812A9">
        <w:t>, a bu</w:t>
      </w:r>
      <w:r w:rsidR="00596C3E">
        <w:t>siness association in Argentina</w:t>
      </w:r>
      <w:r w:rsidR="00D15129" w:rsidRPr="00A812A9">
        <w:t xml:space="preserve">. </w:t>
      </w:r>
      <w:r w:rsidR="00E57C10" w:rsidRPr="00A812A9">
        <w:t>They have helped promote the SME pilot project.</w:t>
      </w:r>
    </w:p>
    <w:p w:rsidR="00190425" w:rsidRPr="006A57F4" w:rsidRDefault="00190425" w:rsidP="001B6B68">
      <w:pPr>
        <w:spacing w:before="3720"/>
        <w:rPr>
          <w:b/>
          <w:sz w:val="28"/>
        </w:rPr>
      </w:pPr>
      <w:r w:rsidRPr="006A57F4">
        <w:rPr>
          <w:b/>
          <w:sz w:val="28"/>
        </w:rPr>
        <w:t xml:space="preserve">3. </w:t>
      </w:r>
      <w:r w:rsidRPr="006A57F4">
        <w:rPr>
          <w:b/>
          <w:sz w:val="28"/>
        </w:rPr>
        <w:tab/>
        <w:t xml:space="preserve">Current Participation of SMEs in ITU </w:t>
      </w:r>
    </w:p>
    <w:p w:rsidR="00190425" w:rsidRPr="006A57F4" w:rsidRDefault="00682867" w:rsidP="0019778E">
      <w:r w:rsidRPr="006A57F4">
        <w:t>3</w:t>
      </w:r>
      <w:r w:rsidR="00190425" w:rsidRPr="006A57F4">
        <w:t>.1</w:t>
      </w:r>
      <w:r w:rsidR="00190425" w:rsidRPr="006A57F4">
        <w:tab/>
      </w:r>
      <w:r w:rsidR="0088755A" w:rsidRPr="006A57F4">
        <w:t>In addition to the pilot project, t</w:t>
      </w:r>
      <w:r w:rsidR="00190425" w:rsidRPr="006A57F4">
        <w:t>here are currently a number of ways that SMEs participate in ITU activities</w:t>
      </w:r>
      <w:r w:rsidR="00290A47" w:rsidRPr="006A57F4">
        <w:t xml:space="preserve">, </w:t>
      </w:r>
      <w:r w:rsidR="00DE67E1" w:rsidRPr="006A57F4">
        <w:t xml:space="preserve">including in Study Groups as Sector Members, Associates or as part of national delegations, in ITU Telecom World, WSIS, and in various global and regional events across the Sectors, including workshops, training and other activities open to non-members. </w:t>
      </w:r>
    </w:p>
    <w:p w:rsidR="00290A47" w:rsidRPr="006A57F4" w:rsidRDefault="00682867" w:rsidP="0019778E">
      <w:r w:rsidRPr="006A57F4">
        <w:t>3</w:t>
      </w:r>
      <w:r w:rsidR="00290A47" w:rsidRPr="006A57F4">
        <w:t>.2</w:t>
      </w:r>
      <w:r w:rsidR="00290A47" w:rsidRPr="006A57F4">
        <w:tab/>
        <w:t>There are already a significant number of SMEs participating in ITU as Sector Members and Associates. The actual number depends on the definition, but by some measures, it is estimated that ITU currently has more than 60 SMEs as Associates and Sector Members.</w:t>
      </w:r>
      <w:r w:rsidR="00F7254A" w:rsidRPr="006A57F4">
        <w:rPr>
          <w:rStyle w:val="FootnoteReference"/>
        </w:rPr>
        <w:footnoteReference w:id="2"/>
      </w:r>
    </w:p>
    <w:p w:rsidR="00AB17BE" w:rsidRPr="006A57F4" w:rsidRDefault="00682867" w:rsidP="00AB17BE">
      <w:r w:rsidRPr="006A57F4">
        <w:t>3</w:t>
      </w:r>
      <w:r w:rsidR="00290A47" w:rsidRPr="006A57F4">
        <w:t>.3</w:t>
      </w:r>
      <w:r w:rsidR="00290A47" w:rsidRPr="006A57F4">
        <w:tab/>
      </w:r>
      <w:r w:rsidR="00AB17BE" w:rsidRPr="006A57F4">
        <w:t>ITU Telecom World events have increasingly provided a platform of international services to support and foster SMEs. Growing numbers of exhibitors at ITU Telecom World events are SMEs, either within National Pavilions or Thematic Pavilions, or as independent stands. S</w:t>
      </w:r>
      <w:r w:rsidR="0088755A" w:rsidRPr="006A57F4">
        <w:t>ME s</w:t>
      </w:r>
      <w:r w:rsidR="00AB17BE" w:rsidRPr="006A57F4">
        <w:t xml:space="preserve">olutions, products and services cover a range of sectors and technologies, including innovative use of ICTs in health, education, finance, government services, agriculture and the labour market. The </w:t>
      </w:r>
      <w:hyperlink r:id="rId20" w:history="1">
        <w:r w:rsidR="00AB17BE" w:rsidRPr="006A57F4">
          <w:rPr>
            <w:color w:val="0000FF"/>
            <w:u w:val="single"/>
          </w:rPr>
          <w:t>ITU Telecom World SME Programme</w:t>
        </w:r>
      </w:hyperlink>
      <w:r w:rsidR="00AB17BE" w:rsidRPr="006A57F4">
        <w:t xml:space="preserve"> focuses on helping high-growth SMEs with social impact to expand their ICT-specific products or services or ICT-dependent business models. </w:t>
      </w:r>
      <w:r w:rsidR="0088755A" w:rsidRPr="006A57F4">
        <w:t>ITU TELECOM has helped</w:t>
      </w:r>
      <w:hyperlink r:id="rId21" w:history="1">
        <w:r w:rsidR="0088755A" w:rsidRPr="006A57F4">
          <w:rPr>
            <w:rStyle w:val="Hyperlink"/>
          </w:rPr>
          <w:t xml:space="preserve"> tech SMEs open new market opportunities, scale up</w:t>
        </w:r>
      </w:hyperlink>
      <w:r w:rsidR="0088755A" w:rsidRPr="006A57F4">
        <w:t xml:space="preserve"> their business activities and reach maximum global impact. </w:t>
      </w:r>
      <w:r w:rsidR="00AB17BE" w:rsidRPr="006A57F4">
        <w:t xml:space="preserve">Specific efforts include international visibility through the exhibition, coaching, mentoring, investor-matchmaking, pitching and recognition within the ITU Telecom Global SME Awards. Since 2015, over 500 tech SMEs have either exhibited or participated in the ITU Telecom World SME Programme and Awards.  Several winners of the Awards have gone on to expand both in domestic and international markets.  </w:t>
      </w:r>
    </w:p>
    <w:p w:rsidR="0019778E" w:rsidRPr="006A57F4" w:rsidRDefault="00682867" w:rsidP="0019778E">
      <w:r w:rsidRPr="006A57F4">
        <w:t>3</w:t>
      </w:r>
      <w:r w:rsidR="001B6B68">
        <w:t>.4</w:t>
      </w:r>
      <w:r w:rsidR="0019778E" w:rsidRPr="006A57F4">
        <w:tab/>
      </w:r>
      <w:r w:rsidR="007E0828" w:rsidRPr="006A57F4">
        <w:t>In addition, t</w:t>
      </w:r>
      <w:r w:rsidR="0019778E" w:rsidRPr="006A57F4">
        <w:t xml:space="preserve">he WSIS Forum has become a platform of increasing interest for SMEs and start-ups. ITU and co-organizers have been encouraging SMEs and start-ups to showcase their innovative technologies and to interact with the wider WSIS stakeholder community. </w:t>
      </w:r>
      <w:r w:rsidR="0019778E" w:rsidRPr="006A57F4">
        <w:rPr>
          <w:color w:val="212529"/>
          <w:shd w:val="clear" w:color="auto" w:fill="FFFFFF"/>
        </w:rPr>
        <w:t>SMEs and start-ups have recently displayed their solutions, including drones, robots and artificial intelligence for social good, online capacity building programmes, ICTs for eradicating hunger and e-health solutions. </w:t>
      </w:r>
    </w:p>
    <w:p w:rsidR="00243517" w:rsidRPr="006A57F4" w:rsidRDefault="00682867" w:rsidP="00D15129">
      <w:r w:rsidRPr="006A57F4">
        <w:t>3</w:t>
      </w:r>
      <w:r w:rsidR="001B6B68">
        <w:t>.5</w:t>
      </w:r>
      <w:r w:rsidR="00190425" w:rsidRPr="006A57F4">
        <w:tab/>
        <w:t>ITU also has many</w:t>
      </w:r>
      <w:r w:rsidR="007E0828" w:rsidRPr="006A57F4">
        <w:t xml:space="preserve"> other</w:t>
      </w:r>
      <w:r w:rsidR="00190425" w:rsidRPr="006A57F4">
        <w:t xml:space="preserve"> </w:t>
      </w:r>
      <w:r w:rsidR="007E0828" w:rsidRPr="006A57F4">
        <w:t>a</w:t>
      </w:r>
      <w:r w:rsidR="00190425" w:rsidRPr="006A57F4">
        <w:t xml:space="preserve">ctivities, including focus groups, workshops and training, which are </w:t>
      </w:r>
      <w:r w:rsidR="007E0828" w:rsidRPr="006A57F4">
        <w:t xml:space="preserve">open </w:t>
      </w:r>
      <w:r w:rsidR="00190425" w:rsidRPr="006A57F4">
        <w:t>to non-members. These are important opportunities</w:t>
      </w:r>
      <w:r w:rsidR="007E0828" w:rsidRPr="006A57F4">
        <w:t xml:space="preserve"> for SMEs to participate in ITU and</w:t>
      </w:r>
      <w:r w:rsidR="00190425" w:rsidRPr="006A57F4">
        <w:t xml:space="preserve"> expand their knowledge of key issues and developments in various parts of the world. They are also a chance for SMEs to meet with governments, </w:t>
      </w:r>
      <w:r w:rsidR="007E0828" w:rsidRPr="006A57F4">
        <w:t xml:space="preserve">academia, </w:t>
      </w:r>
      <w:r w:rsidR="00190425" w:rsidRPr="006A57F4">
        <w:t>civil society</w:t>
      </w:r>
      <w:r w:rsidR="007E0828" w:rsidRPr="006A57F4">
        <w:t xml:space="preserve"> and </w:t>
      </w:r>
      <w:r w:rsidR="00190425" w:rsidRPr="006A57F4">
        <w:t>larger companies from other parts of the world, who may be seeking solutions provided by SMEs or local partners to serve specific needs in emerging markets.</w:t>
      </w:r>
    </w:p>
    <w:p w:rsidR="00190425" w:rsidRDefault="00682867" w:rsidP="00D15129">
      <w:r w:rsidRPr="006A57F4">
        <w:t>3</w:t>
      </w:r>
      <w:r w:rsidR="001B6B68">
        <w:t>.6</w:t>
      </w:r>
      <w:r w:rsidR="00290A47" w:rsidRPr="006A57F4">
        <w:tab/>
      </w:r>
      <w:r w:rsidR="00190425" w:rsidRPr="006A57F4">
        <w:t>Some Member States also include SMEs in their delegation. Smaller companies focused mainly on global networking and information</w:t>
      </w:r>
      <w:r w:rsidR="00EF5D8A" w:rsidRPr="006A57F4">
        <w:t>-</w:t>
      </w:r>
      <w:r w:rsidR="00190425" w:rsidRPr="006A57F4">
        <w:t xml:space="preserve">gathering may find that participation in a national delegation already meets their needs, as they are not yet looking to influence the agenda through their own independent contributions. </w:t>
      </w:r>
      <w:r w:rsidR="0034709F" w:rsidRPr="006A57F4">
        <w:t>Furthermore, m</w:t>
      </w:r>
      <w:r w:rsidR="007E0828" w:rsidRPr="006A57F4">
        <w:t>any SMEs</w:t>
      </w:r>
      <w:r w:rsidR="00190425" w:rsidRPr="006A57F4">
        <w:t xml:space="preserve"> may </w:t>
      </w:r>
      <w:r w:rsidR="007E0828" w:rsidRPr="006A57F4">
        <w:t>not be</w:t>
      </w:r>
      <w:r w:rsidR="00190425" w:rsidRPr="006A57F4">
        <w:t xml:space="preserve"> able </w:t>
      </w:r>
      <w:r w:rsidR="007E0828" w:rsidRPr="006A57F4">
        <w:t xml:space="preserve">to dedicate the resources necessary to contribute to </w:t>
      </w:r>
      <w:r w:rsidR="00190425" w:rsidRPr="006A57F4">
        <w:t>a specific standard or decision through the entire process from start to finish</w:t>
      </w:r>
      <w:r w:rsidR="007E0828" w:rsidRPr="006A57F4">
        <w:t>, but they can afford occasional ITU participation</w:t>
      </w:r>
      <w:r w:rsidR="00190425" w:rsidRPr="006A57F4">
        <w:t xml:space="preserve">. </w:t>
      </w:r>
      <w:r w:rsidR="007E0828" w:rsidRPr="006A57F4">
        <w:t>That said, s</w:t>
      </w:r>
      <w:r w:rsidR="00EF5D8A" w:rsidRPr="006A57F4">
        <w:t xml:space="preserve">ome these </w:t>
      </w:r>
      <w:r w:rsidR="00190425" w:rsidRPr="006A57F4">
        <w:t>companies may in the future join as Associates or Sector Members.</w:t>
      </w:r>
    </w:p>
    <w:p w:rsidR="0049030C" w:rsidRDefault="0049030C" w:rsidP="00D15129"/>
    <w:p w:rsidR="00D9633B" w:rsidRPr="00A812A9" w:rsidRDefault="00682867" w:rsidP="00D9633B">
      <w:pPr>
        <w:rPr>
          <w:rFonts w:cstheme="minorHAnsi"/>
          <w:b/>
          <w:sz w:val="28"/>
        </w:rPr>
      </w:pPr>
      <w:r>
        <w:rPr>
          <w:rFonts w:cstheme="minorHAnsi"/>
          <w:b/>
          <w:sz w:val="28"/>
        </w:rPr>
        <w:t>4</w:t>
      </w:r>
      <w:r w:rsidR="00837C0C" w:rsidRPr="00A812A9">
        <w:rPr>
          <w:rFonts w:cstheme="minorHAnsi"/>
          <w:b/>
          <w:sz w:val="28"/>
        </w:rPr>
        <w:t>.</w:t>
      </w:r>
      <w:r w:rsidR="00837C0C" w:rsidRPr="00A812A9">
        <w:rPr>
          <w:rFonts w:cstheme="minorHAnsi"/>
          <w:b/>
          <w:sz w:val="28"/>
        </w:rPr>
        <w:tab/>
        <w:t>Analysis</w:t>
      </w:r>
    </w:p>
    <w:p w:rsidR="00837C0C" w:rsidRPr="00A06E89" w:rsidRDefault="00682867" w:rsidP="00BB031C">
      <w:pPr>
        <w:rPr>
          <w:rFonts w:cstheme="minorHAnsi"/>
        </w:rPr>
      </w:pPr>
      <w:r>
        <w:rPr>
          <w:rFonts w:cstheme="minorHAnsi"/>
        </w:rPr>
        <w:t>4</w:t>
      </w:r>
      <w:r w:rsidR="00035519">
        <w:rPr>
          <w:rFonts w:cstheme="minorHAnsi"/>
        </w:rPr>
        <w:t>.1</w:t>
      </w:r>
      <w:r w:rsidR="00035519">
        <w:rPr>
          <w:rFonts w:cstheme="minorHAnsi"/>
        </w:rPr>
        <w:tab/>
      </w:r>
      <w:r w:rsidR="008D06B5">
        <w:rPr>
          <w:rFonts w:cstheme="minorHAnsi"/>
        </w:rPr>
        <w:t xml:space="preserve">The early </w:t>
      </w:r>
      <w:r w:rsidR="008D06B5" w:rsidRPr="00A812A9">
        <w:rPr>
          <w:rFonts w:cstheme="minorHAnsi"/>
        </w:rPr>
        <w:t xml:space="preserve">results </w:t>
      </w:r>
      <w:r w:rsidR="008D06B5">
        <w:rPr>
          <w:rFonts w:cstheme="minorHAnsi"/>
        </w:rPr>
        <w:t xml:space="preserve">of the SME pilot project </w:t>
      </w:r>
      <w:r w:rsidR="008D06B5" w:rsidRPr="00911D64">
        <w:rPr>
          <w:rFonts w:cstheme="minorHAnsi"/>
        </w:rPr>
        <w:t xml:space="preserve">have been positive. </w:t>
      </w:r>
      <w:r w:rsidR="009E3035" w:rsidRPr="00911D64">
        <w:rPr>
          <w:rFonts w:cstheme="minorHAnsi"/>
        </w:rPr>
        <w:t xml:space="preserve">As noted above, </w:t>
      </w:r>
      <w:r w:rsidR="00487AA1" w:rsidRPr="00911D64">
        <w:rPr>
          <w:rFonts w:cstheme="minorHAnsi"/>
        </w:rPr>
        <w:t>2</w:t>
      </w:r>
      <w:r w:rsidR="00C13C15">
        <w:rPr>
          <w:rFonts w:cstheme="minorHAnsi"/>
        </w:rPr>
        <w:t>2</w:t>
      </w:r>
      <w:r w:rsidR="00837C0C" w:rsidRPr="00A06E89">
        <w:rPr>
          <w:rFonts w:cstheme="minorHAnsi"/>
        </w:rPr>
        <w:t xml:space="preserve"> SMEs </w:t>
      </w:r>
      <w:r w:rsidR="009E3035" w:rsidRPr="00A06E89">
        <w:rPr>
          <w:rFonts w:cstheme="minorHAnsi"/>
        </w:rPr>
        <w:t xml:space="preserve">have been </w:t>
      </w:r>
      <w:r w:rsidR="00837C0C" w:rsidRPr="00A06E89">
        <w:rPr>
          <w:rFonts w:cstheme="minorHAnsi"/>
        </w:rPr>
        <w:t>approved by their respective administrations</w:t>
      </w:r>
      <w:r w:rsidR="009E3035" w:rsidRPr="00A06E89">
        <w:rPr>
          <w:rFonts w:cstheme="minorHAnsi"/>
        </w:rPr>
        <w:t xml:space="preserve"> to participate</w:t>
      </w:r>
      <w:r w:rsidR="008D06B5" w:rsidRPr="00A06E89">
        <w:rPr>
          <w:rFonts w:cstheme="minorHAnsi"/>
        </w:rPr>
        <w:t>, with</w:t>
      </w:r>
      <w:r w:rsidR="00A27279" w:rsidRPr="00A06E89">
        <w:rPr>
          <w:rFonts w:cstheme="minorHAnsi"/>
        </w:rPr>
        <w:t xml:space="preserve">in a very short period of time. As the pilot project </w:t>
      </w:r>
      <w:r w:rsidR="00837C0C" w:rsidRPr="00A06E89">
        <w:rPr>
          <w:rFonts w:cstheme="minorHAnsi"/>
        </w:rPr>
        <w:t>was launched in the la</w:t>
      </w:r>
      <w:r w:rsidR="00F36574" w:rsidRPr="00A06E89">
        <w:rPr>
          <w:rFonts w:cstheme="minorHAnsi"/>
        </w:rPr>
        <w:t>st half of 2017</w:t>
      </w:r>
      <w:r w:rsidR="00A27279" w:rsidRPr="00A06E89">
        <w:rPr>
          <w:rFonts w:cstheme="minorHAnsi"/>
        </w:rPr>
        <w:t xml:space="preserve">, it </w:t>
      </w:r>
      <w:r w:rsidR="00F63C24" w:rsidRPr="00A06E89">
        <w:rPr>
          <w:rFonts w:cstheme="minorHAnsi"/>
        </w:rPr>
        <w:t xml:space="preserve">is likely that </w:t>
      </w:r>
      <w:r w:rsidR="00A27279" w:rsidRPr="00A06E89">
        <w:rPr>
          <w:rFonts w:cstheme="minorHAnsi"/>
        </w:rPr>
        <w:t>it</w:t>
      </w:r>
      <w:r w:rsidR="00F63C24" w:rsidRPr="00A06E89">
        <w:rPr>
          <w:rFonts w:cstheme="minorHAnsi"/>
        </w:rPr>
        <w:t xml:space="preserve"> has not yet</w:t>
      </w:r>
      <w:r w:rsidR="00F36574" w:rsidRPr="00A06E89">
        <w:rPr>
          <w:rFonts w:cstheme="minorHAnsi"/>
        </w:rPr>
        <w:t xml:space="preserve"> reached i</w:t>
      </w:r>
      <w:r w:rsidR="00837C0C" w:rsidRPr="00A06E89">
        <w:rPr>
          <w:rFonts w:cstheme="minorHAnsi"/>
        </w:rPr>
        <w:t xml:space="preserve">ts full potential. </w:t>
      </w:r>
    </w:p>
    <w:p w:rsidR="002E2BB7" w:rsidRPr="006A57F4" w:rsidRDefault="00682867" w:rsidP="00976E04">
      <w:pPr>
        <w:rPr>
          <w:rFonts w:cstheme="minorHAnsi"/>
        </w:rPr>
      </w:pPr>
      <w:r>
        <w:rPr>
          <w:rFonts w:cstheme="minorHAnsi"/>
        </w:rPr>
        <w:t>4</w:t>
      </w:r>
      <w:r w:rsidR="00976E04" w:rsidRPr="00A06E89">
        <w:rPr>
          <w:rFonts w:cstheme="minorHAnsi"/>
        </w:rPr>
        <w:t>.2</w:t>
      </w:r>
      <w:r w:rsidR="00976E04" w:rsidRPr="00A06E89">
        <w:rPr>
          <w:rFonts w:cstheme="minorHAnsi"/>
          <w:b/>
        </w:rPr>
        <w:tab/>
      </w:r>
      <w:r w:rsidR="00E339E6" w:rsidRPr="006A57F4">
        <w:rPr>
          <w:rFonts w:cstheme="minorHAnsi"/>
        </w:rPr>
        <w:t xml:space="preserve">Building on the results of the pilot project, ITU could </w:t>
      </w:r>
      <w:r w:rsidR="002E2BB7" w:rsidRPr="006A57F4">
        <w:rPr>
          <w:rFonts w:cstheme="minorHAnsi"/>
        </w:rPr>
        <w:t>explore a number of options as outlined below:</w:t>
      </w:r>
    </w:p>
    <w:p w:rsidR="00976E04" w:rsidRPr="006A57F4" w:rsidRDefault="00682867">
      <w:pPr>
        <w:rPr>
          <w:rFonts w:cstheme="minorHAnsi"/>
        </w:rPr>
      </w:pPr>
      <w:r w:rsidRPr="006A57F4">
        <w:rPr>
          <w:rFonts w:cstheme="minorHAnsi"/>
        </w:rPr>
        <w:t>4</w:t>
      </w:r>
      <w:r w:rsidR="002E2BB7" w:rsidRPr="006A57F4">
        <w:rPr>
          <w:rFonts w:cstheme="minorHAnsi"/>
        </w:rPr>
        <w:t>.3</w:t>
      </w:r>
      <w:r w:rsidR="002E2BB7" w:rsidRPr="006A57F4">
        <w:rPr>
          <w:rFonts w:cstheme="minorHAnsi"/>
        </w:rPr>
        <w:tab/>
      </w:r>
      <w:r w:rsidR="002E2BB7" w:rsidRPr="006A57F4">
        <w:rPr>
          <w:rFonts w:cstheme="minorHAnsi"/>
          <w:b/>
          <w:u w:val="single"/>
        </w:rPr>
        <w:t>E</w:t>
      </w:r>
      <w:r w:rsidR="00E339E6" w:rsidRPr="006A57F4">
        <w:rPr>
          <w:rFonts w:cstheme="minorHAnsi"/>
          <w:b/>
          <w:u w:val="single"/>
        </w:rPr>
        <w:t>stablish a new category of membership for SMEs</w:t>
      </w:r>
      <w:r w:rsidR="00E339E6" w:rsidRPr="006A57F4">
        <w:rPr>
          <w:rFonts w:cstheme="minorHAnsi"/>
          <w:b/>
        </w:rPr>
        <w:t xml:space="preserve">. </w:t>
      </w:r>
      <w:r w:rsidR="0088755A" w:rsidRPr="006A57F4">
        <w:rPr>
          <w:rFonts w:cstheme="minorHAnsi"/>
        </w:rPr>
        <w:t xml:space="preserve">If this option were to be implemented, consideration would need to be given to the relevant procedures for admission, fees and rules regarding participation. </w:t>
      </w:r>
      <w:r w:rsidR="00976E04" w:rsidRPr="006A57F4">
        <w:rPr>
          <w:rFonts w:cstheme="minorHAnsi"/>
        </w:rPr>
        <w:t>As mentioned above, in order to participate in the pilot, SMEs must be approved by their relevant government Administration according to national definitions of SMEs. However, if ITU were to establish a new category of membership for SMEs at a substantially reduced membership fee, some criteria would need to be established to limit the size of companies entitled to enjoy that reduced fee.</w:t>
      </w:r>
      <w:r w:rsidR="002E2BB7" w:rsidRPr="006A57F4">
        <w:rPr>
          <w:rFonts w:cstheme="minorHAnsi"/>
        </w:rPr>
        <w:t xml:space="preserve"> </w:t>
      </w:r>
      <w:r w:rsidR="00976E04" w:rsidRPr="006A57F4">
        <w:rPr>
          <w:rFonts w:cstheme="minorHAnsi"/>
        </w:rPr>
        <w:t>For illustrative purposes</w:t>
      </w:r>
      <w:r w:rsidR="007C4A6C" w:rsidRPr="006A57F4">
        <w:rPr>
          <w:rFonts w:cstheme="minorHAnsi"/>
        </w:rPr>
        <w:t xml:space="preserve">, </w:t>
      </w:r>
      <w:r w:rsidR="00976E04" w:rsidRPr="006A57F4">
        <w:rPr>
          <w:rFonts w:cstheme="minorHAnsi"/>
        </w:rPr>
        <w:t>if ITU were to adopt the European Union definition of SME</w:t>
      </w:r>
      <w:r w:rsidR="008806F7" w:rsidRPr="006A57F4">
        <w:rPr>
          <w:rFonts w:cstheme="minorHAnsi"/>
        </w:rPr>
        <w:t>,</w:t>
      </w:r>
      <w:r w:rsidR="00976E04" w:rsidRPr="006A57F4">
        <w:rPr>
          <w:rFonts w:cstheme="minorHAnsi"/>
        </w:rPr>
        <w:t xml:space="preserve"> which sets a threshold of 300 employees, then </w:t>
      </w:r>
      <w:r w:rsidR="00A06E89" w:rsidRPr="006A57F4">
        <w:rPr>
          <w:rFonts w:cstheme="minorHAnsi"/>
        </w:rPr>
        <w:t xml:space="preserve">more than 60 </w:t>
      </w:r>
      <w:r w:rsidR="00976E04" w:rsidRPr="006A57F4">
        <w:rPr>
          <w:rFonts w:cstheme="minorHAnsi"/>
        </w:rPr>
        <w:t xml:space="preserve">current Sector Members </w:t>
      </w:r>
      <w:r w:rsidR="00C646C5" w:rsidRPr="006A57F4">
        <w:rPr>
          <w:rFonts w:cstheme="minorHAnsi"/>
        </w:rPr>
        <w:t xml:space="preserve">and Associates </w:t>
      </w:r>
      <w:r w:rsidR="00976E04" w:rsidRPr="006A57F4">
        <w:rPr>
          <w:rFonts w:cstheme="minorHAnsi"/>
        </w:rPr>
        <w:t xml:space="preserve">would </w:t>
      </w:r>
      <w:r w:rsidR="008806F7" w:rsidRPr="006A57F4">
        <w:rPr>
          <w:rFonts w:cstheme="minorHAnsi"/>
        </w:rPr>
        <w:t xml:space="preserve">likely </w:t>
      </w:r>
      <w:r w:rsidR="00976E04" w:rsidRPr="006A57F4">
        <w:rPr>
          <w:rFonts w:cstheme="minorHAnsi"/>
        </w:rPr>
        <w:t xml:space="preserve">be entitled to the lower fee, resulting in a considerable loss of income. </w:t>
      </w:r>
      <w:r w:rsidR="00DB21E0" w:rsidRPr="006A57F4">
        <w:rPr>
          <w:rFonts w:cstheme="minorHAnsi"/>
        </w:rPr>
        <w:t>R</w:t>
      </w:r>
      <w:r w:rsidR="008806F7" w:rsidRPr="006A57F4">
        <w:rPr>
          <w:rFonts w:cstheme="minorHAnsi"/>
        </w:rPr>
        <w:t>ecogniz</w:t>
      </w:r>
      <w:r w:rsidR="00976E04" w:rsidRPr="006A57F4">
        <w:rPr>
          <w:rFonts w:cstheme="minorHAnsi"/>
        </w:rPr>
        <w:t>ing that the intention is to attract new start</w:t>
      </w:r>
      <w:r w:rsidR="001B0FD9" w:rsidRPr="006A57F4">
        <w:rPr>
          <w:rFonts w:cstheme="minorHAnsi"/>
        </w:rPr>
        <w:t>-</w:t>
      </w:r>
      <w:r w:rsidR="00976E04" w:rsidRPr="006A57F4">
        <w:rPr>
          <w:rFonts w:cstheme="minorHAnsi"/>
        </w:rPr>
        <w:t>ups and SMEs</w:t>
      </w:r>
      <w:r w:rsidR="001B0FD9" w:rsidRPr="006A57F4">
        <w:rPr>
          <w:rFonts w:cstheme="minorHAnsi"/>
        </w:rPr>
        <w:t>,</w:t>
      </w:r>
      <w:r w:rsidR="00976E04" w:rsidRPr="006A57F4">
        <w:rPr>
          <w:rFonts w:cstheme="minorHAnsi"/>
        </w:rPr>
        <w:t xml:space="preserve"> </w:t>
      </w:r>
      <w:r w:rsidR="00C646C5" w:rsidRPr="006A57F4">
        <w:rPr>
          <w:rFonts w:cstheme="minorHAnsi"/>
        </w:rPr>
        <w:t xml:space="preserve">especially </w:t>
      </w:r>
      <w:r w:rsidR="00976E04" w:rsidRPr="006A57F4">
        <w:rPr>
          <w:rFonts w:cstheme="minorHAnsi"/>
        </w:rPr>
        <w:t>from developing countries</w:t>
      </w:r>
      <w:r w:rsidR="008806F7" w:rsidRPr="006A57F4">
        <w:rPr>
          <w:rFonts w:cstheme="minorHAnsi"/>
        </w:rPr>
        <w:t>,</w:t>
      </w:r>
      <w:r w:rsidR="001B0FD9" w:rsidRPr="006A57F4">
        <w:rPr>
          <w:rFonts w:cstheme="minorHAnsi"/>
        </w:rPr>
        <w:t xml:space="preserve"> which tend to be an order of magnitude smaller</w:t>
      </w:r>
      <w:r w:rsidR="00976E04" w:rsidRPr="006A57F4">
        <w:rPr>
          <w:rFonts w:cstheme="minorHAnsi"/>
        </w:rPr>
        <w:t xml:space="preserve">, setting a threshold </w:t>
      </w:r>
      <w:r w:rsidR="001B0FD9" w:rsidRPr="006A57F4">
        <w:rPr>
          <w:rFonts w:cstheme="minorHAnsi"/>
        </w:rPr>
        <w:t xml:space="preserve">significantly lower </w:t>
      </w:r>
      <w:r w:rsidR="00DB21E0" w:rsidRPr="006A57F4">
        <w:rPr>
          <w:rFonts w:cstheme="minorHAnsi"/>
        </w:rPr>
        <w:t xml:space="preserve">than 300 employees for a new category of membership for start-ups and SMEs would be unlikely to impact income. </w:t>
      </w:r>
    </w:p>
    <w:p w:rsidR="00601537" w:rsidRPr="006A57F4" w:rsidRDefault="00682867" w:rsidP="001747E7">
      <w:pPr>
        <w:rPr>
          <w:rFonts w:cstheme="minorHAnsi"/>
        </w:rPr>
      </w:pPr>
      <w:r w:rsidRPr="006A57F4">
        <w:rPr>
          <w:rFonts w:cstheme="minorHAnsi"/>
        </w:rPr>
        <w:t>4</w:t>
      </w:r>
      <w:r w:rsidR="00290A47" w:rsidRPr="006A57F4">
        <w:rPr>
          <w:rFonts w:cstheme="minorHAnsi"/>
        </w:rPr>
        <w:t>.</w:t>
      </w:r>
      <w:r w:rsidR="002206F2" w:rsidRPr="006A57F4">
        <w:rPr>
          <w:rFonts w:cstheme="minorHAnsi"/>
        </w:rPr>
        <w:t>4</w:t>
      </w:r>
      <w:r w:rsidR="00290A47" w:rsidRPr="006A57F4">
        <w:rPr>
          <w:rFonts w:cstheme="minorHAnsi"/>
        </w:rPr>
        <w:tab/>
      </w:r>
      <w:r w:rsidR="002E2BB7" w:rsidRPr="006A57F4">
        <w:rPr>
          <w:rFonts w:cstheme="minorHAnsi"/>
          <w:b/>
          <w:u w:val="single"/>
        </w:rPr>
        <w:t xml:space="preserve">Encourage </w:t>
      </w:r>
      <w:r w:rsidR="00290A47" w:rsidRPr="006A57F4">
        <w:rPr>
          <w:rFonts w:cstheme="minorHAnsi"/>
          <w:b/>
          <w:u w:val="single"/>
        </w:rPr>
        <w:t xml:space="preserve">Member States to </w:t>
      </w:r>
      <w:r w:rsidR="00E339E6" w:rsidRPr="006A57F4">
        <w:rPr>
          <w:rFonts w:cstheme="minorHAnsi"/>
          <w:b/>
          <w:u w:val="single"/>
        </w:rPr>
        <w:t>include SMEs</w:t>
      </w:r>
      <w:r w:rsidR="00290A47" w:rsidRPr="006A57F4">
        <w:rPr>
          <w:rFonts w:cstheme="minorHAnsi"/>
          <w:b/>
          <w:u w:val="single"/>
        </w:rPr>
        <w:t xml:space="preserve"> in their national delegation</w:t>
      </w:r>
      <w:r w:rsidR="00290A47" w:rsidRPr="006A57F4">
        <w:rPr>
          <w:rFonts w:cstheme="minorHAnsi"/>
        </w:rPr>
        <w:t xml:space="preserve">. The Secretariat could support such efforts by </w:t>
      </w:r>
      <w:r w:rsidR="00F7254A" w:rsidRPr="006A57F4">
        <w:rPr>
          <w:rFonts w:cstheme="minorHAnsi"/>
        </w:rPr>
        <w:t xml:space="preserve">organizing special activities for SMEs in parallel to existing ITU events, including informative workshops, </w:t>
      </w:r>
      <w:r w:rsidR="00E04742" w:rsidRPr="006A57F4">
        <w:rPr>
          <w:rFonts w:cstheme="minorHAnsi"/>
        </w:rPr>
        <w:t xml:space="preserve">toolkits and </w:t>
      </w:r>
      <w:r w:rsidR="00F7254A" w:rsidRPr="006A57F4">
        <w:rPr>
          <w:rFonts w:cstheme="minorHAnsi"/>
        </w:rPr>
        <w:t xml:space="preserve">capacity building, </w:t>
      </w:r>
      <w:r w:rsidR="00290A47" w:rsidRPr="006A57F4">
        <w:rPr>
          <w:rFonts w:cstheme="minorHAnsi"/>
        </w:rPr>
        <w:t xml:space="preserve">and new delegate </w:t>
      </w:r>
      <w:r w:rsidR="00F7254A" w:rsidRPr="006A57F4">
        <w:rPr>
          <w:rFonts w:cstheme="minorHAnsi"/>
        </w:rPr>
        <w:t xml:space="preserve">mentoring and </w:t>
      </w:r>
      <w:r w:rsidR="00290A47" w:rsidRPr="006A57F4">
        <w:rPr>
          <w:rFonts w:cstheme="minorHAnsi"/>
        </w:rPr>
        <w:t xml:space="preserve">orientation for SMEs to help them learn more about ITU and its rules and procedures, which can be complex for newcomers. </w:t>
      </w:r>
    </w:p>
    <w:p w:rsidR="007E0828" w:rsidRPr="006A57F4" w:rsidRDefault="00682867" w:rsidP="001747E7">
      <w:pPr>
        <w:rPr>
          <w:rFonts w:cstheme="minorHAnsi"/>
        </w:rPr>
      </w:pPr>
      <w:r w:rsidRPr="006A57F4">
        <w:rPr>
          <w:rFonts w:cstheme="minorHAnsi"/>
        </w:rPr>
        <w:t>4</w:t>
      </w:r>
      <w:r w:rsidR="00290A47" w:rsidRPr="006A57F4">
        <w:rPr>
          <w:rFonts w:cstheme="minorHAnsi"/>
        </w:rPr>
        <w:t>.</w:t>
      </w:r>
      <w:r w:rsidR="002206F2" w:rsidRPr="006A57F4">
        <w:rPr>
          <w:rFonts w:cstheme="minorHAnsi"/>
        </w:rPr>
        <w:t>5</w:t>
      </w:r>
      <w:r w:rsidR="00290A47" w:rsidRPr="006A57F4">
        <w:rPr>
          <w:rFonts w:cstheme="minorHAnsi"/>
        </w:rPr>
        <w:tab/>
      </w:r>
      <w:r w:rsidR="002E2BB7" w:rsidRPr="006A57F4">
        <w:rPr>
          <w:rFonts w:cstheme="minorHAnsi"/>
          <w:b/>
          <w:u w:val="single"/>
        </w:rPr>
        <w:t>A</w:t>
      </w:r>
      <w:r w:rsidR="007E0828" w:rsidRPr="006A57F4">
        <w:rPr>
          <w:rFonts w:cstheme="minorHAnsi"/>
          <w:b/>
          <w:u w:val="single"/>
        </w:rPr>
        <w:t>llow SMEs to participate in ITU Study Groups on a “pay-as-you-go” basis</w:t>
      </w:r>
      <w:r w:rsidR="007E0828" w:rsidRPr="006A57F4">
        <w:rPr>
          <w:rFonts w:cstheme="minorHAnsi"/>
        </w:rPr>
        <w:t xml:space="preserve">. </w:t>
      </w:r>
      <w:r w:rsidR="00E04742" w:rsidRPr="006A57F4">
        <w:rPr>
          <w:rFonts w:cstheme="minorHAnsi"/>
        </w:rPr>
        <w:t>A major advantage of this approach is that it could provide an affordable, flexible means of involving SMEs in the Study Groups</w:t>
      </w:r>
      <w:r w:rsidR="002206F2" w:rsidRPr="006A57F4">
        <w:rPr>
          <w:rFonts w:cstheme="minorHAnsi"/>
        </w:rPr>
        <w:t>, and some could eventually choose to join as Associates or Sector Members</w:t>
      </w:r>
      <w:r w:rsidR="00E04742" w:rsidRPr="006A57F4">
        <w:rPr>
          <w:rFonts w:cstheme="minorHAnsi"/>
        </w:rPr>
        <w:t xml:space="preserve">. A disadvantage is that it is difficult for a company to have any influence on the standards-making/best practice setting processes if they only participate occasionally. </w:t>
      </w:r>
      <w:r w:rsidR="007E0828" w:rsidRPr="006A57F4">
        <w:rPr>
          <w:rFonts w:cstheme="minorHAnsi"/>
        </w:rPr>
        <w:t xml:space="preserve">This option would require further study as to its feasibility, including </w:t>
      </w:r>
      <w:r w:rsidR="00E04742" w:rsidRPr="006A57F4">
        <w:rPr>
          <w:rFonts w:cstheme="minorHAnsi"/>
        </w:rPr>
        <w:t xml:space="preserve">efficient methods of registration and payment. ITU could also consult SMEs via their associations to determine the level of interest in such an option. </w:t>
      </w:r>
    </w:p>
    <w:p w:rsidR="00290A47" w:rsidRPr="006A57F4" w:rsidRDefault="00682867" w:rsidP="001747E7">
      <w:pPr>
        <w:rPr>
          <w:rFonts w:cstheme="minorHAnsi"/>
        </w:rPr>
      </w:pPr>
      <w:r w:rsidRPr="006A57F4">
        <w:rPr>
          <w:rFonts w:cstheme="minorHAnsi"/>
        </w:rPr>
        <w:t>4</w:t>
      </w:r>
      <w:r w:rsidR="007E0828" w:rsidRPr="006A57F4">
        <w:rPr>
          <w:rFonts w:cstheme="minorHAnsi"/>
        </w:rPr>
        <w:t>.</w:t>
      </w:r>
      <w:r w:rsidR="002206F2" w:rsidRPr="006A57F4">
        <w:rPr>
          <w:rFonts w:cstheme="minorHAnsi"/>
        </w:rPr>
        <w:t>6</w:t>
      </w:r>
      <w:r w:rsidR="007E0828" w:rsidRPr="006A57F4">
        <w:rPr>
          <w:rFonts w:cstheme="minorHAnsi"/>
        </w:rPr>
        <w:tab/>
      </w:r>
      <w:r w:rsidR="002206F2" w:rsidRPr="006A57F4">
        <w:rPr>
          <w:rFonts w:cstheme="minorHAnsi"/>
          <w:b/>
          <w:u w:val="single"/>
        </w:rPr>
        <w:t>E</w:t>
      </w:r>
      <w:r w:rsidR="002E2BB7" w:rsidRPr="006A57F4">
        <w:rPr>
          <w:rFonts w:cstheme="minorHAnsi"/>
          <w:b/>
          <w:u w:val="single"/>
        </w:rPr>
        <w:t>nhance exi</w:t>
      </w:r>
      <w:r w:rsidR="00290A47" w:rsidRPr="006A57F4">
        <w:rPr>
          <w:rFonts w:cstheme="minorHAnsi"/>
          <w:b/>
          <w:u w:val="single"/>
        </w:rPr>
        <w:t>sting ITU events and activities</w:t>
      </w:r>
      <w:r w:rsidR="00290A47" w:rsidRPr="006A57F4">
        <w:rPr>
          <w:rFonts w:cstheme="minorHAnsi"/>
        </w:rPr>
        <w:t xml:space="preserve">, which currently provide special opportunities for SMEs. </w:t>
      </w:r>
      <w:r w:rsidR="00290A47" w:rsidRPr="006A57F4">
        <w:rPr>
          <w:rFonts w:cstheme="minorHAnsi"/>
          <w:b/>
          <w:u w:val="single"/>
        </w:rPr>
        <w:t>TELECOM World</w:t>
      </w:r>
      <w:r w:rsidR="00290A47" w:rsidRPr="006A57F4">
        <w:rPr>
          <w:rFonts w:cstheme="minorHAnsi"/>
        </w:rPr>
        <w:t xml:space="preserve"> for example, continues to evolve to meet the specific needs of SMEs, with targeted initiatives. There is </w:t>
      </w:r>
      <w:r w:rsidR="00F7254A" w:rsidRPr="006A57F4">
        <w:rPr>
          <w:rFonts w:cstheme="minorHAnsi"/>
        </w:rPr>
        <w:t xml:space="preserve">also </w:t>
      </w:r>
      <w:r w:rsidR="00290A47" w:rsidRPr="006A57F4">
        <w:rPr>
          <w:rFonts w:cstheme="minorHAnsi"/>
        </w:rPr>
        <w:t xml:space="preserve">growing interest among SMEs in </w:t>
      </w:r>
      <w:r w:rsidR="00290A47" w:rsidRPr="006A57F4">
        <w:rPr>
          <w:rFonts w:cstheme="minorHAnsi"/>
          <w:b/>
          <w:u w:val="single"/>
        </w:rPr>
        <w:t>WSIS</w:t>
      </w:r>
      <w:r w:rsidR="00290A47" w:rsidRPr="006A57F4">
        <w:rPr>
          <w:rFonts w:cstheme="minorHAnsi"/>
        </w:rPr>
        <w:t xml:space="preserve">, and </w:t>
      </w:r>
      <w:r w:rsidR="00F7254A" w:rsidRPr="006A57F4">
        <w:rPr>
          <w:rFonts w:cstheme="minorHAnsi"/>
        </w:rPr>
        <w:t xml:space="preserve">there </w:t>
      </w:r>
      <w:r w:rsidR="00E339E6" w:rsidRPr="006A57F4">
        <w:rPr>
          <w:rFonts w:cstheme="minorHAnsi"/>
        </w:rPr>
        <w:t>have been e</w:t>
      </w:r>
      <w:r w:rsidR="00F7254A" w:rsidRPr="006A57F4">
        <w:rPr>
          <w:rFonts w:cstheme="minorHAnsi"/>
        </w:rPr>
        <w:t xml:space="preserve">fforts made to engage SMEs through </w:t>
      </w:r>
      <w:r w:rsidR="00E339E6" w:rsidRPr="006A57F4">
        <w:rPr>
          <w:rFonts w:cstheme="minorHAnsi"/>
        </w:rPr>
        <w:t xml:space="preserve">Sector and regional </w:t>
      </w:r>
      <w:r w:rsidR="00F7254A" w:rsidRPr="006A57F4">
        <w:rPr>
          <w:rFonts w:cstheme="minorHAnsi"/>
          <w:b/>
          <w:u w:val="single"/>
        </w:rPr>
        <w:t>workshops and informal activities</w:t>
      </w:r>
      <w:r w:rsidR="00F7254A" w:rsidRPr="006A57F4">
        <w:rPr>
          <w:rFonts w:cstheme="minorHAnsi"/>
        </w:rPr>
        <w:t>. These activities could be reinforced and expanded, learning from experiences and feedback to date.</w:t>
      </w:r>
      <w:r w:rsidR="002E2BB7" w:rsidRPr="006A57F4">
        <w:rPr>
          <w:rFonts w:cstheme="minorHAnsi"/>
        </w:rPr>
        <w:t xml:space="preserve"> ITU is also currently preparing to launch a </w:t>
      </w:r>
      <w:r w:rsidR="002E2BB7" w:rsidRPr="006A57F4">
        <w:rPr>
          <w:rFonts w:cstheme="minorHAnsi"/>
          <w:b/>
          <w:u w:val="single"/>
        </w:rPr>
        <w:t>new online platform called “</w:t>
      </w:r>
      <w:proofErr w:type="spellStart"/>
      <w:r w:rsidR="002E2BB7" w:rsidRPr="006A57F4">
        <w:rPr>
          <w:rFonts w:cstheme="minorHAnsi"/>
          <w:b/>
          <w:u w:val="single"/>
        </w:rPr>
        <w:t>MyITU</w:t>
      </w:r>
      <w:proofErr w:type="spellEnd"/>
      <w:r w:rsidR="002E2BB7" w:rsidRPr="006A57F4">
        <w:rPr>
          <w:rFonts w:cstheme="minorHAnsi"/>
          <w:b/>
          <w:u w:val="single"/>
        </w:rPr>
        <w:t>”</w:t>
      </w:r>
      <w:r w:rsidR="002E2BB7" w:rsidRPr="006A57F4">
        <w:rPr>
          <w:rFonts w:cstheme="minorHAnsi"/>
        </w:rPr>
        <w:t>, which will help the Secretariat more efficiently communicate with and engage SMEs. This platform will provide tailored content for users, and will be easily accessible on mobile, thereby reaching new communities.</w:t>
      </w:r>
    </w:p>
    <w:p w:rsidR="00290A47" w:rsidRPr="006A57F4" w:rsidRDefault="00682867" w:rsidP="001747E7">
      <w:pPr>
        <w:rPr>
          <w:rFonts w:cstheme="minorHAnsi"/>
        </w:rPr>
      </w:pPr>
      <w:r w:rsidRPr="006A57F4">
        <w:rPr>
          <w:rFonts w:cstheme="minorHAnsi"/>
        </w:rPr>
        <w:t>4</w:t>
      </w:r>
      <w:r w:rsidR="00290A47" w:rsidRPr="006A57F4">
        <w:rPr>
          <w:rFonts w:cstheme="minorHAnsi"/>
        </w:rPr>
        <w:t>.</w:t>
      </w:r>
      <w:r w:rsidR="002206F2" w:rsidRPr="006A57F4">
        <w:rPr>
          <w:rFonts w:cstheme="minorHAnsi"/>
        </w:rPr>
        <w:t>7</w:t>
      </w:r>
      <w:r w:rsidR="00290A47" w:rsidRPr="006A57F4">
        <w:rPr>
          <w:rFonts w:cstheme="minorHAnsi"/>
        </w:rPr>
        <w:tab/>
      </w:r>
      <w:r w:rsidR="006A57F4">
        <w:rPr>
          <w:rFonts w:cstheme="minorHAnsi"/>
          <w:b/>
          <w:u w:val="single"/>
        </w:rPr>
        <w:t>Strengthen collaboration with</w:t>
      </w:r>
      <w:r w:rsidR="002206F2" w:rsidRPr="006A57F4">
        <w:rPr>
          <w:rFonts w:cstheme="minorHAnsi"/>
          <w:b/>
          <w:u w:val="single"/>
        </w:rPr>
        <w:t xml:space="preserve"> </w:t>
      </w:r>
      <w:r w:rsidR="00F7254A" w:rsidRPr="006A57F4">
        <w:rPr>
          <w:rFonts w:cstheme="minorHAnsi"/>
          <w:b/>
          <w:u w:val="single"/>
        </w:rPr>
        <w:t>SMEs associations</w:t>
      </w:r>
      <w:r w:rsidR="00F7254A" w:rsidRPr="006A57F4">
        <w:rPr>
          <w:rFonts w:cstheme="minorHAnsi"/>
        </w:rPr>
        <w:t xml:space="preserve"> on training, workshops, and </w:t>
      </w:r>
      <w:r w:rsidR="006A57F4">
        <w:rPr>
          <w:rFonts w:cstheme="minorHAnsi"/>
        </w:rPr>
        <w:t xml:space="preserve">invite them </w:t>
      </w:r>
      <w:r w:rsidR="00F7254A" w:rsidRPr="006A57F4">
        <w:rPr>
          <w:rFonts w:cstheme="minorHAnsi"/>
        </w:rPr>
        <w:t>to participate in ITU Study Groups and Conferences</w:t>
      </w:r>
      <w:r w:rsidR="002206F2" w:rsidRPr="006A57F4">
        <w:rPr>
          <w:rFonts w:cstheme="minorHAnsi"/>
        </w:rPr>
        <w:t xml:space="preserve"> (as observers)</w:t>
      </w:r>
      <w:r w:rsidR="00F7254A" w:rsidRPr="006A57F4">
        <w:rPr>
          <w:rFonts w:cstheme="minorHAnsi"/>
        </w:rPr>
        <w:t xml:space="preserve"> as well as in various open ITU activities. Working with</w:t>
      </w:r>
      <w:r w:rsidR="002206F2" w:rsidRPr="006A57F4">
        <w:rPr>
          <w:rFonts w:cstheme="minorHAnsi"/>
        </w:rPr>
        <w:t xml:space="preserve"> these </w:t>
      </w:r>
      <w:r w:rsidR="00F7254A" w:rsidRPr="006A57F4">
        <w:rPr>
          <w:rFonts w:cstheme="minorHAnsi"/>
        </w:rPr>
        <w:t>associations provides a</w:t>
      </w:r>
      <w:r w:rsidR="002206F2" w:rsidRPr="006A57F4">
        <w:rPr>
          <w:rFonts w:cstheme="minorHAnsi"/>
        </w:rPr>
        <w:t xml:space="preserve">n </w:t>
      </w:r>
      <w:r w:rsidR="00F7254A" w:rsidRPr="006A57F4">
        <w:rPr>
          <w:rFonts w:cstheme="minorHAnsi"/>
        </w:rPr>
        <w:t>efficient way for ITU to reach many SMEs from around the world.</w:t>
      </w:r>
    </w:p>
    <w:p w:rsidR="00243517" w:rsidRPr="006A57F4" w:rsidRDefault="00243517" w:rsidP="00386A21">
      <w:pPr>
        <w:rPr>
          <w:rFonts w:cstheme="minorHAnsi"/>
        </w:rPr>
      </w:pPr>
    </w:p>
    <w:p w:rsidR="00642F2A" w:rsidRPr="006A57F4" w:rsidRDefault="00682867" w:rsidP="00F11C42">
      <w:pPr>
        <w:rPr>
          <w:rFonts w:cstheme="minorHAnsi"/>
          <w:b/>
          <w:sz w:val="28"/>
        </w:rPr>
      </w:pPr>
      <w:r w:rsidRPr="006A57F4">
        <w:rPr>
          <w:rFonts w:cstheme="minorHAnsi"/>
          <w:b/>
          <w:sz w:val="28"/>
        </w:rPr>
        <w:t>5</w:t>
      </w:r>
      <w:r w:rsidR="00642F2A" w:rsidRPr="006A57F4">
        <w:rPr>
          <w:rFonts w:cstheme="minorHAnsi"/>
          <w:b/>
          <w:sz w:val="28"/>
        </w:rPr>
        <w:t>.</w:t>
      </w:r>
      <w:r w:rsidR="00642F2A" w:rsidRPr="006A57F4">
        <w:rPr>
          <w:rFonts w:cstheme="minorHAnsi"/>
          <w:b/>
          <w:sz w:val="28"/>
        </w:rPr>
        <w:tab/>
        <w:t>Potential Next Steps</w:t>
      </w:r>
    </w:p>
    <w:p w:rsidR="00642F2A" w:rsidRPr="006A57F4" w:rsidRDefault="00682867" w:rsidP="00DC464F">
      <w:pPr>
        <w:rPr>
          <w:rFonts w:cstheme="minorHAnsi"/>
        </w:rPr>
      </w:pPr>
      <w:r w:rsidRPr="006A57F4">
        <w:rPr>
          <w:rFonts w:cstheme="minorHAnsi"/>
        </w:rPr>
        <w:t>5</w:t>
      </w:r>
      <w:r w:rsidR="007C4A6C" w:rsidRPr="006A57F4">
        <w:rPr>
          <w:rFonts w:cstheme="minorHAnsi"/>
        </w:rPr>
        <w:t>.</w:t>
      </w:r>
      <w:r w:rsidR="00035519" w:rsidRPr="006A57F4">
        <w:rPr>
          <w:rFonts w:cstheme="minorHAnsi"/>
        </w:rPr>
        <w:t>1</w:t>
      </w:r>
      <w:r w:rsidR="00035519" w:rsidRPr="006A57F4">
        <w:rPr>
          <w:rFonts w:cstheme="minorHAnsi"/>
        </w:rPr>
        <w:tab/>
      </w:r>
      <w:r w:rsidR="00642F2A" w:rsidRPr="006A57F4">
        <w:rPr>
          <w:rFonts w:cstheme="minorHAnsi"/>
        </w:rPr>
        <w:t xml:space="preserve">Based on the outcomes </w:t>
      </w:r>
      <w:r w:rsidR="00F36574" w:rsidRPr="006A57F4">
        <w:rPr>
          <w:rFonts w:cstheme="minorHAnsi"/>
        </w:rPr>
        <w:t xml:space="preserve">to date </w:t>
      </w:r>
      <w:r w:rsidR="00487AA1" w:rsidRPr="006A57F4">
        <w:rPr>
          <w:rFonts w:cstheme="minorHAnsi"/>
        </w:rPr>
        <w:t>of the pilot project</w:t>
      </w:r>
      <w:r w:rsidR="00642F2A" w:rsidRPr="006A57F4">
        <w:rPr>
          <w:rFonts w:cstheme="minorHAnsi"/>
        </w:rPr>
        <w:t xml:space="preserve"> </w:t>
      </w:r>
      <w:r w:rsidR="00154BC0" w:rsidRPr="006A57F4">
        <w:rPr>
          <w:rFonts w:cstheme="minorHAnsi"/>
        </w:rPr>
        <w:t xml:space="preserve">and the analysis provided above, </w:t>
      </w:r>
      <w:r w:rsidR="00642F2A" w:rsidRPr="006A57F4">
        <w:rPr>
          <w:rFonts w:cstheme="minorHAnsi"/>
        </w:rPr>
        <w:t xml:space="preserve">the following options regarding potential next steps are </w:t>
      </w:r>
      <w:r w:rsidR="00487AA1" w:rsidRPr="006A57F4">
        <w:rPr>
          <w:rFonts w:cstheme="minorHAnsi"/>
        </w:rPr>
        <w:t>submitted</w:t>
      </w:r>
      <w:r w:rsidR="00642F2A" w:rsidRPr="006A57F4">
        <w:rPr>
          <w:rFonts w:cstheme="minorHAnsi"/>
        </w:rPr>
        <w:t xml:space="preserve"> for the consideration of PP-18</w:t>
      </w:r>
      <w:r w:rsidR="00977C8F" w:rsidRPr="006A57F4">
        <w:rPr>
          <w:rFonts w:cstheme="minorHAnsi"/>
        </w:rPr>
        <w:t>:</w:t>
      </w:r>
    </w:p>
    <w:p w:rsidR="005F5804" w:rsidRPr="006A57F4" w:rsidRDefault="00F57557" w:rsidP="00DC464F">
      <w:pPr>
        <w:pStyle w:val="ListParagraph"/>
        <w:numPr>
          <w:ilvl w:val="0"/>
          <w:numId w:val="17"/>
        </w:numPr>
        <w:ind w:left="714" w:hanging="357"/>
        <w:rPr>
          <w:rFonts w:cstheme="minorHAnsi"/>
        </w:rPr>
      </w:pPr>
      <w:r w:rsidRPr="00F57557">
        <w:rPr>
          <w:rFonts w:cstheme="minorHAnsi"/>
          <w:b/>
        </w:rPr>
        <w:tab/>
      </w:r>
      <w:r w:rsidR="005F5804" w:rsidRPr="006A57F4">
        <w:rPr>
          <w:rFonts w:cstheme="minorHAnsi"/>
          <w:b/>
          <w:u w:val="single"/>
        </w:rPr>
        <w:t>Establish a new category of participation</w:t>
      </w:r>
      <w:r w:rsidR="005F5804" w:rsidRPr="006A57F4">
        <w:rPr>
          <w:rFonts w:cstheme="minorHAnsi"/>
        </w:rPr>
        <w:t xml:space="preserve"> for </w:t>
      </w:r>
      <w:r w:rsidR="00DB21E0" w:rsidRPr="006A57F4">
        <w:rPr>
          <w:rFonts w:cstheme="minorHAnsi"/>
        </w:rPr>
        <w:t xml:space="preserve">start-ups and </w:t>
      </w:r>
      <w:r w:rsidR="005F5804" w:rsidRPr="006A57F4">
        <w:rPr>
          <w:rFonts w:cstheme="minorHAnsi"/>
        </w:rPr>
        <w:t>SMEs on a trial basis and develop relevant procedures for admission</w:t>
      </w:r>
      <w:r w:rsidR="00707B89" w:rsidRPr="006A57F4">
        <w:rPr>
          <w:rFonts w:cstheme="minorHAnsi"/>
        </w:rPr>
        <w:t>, fees</w:t>
      </w:r>
      <w:r w:rsidR="005F5804" w:rsidRPr="006A57F4">
        <w:rPr>
          <w:rFonts w:cstheme="minorHAnsi"/>
        </w:rPr>
        <w:t xml:space="preserve"> and rules regarding participation; </w:t>
      </w:r>
    </w:p>
    <w:p w:rsidR="008806F7" w:rsidRPr="006A57F4" w:rsidRDefault="008806F7" w:rsidP="008806F7">
      <w:pPr>
        <w:pStyle w:val="ListParagraph"/>
        <w:ind w:left="714"/>
        <w:rPr>
          <w:rFonts w:cstheme="minorHAnsi"/>
        </w:rPr>
      </w:pPr>
    </w:p>
    <w:p w:rsidR="00E52A3F" w:rsidRPr="006A57F4" w:rsidRDefault="00F57557" w:rsidP="00707B89">
      <w:pPr>
        <w:pStyle w:val="ListParagraph"/>
        <w:numPr>
          <w:ilvl w:val="0"/>
          <w:numId w:val="17"/>
        </w:numPr>
        <w:ind w:left="714" w:hanging="357"/>
        <w:rPr>
          <w:rFonts w:cstheme="minorHAnsi"/>
        </w:rPr>
      </w:pPr>
      <w:r w:rsidRPr="00F57557">
        <w:rPr>
          <w:rFonts w:cstheme="minorHAnsi"/>
          <w:b/>
        </w:rPr>
        <w:tab/>
      </w:r>
      <w:r w:rsidR="00977C8F" w:rsidRPr="006A57F4">
        <w:rPr>
          <w:rFonts w:cstheme="minorHAnsi"/>
          <w:b/>
          <w:u w:val="single"/>
        </w:rPr>
        <w:t>Extend the duration of the pilot project</w:t>
      </w:r>
      <w:r w:rsidR="00977C8F" w:rsidRPr="006A57F4">
        <w:rPr>
          <w:rFonts w:cstheme="minorHAnsi"/>
        </w:rPr>
        <w:t xml:space="preserve"> and </w:t>
      </w:r>
      <w:r w:rsidR="007E02ED" w:rsidRPr="006A57F4">
        <w:rPr>
          <w:rFonts w:cstheme="minorHAnsi"/>
        </w:rPr>
        <w:t>review and revise working methods as needed</w:t>
      </w:r>
      <w:r w:rsidR="00E52A3F" w:rsidRPr="006A57F4">
        <w:rPr>
          <w:rFonts w:cstheme="minorHAnsi"/>
        </w:rPr>
        <w:t>;</w:t>
      </w:r>
      <w:r w:rsidR="0034709F" w:rsidRPr="006A57F4">
        <w:rPr>
          <w:rFonts w:cstheme="minorHAnsi"/>
        </w:rPr>
        <w:t xml:space="preserve"> </w:t>
      </w:r>
    </w:p>
    <w:p w:rsidR="00E52A3F" w:rsidRPr="006A57F4" w:rsidRDefault="00E52A3F" w:rsidP="00CD3C23">
      <w:pPr>
        <w:pStyle w:val="ListParagraph"/>
        <w:rPr>
          <w:rFonts w:cstheme="minorHAnsi"/>
        </w:rPr>
      </w:pPr>
    </w:p>
    <w:p w:rsidR="00977C8F" w:rsidRPr="006A57F4" w:rsidRDefault="00F57557" w:rsidP="00707B89">
      <w:pPr>
        <w:pStyle w:val="ListParagraph"/>
        <w:numPr>
          <w:ilvl w:val="0"/>
          <w:numId w:val="17"/>
        </w:numPr>
        <w:ind w:left="714" w:hanging="357"/>
        <w:rPr>
          <w:rFonts w:cstheme="minorHAnsi"/>
        </w:rPr>
      </w:pPr>
      <w:r w:rsidRPr="00F57557">
        <w:rPr>
          <w:rFonts w:cstheme="minorHAnsi"/>
          <w:b/>
        </w:rPr>
        <w:tab/>
      </w:r>
      <w:r w:rsidR="00D86F8E" w:rsidRPr="00F57557">
        <w:rPr>
          <w:rFonts w:cstheme="minorHAnsi"/>
          <w:b/>
          <w:u w:val="single"/>
        </w:rPr>
        <w:t>R</w:t>
      </w:r>
      <w:r w:rsidR="0034709F" w:rsidRPr="006A57F4">
        <w:rPr>
          <w:rFonts w:cstheme="minorHAnsi"/>
          <w:b/>
          <w:u w:val="single"/>
        </w:rPr>
        <w:t>eview various options for ITU to engage SMEs</w:t>
      </w:r>
      <w:r w:rsidR="0034709F" w:rsidRPr="006A57F4">
        <w:rPr>
          <w:rFonts w:cstheme="minorHAnsi"/>
        </w:rPr>
        <w:t>, including both membership and non-membership-related approaches</w:t>
      </w:r>
      <w:r w:rsidR="00977C8F" w:rsidRPr="006A57F4">
        <w:rPr>
          <w:rFonts w:cstheme="minorHAnsi"/>
        </w:rPr>
        <w:t xml:space="preserve">; </w:t>
      </w:r>
      <w:r w:rsidR="005F5804" w:rsidRPr="006A57F4">
        <w:rPr>
          <w:rFonts w:cstheme="minorHAnsi"/>
        </w:rPr>
        <w:t>or,</w:t>
      </w:r>
    </w:p>
    <w:p w:rsidR="008806F7" w:rsidRPr="008806F7" w:rsidRDefault="008806F7" w:rsidP="008806F7">
      <w:pPr>
        <w:pStyle w:val="ListParagraph"/>
        <w:rPr>
          <w:rFonts w:cstheme="minorHAnsi"/>
        </w:rPr>
      </w:pPr>
    </w:p>
    <w:p w:rsidR="00A812A9" w:rsidRPr="00A812A9" w:rsidRDefault="00F57557" w:rsidP="00A812A9">
      <w:pPr>
        <w:pStyle w:val="ListParagraph"/>
        <w:numPr>
          <w:ilvl w:val="0"/>
          <w:numId w:val="17"/>
        </w:numPr>
        <w:rPr>
          <w:rFonts w:cstheme="minorHAnsi"/>
        </w:rPr>
      </w:pPr>
      <w:r w:rsidRPr="00F57557">
        <w:rPr>
          <w:rFonts w:cstheme="minorHAnsi"/>
          <w:b/>
        </w:rPr>
        <w:tab/>
      </w:r>
      <w:r w:rsidR="00A812A9" w:rsidRPr="006A57F4">
        <w:rPr>
          <w:rFonts w:cstheme="minorHAnsi"/>
          <w:b/>
          <w:u w:val="single"/>
        </w:rPr>
        <w:t>Cease the pilot project</w:t>
      </w:r>
      <w:r w:rsidR="00A812A9" w:rsidRPr="00A812A9">
        <w:rPr>
          <w:rFonts w:cstheme="minorHAnsi"/>
        </w:rPr>
        <w:t xml:space="preserve"> and </w:t>
      </w:r>
      <w:r w:rsidR="00A812A9">
        <w:rPr>
          <w:rFonts w:cstheme="minorHAnsi"/>
        </w:rPr>
        <w:t>continue current practices.</w:t>
      </w:r>
    </w:p>
    <w:p w:rsidR="00DB21E0" w:rsidRDefault="00DB21E0">
      <w:pPr>
        <w:rPr>
          <w:rFonts w:cstheme="minorHAnsi"/>
          <w:b/>
        </w:rPr>
      </w:pPr>
      <w:r>
        <w:rPr>
          <w:rFonts w:cstheme="minorHAnsi"/>
          <w:b/>
        </w:rPr>
        <w:br w:type="page"/>
      </w:r>
    </w:p>
    <w:p w:rsidR="00D9633B" w:rsidRPr="00A812A9" w:rsidRDefault="00F73F93" w:rsidP="00F11C42">
      <w:pPr>
        <w:pStyle w:val="AnnexNo"/>
      </w:pPr>
      <w:r w:rsidRPr="00A812A9">
        <w:t>ANNEX</w:t>
      </w:r>
      <w:r w:rsidR="00D9633B" w:rsidRPr="00A812A9">
        <w:t xml:space="preserve"> </w:t>
      </w:r>
    </w:p>
    <w:p w:rsidR="001F40B7" w:rsidRPr="00A812A9" w:rsidRDefault="00F73F93" w:rsidP="00F11C42">
      <w:pPr>
        <w:pStyle w:val="Annextitle"/>
      </w:pPr>
      <w:r w:rsidRPr="00A812A9">
        <w:t>Entities</w:t>
      </w:r>
      <w:r w:rsidR="00BC02EB" w:rsidRPr="00A812A9">
        <w:t xml:space="preserve"> participating in the </w:t>
      </w:r>
      <w:r w:rsidRPr="00A812A9">
        <w:t xml:space="preserve">SME </w:t>
      </w:r>
      <w:r w:rsidR="00BC02EB" w:rsidRPr="00A812A9">
        <w:t>Pilot Project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3"/>
        <w:gridCol w:w="3903"/>
        <w:gridCol w:w="2020"/>
        <w:gridCol w:w="1291"/>
        <w:gridCol w:w="1732"/>
      </w:tblGrid>
      <w:tr w:rsidR="00E71A1D" w:rsidRPr="00A812A9" w:rsidTr="00F11C42">
        <w:trPr>
          <w:tblHeader/>
          <w:jc w:val="center"/>
        </w:trPr>
        <w:tc>
          <w:tcPr>
            <w:tcW w:w="663" w:type="dxa"/>
            <w:tcBorders>
              <w:top w:val="single" w:sz="12" w:space="0" w:color="auto"/>
              <w:bottom w:val="single" w:sz="12" w:space="0" w:color="auto"/>
            </w:tcBorders>
            <w:shd w:val="clear" w:color="auto" w:fill="auto"/>
          </w:tcPr>
          <w:p w:rsidR="00E71A1D" w:rsidRPr="00A812A9" w:rsidRDefault="00E71A1D" w:rsidP="00652971">
            <w:pPr>
              <w:pStyle w:val="Tablehead"/>
            </w:pPr>
          </w:p>
        </w:tc>
        <w:tc>
          <w:tcPr>
            <w:tcW w:w="3903" w:type="dxa"/>
            <w:tcBorders>
              <w:top w:val="single" w:sz="12" w:space="0" w:color="auto"/>
              <w:bottom w:val="single" w:sz="12" w:space="0" w:color="auto"/>
            </w:tcBorders>
            <w:shd w:val="clear" w:color="auto" w:fill="auto"/>
          </w:tcPr>
          <w:p w:rsidR="00E71A1D" w:rsidRPr="00A812A9" w:rsidRDefault="00E71A1D" w:rsidP="00652971">
            <w:pPr>
              <w:pStyle w:val="Tablehead"/>
            </w:pPr>
            <w:r w:rsidRPr="00A812A9">
              <w:t>Name</w:t>
            </w:r>
          </w:p>
        </w:tc>
        <w:tc>
          <w:tcPr>
            <w:tcW w:w="2020" w:type="dxa"/>
            <w:tcBorders>
              <w:top w:val="single" w:sz="12" w:space="0" w:color="auto"/>
              <w:bottom w:val="single" w:sz="12" w:space="0" w:color="auto"/>
            </w:tcBorders>
            <w:shd w:val="clear" w:color="auto" w:fill="auto"/>
          </w:tcPr>
          <w:p w:rsidR="00E71A1D" w:rsidRPr="00A812A9" w:rsidRDefault="00E71A1D" w:rsidP="00652971">
            <w:pPr>
              <w:pStyle w:val="Tablehead"/>
            </w:pPr>
            <w:r w:rsidRPr="00A812A9">
              <w:t>Member State Approval</w:t>
            </w:r>
          </w:p>
        </w:tc>
        <w:tc>
          <w:tcPr>
            <w:tcW w:w="1291" w:type="dxa"/>
            <w:tcBorders>
              <w:top w:val="single" w:sz="12" w:space="0" w:color="auto"/>
              <w:bottom w:val="single" w:sz="12" w:space="0" w:color="auto"/>
            </w:tcBorders>
            <w:shd w:val="clear" w:color="auto" w:fill="auto"/>
          </w:tcPr>
          <w:p w:rsidR="00E71A1D" w:rsidRPr="00A812A9" w:rsidRDefault="00E71A1D" w:rsidP="00652971">
            <w:pPr>
              <w:pStyle w:val="Tablehead"/>
            </w:pPr>
            <w:r w:rsidRPr="00A812A9">
              <w:t>Sector</w:t>
            </w:r>
          </w:p>
        </w:tc>
        <w:tc>
          <w:tcPr>
            <w:tcW w:w="1732" w:type="dxa"/>
            <w:tcBorders>
              <w:top w:val="single" w:sz="12" w:space="0" w:color="auto"/>
              <w:bottom w:val="single" w:sz="12" w:space="0" w:color="auto"/>
            </w:tcBorders>
            <w:shd w:val="clear" w:color="auto" w:fill="auto"/>
          </w:tcPr>
          <w:p w:rsidR="00E71A1D" w:rsidRPr="00A812A9" w:rsidRDefault="00E71A1D" w:rsidP="00652971">
            <w:pPr>
              <w:pStyle w:val="Tablehead"/>
            </w:pPr>
            <w:r w:rsidRPr="00A812A9">
              <w:t>Study Group</w:t>
            </w:r>
          </w:p>
        </w:tc>
      </w:tr>
      <w:tr w:rsidR="00E71A1D" w:rsidRPr="00A812A9" w:rsidTr="00F11C42">
        <w:trPr>
          <w:jc w:val="center"/>
        </w:trPr>
        <w:tc>
          <w:tcPr>
            <w:tcW w:w="663" w:type="dxa"/>
            <w:tcBorders>
              <w:top w:val="single" w:sz="12" w:space="0" w:color="auto"/>
            </w:tcBorders>
            <w:shd w:val="clear" w:color="auto" w:fill="auto"/>
          </w:tcPr>
          <w:p w:rsidR="00E71A1D" w:rsidRPr="00A812A9" w:rsidRDefault="009E3035" w:rsidP="00652971">
            <w:pPr>
              <w:pStyle w:val="Tabletext"/>
            </w:pPr>
            <w:r>
              <w:t>1</w:t>
            </w:r>
          </w:p>
        </w:tc>
        <w:tc>
          <w:tcPr>
            <w:tcW w:w="3903" w:type="dxa"/>
            <w:tcBorders>
              <w:top w:val="single" w:sz="12" w:space="0" w:color="auto"/>
            </w:tcBorders>
            <w:shd w:val="clear" w:color="auto" w:fill="auto"/>
          </w:tcPr>
          <w:p w:rsidR="00E71A1D" w:rsidRPr="00A812A9" w:rsidRDefault="00E71A1D" w:rsidP="00652971">
            <w:pPr>
              <w:pStyle w:val="Tabletext"/>
            </w:pPr>
            <w:proofErr w:type="spellStart"/>
            <w:r w:rsidRPr="00A812A9">
              <w:t>Proge</w:t>
            </w:r>
            <w:proofErr w:type="spellEnd"/>
            <w:r w:rsidRPr="00A812A9">
              <w:t>-Software</w:t>
            </w:r>
          </w:p>
        </w:tc>
        <w:tc>
          <w:tcPr>
            <w:tcW w:w="2020" w:type="dxa"/>
            <w:tcBorders>
              <w:top w:val="single" w:sz="12" w:space="0" w:color="auto"/>
            </w:tcBorders>
            <w:shd w:val="clear" w:color="auto" w:fill="auto"/>
          </w:tcPr>
          <w:p w:rsidR="00E71A1D" w:rsidRPr="00A812A9" w:rsidRDefault="00E71A1D" w:rsidP="00652971">
            <w:pPr>
              <w:pStyle w:val="Tabletext"/>
              <w:jc w:val="center"/>
            </w:pPr>
            <w:r w:rsidRPr="00A812A9">
              <w:t>Italy</w:t>
            </w:r>
          </w:p>
        </w:tc>
        <w:tc>
          <w:tcPr>
            <w:tcW w:w="1291" w:type="dxa"/>
            <w:tcBorders>
              <w:top w:val="single" w:sz="12" w:space="0" w:color="auto"/>
            </w:tcBorders>
            <w:shd w:val="clear" w:color="auto" w:fill="auto"/>
          </w:tcPr>
          <w:p w:rsidR="00E71A1D" w:rsidRPr="00A812A9" w:rsidRDefault="00E71A1D" w:rsidP="00652971">
            <w:pPr>
              <w:pStyle w:val="Tabletext"/>
              <w:jc w:val="center"/>
            </w:pPr>
            <w:r w:rsidRPr="00A812A9">
              <w:t>ITU-D</w:t>
            </w:r>
          </w:p>
        </w:tc>
        <w:tc>
          <w:tcPr>
            <w:tcW w:w="1732" w:type="dxa"/>
            <w:tcBorders>
              <w:top w:val="single" w:sz="12" w:space="0" w:color="auto"/>
            </w:tcBorders>
            <w:shd w:val="clear" w:color="auto" w:fill="auto"/>
          </w:tcPr>
          <w:p w:rsidR="00E71A1D" w:rsidRPr="00F36574" w:rsidRDefault="00E71A1D" w:rsidP="00652971">
            <w:pPr>
              <w:pStyle w:val="Tabletext"/>
              <w:jc w:val="center"/>
            </w:pPr>
            <w:r w:rsidRPr="00F36574">
              <w:t>SG1/2</w:t>
            </w:r>
          </w:p>
        </w:tc>
      </w:tr>
      <w:tr w:rsidR="00E71A1D" w:rsidRPr="00A812A9" w:rsidTr="00F11C42">
        <w:trPr>
          <w:jc w:val="center"/>
        </w:trPr>
        <w:tc>
          <w:tcPr>
            <w:tcW w:w="663" w:type="dxa"/>
            <w:shd w:val="clear" w:color="auto" w:fill="auto"/>
          </w:tcPr>
          <w:p w:rsidR="00E71A1D" w:rsidRPr="00A812A9" w:rsidRDefault="009E3035" w:rsidP="00652971">
            <w:pPr>
              <w:pStyle w:val="Tabletext"/>
            </w:pPr>
            <w:r>
              <w:t>2</w:t>
            </w:r>
          </w:p>
        </w:tc>
        <w:tc>
          <w:tcPr>
            <w:tcW w:w="3903" w:type="dxa"/>
            <w:shd w:val="clear" w:color="auto" w:fill="auto"/>
          </w:tcPr>
          <w:p w:rsidR="00E71A1D" w:rsidRPr="00A812A9" w:rsidRDefault="00E71A1D" w:rsidP="00652971">
            <w:pPr>
              <w:pStyle w:val="Tabletext"/>
            </w:pPr>
            <w:r w:rsidRPr="00A812A9">
              <w:t>Forum Europe</w:t>
            </w:r>
          </w:p>
        </w:tc>
        <w:tc>
          <w:tcPr>
            <w:tcW w:w="2020" w:type="dxa"/>
            <w:shd w:val="clear" w:color="auto" w:fill="auto"/>
          </w:tcPr>
          <w:p w:rsidR="00E71A1D" w:rsidRPr="00A812A9" w:rsidRDefault="00E71A1D" w:rsidP="00652971">
            <w:pPr>
              <w:pStyle w:val="Tabletext"/>
              <w:jc w:val="center"/>
            </w:pPr>
            <w:r w:rsidRPr="00A812A9">
              <w:t>United Kingdom</w:t>
            </w:r>
          </w:p>
        </w:tc>
        <w:tc>
          <w:tcPr>
            <w:tcW w:w="1291" w:type="dxa"/>
            <w:shd w:val="clear" w:color="auto" w:fill="auto"/>
          </w:tcPr>
          <w:p w:rsidR="00E71A1D" w:rsidRPr="00A812A9" w:rsidRDefault="00E71A1D" w:rsidP="00652971">
            <w:pPr>
              <w:pStyle w:val="Tabletext"/>
              <w:jc w:val="center"/>
            </w:pPr>
            <w:r w:rsidRPr="00A812A9">
              <w:t>ITU-D</w:t>
            </w:r>
          </w:p>
        </w:tc>
        <w:tc>
          <w:tcPr>
            <w:tcW w:w="1732" w:type="dxa"/>
            <w:shd w:val="clear" w:color="auto" w:fill="auto"/>
          </w:tcPr>
          <w:p w:rsidR="00E71A1D" w:rsidRPr="00F36574" w:rsidRDefault="00E71A1D" w:rsidP="00652971">
            <w:pPr>
              <w:pStyle w:val="Tabletext"/>
              <w:jc w:val="center"/>
            </w:pPr>
            <w:r w:rsidRPr="00F36574">
              <w:t>SG1/2</w:t>
            </w:r>
          </w:p>
        </w:tc>
      </w:tr>
      <w:tr w:rsidR="00E71A1D" w:rsidRPr="00A812A9" w:rsidTr="00F11C42">
        <w:trPr>
          <w:jc w:val="center"/>
        </w:trPr>
        <w:tc>
          <w:tcPr>
            <w:tcW w:w="663" w:type="dxa"/>
            <w:shd w:val="clear" w:color="auto" w:fill="auto"/>
          </w:tcPr>
          <w:p w:rsidR="00E71A1D" w:rsidRPr="00AD4463" w:rsidRDefault="009E3035" w:rsidP="00652971">
            <w:pPr>
              <w:pStyle w:val="Tabletext"/>
            </w:pPr>
            <w:r>
              <w:t>3</w:t>
            </w:r>
          </w:p>
        </w:tc>
        <w:tc>
          <w:tcPr>
            <w:tcW w:w="3903" w:type="dxa"/>
            <w:shd w:val="clear" w:color="auto" w:fill="auto"/>
          </w:tcPr>
          <w:p w:rsidR="00E71A1D" w:rsidRPr="00A812A9" w:rsidRDefault="00E71A1D" w:rsidP="00652971">
            <w:pPr>
              <w:pStyle w:val="Tabletext"/>
            </w:pPr>
            <w:r w:rsidRPr="00AD4463">
              <w:t>DAIWA C</w:t>
            </w:r>
            <w:r>
              <w:t>omputer</w:t>
            </w:r>
            <w:r w:rsidRPr="00AD4463">
              <w:t xml:space="preserve"> C</w:t>
            </w:r>
            <w:r>
              <w:t>o. Ltd</w:t>
            </w:r>
            <w:r w:rsidRPr="00AD4463">
              <w:t>.</w:t>
            </w:r>
          </w:p>
        </w:tc>
        <w:tc>
          <w:tcPr>
            <w:tcW w:w="2020" w:type="dxa"/>
            <w:shd w:val="clear" w:color="auto" w:fill="auto"/>
          </w:tcPr>
          <w:p w:rsidR="00E71A1D" w:rsidRPr="00A812A9" w:rsidRDefault="00E71A1D" w:rsidP="00652971">
            <w:pPr>
              <w:pStyle w:val="Tabletext"/>
              <w:jc w:val="center"/>
            </w:pPr>
            <w:r>
              <w:t>Japan</w:t>
            </w:r>
          </w:p>
        </w:tc>
        <w:tc>
          <w:tcPr>
            <w:tcW w:w="1291" w:type="dxa"/>
            <w:shd w:val="clear" w:color="auto" w:fill="auto"/>
          </w:tcPr>
          <w:p w:rsidR="00E71A1D" w:rsidRPr="00A812A9" w:rsidRDefault="00E71A1D" w:rsidP="00652971">
            <w:pPr>
              <w:pStyle w:val="Tabletext"/>
              <w:jc w:val="center"/>
            </w:pPr>
            <w:r>
              <w:t>ITU-D</w:t>
            </w:r>
          </w:p>
        </w:tc>
        <w:tc>
          <w:tcPr>
            <w:tcW w:w="1732" w:type="dxa"/>
            <w:shd w:val="clear" w:color="auto" w:fill="auto"/>
          </w:tcPr>
          <w:p w:rsidR="00E71A1D" w:rsidRPr="00F36574" w:rsidRDefault="00E71A1D" w:rsidP="00652971">
            <w:pPr>
              <w:pStyle w:val="Tabletext"/>
              <w:jc w:val="center"/>
            </w:pPr>
            <w:r w:rsidRPr="00F36574">
              <w:t>SG</w:t>
            </w:r>
            <w:r>
              <w:t>1/</w:t>
            </w:r>
            <w:r w:rsidRPr="00F36574">
              <w:t>2</w:t>
            </w:r>
          </w:p>
        </w:tc>
      </w:tr>
      <w:tr w:rsidR="009E3035" w:rsidRPr="00A812A9" w:rsidTr="00F11C42">
        <w:trPr>
          <w:jc w:val="center"/>
        </w:trPr>
        <w:tc>
          <w:tcPr>
            <w:tcW w:w="663" w:type="dxa"/>
            <w:shd w:val="clear" w:color="auto" w:fill="auto"/>
          </w:tcPr>
          <w:p w:rsidR="009E3035" w:rsidRDefault="009E3035" w:rsidP="00652971">
            <w:pPr>
              <w:pStyle w:val="Tabletext"/>
            </w:pPr>
            <w:r>
              <w:t>4</w:t>
            </w:r>
          </w:p>
        </w:tc>
        <w:tc>
          <w:tcPr>
            <w:tcW w:w="3903" w:type="dxa"/>
            <w:shd w:val="clear" w:color="auto" w:fill="auto"/>
          </w:tcPr>
          <w:p w:rsidR="009E3035" w:rsidRPr="00AD4463" w:rsidRDefault="009E3035" w:rsidP="00652971">
            <w:pPr>
              <w:pStyle w:val="Tabletext"/>
            </w:pPr>
            <w:proofErr w:type="spellStart"/>
            <w:r w:rsidRPr="00A812A9">
              <w:t>Guardtime</w:t>
            </w:r>
            <w:proofErr w:type="spellEnd"/>
          </w:p>
        </w:tc>
        <w:tc>
          <w:tcPr>
            <w:tcW w:w="2020" w:type="dxa"/>
            <w:shd w:val="clear" w:color="auto" w:fill="auto"/>
          </w:tcPr>
          <w:p w:rsidR="009E3035" w:rsidRDefault="009E3035" w:rsidP="00652971">
            <w:pPr>
              <w:pStyle w:val="Tabletext"/>
              <w:jc w:val="center"/>
            </w:pPr>
            <w:r w:rsidRPr="00A812A9">
              <w:t>Estonia</w:t>
            </w:r>
          </w:p>
        </w:tc>
        <w:tc>
          <w:tcPr>
            <w:tcW w:w="1291" w:type="dxa"/>
            <w:shd w:val="clear" w:color="auto" w:fill="auto"/>
          </w:tcPr>
          <w:p w:rsidR="009E3035" w:rsidRDefault="009E3035" w:rsidP="00652971">
            <w:pPr>
              <w:pStyle w:val="Tabletext"/>
              <w:jc w:val="center"/>
            </w:pPr>
            <w:r w:rsidRPr="00A812A9">
              <w:t>ITU-D</w:t>
            </w:r>
          </w:p>
        </w:tc>
        <w:tc>
          <w:tcPr>
            <w:tcW w:w="1732" w:type="dxa"/>
            <w:shd w:val="clear" w:color="auto" w:fill="auto"/>
          </w:tcPr>
          <w:p w:rsidR="009E3035" w:rsidRPr="00F36574" w:rsidRDefault="009E3035" w:rsidP="00652971">
            <w:pPr>
              <w:pStyle w:val="Tabletext"/>
              <w:jc w:val="center"/>
            </w:pPr>
            <w:r w:rsidRPr="00F36574">
              <w:t>SG2</w:t>
            </w:r>
          </w:p>
        </w:tc>
      </w:tr>
      <w:tr w:rsidR="009E3035" w:rsidRPr="00A812A9" w:rsidTr="00F11C42">
        <w:trPr>
          <w:jc w:val="center"/>
        </w:trPr>
        <w:tc>
          <w:tcPr>
            <w:tcW w:w="663" w:type="dxa"/>
            <w:shd w:val="clear" w:color="auto" w:fill="auto"/>
          </w:tcPr>
          <w:p w:rsidR="009E3035" w:rsidRPr="00AD4463" w:rsidRDefault="009E3035" w:rsidP="00652971">
            <w:pPr>
              <w:pStyle w:val="Tabletext"/>
            </w:pPr>
            <w:r>
              <w:t>5</w:t>
            </w:r>
          </w:p>
        </w:tc>
        <w:tc>
          <w:tcPr>
            <w:tcW w:w="3903" w:type="dxa"/>
            <w:shd w:val="clear" w:color="auto" w:fill="auto"/>
          </w:tcPr>
          <w:p w:rsidR="009E3035" w:rsidRPr="00A812A9" w:rsidRDefault="009E3035" w:rsidP="00652971">
            <w:pPr>
              <w:pStyle w:val="Tabletext"/>
            </w:pPr>
            <w:r w:rsidRPr="00AD4463">
              <w:t>Melody International Ltd.</w:t>
            </w:r>
          </w:p>
        </w:tc>
        <w:tc>
          <w:tcPr>
            <w:tcW w:w="2020" w:type="dxa"/>
            <w:shd w:val="clear" w:color="auto" w:fill="auto"/>
          </w:tcPr>
          <w:p w:rsidR="009E3035" w:rsidRPr="00A812A9" w:rsidRDefault="009E3035" w:rsidP="00652971">
            <w:pPr>
              <w:pStyle w:val="Tabletext"/>
              <w:jc w:val="center"/>
            </w:pPr>
            <w:r>
              <w:t>Japan</w:t>
            </w:r>
          </w:p>
        </w:tc>
        <w:tc>
          <w:tcPr>
            <w:tcW w:w="1291" w:type="dxa"/>
            <w:shd w:val="clear" w:color="auto" w:fill="auto"/>
          </w:tcPr>
          <w:p w:rsidR="009E3035" w:rsidRPr="00A812A9" w:rsidRDefault="009E3035" w:rsidP="00652971">
            <w:pPr>
              <w:pStyle w:val="Tabletext"/>
              <w:jc w:val="center"/>
            </w:pPr>
            <w:r>
              <w:t>ITU-D</w:t>
            </w:r>
          </w:p>
        </w:tc>
        <w:tc>
          <w:tcPr>
            <w:tcW w:w="1732" w:type="dxa"/>
            <w:shd w:val="clear" w:color="auto" w:fill="auto"/>
          </w:tcPr>
          <w:p w:rsidR="009E3035" w:rsidRPr="00F36574" w:rsidRDefault="009E3035" w:rsidP="00652971">
            <w:pPr>
              <w:pStyle w:val="Tabletext"/>
              <w:jc w:val="center"/>
            </w:pPr>
            <w:r w:rsidRPr="00F36574">
              <w:t>SG2</w:t>
            </w:r>
          </w:p>
        </w:tc>
      </w:tr>
      <w:tr w:rsidR="009E3035" w:rsidRPr="00A812A9" w:rsidTr="00F11C42">
        <w:trPr>
          <w:jc w:val="center"/>
        </w:trPr>
        <w:tc>
          <w:tcPr>
            <w:tcW w:w="663" w:type="dxa"/>
            <w:shd w:val="clear" w:color="auto" w:fill="auto"/>
          </w:tcPr>
          <w:p w:rsidR="009E3035" w:rsidRPr="00AD4463" w:rsidRDefault="009E3035" w:rsidP="00652971">
            <w:pPr>
              <w:pStyle w:val="Tabletext"/>
            </w:pPr>
            <w:r>
              <w:t>6</w:t>
            </w:r>
          </w:p>
        </w:tc>
        <w:tc>
          <w:tcPr>
            <w:tcW w:w="3903" w:type="dxa"/>
            <w:shd w:val="clear" w:color="auto" w:fill="auto"/>
          </w:tcPr>
          <w:p w:rsidR="009E3035" w:rsidRPr="00AD4463" w:rsidRDefault="009E3035" w:rsidP="00652971">
            <w:pPr>
              <w:pStyle w:val="Tabletext"/>
            </w:pPr>
            <w:proofErr w:type="spellStart"/>
            <w:r w:rsidRPr="00AD4463">
              <w:t>OrangeTechLab</w:t>
            </w:r>
            <w:proofErr w:type="spellEnd"/>
            <w:r w:rsidRPr="00AD4463">
              <w:t xml:space="preserve"> Inc.</w:t>
            </w:r>
          </w:p>
        </w:tc>
        <w:tc>
          <w:tcPr>
            <w:tcW w:w="2020" w:type="dxa"/>
            <w:shd w:val="clear" w:color="auto" w:fill="auto"/>
          </w:tcPr>
          <w:p w:rsidR="009E3035" w:rsidRDefault="009E3035" w:rsidP="00652971">
            <w:pPr>
              <w:pStyle w:val="Tabletext"/>
              <w:jc w:val="center"/>
            </w:pPr>
            <w:r>
              <w:t>Japan</w:t>
            </w:r>
          </w:p>
        </w:tc>
        <w:tc>
          <w:tcPr>
            <w:tcW w:w="1291" w:type="dxa"/>
            <w:shd w:val="clear" w:color="auto" w:fill="auto"/>
          </w:tcPr>
          <w:p w:rsidR="009E3035" w:rsidRDefault="009E3035" w:rsidP="00652971">
            <w:pPr>
              <w:pStyle w:val="Tabletext"/>
              <w:jc w:val="center"/>
            </w:pPr>
            <w:r>
              <w:t>ITU-D</w:t>
            </w:r>
          </w:p>
        </w:tc>
        <w:tc>
          <w:tcPr>
            <w:tcW w:w="1732" w:type="dxa"/>
            <w:shd w:val="clear" w:color="auto" w:fill="auto"/>
          </w:tcPr>
          <w:p w:rsidR="009E3035" w:rsidRPr="00AD4463" w:rsidRDefault="009E3035" w:rsidP="00652971">
            <w:pPr>
              <w:pStyle w:val="Tabletext"/>
              <w:jc w:val="center"/>
            </w:pPr>
            <w:r>
              <w:t>SG2</w:t>
            </w:r>
          </w:p>
        </w:tc>
      </w:tr>
      <w:tr w:rsidR="00F11C42" w:rsidRPr="00A812A9" w:rsidTr="006A57F4">
        <w:trPr>
          <w:jc w:val="center"/>
        </w:trPr>
        <w:tc>
          <w:tcPr>
            <w:tcW w:w="663" w:type="dxa"/>
            <w:tcBorders>
              <w:bottom w:val="single" w:sz="4" w:space="0" w:color="auto"/>
              <w:right w:val="single" w:sz="4" w:space="0" w:color="auto"/>
            </w:tcBorders>
            <w:shd w:val="clear" w:color="auto" w:fill="auto"/>
          </w:tcPr>
          <w:p w:rsidR="00F11C42" w:rsidRDefault="00F11C42" w:rsidP="00F11C42">
            <w:pPr>
              <w:pStyle w:val="Tabletext"/>
            </w:pPr>
            <w:r>
              <w:t>7</w:t>
            </w:r>
          </w:p>
        </w:tc>
        <w:tc>
          <w:tcPr>
            <w:tcW w:w="3903" w:type="dxa"/>
            <w:tcBorders>
              <w:top w:val="nil"/>
              <w:left w:val="single" w:sz="4" w:space="0" w:color="auto"/>
              <w:bottom w:val="single" w:sz="4" w:space="0" w:color="auto"/>
              <w:right w:val="single" w:sz="4" w:space="0" w:color="auto"/>
            </w:tcBorders>
          </w:tcPr>
          <w:p w:rsidR="00F11C42" w:rsidRPr="00F1127F" w:rsidRDefault="00F11C42" w:rsidP="00F11C42">
            <w:pPr>
              <w:pStyle w:val="Tabletext"/>
            </w:pPr>
            <w:proofErr w:type="spellStart"/>
            <w:r w:rsidRPr="00F1127F">
              <w:t>SatRevolution</w:t>
            </w:r>
            <w:proofErr w:type="spellEnd"/>
            <w:r w:rsidRPr="00F1127F">
              <w:t xml:space="preserve"> S.A.</w:t>
            </w:r>
          </w:p>
        </w:tc>
        <w:tc>
          <w:tcPr>
            <w:tcW w:w="2020" w:type="dxa"/>
            <w:tcBorders>
              <w:top w:val="nil"/>
              <w:left w:val="single" w:sz="4" w:space="0" w:color="auto"/>
              <w:bottom w:val="single" w:sz="4" w:space="0" w:color="auto"/>
              <w:right w:val="single" w:sz="4" w:space="0" w:color="auto"/>
            </w:tcBorders>
          </w:tcPr>
          <w:p w:rsidR="00F11C42" w:rsidRPr="00F1127F" w:rsidRDefault="00F11C42" w:rsidP="00F11C42">
            <w:pPr>
              <w:pStyle w:val="Tabletext"/>
              <w:jc w:val="center"/>
            </w:pPr>
            <w:r w:rsidRPr="00F1127F">
              <w:t>Poland</w:t>
            </w:r>
          </w:p>
        </w:tc>
        <w:tc>
          <w:tcPr>
            <w:tcW w:w="1291" w:type="dxa"/>
            <w:tcBorders>
              <w:top w:val="nil"/>
              <w:left w:val="single" w:sz="4" w:space="0" w:color="auto"/>
              <w:bottom w:val="single" w:sz="4" w:space="0" w:color="auto"/>
              <w:right w:val="single" w:sz="4" w:space="0" w:color="auto"/>
            </w:tcBorders>
          </w:tcPr>
          <w:p w:rsidR="00F11C42" w:rsidRPr="00F1127F" w:rsidRDefault="00F11C42" w:rsidP="00F11C42">
            <w:pPr>
              <w:pStyle w:val="Tabletext"/>
              <w:jc w:val="center"/>
            </w:pPr>
            <w:r w:rsidRPr="00F1127F">
              <w:t>ITU-D</w:t>
            </w:r>
          </w:p>
        </w:tc>
        <w:tc>
          <w:tcPr>
            <w:tcW w:w="1732" w:type="dxa"/>
            <w:tcBorders>
              <w:top w:val="nil"/>
              <w:left w:val="single" w:sz="4" w:space="0" w:color="auto"/>
              <w:bottom w:val="single" w:sz="4" w:space="0" w:color="auto"/>
              <w:right w:val="single" w:sz="12" w:space="0" w:color="auto"/>
            </w:tcBorders>
          </w:tcPr>
          <w:p w:rsidR="00F11C42" w:rsidRPr="00F1127F" w:rsidRDefault="00F11C42" w:rsidP="00F11C42">
            <w:pPr>
              <w:pStyle w:val="Tabletext"/>
              <w:jc w:val="center"/>
            </w:pPr>
            <w:r w:rsidRPr="00F1127F">
              <w:t>SG2</w:t>
            </w:r>
          </w:p>
        </w:tc>
      </w:tr>
      <w:tr w:rsidR="00F11C42" w:rsidRPr="00A812A9" w:rsidTr="006A57F4">
        <w:trPr>
          <w:trHeight w:val="596"/>
          <w:jc w:val="center"/>
        </w:trPr>
        <w:tc>
          <w:tcPr>
            <w:tcW w:w="663" w:type="dxa"/>
            <w:tcBorders>
              <w:top w:val="single" w:sz="4" w:space="0" w:color="auto"/>
              <w:bottom w:val="single" w:sz="4" w:space="0" w:color="auto"/>
            </w:tcBorders>
            <w:shd w:val="clear" w:color="auto" w:fill="auto"/>
          </w:tcPr>
          <w:p w:rsidR="00F11C42" w:rsidRDefault="00F11C42" w:rsidP="00F11C42">
            <w:pPr>
              <w:pStyle w:val="Tabletext"/>
            </w:pPr>
            <w:r>
              <w:t>8</w:t>
            </w:r>
          </w:p>
        </w:tc>
        <w:tc>
          <w:tcPr>
            <w:tcW w:w="3903" w:type="dxa"/>
            <w:tcBorders>
              <w:top w:val="single" w:sz="4" w:space="0" w:color="auto"/>
            </w:tcBorders>
            <w:shd w:val="clear" w:color="auto" w:fill="auto"/>
          </w:tcPr>
          <w:p w:rsidR="00F11C42" w:rsidRDefault="00F11C42" w:rsidP="00F11C42">
            <w:pPr>
              <w:pStyle w:val="Tabletext"/>
            </w:pPr>
            <w:r>
              <w:t>ASTEM Co. Ltd.</w:t>
            </w:r>
          </w:p>
        </w:tc>
        <w:tc>
          <w:tcPr>
            <w:tcW w:w="2020" w:type="dxa"/>
            <w:tcBorders>
              <w:top w:val="single" w:sz="4" w:space="0" w:color="auto"/>
            </w:tcBorders>
            <w:shd w:val="clear" w:color="auto" w:fill="auto"/>
          </w:tcPr>
          <w:p w:rsidR="00F11C42" w:rsidRDefault="00F11C42" w:rsidP="00F11C42">
            <w:pPr>
              <w:pStyle w:val="Tabletext"/>
              <w:jc w:val="center"/>
            </w:pPr>
            <w:r>
              <w:t>Japan</w:t>
            </w:r>
          </w:p>
        </w:tc>
        <w:tc>
          <w:tcPr>
            <w:tcW w:w="1291" w:type="dxa"/>
            <w:tcBorders>
              <w:top w:val="single" w:sz="4" w:space="0" w:color="auto"/>
            </w:tcBorders>
            <w:shd w:val="clear" w:color="auto" w:fill="auto"/>
          </w:tcPr>
          <w:p w:rsidR="00F11C42" w:rsidRDefault="00F11C42" w:rsidP="00F11C42">
            <w:pPr>
              <w:pStyle w:val="Tabletext"/>
              <w:jc w:val="center"/>
            </w:pPr>
            <w:r>
              <w:t xml:space="preserve">ITU-D </w:t>
            </w:r>
          </w:p>
          <w:p w:rsidR="00F11C42" w:rsidRDefault="00F11C42" w:rsidP="00F1127F">
            <w:pPr>
              <w:pStyle w:val="Tabletext"/>
              <w:jc w:val="center"/>
            </w:pPr>
            <w:r>
              <w:t>ITU-T</w:t>
            </w:r>
            <w:r w:rsidR="00F1127F">
              <w:t xml:space="preserve"> </w:t>
            </w:r>
          </w:p>
        </w:tc>
        <w:tc>
          <w:tcPr>
            <w:tcW w:w="1732" w:type="dxa"/>
            <w:tcBorders>
              <w:top w:val="single" w:sz="4" w:space="0" w:color="auto"/>
            </w:tcBorders>
            <w:shd w:val="clear" w:color="auto" w:fill="auto"/>
          </w:tcPr>
          <w:p w:rsidR="00F11C42" w:rsidRDefault="00F11C42" w:rsidP="00F11C42">
            <w:pPr>
              <w:pStyle w:val="Tabletext"/>
              <w:jc w:val="center"/>
            </w:pPr>
            <w:r>
              <w:t>SG2</w:t>
            </w:r>
          </w:p>
          <w:p w:rsidR="00F11C42" w:rsidRDefault="00F11C42" w:rsidP="00F1127F">
            <w:pPr>
              <w:pStyle w:val="Tabletext"/>
              <w:jc w:val="center"/>
            </w:pPr>
            <w:r>
              <w:t>SG16</w:t>
            </w:r>
            <w:r w:rsidR="00F1127F">
              <w:t xml:space="preserve"> </w:t>
            </w:r>
          </w:p>
        </w:tc>
      </w:tr>
      <w:tr w:rsidR="00F11C42" w:rsidRPr="00A812A9" w:rsidTr="006A57F4">
        <w:trPr>
          <w:jc w:val="center"/>
        </w:trPr>
        <w:tc>
          <w:tcPr>
            <w:tcW w:w="663" w:type="dxa"/>
            <w:tcBorders>
              <w:top w:val="single" w:sz="4" w:space="0" w:color="auto"/>
            </w:tcBorders>
            <w:shd w:val="clear" w:color="auto" w:fill="auto"/>
          </w:tcPr>
          <w:p w:rsidR="00F11C42" w:rsidRDefault="00F11C42" w:rsidP="00F11C42">
            <w:pPr>
              <w:pStyle w:val="Tabletext"/>
            </w:pPr>
            <w:r>
              <w:t>9</w:t>
            </w:r>
          </w:p>
        </w:tc>
        <w:tc>
          <w:tcPr>
            <w:tcW w:w="3903" w:type="dxa"/>
            <w:shd w:val="clear" w:color="auto" w:fill="auto"/>
          </w:tcPr>
          <w:p w:rsidR="00F11C42" w:rsidRPr="00A812A9" w:rsidRDefault="00F11C42" w:rsidP="00F11C42">
            <w:pPr>
              <w:pStyle w:val="Tabletext"/>
            </w:pPr>
            <w:r>
              <w:t xml:space="preserve">Hellenic Electronic Equipment Quality Assurance </w:t>
            </w:r>
            <w:proofErr w:type="spellStart"/>
            <w:r>
              <w:t>Center</w:t>
            </w:r>
            <w:proofErr w:type="spellEnd"/>
            <w:r>
              <w:t xml:space="preserve"> </w:t>
            </w:r>
            <w:proofErr w:type="spellStart"/>
            <w:r>
              <w:t>s.a.</w:t>
            </w:r>
            <w:proofErr w:type="spellEnd"/>
            <w:r>
              <w:t xml:space="preserve"> (HEEQAC S.A.)</w:t>
            </w:r>
          </w:p>
        </w:tc>
        <w:tc>
          <w:tcPr>
            <w:tcW w:w="2020" w:type="dxa"/>
            <w:shd w:val="clear" w:color="auto" w:fill="auto"/>
          </w:tcPr>
          <w:p w:rsidR="00F11C42" w:rsidRPr="00A812A9" w:rsidRDefault="00F11C42" w:rsidP="00F11C42">
            <w:pPr>
              <w:pStyle w:val="Tabletext"/>
              <w:jc w:val="center"/>
            </w:pPr>
            <w:r>
              <w:t>Greece</w:t>
            </w:r>
          </w:p>
        </w:tc>
        <w:tc>
          <w:tcPr>
            <w:tcW w:w="1291" w:type="dxa"/>
            <w:shd w:val="clear" w:color="auto" w:fill="auto"/>
          </w:tcPr>
          <w:p w:rsidR="00F11C42" w:rsidRPr="00A812A9" w:rsidRDefault="00F11C42" w:rsidP="00F11C42">
            <w:pPr>
              <w:pStyle w:val="Tabletext"/>
              <w:jc w:val="center"/>
            </w:pPr>
            <w:r>
              <w:t>ITU-T</w:t>
            </w:r>
          </w:p>
        </w:tc>
        <w:tc>
          <w:tcPr>
            <w:tcW w:w="1732" w:type="dxa"/>
            <w:shd w:val="clear" w:color="auto" w:fill="auto"/>
          </w:tcPr>
          <w:p w:rsidR="00F11C42" w:rsidRPr="00A812A9" w:rsidRDefault="00F11C42" w:rsidP="00F11C42">
            <w:pPr>
              <w:pStyle w:val="Tabletext"/>
              <w:jc w:val="center"/>
            </w:pPr>
            <w:r>
              <w:t>SG5</w:t>
            </w:r>
          </w:p>
        </w:tc>
      </w:tr>
      <w:tr w:rsidR="00F11C42" w:rsidRPr="00A812A9" w:rsidTr="00F11C42">
        <w:trPr>
          <w:jc w:val="center"/>
        </w:trPr>
        <w:tc>
          <w:tcPr>
            <w:tcW w:w="663" w:type="dxa"/>
            <w:shd w:val="clear" w:color="auto" w:fill="auto"/>
          </w:tcPr>
          <w:p w:rsidR="00F11C42" w:rsidRPr="00A812A9" w:rsidRDefault="00F11C42" w:rsidP="00F11C42">
            <w:pPr>
              <w:pStyle w:val="Tabletext"/>
            </w:pPr>
            <w:r>
              <w:t>10</w:t>
            </w:r>
          </w:p>
        </w:tc>
        <w:tc>
          <w:tcPr>
            <w:tcW w:w="3903" w:type="dxa"/>
            <w:shd w:val="clear" w:color="auto" w:fill="auto"/>
          </w:tcPr>
          <w:p w:rsidR="00F11C42" w:rsidRPr="00A812A9" w:rsidRDefault="00F11C42" w:rsidP="00F11C42">
            <w:pPr>
              <w:pStyle w:val="Tabletext"/>
            </w:pPr>
            <w:r w:rsidRPr="00A812A9">
              <w:t>Wave Control</w:t>
            </w:r>
          </w:p>
        </w:tc>
        <w:tc>
          <w:tcPr>
            <w:tcW w:w="2020" w:type="dxa"/>
            <w:shd w:val="clear" w:color="auto" w:fill="auto"/>
          </w:tcPr>
          <w:p w:rsidR="00F11C42" w:rsidRPr="00A812A9" w:rsidRDefault="00F11C42" w:rsidP="00F11C42">
            <w:pPr>
              <w:pStyle w:val="Tabletext"/>
              <w:jc w:val="center"/>
            </w:pPr>
            <w:r w:rsidRPr="00A812A9">
              <w:t>Spain</w:t>
            </w:r>
          </w:p>
        </w:tc>
        <w:tc>
          <w:tcPr>
            <w:tcW w:w="1291" w:type="dxa"/>
            <w:shd w:val="clear" w:color="auto" w:fill="auto"/>
          </w:tcPr>
          <w:p w:rsidR="00F11C42" w:rsidRPr="00A812A9" w:rsidRDefault="00F11C42" w:rsidP="00F11C42">
            <w:pPr>
              <w:pStyle w:val="Tabletext"/>
              <w:jc w:val="center"/>
            </w:pPr>
            <w:r w:rsidRPr="00A812A9">
              <w:t>ITU-T</w:t>
            </w:r>
          </w:p>
        </w:tc>
        <w:tc>
          <w:tcPr>
            <w:tcW w:w="1732" w:type="dxa"/>
            <w:shd w:val="clear" w:color="auto" w:fill="auto"/>
          </w:tcPr>
          <w:p w:rsidR="00F11C42" w:rsidRPr="00A812A9" w:rsidRDefault="00F11C42" w:rsidP="00F11C42">
            <w:pPr>
              <w:pStyle w:val="Tabletext"/>
              <w:jc w:val="center"/>
            </w:pPr>
            <w:r w:rsidRPr="00A812A9">
              <w:t>SG5</w:t>
            </w:r>
          </w:p>
        </w:tc>
      </w:tr>
      <w:tr w:rsidR="00F11C42" w:rsidRPr="00A812A9" w:rsidTr="00F11C42">
        <w:trPr>
          <w:jc w:val="center"/>
        </w:trPr>
        <w:tc>
          <w:tcPr>
            <w:tcW w:w="663" w:type="dxa"/>
            <w:shd w:val="clear" w:color="auto" w:fill="auto"/>
          </w:tcPr>
          <w:p w:rsidR="00F11C42" w:rsidRPr="00A812A9" w:rsidRDefault="00F11C42" w:rsidP="00F11C42">
            <w:pPr>
              <w:pStyle w:val="Tabletext"/>
            </w:pPr>
            <w:r>
              <w:t>11</w:t>
            </w:r>
          </w:p>
        </w:tc>
        <w:tc>
          <w:tcPr>
            <w:tcW w:w="3903" w:type="dxa"/>
            <w:shd w:val="clear" w:color="auto" w:fill="auto"/>
          </w:tcPr>
          <w:p w:rsidR="00F11C42" w:rsidRPr="00A812A9" w:rsidRDefault="00F11C42" w:rsidP="00F11C42">
            <w:pPr>
              <w:pStyle w:val="Tabletext"/>
            </w:pPr>
            <w:r w:rsidRPr="00A812A9">
              <w:t xml:space="preserve">MJRD Assessment </w:t>
            </w:r>
            <w:proofErr w:type="spellStart"/>
            <w:r w:rsidRPr="00A812A9">
              <w:t>Inc</w:t>
            </w:r>
            <w:proofErr w:type="spellEnd"/>
          </w:p>
        </w:tc>
        <w:tc>
          <w:tcPr>
            <w:tcW w:w="2020" w:type="dxa"/>
            <w:shd w:val="clear" w:color="auto" w:fill="auto"/>
          </w:tcPr>
          <w:p w:rsidR="00F11C42" w:rsidRPr="00A812A9" w:rsidRDefault="00F11C42" w:rsidP="00F11C42">
            <w:pPr>
              <w:pStyle w:val="Tabletext"/>
              <w:jc w:val="center"/>
            </w:pPr>
            <w:r w:rsidRPr="00A812A9">
              <w:t>Canada</w:t>
            </w:r>
          </w:p>
        </w:tc>
        <w:tc>
          <w:tcPr>
            <w:tcW w:w="1291" w:type="dxa"/>
            <w:shd w:val="clear" w:color="auto" w:fill="auto"/>
          </w:tcPr>
          <w:p w:rsidR="00F11C42" w:rsidRPr="00A812A9" w:rsidRDefault="00F11C42" w:rsidP="00F11C42">
            <w:pPr>
              <w:pStyle w:val="Tabletext"/>
              <w:jc w:val="center"/>
            </w:pPr>
            <w:r w:rsidRPr="00A812A9">
              <w:t>ITU-T</w:t>
            </w:r>
          </w:p>
        </w:tc>
        <w:tc>
          <w:tcPr>
            <w:tcW w:w="1732" w:type="dxa"/>
            <w:shd w:val="clear" w:color="auto" w:fill="auto"/>
          </w:tcPr>
          <w:p w:rsidR="00F11C42" w:rsidRPr="00A812A9" w:rsidRDefault="00F11C42" w:rsidP="00F11C42">
            <w:pPr>
              <w:pStyle w:val="Tabletext"/>
              <w:jc w:val="center"/>
            </w:pPr>
            <w:r w:rsidRPr="00A812A9">
              <w:t>SG5</w:t>
            </w:r>
          </w:p>
        </w:tc>
      </w:tr>
      <w:tr w:rsidR="00F11C42" w:rsidRPr="00A812A9" w:rsidTr="00F11C42">
        <w:trPr>
          <w:jc w:val="center"/>
        </w:trPr>
        <w:tc>
          <w:tcPr>
            <w:tcW w:w="663" w:type="dxa"/>
            <w:shd w:val="clear" w:color="auto" w:fill="auto"/>
          </w:tcPr>
          <w:p w:rsidR="00F11C42" w:rsidRDefault="00F11C42" w:rsidP="00F11C42">
            <w:pPr>
              <w:pStyle w:val="Tabletext"/>
            </w:pPr>
            <w:r>
              <w:t>12</w:t>
            </w:r>
          </w:p>
        </w:tc>
        <w:tc>
          <w:tcPr>
            <w:tcW w:w="3903" w:type="dxa"/>
            <w:shd w:val="clear" w:color="auto" w:fill="auto"/>
          </w:tcPr>
          <w:p w:rsidR="00F11C42" w:rsidRPr="00A812A9" w:rsidRDefault="00F11C42" w:rsidP="00F11C42">
            <w:pPr>
              <w:pStyle w:val="Tabletext"/>
            </w:pPr>
            <w:r>
              <w:t>Closing the Loop</w:t>
            </w:r>
          </w:p>
        </w:tc>
        <w:tc>
          <w:tcPr>
            <w:tcW w:w="2020" w:type="dxa"/>
            <w:shd w:val="clear" w:color="auto" w:fill="auto"/>
          </w:tcPr>
          <w:p w:rsidR="00F11C42" w:rsidRPr="00A812A9" w:rsidRDefault="00F11C42" w:rsidP="00F11C42">
            <w:pPr>
              <w:pStyle w:val="Tabletext"/>
              <w:jc w:val="center"/>
            </w:pPr>
            <w:r>
              <w:t>Netherlands</w:t>
            </w:r>
          </w:p>
        </w:tc>
        <w:tc>
          <w:tcPr>
            <w:tcW w:w="1291" w:type="dxa"/>
            <w:shd w:val="clear" w:color="auto" w:fill="auto"/>
          </w:tcPr>
          <w:p w:rsidR="00F11C42" w:rsidRPr="00A812A9" w:rsidRDefault="00F11C42" w:rsidP="00F11C42">
            <w:pPr>
              <w:pStyle w:val="Tabletext"/>
              <w:jc w:val="center"/>
            </w:pPr>
            <w:r>
              <w:t>ITU-T</w:t>
            </w:r>
          </w:p>
        </w:tc>
        <w:tc>
          <w:tcPr>
            <w:tcW w:w="1732" w:type="dxa"/>
            <w:shd w:val="clear" w:color="auto" w:fill="auto"/>
          </w:tcPr>
          <w:p w:rsidR="00F11C42" w:rsidRPr="00A812A9" w:rsidRDefault="00F11C42" w:rsidP="00F11C42">
            <w:pPr>
              <w:pStyle w:val="Tabletext"/>
              <w:jc w:val="center"/>
            </w:pPr>
            <w:r>
              <w:t>SG5</w:t>
            </w:r>
          </w:p>
        </w:tc>
      </w:tr>
      <w:tr w:rsidR="00F11C42" w:rsidRPr="00A812A9" w:rsidTr="00F11C42">
        <w:trPr>
          <w:jc w:val="center"/>
        </w:trPr>
        <w:tc>
          <w:tcPr>
            <w:tcW w:w="663" w:type="dxa"/>
            <w:shd w:val="clear" w:color="auto" w:fill="auto"/>
          </w:tcPr>
          <w:p w:rsidR="00F11C42" w:rsidRDefault="00F11C42" w:rsidP="00F11C42">
            <w:pPr>
              <w:pStyle w:val="Tabletext"/>
            </w:pPr>
            <w:r>
              <w:t>13</w:t>
            </w:r>
          </w:p>
        </w:tc>
        <w:tc>
          <w:tcPr>
            <w:tcW w:w="3903" w:type="dxa"/>
            <w:shd w:val="clear" w:color="auto" w:fill="auto"/>
          </w:tcPr>
          <w:p w:rsidR="00F11C42" w:rsidRPr="00A812A9" w:rsidRDefault="00F11C42" w:rsidP="00F11C42">
            <w:pPr>
              <w:pStyle w:val="Tabletext"/>
            </w:pPr>
            <w:proofErr w:type="spellStart"/>
            <w:r>
              <w:t>Vaulto</w:t>
            </w:r>
            <w:proofErr w:type="spellEnd"/>
            <w:r>
              <w:t xml:space="preserve"> Technologies Ltd</w:t>
            </w:r>
          </w:p>
        </w:tc>
        <w:tc>
          <w:tcPr>
            <w:tcW w:w="2020" w:type="dxa"/>
            <w:shd w:val="clear" w:color="auto" w:fill="auto"/>
          </w:tcPr>
          <w:p w:rsidR="00F11C42" w:rsidRPr="00A812A9" w:rsidRDefault="00F11C42" w:rsidP="00F11C42">
            <w:pPr>
              <w:pStyle w:val="Tabletext"/>
              <w:jc w:val="center"/>
            </w:pPr>
            <w:r>
              <w:t>Israel</w:t>
            </w:r>
          </w:p>
        </w:tc>
        <w:tc>
          <w:tcPr>
            <w:tcW w:w="1291" w:type="dxa"/>
            <w:shd w:val="clear" w:color="auto" w:fill="auto"/>
          </w:tcPr>
          <w:p w:rsidR="00F11C42" w:rsidRPr="00A812A9" w:rsidRDefault="00F11C42" w:rsidP="00F11C42">
            <w:pPr>
              <w:pStyle w:val="Tabletext"/>
              <w:jc w:val="center"/>
            </w:pPr>
            <w:r>
              <w:t>ITU-T</w:t>
            </w:r>
          </w:p>
        </w:tc>
        <w:tc>
          <w:tcPr>
            <w:tcW w:w="1732" w:type="dxa"/>
            <w:shd w:val="clear" w:color="auto" w:fill="auto"/>
          </w:tcPr>
          <w:p w:rsidR="00F11C42" w:rsidRPr="00A812A9" w:rsidRDefault="00F11C42" w:rsidP="00F11C42">
            <w:pPr>
              <w:pStyle w:val="Tabletext"/>
              <w:jc w:val="center"/>
            </w:pPr>
            <w:r>
              <w:t>SG11</w:t>
            </w:r>
          </w:p>
        </w:tc>
      </w:tr>
      <w:tr w:rsidR="00F11C42" w:rsidRPr="00A812A9" w:rsidTr="00F11C42">
        <w:trPr>
          <w:jc w:val="center"/>
        </w:trPr>
        <w:tc>
          <w:tcPr>
            <w:tcW w:w="663" w:type="dxa"/>
            <w:shd w:val="clear" w:color="auto" w:fill="auto"/>
          </w:tcPr>
          <w:p w:rsidR="00F11C42" w:rsidRPr="00A812A9" w:rsidRDefault="00F11C42" w:rsidP="00F11C42">
            <w:pPr>
              <w:pStyle w:val="Tabletext"/>
            </w:pPr>
            <w:r>
              <w:t>14</w:t>
            </w:r>
          </w:p>
        </w:tc>
        <w:tc>
          <w:tcPr>
            <w:tcW w:w="3903" w:type="dxa"/>
            <w:shd w:val="clear" w:color="auto" w:fill="auto"/>
          </w:tcPr>
          <w:p w:rsidR="00F11C42" w:rsidRPr="00A812A9" w:rsidRDefault="00F11C42" w:rsidP="00F11C42">
            <w:pPr>
              <w:pStyle w:val="Tabletext"/>
            </w:pPr>
            <w:proofErr w:type="spellStart"/>
            <w:r w:rsidRPr="00A812A9">
              <w:t>Wayfindr</w:t>
            </w:r>
            <w:proofErr w:type="spellEnd"/>
          </w:p>
        </w:tc>
        <w:tc>
          <w:tcPr>
            <w:tcW w:w="2020" w:type="dxa"/>
            <w:shd w:val="clear" w:color="auto" w:fill="auto"/>
          </w:tcPr>
          <w:p w:rsidR="00F11C42" w:rsidRPr="00A812A9" w:rsidRDefault="00F11C42" w:rsidP="00F11C42">
            <w:pPr>
              <w:pStyle w:val="Tabletext"/>
              <w:jc w:val="center"/>
            </w:pPr>
            <w:r w:rsidRPr="00A812A9">
              <w:t>United Kingdom</w:t>
            </w:r>
          </w:p>
        </w:tc>
        <w:tc>
          <w:tcPr>
            <w:tcW w:w="1291" w:type="dxa"/>
            <w:shd w:val="clear" w:color="auto" w:fill="auto"/>
          </w:tcPr>
          <w:p w:rsidR="00F11C42" w:rsidRPr="00A812A9" w:rsidRDefault="00F11C42" w:rsidP="00F11C42">
            <w:pPr>
              <w:pStyle w:val="Tabletext"/>
              <w:jc w:val="center"/>
            </w:pPr>
            <w:r w:rsidRPr="00A812A9">
              <w:t>ITU-T</w:t>
            </w:r>
          </w:p>
        </w:tc>
        <w:tc>
          <w:tcPr>
            <w:tcW w:w="1732" w:type="dxa"/>
            <w:shd w:val="clear" w:color="auto" w:fill="auto"/>
          </w:tcPr>
          <w:p w:rsidR="00F11C42" w:rsidRPr="00A812A9" w:rsidRDefault="00F11C42" w:rsidP="00F11C42">
            <w:pPr>
              <w:pStyle w:val="Tabletext"/>
              <w:jc w:val="center"/>
            </w:pPr>
            <w:r w:rsidRPr="00A812A9">
              <w:t>SG16</w:t>
            </w:r>
          </w:p>
        </w:tc>
      </w:tr>
      <w:tr w:rsidR="00F11C42" w:rsidRPr="00A812A9" w:rsidTr="00F11C42">
        <w:trPr>
          <w:jc w:val="center"/>
        </w:trPr>
        <w:tc>
          <w:tcPr>
            <w:tcW w:w="663" w:type="dxa"/>
            <w:shd w:val="clear" w:color="auto" w:fill="auto"/>
          </w:tcPr>
          <w:p w:rsidR="00F11C42" w:rsidRPr="00A812A9" w:rsidRDefault="00F11C42" w:rsidP="00F11C42">
            <w:pPr>
              <w:pStyle w:val="Tabletext"/>
            </w:pPr>
            <w:r>
              <w:t>15</w:t>
            </w:r>
          </w:p>
        </w:tc>
        <w:tc>
          <w:tcPr>
            <w:tcW w:w="3903" w:type="dxa"/>
            <w:shd w:val="clear" w:color="auto" w:fill="auto"/>
          </w:tcPr>
          <w:p w:rsidR="00F11C42" w:rsidRPr="00A812A9" w:rsidRDefault="00F11C42" w:rsidP="00F11C42">
            <w:pPr>
              <w:pStyle w:val="Tabletext"/>
            </w:pPr>
            <w:proofErr w:type="spellStart"/>
            <w:r w:rsidRPr="00A812A9">
              <w:t>Alkira</w:t>
            </w:r>
            <w:proofErr w:type="spellEnd"/>
            <w:r w:rsidRPr="00A812A9">
              <w:t xml:space="preserve"> Technologies</w:t>
            </w:r>
          </w:p>
        </w:tc>
        <w:tc>
          <w:tcPr>
            <w:tcW w:w="2020" w:type="dxa"/>
            <w:shd w:val="clear" w:color="auto" w:fill="auto"/>
          </w:tcPr>
          <w:p w:rsidR="00F11C42" w:rsidRPr="00A812A9" w:rsidRDefault="00F11C42" w:rsidP="00F11C42">
            <w:pPr>
              <w:pStyle w:val="Tabletext"/>
              <w:jc w:val="center"/>
            </w:pPr>
            <w:r w:rsidRPr="00A812A9">
              <w:t>Australia</w:t>
            </w:r>
          </w:p>
        </w:tc>
        <w:tc>
          <w:tcPr>
            <w:tcW w:w="1291" w:type="dxa"/>
            <w:shd w:val="clear" w:color="auto" w:fill="auto"/>
          </w:tcPr>
          <w:p w:rsidR="00F11C42" w:rsidRPr="00A812A9" w:rsidRDefault="00F11C42" w:rsidP="00F11C42">
            <w:pPr>
              <w:pStyle w:val="Tabletext"/>
              <w:jc w:val="center"/>
            </w:pPr>
            <w:r w:rsidRPr="00A812A9">
              <w:t>ITU-T</w:t>
            </w:r>
          </w:p>
        </w:tc>
        <w:tc>
          <w:tcPr>
            <w:tcW w:w="1732" w:type="dxa"/>
            <w:shd w:val="clear" w:color="auto" w:fill="auto"/>
          </w:tcPr>
          <w:p w:rsidR="00F11C42" w:rsidRPr="00A812A9" w:rsidRDefault="00F11C42" w:rsidP="00F11C42">
            <w:pPr>
              <w:pStyle w:val="Tabletext"/>
              <w:jc w:val="center"/>
            </w:pPr>
            <w:r w:rsidRPr="00A812A9">
              <w:t>SG16</w:t>
            </w:r>
          </w:p>
        </w:tc>
      </w:tr>
      <w:tr w:rsidR="00F11C42" w:rsidRPr="00A812A9" w:rsidTr="00F11C42">
        <w:trPr>
          <w:jc w:val="center"/>
        </w:trPr>
        <w:tc>
          <w:tcPr>
            <w:tcW w:w="663" w:type="dxa"/>
            <w:shd w:val="clear" w:color="auto" w:fill="auto"/>
          </w:tcPr>
          <w:p w:rsidR="00F11C42" w:rsidRPr="00A812A9" w:rsidRDefault="00F11C42" w:rsidP="00F11C42">
            <w:pPr>
              <w:pStyle w:val="Tabletext"/>
            </w:pPr>
            <w:r>
              <w:t>16</w:t>
            </w:r>
          </w:p>
        </w:tc>
        <w:tc>
          <w:tcPr>
            <w:tcW w:w="3903" w:type="dxa"/>
            <w:shd w:val="clear" w:color="auto" w:fill="auto"/>
          </w:tcPr>
          <w:p w:rsidR="00F11C42" w:rsidRPr="00A812A9" w:rsidRDefault="00F11C42" w:rsidP="00F11C42">
            <w:pPr>
              <w:pStyle w:val="Tabletext"/>
            </w:pPr>
            <w:r w:rsidRPr="00A812A9">
              <w:t>Alfa Electronics</w:t>
            </w:r>
          </w:p>
        </w:tc>
        <w:tc>
          <w:tcPr>
            <w:tcW w:w="2020" w:type="dxa"/>
            <w:shd w:val="clear" w:color="auto" w:fill="auto"/>
          </w:tcPr>
          <w:p w:rsidR="00F11C42" w:rsidRPr="00A812A9" w:rsidRDefault="00F11C42" w:rsidP="00F11C42">
            <w:pPr>
              <w:pStyle w:val="Tabletext"/>
              <w:jc w:val="center"/>
            </w:pPr>
            <w:r w:rsidRPr="00A812A9">
              <w:t>Egypt</w:t>
            </w:r>
          </w:p>
        </w:tc>
        <w:tc>
          <w:tcPr>
            <w:tcW w:w="1291" w:type="dxa"/>
            <w:shd w:val="clear" w:color="auto" w:fill="auto"/>
          </w:tcPr>
          <w:p w:rsidR="00F11C42" w:rsidRPr="00A812A9" w:rsidRDefault="00F11C42" w:rsidP="00F11C42">
            <w:pPr>
              <w:pStyle w:val="Tabletext"/>
              <w:jc w:val="center"/>
            </w:pPr>
            <w:r w:rsidRPr="00A812A9">
              <w:t>ITU-T</w:t>
            </w:r>
          </w:p>
        </w:tc>
        <w:tc>
          <w:tcPr>
            <w:tcW w:w="1732" w:type="dxa"/>
            <w:shd w:val="clear" w:color="auto" w:fill="auto"/>
          </w:tcPr>
          <w:p w:rsidR="00F11C42" w:rsidRPr="00A812A9" w:rsidRDefault="00F11C42" w:rsidP="00F11C42">
            <w:pPr>
              <w:pStyle w:val="Tabletext"/>
              <w:jc w:val="center"/>
            </w:pPr>
            <w:r w:rsidRPr="00A812A9">
              <w:t>SG20</w:t>
            </w:r>
          </w:p>
        </w:tc>
      </w:tr>
      <w:tr w:rsidR="00F11C42" w:rsidRPr="00A812A9" w:rsidTr="00F11C42">
        <w:trPr>
          <w:jc w:val="center"/>
        </w:trPr>
        <w:tc>
          <w:tcPr>
            <w:tcW w:w="663" w:type="dxa"/>
            <w:shd w:val="clear" w:color="auto" w:fill="auto"/>
          </w:tcPr>
          <w:p w:rsidR="00F11C42" w:rsidRPr="00A812A9" w:rsidRDefault="00F11C42" w:rsidP="00F11C42">
            <w:pPr>
              <w:pStyle w:val="Tabletext"/>
            </w:pPr>
            <w:r>
              <w:t>17</w:t>
            </w:r>
          </w:p>
        </w:tc>
        <w:tc>
          <w:tcPr>
            <w:tcW w:w="3903" w:type="dxa"/>
            <w:shd w:val="clear" w:color="auto" w:fill="auto"/>
          </w:tcPr>
          <w:p w:rsidR="00F11C42" w:rsidRPr="00A812A9" w:rsidRDefault="00F11C42" w:rsidP="00F11C42">
            <w:pPr>
              <w:pStyle w:val="Tabletext"/>
            </w:pPr>
            <w:proofErr w:type="spellStart"/>
            <w:r w:rsidRPr="00A812A9">
              <w:t>SpimeSense</w:t>
            </w:r>
            <w:proofErr w:type="spellEnd"/>
            <w:r w:rsidRPr="00A812A9">
              <w:t xml:space="preserve"> Labs</w:t>
            </w:r>
          </w:p>
        </w:tc>
        <w:tc>
          <w:tcPr>
            <w:tcW w:w="2020" w:type="dxa"/>
            <w:shd w:val="clear" w:color="auto" w:fill="auto"/>
          </w:tcPr>
          <w:p w:rsidR="00F11C42" w:rsidRPr="00A812A9" w:rsidRDefault="00F11C42" w:rsidP="00F11C42">
            <w:pPr>
              <w:pStyle w:val="Tabletext"/>
              <w:jc w:val="center"/>
            </w:pPr>
            <w:r w:rsidRPr="00A812A9">
              <w:t>Egypt</w:t>
            </w:r>
          </w:p>
        </w:tc>
        <w:tc>
          <w:tcPr>
            <w:tcW w:w="1291" w:type="dxa"/>
            <w:shd w:val="clear" w:color="auto" w:fill="auto"/>
          </w:tcPr>
          <w:p w:rsidR="00F11C42" w:rsidRPr="00A812A9" w:rsidRDefault="00F11C42" w:rsidP="00F11C42">
            <w:pPr>
              <w:pStyle w:val="Tabletext"/>
              <w:jc w:val="center"/>
            </w:pPr>
            <w:r w:rsidRPr="00A812A9">
              <w:t>ITU-T</w:t>
            </w:r>
          </w:p>
        </w:tc>
        <w:tc>
          <w:tcPr>
            <w:tcW w:w="1732" w:type="dxa"/>
            <w:shd w:val="clear" w:color="auto" w:fill="auto"/>
          </w:tcPr>
          <w:p w:rsidR="00F11C42" w:rsidRPr="00A812A9" w:rsidRDefault="00F11C42" w:rsidP="00F11C42">
            <w:pPr>
              <w:pStyle w:val="Tabletext"/>
              <w:jc w:val="center"/>
            </w:pPr>
            <w:r w:rsidRPr="00A812A9">
              <w:t>SG20</w:t>
            </w:r>
          </w:p>
        </w:tc>
      </w:tr>
      <w:tr w:rsidR="00F11C42" w:rsidRPr="00A812A9" w:rsidTr="00F11C42">
        <w:trPr>
          <w:jc w:val="center"/>
        </w:trPr>
        <w:tc>
          <w:tcPr>
            <w:tcW w:w="663" w:type="dxa"/>
            <w:shd w:val="clear" w:color="auto" w:fill="auto"/>
          </w:tcPr>
          <w:p w:rsidR="00F11C42" w:rsidRPr="00A812A9" w:rsidRDefault="00F11C42" w:rsidP="00F11C42">
            <w:pPr>
              <w:pStyle w:val="Tabletext"/>
            </w:pPr>
            <w:r>
              <w:t>18</w:t>
            </w:r>
          </w:p>
        </w:tc>
        <w:tc>
          <w:tcPr>
            <w:tcW w:w="3903" w:type="dxa"/>
            <w:shd w:val="clear" w:color="auto" w:fill="auto"/>
          </w:tcPr>
          <w:p w:rsidR="00F11C42" w:rsidRPr="00A812A9" w:rsidRDefault="00F11C42" w:rsidP="00F11C42">
            <w:pPr>
              <w:pStyle w:val="Tabletext"/>
            </w:pPr>
            <w:r w:rsidRPr="00A812A9">
              <w:t>Root Technologies</w:t>
            </w:r>
          </w:p>
        </w:tc>
        <w:tc>
          <w:tcPr>
            <w:tcW w:w="2020" w:type="dxa"/>
            <w:shd w:val="clear" w:color="auto" w:fill="auto"/>
          </w:tcPr>
          <w:p w:rsidR="00F11C42" w:rsidRPr="00A812A9" w:rsidRDefault="00F11C42" w:rsidP="00F11C42">
            <w:pPr>
              <w:pStyle w:val="Tabletext"/>
              <w:jc w:val="center"/>
            </w:pPr>
            <w:r w:rsidRPr="00A812A9">
              <w:t>Egypt</w:t>
            </w:r>
          </w:p>
        </w:tc>
        <w:tc>
          <w:tcPr>
            <w:tcW w:w="1291" w:type="dxa"/>
            <w:shd w:val="clear" w:color="auto" w:fill="auto"/>
          </w:tcPr>
          <w:p w:rsidR="00F11C42" w:rsidRPr="00A812A9" w:rsidRDefault="00F11C42" w:rsidP="00F11C42">
            <w:pPr>
              <w:pStyle w:val="Tabletext"/>
              <w:jc w:val="center"/>
            </w:pPr>
            <w:r w:rsidRPr="00A812A9">
              <w:t>ITU-T</w:t>
            </w:r>
          </w:p>
        </w:tc>
        <w:tc>
          <w:tcPr>
            <w:tcW w:w="1732" w:type="dxa"/>
            <w:shd w:val="clear" w:color="auto" w:fill="auto"/>
          </w:tcPr>
          <w:p w:rsidR="00F11C42" w:rsidRPr="00A812A9" w:rsidRDefault="00F11C42" w:rsidP="00F11C42">
            <w:pPr>
              <w:pStyle w:val="Tabletext"/>
              <w:jc w:val="center"/>
            </w:pPr>
            <w:r w:rsidRPr="00A812A9">
              <w:t>SG20</w:t>
            </w:r>
          </w:p>
        </w:tc>
      </w:tr>
      <w:tr w:rsidR="00F11C42" w:rsidRPr="00A812A9" w:rsidTr="00F11C42">
        <w:trPr>
          <w:jc w:val="center"/>
        </w:trPr>
        <w:tc>
          <w:tcPr>
            <w:tcW w:w="663" w:type="dxa"/>
            <w:shd w:val="clear" w:color="auto" w:fill="auto"/>
          </w:tcPr>
          <w:p w:rsidR="00F11C42" w:rsidRPr="00A812A9" w:rsidRDefault="00F11C42" w:rsidP="00F11C42">
            <w:pPr>
              <w:pStyle w:val="Tabletext"/>
            </w:pPr>
            <w:r>
              <w:t>19</w:t>
            </w:r>
          </w:p>
        </w:tc>
        <w:tc>
          <w:tcPr>
            <w:tcW w:w="3903" w:type="dxa"/>
            <w:shd w:val="clear" w:color="auto" w:fill="auto"/>
          </w:tcPr>
          <w:p w:rsidR="00F11C42" w:rsidRPr="00A812A9" w:rsidRDefault="00F11C42" w:rsidP="00F11C42">
            <w:pPr>
              <w:pStyle w:val="Tabletext"/>
            </w:pPr>
            <w:proofErr w:type="spellStart"/>
            <w:r w:rsidRPr="00A812A9">
              <w:t>Innov</w:t>
            </w:r>
            <w:proofErr w:type="spellEnd"/>
            <w:r w:rsidRPr="00A812A9">
              <w:t>-Alliance-Tech</w:t>
            </w:r>
          </w:p>
        </w:tc>
        <w:tc>
          <w:tcPr>
            <w:tcW w:w="2020" w:type="dxa"/>
            <w:shd w:val="clear" w:color="auto" w:fill="auto"/>
          </w:tcPr>
          <w:p w:rsidR="00F11C42" w:rsidRPr="00A812A9" w:rsidRDefault="00F11C42" w:rsidP="00F11C42">
            <w:pPr>
              <w:pStyle w:val="Tabletext"/>
              <w:jc w:val="center"/>
            </w:pPr>
            <w:r w:rsidRPr="00A812A9">
              <w:t>Tunisia</w:t>
            </w:r>
          </w:p>
        </w:tc>
        <w:tc>
          <w:tcPr>
            <w:tcW w:w="1291" w:type="dxa"/>
            <w:shd w:val="clear" w:color="auto" w:fill="auto"/>
          </w:tcPr>
          <w:p w:rsidR="00F11C42" w:rsidRPr="00A812A9" w:rsidRDefault="00F11C42" w:rsidP="00F11C42">
            <w:pPr>
              <w:pStyle w:val="Tabletext"/>
              <w:jc w:val="center"/>
            </w:pPr>
            <w:r w:rsidRPr="00A812A9">
              <w:t>ITU-T</w:t>
            </w:r>
          </w:p>
        </w:tc>
        <w:tc>
          <w:tcPr>
            <w:tcW w:w="1732" w:type="dxa"/>
            <w:shd w:val="clear" w:color="auto" w:fill="auto"/>
          </w:tcPr>
          <w:p w:rsidR="00F11C42" w:rsidRPr="00A812A9" w:rsidRDefault="00F11C42" w:rsidP="00F11C42">
            <w:pPr>
              <w:pStyle w:val="Tabletext"/>
              <w:jc w:val="center"/>
            </w:pPr>
            <w:r w:rsidRPr="00A812A9">
              <w:t>SG20</w:t>
            </w:r>
          </w:p>
        </w:tc>
      </w:tr>
      <w:tr w:rsidR="00F11C42" w:rsidRPr="00A812A9" w:rsidTr="00F11C42">
        <w:trPr>
          <w:jc w:val="center"/>
        </w:trPr>
        <w:tc>
          <w:tcPr>
            <w:tcW w:w="663" w:type="dxa"/>
            <w:shd w:val="clear" w:color="auto" w:fill="auto"/>
          </w:tcPr>
          <w:p w:rsidR="00F11C42" w:rsidRPr="00A812A9" w:rsidRDefault="00F11C42" w:rsidP="00F11C42">
            <w:pPr>
              <w:pStyle w:val="Tabletext"/>
            </w:pPr>
            <w:r>
              <w:t>20</w:t>
            </w:r>
          </w:p>
        </w:tc>
        <w:tc>
          <w:tcPr>
            <w:tcW w:w="3903" w:type="dxa"/>
            <w:shd w:val="clear" w:color="auto" w:fill="auto"/>
          </w:tcPr>
          <w:p w:rsidR="00F11C42" w:rsidRPr="00A812A9" w:rsidRDefault="00F11C42" w:rsidP="00F11C42">
            <w:pPr>
              <w:pStyle w:val="Tabletext"/>
            </w:pPr>
            <w:r w:rsidRPr="00A812A9">
              <w:t>Device Gateway SA</w:t>
            </w:r>
          </w:p>
        </w:tc>
        <w:tc>
          <w:tcPr>
            <w:tcW w:w="2020" w:type="dxa"/>
            <w:shd w:val="clear" w:color="auto" w:fill="auto"/>
          </w:tcPr>
          <w:p w:rsidR="00F11C42" w:rsidRPr="00A812A9" w:rsidRDefault="00F11C42" w:rsidP="00F11C42">
            <w:pPr>
              <w:pStyle w:val="Tabletext"/>
              <w:jc w:val="center"/>
            </w:pPr>
            <w:r w:rsidRPr="00A812A9">
              <w:t>Switzerland</w:t>
            </w:r>
          </w:p>
        </w:tc>
        <w:tc>
          <w:tcPr>
            <w:tcW w:w="1291" w:type="dxa"/>
            <w:shd w:val="clear" w:color="auto" w:fill="auto"/>
          </w:tcPr>
          <w:p w:rsidR="00F11C42" w:rsidRPr="00A812A9" w:rsidRDefault="00F11C42" w:rsidP="00F11C42">
            <w:pPr>
              <w:pStyle w:val="Tabletext"/>
              <w:jc w:val="center"/>
            </w:pPr>
            <w:r w:rsidRPr="00A812A9">
              <w:t>ITU-T</w:t>
            </w:r>
          </w:p>
        </w:tc>
        <w:tc>
          <w:tcPr>
            <w:tcW w:w="1732" w:type="dxa"/>
            <w:shd w:val="clear" w:color="auto" w:fill="auto"/>
          </w:tcPr>
          <w:p w:rsidR="00F11C42" w:rsidRPr="00A812A9" w:rsidRDefault="00F11C42" w:rsidP="00F11C42">
            <w:pPr>
              <w:pStyle w:val="Tabletext"/>
              <w:jc w:val="center"/>
            </w:pPr>
            <w:r w:rsidRPr="00A812A9">
              <w:t>SG20</w:t>
            </w:r>
          </w:p>
        </w:tc>
      </w:tr>
      <w:tr w:rsidR="00F11C42" w:rsidRPr="00035519" w:rsidTr="00F11C42">
        <w:trPr>
          <w:jc w:val="center"/>
        </w:trPr>
        <w:tc>
          <w:tcPr>
            <w:tcW w:w="663" w:type="dxa"/>
            <w:shd w:val="clear" w:color="auto" w:fill="auto"/>
          </w:tcPr>
          <w:p w:rsidR="00F11C42" w:rsidRPr="00A812A9" w:rsidRDefault="00F11C42" w:rsidP="00F11C42">
            <w:pPr>
              <w:pStyle w:val="Tabletext"/>
            </w:pPr>
            <w:r>
              <w:t>21</w:t>
            </w:r>
          </w:p>
        </w:tc>
        <w:tc>
          <w:tcPr>
            <w:tcW w:w="3903" w:type="dxa"/>
            <w:shd w:val="clear" w:color="auto" w:fill="auto"/>
          </w:tcPr>
          <w:p w:rsidR="00F11C42" w:rsidRPr="00A812A9" w:rsidRDefault="00F11C42" w:rsidP="00F11C42">
            <w:pPr>
              <w:pStyle w:val="Tabletext"/>
            </w:pPr>
            <w:proofErr w:type="spellStart"/>
            <w:r w:rsidRPr="00A812A9">
              <w:t>Arianous</w:t>
            </w:r>
            <w:proofErr w:type="spellEnd"/>
            <w:r w:rsidRPr="00A812A9">
              <w:t xml:space="preserve"> ICT Development Co.</w:t>
            </w:r>
          </w:p>
        </w:tc>
        <w:tc>
          <w:tcPr>
            <w:tcW w:w="2020" w:type="dxa"/>
            <w:shd w:val="clear" w:color="auto" w:fill="auto"/>
          </w:tcPr>
          <w:p w:rsidR="00F11C42" w:rsidRPr="00035519" w:rsidRDefault="00F11C42" w:rsidP="00F11C42">
            <w:pPr>
              <w:pStyle w:val="Tabletext"/>
              <w:jc w:val="center"/>
              <w:rPr>
                <w:lang w:val="fr-CH"/>
              </w:rPr>
            </w:pPr>
            <w:r w:rsidRPr="00035519">
              <w:rPr>
                <w:lang w:val="fr-CH"/>
              </w:rPr>
              <w:t>Iran</w:t>
            </w:r>
            <w:r>
              <w:rPr>
                <w:lang w:val="fr-CH"/>
              </w:rPr>
              <w:t xml:space="preserve"> (</w:t>
            </w:r>
            <w:proofErr w:type="spellStart"/>
            <w:r>
              <w:rPr>
                <w:lang w:val="fr-CH"/>
              </w:rPr>
              <w:t>Isl</w:t>
            </w:r>
            <w:proofErr w:type="spellEnd"/>
            <w:r>
              <w:rPr>
                <w:lang w:val="fr-CH"/>
              </w:rPr>
              <w:t>. Rep. of)</w:t>
            </w:r>
          </w:p>
        </w:tc>
        <w:tc>
          <w:tcPr>
            <w:tcW w:w="1291" w:type="dxa"/>
            <w:shd w:val="clear" w:color="auto" w:fill="auto"/>
          </w:tcPr>
          <w:p w:rsidR="00F11C42" w:rsidRPr="00035519" w:rsidRDefault="00F11C42" w:rsidP="00F11C42">
            <w:pPr>
              <w:pStyle w:val="Tabletext"/>
              <w:jc w:val="center"/>
              <w:rPr>
                <w:lang w:val="fr-CH"/>
              </w:rPr>
            </w:pPr>
            <w:r w:rsidRPr="00035519">
              <w:rPr>
                <w:lang w:val="fr-CH"/>
              </w:rPr>
              <w:t>ITU-T</w:t>
            </w:r>
          </w:p>
        </w:tc>
        <w:tc>
          <w:tcPr>
            <w:tcW w:w="1732" w:type="dxa"/>
            <w:shd w:val="clear" w:color="auto" w:fill="auto"/>
          </w:tcPr>
          <w:p w:rsidR="00F11C42" w:rsidRPr="00035519" w:rsidRDefault="00F11C42" w:rsidP="00F11C42">
            <w:pPr>
              <w:pStyle w:val="Tabletext"/>
              <w:jc w:val="center"/>
              <w:rPr>
                <w:lang w:val="fr-CH"/>
              </w:rPr>
            </w:pPr>
            <w:r w:rsidRPr="00035519">
              <w:rPr>
                <w:lang w:val="fr-CH"/>
              </w:rPr>
              <w:t>SG20</w:t>
            </w:r>
          </w:p>
        </w:tc>
      </w:tr>
      <w:tr w:rsidR="00F11C42" w:rsidRPr="00035519" w:rsidTr="00F11C42">
        <w:trPr>
          <w:jc w:val="center"/>
        </w:trPr>
        <w:tc>
          <w:tcPr>
            <w:tcW w:w="663" w:type="dxa"/>
            <w:shd w:val="clear" w:color="auto" w:fill="auto"/>
          </w:tcPr>
          <w:p w:rsidR="00F11C42" w:rsidRPr="00035519" w:rsidRDefault="00F11C42" w:rsidP="00F11C42">
            <w:pPr>
              <w:pStyle w:val="Tabletext"/>
              <w:rPr>
                <w:lang w:val="fr-CH"/>
              </w:rPr>
            </w:pPr>
            <w:r w:rsidRPr="00035519">
              <w:rPr>
                <w:lang w:val="fr-CH"/>
              </w:rPr>
              <w:t>2</w:t>
            </w:r>
            <w:r>
              <w:rPr>
                <w:lang w:val="fr-CH"/>
              </w:rPr>
              <w:t>2</w:t>
            </w:r>
          </w:p>
        </w:tc>
        <w:tc>
          <w:tcPr>
            <w:tcW w:w="3903" w:type="dxa"/>
            <w:shd w:val="clear" w:color="auto" w:fill="auto"/>
          </w:tcPr>
          <w:p w:rsidR="00F11C42" w:rsidRPr="00035519" w:rsidRDefault="00F11C42" w:rsidP="00F11C42">
            <w:pPr>
              <w:pStyle w:val="Tabletext"/>
              <w:rPr>
                <w:lang w:val="fr-CH"/>
              </w:rPr>
            </w:pPr>
            <w:r w:rsidRPr="00035519">
              <w:rPr>
                <w:lang w:val="fr-CH"/>
              </w:rPr>
              <w:t>Archimède Solutions SARL</w:t>
            </w:r>
          </w:p>
        </w:tc>
        <w:tc>
          <w:tcPr>
            <w:tcW w:w="2020" w:type="dxa"/>
            <w:shd w:val="clear" w:color="auto" w:fill="auto"/>
          </w:tcPr>
          <w:p w:rsidR="00F11C42" w:rsidRPr="00035519" w:rsidRDefault="00F11C42" w:rsidP="00F11C42">
            <w:pPr>
              <w:pStyle w:val="Tabletext"/>
              <w:jc w:val="center"/>
              <w:rPr>
                <w:lang w:val="fr-CH"/>
              </w:rPr>
            </w:pPr>
            <w:r w:rsidRPr="00035519">
              <w:rPr>
                <w:lang w:val="fr-CH"/>
              </w:rPr>
              <w:t>Switzerland</w:t>
            </w:r>
          </w:p>
        </w:tc>
        <w:tc>
          <w:tcPr>
            <w:tcW w:w="1291" w:type="dxa"/>
            <w:shd w:val="clear" w:color="auto" w:fill="auto"/>
          </w:tcPr>
          <w:p w:rsidR="00F11C42" w:rsidRPr="00035519" w:rsidRDefault="00F11C42" w:rsidP="00F11C42">
            <w:pPr>
              <w:pStyle w:val="Tabletext"/>
              <w:jc w:val="center"/>
              <w:rPr>
                <w:lang w:val="fr-CH"/>
              </w:rPr>
            </w:pPr>
            <w:r w:rsidRPr="00035519">
              <w:rPr>
                <w:lang w:val="fr-CH"/>
              </w:rPr>
              <w:t>ITU-T</w:t>
            </w:r>
          </w:p>
        </w:tc>
        <w:tc>
          <w:tcPr>
            <w:tcW w:w="1732" w:type="dxa"/>
            <w:shd w:val="clear" w:color="auto" w:fill="auto"/>
          </w:tcPr>
          <w:p w:rsidR="00F11C42" w:rsidRPr="00035519" w:rsidRDefault="00F11C42" w:rsidP="00F11C42">
            <w:pPr>
              <w:pStyle w:val="Tabletext"/>
              <w:jc w:val="center"/>
              <w:rPr>
                <w:lang w:val="fr-CH"/>
              </w:rPr>
            </w:pPr>
            <w:r w:rsidRPr="00035519">
              <w:rPr>
                <w:lang w:val="fr-CH"/>
              </w:rPr>
              <w:t>SG20</w:t>
            </w:r>
          </w:p>
        </w:tc>
      </w:tr>
    </w:tbl>
    <w:p w:rsidR="00925274" w:rsidRPr="00035519" w:rsidRDefault="00925274" w:rsidP="00925274">
      <w:pPr>
        <w:snapToGrid w:val="0"/>
        <w:spacing w:after="120"/>
        <w:jc w:val="center"/>
        <w:rPr>
          <w:rFonts w:cstheme="minorHAnsi"/>
          <w:u w:val="single"/>
          <w:lang w:val="fr-CH"/>
        </w:rPr>
      </w:pPr>
      <w:r w:rsidRPr="00035519">
        <w:rPr>
          <w:rFonts w:cstheme="minorHAnsi"/>
          <w:u w:val="single"/>
          <w:lang w:val="fr-CH"/>
        </w:rPr>
        <w:t>                            </w:t>
      </w:r>
    </w:p>
    <w:sectPr w:rsidR="00925274" w:rsidRPr="00035519" w:rsidSect="008D1EA0">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6CD95F" w16cid:durableId="1F4619D8"/>
  <w16cid:commentId w16cid:paraId="52DBC237" w16cid:durableId="1F4619FA"/>
  <w16cid:commentId w16cid:paraId="53B6945E" w16cid:durableId="1F461A62"/>
  <w16cid:commentId w16cid:paraId="1E66B291" w16cid:durableId="1F461B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506" w:rsidRDefault="00A27506">
      <w:r>
        <w:separator/>
      </w:r>
    </w:p>
  </w:endnote>
  <w:endnote w:type="continuationSeparator" w:id="0">
    <w:p w:rsidR="00A27506" w:rsidRDefault="00A2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89" w:rsidRDefault="00BF4C89" w:rsidP="00AB2815">
    <w:pPr>
      <w:pStyle w:val="Footer"/>
    </w:pPr>
    <w:r w:rsidRPr="00AB2815">
      <w:rPr>
        <w:color w:val="D9D9D9" w:themeColor="background1" w:themeShade="D9"/>
      </w:rPr>
      <w:fldChar w:fldCharType="begin"/>
    </w:r>
    <w:r w:rsidRPr="00AB2815">
      <w:rPr>
        <w:color w:val="D9D9D9" w:themeColor="background1" w:themeShade="D9"/>
      </w:rPr>
      <w:instrText xml:space="preserve"> FILENAME \p \* MERGEFORMAT </w:instrText>
    </w:r>
    <w:r w:rsidRPr="00AB2815">
      <w:rPr>
        <w:color w:val="D9D9D9" w:themeColor="background1" w:themeShade="D9"/>
      </w:rPr>
      <w:fldChar w:fldCharType="separate"/>
    </w:r>
    <w:r w:rsidRPr="00AB2815">
      <w:rPr>
        <w:color w:val="D9D9D9" w:themeColor="background1" w:themeShade="D9"/>
      </w:rPr>
      <w:t>P:\SPM\GBS\c16\doc\DOC-TEMPLATE-e.docx</w:t>
    </w:r>
    <w:r w:rsidRPr="00AB2815">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E35" w:rsidRDefault="00260E35" w:rsidP="00260E35">
    <w:pPr>
      <w:pStyle w:val="firstfooter0"/>
      <w:spacing w:before="0" w:beforeAutospacing="0" w:after="0" w:afterAutospacing="0"/>
      <w:jc w:val="center"/>
      <w:rPr>
        <w:rFonts w:ascii="Symbol" w:hAnsi="Symbol"/>
        <w:szCs w:val="20"/>
      </w:rPr>
    </w:pPr>
    <w:r>
      <w:rPr>
        <w:rFonts w:ascii="Symbol" w:hAnsi="Symbol"/>
        <w:szCs w:val="20"/>
      </w:rPr>
      <w:t></w:t>
    </w:r>
    <w:r>
      <w:rPr>
        <w:sz w:val="20"/>
        <w:szCs w:val="20"/>
      </w:rPr>
      <w:t xml:space="preserve"> </w:t>
    </w:r>
    <w:r w:rsidRPr="00BA21AB">
      <w:rPr>
        <w:rStyle w:val="Hyperlink"/>
      </w:rPr>
      <w:t>www.itu.int/plenipotentiary/</w:t>
    </w:r>
    <w:r>
      <w:rPr>
        <w:sz w:val="20"/>
        <w:szCs w:val="20"/>
      </w:rPr>
      <w:t xml:space="preserve"> </w:t>
    </w:r>
    <w:r>
      <w:rPr>
        <w:rFonts w:ascii="Symbol" w:hAnsi="Symbol"/>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506" w:rsidRDefault="00A27506">
      <w:r>
        <w:t>____________________</w:t>
      </w:r>
    </w:p>
  </w:footnote>
  <w:footnote w:type="continuationSeparator" w:id="0">
    <w:p w:rsidR="00A27506" w:rsidRDefault="00A27506">
      <w:r>
        <w:continuationSeparator/>
      </w:r>
    </w:p>
  </w:footnote>
  <w:footnote w:id="1">
    <w:p w:rsidR="00BF4C89" w:rsidRPr="00D9633B" w:rsidRDefault="00BF4C89">
      <w:pPr>
        <w:pStyle w:val="FootnoteText"/>
      </w:pPr>
      <w:r>
        <w:rPr>
          <w:rStyle w:val="FootnoteReference"/>
        </w:rPr>
        <w:footnoteRef/>
      </w:r>
      <w:r>
        <w:t xml:space="preserve"> </w:t>
      </w:r>
      <w:r w:rsidRPr="00D9633B">
        <w:rPr>
          <w:rFonts w:ascii="Segoe UI" w:hAnsi="Segoe UI" w:cs="Segoe UI"/>
          <w:color w:val="000000"/>
          <w:sz w:val="18"/>
        </w:rPr>
        <w:t>Report of the CWG-FHR Chairman to Council 17, item 48 (page 53)</w:t>
      </w:r>
      <w:r w:rsidR="00652971">
        <w:rPr>
          <w:rFonts w:ascii="Segoe UI" w:hAnsi="Segoe UI" w:cs="Segoe UI"/>
          <w:color w:val="000000"/>
          <w:sz w:val="18"/>
        </w:rPr>
        <w:t>;</w:t>
      </w:r>
      <w:r w:rsidRPr="00D9633B">
        <w:rPr>
          <w:rFonts w:ascii="Segoe UI" w:hAnsi="Segoe UI" w:cs="Segoe UI"/>
          <w:color w:val="000000"/>
          <w:sz w:val="18"/>
        </w:rPr>
        <w:t xml:space="preserve"> the TORs are found in Annex K pg. 93.</w:t>
      </w:r>
    </w:p>
  </w:footnote>
  <w:footnote w:id="2">
    <w:p w:rsidR="00F7254A" w:rsidRDefault="00F7254A">
      <w:pPr>
        <w:pStyle w:val="FootnoteText"/>
      </w:pPr>
      <w:r w:rsidRPr="003B4F68">
        <w:rPr>
          <w:rStyle w:val="FootnoteReference"/>
          <w:sz w:val="14"/>
        </w:rPr>
        <w:footnoteRef/>
      </w:r>
      <w:r w:rsidRPr="003B4F68">
        <w:rPr>
          <w:sz w:val="20"/>
        </w:rPr>
        <w:t xml:space="preserve"> </w:t>
      </w:r>
      <w:r w:rsidR="007E0828">
        <w:rPr>
          <w:sz w:val="20"/>
        </w:rPr>
        <w:t>There is no internationally recognized definition of SME. The estimate of more than 60 SMEs as ITU Sector Members and Associates is based on the Euro</w:t>
      </w:r>
      <w:r w:rsidRPr="003B4F68">
        <w:rPr>
          <w:sz w:val="20"/>
        </w:rPr>
        <w:t>pean Union definition of companies with less than 300 employees.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89" w:rsidRDefault="00BF4C89" w:rsidP="00CE433C">
    <w:pPr>
      <w:pStyle w:val="Header"/>
    </w:pPr>
    <w:r>
      <w:fldChar w:fldCharType="begin"/>
    </w:r>
    <w:r>
      <w:instrText>PAGE</w:instrText>
    </w:r>
    <w:r>
      <w:fldChar w:fldCharType="separate"/>
    </w:r>
    <w:r w:rsidR="00F57557">
      <w:rPr>
        <w:noProof/>
      </w:rPr>
      <w:t>6</w:t>
    </w:r>
    <w:r>
      <w:rPr>
        <w:noProof/>
      </w:rPr>
      <w:fldChar w:fldCharType="end"/>
    </w:r>
  </w:p>
  <w:p w:rsidR="00BF4C89" w:rsidRDefault="00BB031C" w:rsidP="00BB031C">
    <w:pPr>
      <w:pStyle w:val="Header"/>
    </w:pPr>
    <w:r>
      <w:t>PP-18/52</w:t>
    </w:r>
    <w:r w:rsidR="00BF4C89">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C250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F4CE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5E80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C800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0C96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3C47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B4B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40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32C8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5C5F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583E27"/>
    <w:multiLevelType w:val="hybridMultilevel"/>
    <w:tmpl w:val="50961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574115"/>
    <w:multiLevelType w:val="hybridMultilevel"/>
    <w:tmpl w:val="2DCC71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16E92"/>
    <w:multiLevelType w:val="hybridMultilevel"/>
    <w:tmpl w:val="68E0BD68"/>
    <w:lvl w:ilvl="0" w:tplc="EBBE72D0">
      <w:start w:val="1"/>
      <w:numFmt w:val="bullet"/>
      <w:lvlText w:val=""/>
      <w:lvlJc w:val="left"/>
      <w:pPr>
        <w:tabs>
          <w:tab w:val="num" w:pos="720"/>
        </w:tabs>
        <w:ind w:left="720" w:hanging="360"/>
      </w:pPr>
      <w:rPr>
        <w:rFonts w:ascii="Wingdings" w:hAnsi="Wingdings" w:hint="default"/>
      </w:rPr>
    </w:lvl>
    <w:lvl w:ilvl="1" w:tplc="26329186" w:tentative="1">
      <w:start w:val="1"/>
      <w:numFmt w:val="bullet"/>
      <w:lvlText w:val=""/>
      <w:lvlJc w:val="left"/>
      <w:pPr>
        <w:tabs>
          <w:tab w:val="num" w:pos="1440"/>
        </w:tabs>
        <w:ind w:left="1440" w:hanging="360"/>
      </w:pPr>
      <w:rPr>
        <w:rFonts w:ascii="Wingdings" w:hAnsi="Wingdings" w:hint="default"/>
      </w:rPr>
    </w:lvl>
    <w:lvl w:ilvl="2" w:tplc="52C01822" w:tentative="1">
      <w:start w:val="1"/>
      <w:numFmt w:val="bullet"/>
      <w:lvlText w:val=""/>
      <w:lvlJc w:val="left"/>
      <w:pPr>
        <w:tabs>
          <w:tab w:val="num" w:pos="2160"/>
        </w:tabs>
        <w:ind w:left="2160" w:hanging="360"/>
      </w:pPr>
      <w:rPr>
        <w:rFonts w:ascii="Wingdings" w:hAnsi="Wingdings" w:hint="default"/>
      </w:rPr>
    </w:lvl>
    <w:lvl w:ilvl="3" w:tplc="41B42A42" w:tentative="1">
      <w:start w:val="1"/>
      <w:numFmt w:val="bullet"/>
      <w:lvlText w:val=""/>
      <w:lvlJc w:val="left"/>
      <w:pPr>
        <w:tabs>
          <w:tab w:val="num" w:pos="2880"/>
        </w:tabs>
        <w:ind w:left="2880" w:hanging="360"/>
      </w:pPr>
      <w:rPr>
        <w:rFonts w:ascii="Wingdings" w:hAnsi="Wingdings" w:hint="default"/>
      </w:rPr>
    </w:lvl>
    <w:lvl w:ilvl="4" w:tplc="99D612C2" w:tentative="1">
      <w:start w:val="1"/>
      <w:numFmt w:val="bullet"/>
      <w:lvlText w:val=""/>
      <w:lvlJc w:val="left"/>
      <w:pPr>
        <w:tabs>
          <w:tab w:val="num" w:pos="3600"/>
        </w:tabs>
        <w:ind w:left="3600" w:hanging="360"/>
      </w:pPr>
      <w:rPr>
        <w:rFonts w:ascii="Wingdings" w:hAnsi="Wingdings" w:hint="default"/>
      </w:rPr>
    </w:lvl>
    <w:lvl w:ilvl="5" w:tplc="F1CCC3D2" w:tentative="1">
      <w:start w:val="1"/>
      <w:numFmt w:val="bullet"/>
      <w:lvlText w:val=""/>
      <w:lvlJc w:val="left"/>
      <w:pPr>
        <w:tabs>
          <w:tab w:val="num" w:pos="4320"/>
        </w:tabs>
        <w:ind w:left="4320" w:hanging="360"/>
      </w:pPr>
      <w:rPr>
        <w:rFonts w:ascii="Wingdings" w:hAnsi="Wingdings" w:hint="default"/>
      </w:rPr>
    </w:lvl>
    <w:lvl w:ilvl="6" w:tplc="C28E421E" w:tentative="1">
      <w:start w:val="1"/>
      <w:numFmt w:val="bullet"/>
      <w:lvlText w:val=""/>
      <w:lvlJc w:val="left"/>
      <w:pPr>
        <w:tabs>
          <w:tab w:val="num" w:pos="5040"/>
        </w:tabs>
        <w:ind w:left="5040" w:hanging="360"/>
      </w:pPr>
      <w:rPr>
        <w:rFonts w:ascii="Wingdings" w:hAnsi="Wingdings" w:hint="default"/>
      </w:rPr>
    </w:lvl>
    <w:lvl w:ilvl="7" w:tplc="DEA61174" w:tentative="1">
      <w:start w:val="1"/>
      <w:numFmt w:val="bullet"/>
      <w:lvlText w:val=""/>
      <w:lvlJc w:val="left"/>
      <w:pPr>
        <w:tabs>
          <w:tab w:val="num" w:pos="5760"/>
        </w:tabs>
        <w:ind w:left="5760" w:hanging="360"/>
      </w:pPr>
      <w:rPr>
        <w:rFonts w:ascii="Wingdings" w:hAnsi="Wingdings" w:hint="default"/>
      </w:rPr>
    </w:lvl>
    <w:lvl w:ilvl="8" w:tplc="CD3C03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3672C4"/>
    <w:multiLevelType w:val="hybridMultilevel"/>
    <w:tmpl w:val="5422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645F56"/>
    <w:multiLevelType w:val="hybridMultilevel"/>
    <w:tmpl w:val="7C6A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A45AE"/>
    <w:multiLevelType w:val="hybridMultilevel"/>
    <w:tmpl w:val="C3DC572E"/>
    <w:lvl w:ilvl="0" w:tplc="E07A61B4">
      <w:start w:val="1"/>
      <w:numFmt w:val="bullet"/>
      <w:lvlText w:val="•"/>
      <w:lvlJc w:val="left"/>
      <w:pPr>
        <w:tabs>
          <w:tab w:val="num" w:pos="720"/>
        </w:tabs>
        <w:ind w:left="720" w:hanging="360"/>
      </w:pPr>
      <w:rPr>
        <w:rFonts w:ascii="Arial" w:hAnsi="Arial" w:hint="default"/>
      </w:rPr>
    </w:lvl>
    <w:lvl w:ilvl="1" w:tplc="A5F65688" w:tentative="1">
      <w:start w:val="1"/>
      <w:numFmt w:val="bullet"/>
      <w:lvlText w:val="•"/>
      <w:lvlJc w:val="left"/>
      <w:pPr>
        <w:tabs>
          <w:tab w:val="num" w:pos="1440"/>
        </w:tabs>
        <w:ind w:left="1440" w:hanging="360"/>
      </w:pPr>
      <w:rPr>
        <w:rFonts w:ascii="Arial" w:hAnsi="Arial" w:hint="default"/>
      </w:rPr>
    </w:lvl>
    <w:lvl w:ilvl="2" w:tplc="165AD158" w:tentative="1">
      <w:start w:val="1"/>
      <w:numFmt w:val="bullet"/>
      <w:lvlText w:val="•"/>
      <w:lvlJc w:val="left"/>
      <w:pPr>
        <w:tabs>
          <w:tab w:val="num" w:pos="2160"/>
        </w:tabs>
        <w:ind w:left="2160" w:hanging="360"/>
      </w:pPr>
      <w:rPr>
        <w:rFonts w:ascii="Arial" w:hAnsi="Arial" w:hint="default"/>
      </w:rPr>
    </w:lvl>
    <w:lvl w:ilvl="3" w:tplc="BC20CA9E" w:tentative="1">
      <w:start w:val="1"/>
      <w:numFmt w:val="bullet"/>
      <w:lvlText w:val="•"/>
      <w:lvlJc w:val="left"/>
      <w:pPr>
        <w:tabs>
          <w:tab w:val="num" w:pos="2880"/>
        </w:tabs>
        <w:ind w:left="2880" w:hanging="360"/>
      </w:pPr>
      <w:rPr>
        <w:rFonts w:ascii="Arial" w:hAnsi="Arial" w:hint="default"/>
      </w:rPr>
    </w:lvl>
    <w:lvl w:ilvl="4" w:tplc="ACA004FA" w:tentative="1">
      <w:start w:val="1"/>
      <w:numFmt w:val="bullet"/>
      <w:lvlText w:val="•"/>
      <w:lvlJc w:val="left"/>
      <w:pPr>
        <w:tabs>
          <w:tab w:val="num" w:pos="3600"/>
        </w:tabs>
        <w:ind w:left="3600" w:hanging="360"/>
      </w:pPr>
      <w:rPr>
        <w:rFonts w:ascii="Arial" w:hAnsi="Arial" w:hint="default"/>
      </w:rPr>
    </w:lvl>
    <w:lvl w:ilvl="5" w:tplc="326EF216" w:tentative="1">
      <w:start w:val="1"/>
      <w:numFmt w:val="bullet"/>
      <w:lvlText w:val="•"/>
      <w:lvlJc w:val="left"/>
      <w:pPr>
        <w:tabs>
          <w:tab w:val="num" w:pos="4320"/>
        </w:tabs>
        <w:ind w:left="4320" w:hanging="360"/>
      </w:pPr>
      <w:rPr>
        <w:rFonts w:ascii="Arial" w:hAnsi="Arial" w:hint="default"/>
      </w:rPr>
    </w:lvl>
    <w:lvl w:ilvl="6" w:tplc="EB942CAA" w:tentative="1">
      <w:start w:val="1"/>
      <w:numFmt w:val="bullet"/>
      <w:lvlText w:val="•"/>
      <w:lvlJc w:val="left"/>
      <w:pPr>
        <w:tabs>
          <w:tab w:val="num" w:pos="5040"/>
        </w:tabs>
        <w:ind w:left="5040" w:hanging="360"/>
      </w:pPr>
      <w:rPr>
        <w:rFonts w:ascii="Arial" w:hAnsi="Arial" w:hint="default"/>
      </w:rPr>
    </w:lvl>
    <w:lvl w:ilvl="7" w:tplc="C41E66B8" w:tentative="1">
      <w:start w:val="1"/>
      <w:numFmt w:val="bullet"/>
      <w:lvlText w:val="•"/>
      <w:lvlJc w:val="left"/>
      <w:pPr>
        <w:tabs>
          <w:tab w:val="num" w:pos="5760"/>
        </w:tabs>
        <w:ind w:left="5760" w:hanging="360"/>
      </w:pPr>
      <w:rPr>
        <w:rFonts w:ascii="Arial" w:hAnsi="Arial" w:hint="default"/>
      </w:rPr>
    </w:lvl>
    <w:lvl w:ilvl="8" w:tplc="28FA426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57D0AE5"/>
    <w:multiLevelType w:val="hybridMultilevel"/>
    <w:tmpl w:val="54E8B37C"/>
    <w:lvl w:ilvl="0" w:tplc="75DA96DE">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4"/>
  </w:num>
  <w:num w:numId="14">
    <w:abstractNumId w:val="11"/>
  </w:num>
  <w:num w:numId="15">
    <w:abstractNumId w:val="16"/>
  </w:num>
  <w:num w:numId="16">
    <w:abstractNumId w:val="18"/>
  </w:num>
  <w:num w:numId="17">
    <w:abstractNumId w:val="12"/>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C5"/>
    <w:rsid w:val="00003B98"/>
    <w:rsid w:val="00014E00"/>
    <w:rsid w:val="00023E0B"/>
    <w:rsid w:val="00026B19"/>
    <w:rsid w:val="00035519"/>
    <w:rsid w:val="00036E8D"/>
    <w:rsid w:val="000422D3"/>
    <w:rsid w:val="00063016"/>
    <w:rsid w:val="0007609E"/>
    <w:rsid w:val="00076AF6"/>
    <w:rsid w:val="00085CF2"/>
    <w:rsid w:val="00092DC5"/>
    <w:rsid w:val="0009369A"/>
    <w:rsid w:val="000951EA"/>
    <w:rsid w:val="000A13E6"/>
    <w:rsid w:val="000A729C"/>
    <w:rsid w:val="000B1705"/>
    <w:rsid w:val="000B2315"/>
    <w:rsid w:val="000B47ED"/>
    <w:rsid w:val="000B6DD2"/>
    <w:rsid w:val="000D75B2"/>
    <w:rsid w:val="000E246F"/>
    <w:rsid w:val="000E5A48"/>
    <w:rsid w:val="00106A1B"/>
    <w:rsid w:val="001121F5"/>
    <w:rsid w:val="00124246"/>
    <w:rsid w:val="001328F5"/>
    <w:rsid w:val="001357A5"/>
    <w:rsid w:val="00140CE1"/>
    <w:rsid w:val="00144165"/>
    <w:rsid w:val="00154BC0"/>
    <w:rsid w:val="00154E90"/>
    <w:rsid w:val="001631D1"/>
    <w:rsid w:val="0017023A"/>
    <w:rsid w:val="001747E7"/>
    <w:rsid w:val="0017539C"/>
    <w:rsid w:val="00175AC2"/>
    <w:rsid w:val="0017609F"/>
    <w:rsid w:val="0018354E"/>
    <w:rsid w:val="00190425"/>
    <w:rsid w:val="00192C0F"/>
    <w:rsid w:val="0019778E"/>
    <w:rsid w:val="001A5EC8"/>
    <w:rsid w:val="001B0C0D"/>
    <w:rsid w:val="001B0FD9"/>
    <w:rsid w:val="001B361D"/>
    <w:rsid w:val="001B6B68"/>
    <w:rsid w:val="001C43DB"/>
    <w:rsid w:val="001C628E"/>
    <w:rsid w:val="001D04C3"/>
    <w:rsid w:val="001E0F7B"/>
    <w:rsid w:val="001F40B7"/>
    <w:rsid w:val="002119FD"/>
    <w:rsid w:val="002130E0"/>
    <w:rsid w:val="002148BE"/>
    <w:rsid w:val="002206F2"/>
    <w:rsid w:val="002208BB"/>
    <w:rsid w:val="00243517"/>
    <w:rsid w:val="00257BDE"/>
    <w:rsid w:val="00260E35"/>
    <w:rsid w:val="00264BF5"/>
    <w:rsid w:val="00265875"/>
    <w:rsid w:val="00270013"/>
    <w:rsid w:val="0027303B"/>
    <w:rsid w:val="0028109B"/>
    <w:rsid w:val="0028159C"/>
    <w:rsid w:val="00282289"/>
    <w:rsid w:val="0028297D"/>
    <w:rsid w:val="00290A47"/>
    <w:rsid w:val="00296F3B"/>
    <w:rsid w:val="002A6C5C"/>
    <w:rsid w:val="002B1F58"/>
    <w:rsid w:val="002C1C7A"/>
    <w:rsid w:val="002C4EB5"/>
    <w:rsid w:val="002C6141"/>
    <w:rsid w:val="002C719C"/>
    <w:rsid w:val="002E24BE"/>
    <w:rsid w:val="002E2BB7"/>
    <w:rsid w:val="0030160F"/>
    <w:rsid w:val="00322D0D"/>
    <w:rsid w:val="00340988"/>
    <w:rsid w:val="0034709F"/>
    <w:rsid w:val="00355F87"/>
    <w:rsid w:val="003646B1"/>
    <w:rsid w:val="00371A7F"/>
    <w:rsid w:val="00377DCE"/>
    <w:rsid w:val="00384ADF"/>
    <w:rsid w:val="00386A21"/>
    <w:rsid w:val="003942D4"/>
    <w:rsid w:val="003956EF"/>
    <w:rsid w:val="003958A8"/>
    <w:rsid w:val="003B0587"/>
    <w:rsid w:val="003B4F68"/>
    <w:rsid w:val="003C1C04"/>
    <w:rsid w:val="003C2533"/>
    <w:rsid w:val="003C77FC"/>
    <w:rsid w:val="003D4561"/>
    <w:rsid w:val="003D47A9"/>
    <w:rsid w:val="003D5685"/>
    <w:rsid w:val="003D6BBD"/>
    <w:rsid w:val="003F0AEA"/>
    <w:rsid w:val="0040435A"/>
    <w:rsid w:val="0041096B"/>
    <w:rsid w:val="00416A24"/>
    <w:rsid w:val="00417260"/>
    <w:rsid w:val="00423CB4"/>
    <w:rsid w:val="00431D9E"/>
    <w:rsid w:val="00433CE8"/>
    <w:rsid w:val="00434A5C"/>
    <w:rsid w:val="004523A4"/>
    <w:rsid w:val="004544D9"/>
    <w:rsid w:val="00455320"/>
    <w:rsid w:val="00462380"/>
    <w:rsid w:val="00462916"/>
    <w:rsid w:val="004631A3"/>
    <w:rsid w:val="00473DF8"/>
    <w:rsid w:val="0048278A"/>
    <w:rsid w:val="00487AA1"/>
    <w:rsid w:val="00490184"/>
    <w:rsid w:val="0049030C"/>
    <w:rsid w:val="00490E72"/>
    <w:rsid w:val="004921C8"/>
    <w:rsid w:val="004924E0"/>
    <w:rsid w:val="0049335F"/>
    <w:rsid w:val="00494526"/>
    <w:rsid w:val="004B1CDA"/>
    <w:rsid w:val="004C1EC1"/>
    <w:rsid w:val="004C320A"/>
    <w:rsid w:val="004D0A49"/>
    <w:rsid w:val="004D1851"/>
    <w:rsid w:val="004D599D"/>
    <w:rsid w:val="004E2EA5"/>
    <w:rsid w:val="004E3AEB"/>
    <w:rsid w:val="004E61CE"/>
    <w:rsid w:val="004F37A9"/>
    <w:rsid w:val="0050223C"/>
    <w:rsid w:val="00503B1A"/>
    <w:rsid w:val="005048A9"/>
    <w:rsid w:val="005243FF"/>
    <w:rsid w:val="005402AC"/>
    <w:rsid w:val="00543984"/>
    <w:rsid w:val="00543F9A"/>
    <w:rsid w:val="005452A9"/>
    <w:rsid w:val="00556EB1"/>
    <w:rsid w:val="0055702E"/>
    <w:rsid w:val="00564FBC"/>
    <w:rsid w:val="005726E1"/>
    <w:rsid w:val="00576163"/>
    <w:rsid w:val="00582442"/>
    <w:rsid w:val="00591B32"/>
    <w:rsid w:val="00592ACB"/>
    <w:rsid w:val="00596C3E"/>
    <w:rsid w:val="005D4C7E"/>
    <w:rsid w:val="005F5804"/>
    <w:rsid w:val="00601537"/>
    <w:rsid w:val="00604475"/>
    <w:rsid w:val="0061295D"/>
    <w:rsid w:val="00626C82"/>
    <w:rsid w:val="0063776F"/>
    <w:rsid w:val="006405EE"/>
    <w:rsid w:val="00640726"/>
    <w:rsid w:val="00642F2A"/>
    <w:rsid w:val="00650D36"/>
    <w:rsid w:val="00652971"/>
    <w:rsid w:val="00652A85"/>
    <w:rsid w:val="006535F1"/>
    <w:rsid w:val="0065557D"/>
    <w:rsid w:val="006613CB"/>
    <w:rsid w:val="00662984"/>
    <w:rsid w:val="00667020"/>
    <w:rsid w:val="006716BB"/>
    <w:rsid w:val="00682867"/>
    <w:rsid w:val="00685EE3"/>
    <w:rsid w:val="00696F0B"/>
    <w:rsid w:val="006A2E66"/>
    <w:rsid w:val="006A57F4"/>
    <w:rsid w:val="006B64A7"/>
    <w:rsid w:val="006B6DCC"/>
    <w:rsid w:val="006D0474"/>
    <w:rsid w:val="006D6B0F"/>
    <w:rsid w:val="0070135B"/>
    <w:rsid w:val="00707B89"/>
    <w:rsid w:val="0072469C"/>
    <w:rsid w:val="0075051B"/>
    <w:rsid w:val="00751781"/>
    <w:rsid w:val="00761B5F"/>
    <w:rsid w:val="007639B8"/>
    <w:rsid w:val="00770DE3"/>
    <w:rsid w:val="00775BB0"/>
    <w:rsid w:val="007836BC"/>
    <w:rsid w:val="00787D83"/>
    <w:rsid w:val="00794D34"/>
    <w:rsid w:val="00795D13"/>
    <w:rsid w:val="007A0CDE"/>
    <w:rsid w:val="007B4CCE"/>
    <w:rsid w:val="007C4A6C"/>
    <w:rsid w:val="007D4B92"/>
    <w:rsid w:val="007E02ED"/>
    <w:rsid w:val="007E0828"/>
    <w:rsid w:val="007E26B0"/>
    <w:rsid w:val="007E3431"/>
    <w:rsid w:val="007F67B5"/>
    <w:rsid w:val="00806AEB"/>
    <w:rsid w:val="00813E5E"/>
    <w:rsid w:val="00820D95"/>
    <w:rsid w:val="00822BCA"/>
    <w:rsid w:val="008317CC"/>
    <w:rsid w:val="0083581B"/>
    <w:rsid w:val="00837C0C"/>
    <w:rsid w:val="00840E6F"/>
    <w:rsid w:val="00860CC1"/>
    <w:rsid w:val="00864AFF"/>
    <w:rsid w:val="008806F7"/>
    <w:rsid w:val="00886BC0"/>
    <w:rsid w:val="0088755A"/>
    <w:rsid w:val="00895B40"/>
    <w:rsid w:val="008A41FB"/>
    <w:rsid w:val="008A668D"/>
    <w:rsid w:val="008B3BA7"/>
    <w:rsid w:val="008B4A6A"/>
    <w:rsid w:val="008B4E8B"/>
    <w:rsid w:val="008B7B0D"/>
    <w:rsid w:val="008C247A"/>
    <w:rsid w:val="008C7E27"/>
    <w:rsid w:val="008D06B5"/>
    <w:rsid w:val="008D1EA0"/>
    <w:rsid w:val="008D3E2E"/>
    <w:rsid w:val="008F2DBB"/>
    <w:rsid w:val="00911D64"/>
    <w:rsid w:val="009173EF"/>
    <w:rsid w:val="00923343"/>
    <w:rsid w:val="00925274"/>
    <w:rsid w:val="0093190B"/>
    <w:rsid w:val="00932906"/>
    <w:rsid w:val="00935F91"/>
    <w:rsid w:val="00961B0B"/>
    <w:rsid w:val="00976E04"/>
    <w:rsid w:val="00977C8F"/>
    <w:rsid w:val="00981B5B"/>
    <w:rsid w:val="00982BD7"/>
    <w:rsid w:val="009919FC"/>
    <w:rsid w:val="00996684"/>
    <w:rsid w:val="009B224C"/>
    <w:rsid w:val="009B38C3"/>
    <w:rsid w:val="009D3464"/>
    <w:rsid w:val="009E17BD"/>
    <w:rsid w:val="009E3035"/>
    <w:rsid w:val="009F0211"/>
    <w:rsid w:val="00A04CEC"/>
    <w:rsid w:val="00A06E89"/>
    <w:rsid w:val="00A13914"/>
    <w:rsid w:val="00A27279"/>
    <w:rsid w:val="00A27506"/>
    <w:rsid w:val="00A27F92"/>
    <w:rsid w:val="00A315C6"/>
    <w:rsid w:val="00A32257"/>
    <w:rsid w:val="00A333BE"/>
    <w:rsid w:val="00A35A73"/>
    <w:rsid w:val="00A36D20"/>
    <w:rsid w:val="00A55622"/>
    <w:rsid w:val="00A6455F"/>
    <w:rsid w:val="00A77674"/>
    <w:rsid w:val="00A812A9"/>
    <w:rsid w:val="00A8142C"/>
    <w:rsid w:val="00A83502"/>
    <w:rsid w:val="00AA78D2"/>
    <w:rsid w:val="00AB11D7"/>
    <w:rsid w:val="00AB17BE"/>
    <w:rsid w:val="00AB2815"/>
    <w:rsid w:val="00AD4463"/>
    <w:rsid w:val="00AD595F"/>
    <w:rsid w:val="00AE75CF"/>
    <w:rsid w:val="00AF066E"/>
    <w:rsid w:val="00AF6E49"/>
    <w:rsid w:val="00B0165D"/>
    <w:rsid w:val="00B04028"/>
    <w:rsid w:val="00B04A67"/>
    <w:rsid w:val="00B0583C"/>
    <w:rsid w:val="00B33386"/>
    <w:rsid w:val="00B402CF"/>
    <w:rsid w:val="00B40A81"/>
    <w:rsid w:val="00B44910"/>
    <w:rsid w:val="00B449AD"/>
    <w:rsid w:val="00B72267"/>
    <w:rsid w:val="00B76EB6"/>
    <w:rsid w:val="00B824C8"/>
    <w:rsid w:val="00BB031C"/>
    <w:rsid w:val="00BB11BD"/>
    <w:rsid w:val="00BC02EB"/>
    <w:rsid w:val="00BC251A"/>
    <w:rsid w:val="00BC7FDE"/>
    <w:rsid w:val="00BD032B"/>
    <w:rsid w:val="00BD7C42"/>
    <w:rsid w:val="00BE2640"/>
    <w:rsid w:val="00BE6068"/>
    <w:rsid w:val="00BF4C89"/>
    <w:rsid w:val="00BF50C8"/>
    <w:rsid w:val="00C01189"/>
    <w:rsid w:val="00C01DF1"/>
    <w:rsid w:val="00C06EDC"/>
    <w:rsid w:val="00C13C15"/>
    <w:rsid w:val="00C25D70"/>
    <w:rsid w:val="00C374DE"/>
    <w:rsid w:val="00C42527"/>
    <w:rsid w:val="00C47086"/>
    <w:rsid w:val="00C47AD4"/>
    <w:rsid w:val="00C52D81"/>
    <w:rsid w:val="00C55198"/>
    <w:rsid w:val="00C618DE"/>
    <w:rsid w:val="00C646C5"/>
    <w:rsid w:val="00C733D1"/>
    <w:rsid w:val="00C74D84"/>
    <w:rsid w:val="00C80841"/>
    <w:rsid w:val="00C90E55"/>
    <w:rsid w:val="00C91BFA"/>
    <w:rsid w:val="00CA6393"/>
    <w:rsid w:val="00CA64E6"/>
    <w:rsid w:val="00CB18FF"/>
    <w:rsid w:val="00CD0C08"/>
    <w:rsid w:val="00CD3C23"/>
    <w:rsid w:val="00CD55EE"/>
    <w:rsid w:val="00CD781A"/>
    <w:rsid w:val="00CE03FB"/>
    <w:rsid w:val="00CE433C"/>
    <w:rsid w:val="00CF33F3"/>
    <w:rsid w:val="00CF38CD"/>
    <w:rsid w:val="00CF6D4E"/>
    <w:rsid w:val="00D012BE"/>
    <w:rsid w:val="00D06183"/>
    <w:rsid w:val="00D15129"/>
    <w:rsid w:val="00D22C42"/>
    <w:rsid w:val="00D27B00"/>
    <w:rsid w:val="00D31F6F"/>
    <w:rsid w:val="00D430C8"/>
    <w:rsid w:val="00D4736E"/>
    <w:rsid w:val="00D638CD"/>
    <w:rsid w:val="00D65041"/>
    <w:rsid w:val="00D732DA"/>
    <w:rsid w:val="00D74D15"/>
    <w:rsid w:val="00D865A7"/>
    <w:rsid w:val="00D86F8E"/>
    <w:rsid w:val="00D9633B"/>
    <w:rsid w:val="00D96662"/>
    <w:rsid w:val="00DA0DC1"/>
    <w:rsid w:val="00DA6CB8"/>
    <w:rsid w:val="00DB21E0"/>
    <w:rsid w:val="00DB7A22"/>
    <w:rsid w:val="00DC464F"/>
    <w:rsid w:val="00DE67E1"/>
    <w:rsid w:val="00DE70BF"/>
    <w:rsid w:val="00E0132C"/>
    <w:rsid w:val="00E0219E"/>
    <w:rsid w:val="00E04742"/>
    <w:rsid w:val="00E06FE7"/>
    <w:rsid w:val="00E10E80"/>
    <w:rsid w:val="00E124F0"/>
    <w:rsid w:val="00E1417F"/>
    <w:rsid w:val="00E339E6"/>
    <w:rsid w:val="00E378C5"/>
    <w:rsid w:val="00E50A5E"/>
    <w:rsid w:val="00E52A3F"/>
    <w:rsid w:val="00E57C03"/>
    <w:rsid w:val="00E57C10"/>
    <w:rsid w:val="00E60F04"/>
    <w:rsid w:val="00E66952"/>
    <w:rsid w:val="00E674E6"/>
    <w:rsid w:val="00E71A1D"/>
    <w:rsid w:val="00E9183A"/>
    <w:rsid w:val="00EA5D61"/>
    <w:rsid w:val="00EB0D6F"/>
    <w:rsid w:val="00EB2232"/>
    <w:rsid w:val="00EB7DBE"/>
    <w:rsid w:val="00EC0CD0"/>
    <w:rsid w:val="00EC1C74"/>
    <w:rsid w:val="00EC1E52"/>
    <w:rsid w:val="00EC5337"/>
    <w:rsid w:val="00EE221E"/>
    <w:rsid w:val="00EF5D8A"/>
    <w:rsid w:val="00F10A0A"/>
    <w:rsid w:val="00F1127F"/>
    <w:rsid w:val="00F11C42"/>
    <w:rsid w:val="00F2150A"/>
    <w:rsid w:val="00F231D8"/>
    <w:rsid w:val="00F36574"/>
    <w:rsid w:val="00F36E41"/>
    <w:rsid w:val="00F46C5F"/>
    <w:rsid w:val="00F57557"/>
    <w:rsid w:val="00F619CD"/>
    <w:rsid w:val="00F63C24"/>
    <w:rsid w:val="00F64986"/>
    <w:rsid w:val="00F7254A"/>
    <w:rsid w:val="00F73F93"/>
    <w:rsid w:val="00F94840"/>
    <w:rsid w:val="00F94A63"/>
    <w:rsid w:val="00F97CDC"/>
    <w:rsid w:val="00FA445E"/>
    <w:rsid w:val="00FB3D50"/>
    <w:rsid w:val="00FB7596"/>
    <w:rsid w:val="00FC31A1"/>
    <w:rsid w:val="00FC3738"/>
    <w:rsid w:val="00FC7E6B"/>
    <w:rsid w:val="00FD1E71"/>
    <w:rsid w:val="00FE0521"/>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55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F57557"/>
    <w:pPr>
      <w:keepNext/>
      <w:keepLines/>
      <w:spacing w:before="480"/>
      <w:ind w:left="567" w:hanging="567"/>
      <w:outlineLvl w:val="0"/>
    </w:pPr>
    <w:rPr>
      <w:b/>
      <w:sz w:val="28"/>
    </w:rPr>
  </w:style>
  <w:style w:type="paragraph" w:styleId="Heading2">
    <w:name w:val="heading 2"/>
    <w:basedOn w:val="Heading1"/>
    <w:next w:val="Normal"/>
    <w:link w:val="Heading2Char"/>
    <w:qFormat/>
    <w:rsid w:val="00F57557"/>
    <w:pPr>
      <w:spacing w:before="320"/>
      <w:outlineLvl w:val="1"/>
    </w:pPr>
    <w:rPr>
      <w:sz w:val="24"/>
    </w:rPr>
  </w:style>
  <w:style w:type="paragraph" w:styleId="Heading3">
    <w:name w:val="heading 3"/>
    <w:basedOn w:val="Heading1"/>
    <w:next w:val="Normal"/>
    <w:link w:val="Heading3Char"/>
    <w:qFormat/>
    <w:rsid w:val="00F57557"/>
    <w:pPr>
      <w:spacing w:before="200"/>
      <w:outlineLvl w:val="2"/>
    </w:pPr>
    <w:rPr>
      <w:sz w:val="24"/>
    </w:rPr>
  </w:style>
  <w:style w:type="paragraph" w:styleId="Heading4">
    <w:name w:val="heading 4"/>
    <w:basedOn w:val="Heading3"/>
    <w:next w:val="Normal"/>
    <w:link w:val="Heading4Char"/>
    <w:qFormat/>
    <w:rsid w:val="00F57557"/>
    <w:pPr>
      <w:ind w:left="1134" w:hanging="1134"/>
      <w:outlineLvl w:val="3"/>
    </w:pPr>
  </w:style>
  <w:style w:type="paragraph" w:styleId="Heading5">
    <w:name w:val="heading 5"/>
    <w:basedOn w:val="Heading4"/>
    <w:next w:val="Normal"/>
    <w:link w:val="Heading5Char"/>
    <w:qFormat/>
    <w:rsid w:val="00F57557"/>
    <w:pPr>
      <w:outlineLvl w:val="4"/>
    </w:pPr>
  </w:style>
  <w:style w:type="paragraph" w:styleId="Heading6">
    <w:name w:val="heading 6"/>
    <w:basedOn w:val="Heading4"/>
    <w:next w:val="Normal"/>
    <w:link w:val="Heading6Char"/>
    <w:qFormat/>
    <w:rsid w:val="00F57557"/>
    <w:pPr>
      <w:outlineLvl w:val="5"/>
    </w:pPr>
  </w:style>
  <w:style w:type="paragraph" w:styleId="Heading7">
    <w:name w:val="heading 7"/>
    <w:basedOn w:val="Heading4"/>
    <w:next w:val="Normal"/>
    <w:link w:val="Heading7Char"/>
    <w:qFormat/>
    <w:rsid w:val="00F57557"/>
    <w:pPr>
      <w:ind w:left="1701" w:hanging="1701"/>
      <w:outlineLvl w:val="6"/>
    </w:pPr>
  </w:style>
  <w:style w:type="paragraph" w:styleId="Heading8">
    <w:name w:val="heading 8"/>
    <w:basedOn w:val="Heading4"/>
    <w:next w:val="Normal"/>
    <w:link w:val="Heading8Char"/>
    <w:qFormat/>
    <w:rsid w:val="00F57557"/>
    <w:pPr>
      <w:ind w:left="1701" w:hanging="1701"/>
      <w:outlineLvl w:val="7"/>
    </w:pPr>
  </w:style>
  <w:style w:type="paragraph" w:styleId="Heading9">
    <w:name w:val="heading 9"/>
    <w:basedOn w:val="Heading4"/>
    <w:next w:val="Normal"/>
    <w:link w:val="Heading9Char"/>
    <w:qFormat/>
    <w:rsid w:val="00F57557"/>
    <w:pPr>
      <w:ind w:left="1701" w:hanging="1701"/>
      <w:outlineLvl w:val="8"/>
    </w:pPr>
  </w:style>
  <w:style w:type="character" w:default="1" w:styleId="DefaultParagraphFont">
    <w:name w:val="Default Paragraph Font"/>
    <w:uiPriority w:val="1"/>
    <w:semiHidden/>
    <w:unhideWhenUsed/>
    <w:rsid w:val="00F575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7557"/>
  </w:style>
  <w:style w:type="paragraph" w:styleId="TOC8">
    <w:name w:val="toc 8"/>
    <w:basedOn w:val="Normal"/>
    <w:next w:val="Normal"/>
    <w:rsid w:val="00F5755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F57557"/>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F5755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F5755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F57557"/>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F5755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F5755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F5755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F57557"/>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F57557"/>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F57557"/>
    <w:rPr>
      <w:rFonts w:ascii="Calibri" w:hAnsi="Calibri"/>
      <w:position w:val="6"/>
      <w:sz w:val="16"/>
    </w:rPr>
  </w:style>
  <w:style w:type="paragraph" w:styleId="FootnoteText">
    <w:name w:val="footnote text"/>
    <w:basedOn w:val="Normal"/>
    <w:rsid w:val="00F57557"/>
    <w:pPr>
      <w:keepLines/>
      <w:tabs>
        <w:tab w:val="left" w:pos="256"/>
      </w:tabs>
      <w:ind w:left="256" w:hanging="256"/>
    </w:pPr>
  </w:style>
  <w:style w:type="paragraph" w:styleId="NormalIndent">
    <w:name w:val="Normal Indent"/>
    <w:basedOn w:val="Normal"/>
    <w:rsid w:val="00F57557"/>
    <w:pPr>
      <w:ind w:left="567"/>
    </w:pPr>
  </w:style>
  <w:style w:type="paragraph" w:customStyle="1" w:styleId="enumlev1">
    <w:name w:val="enumlev1"/>
    <w:basedOn w:val="Normal"/>
    <w:rsid w:val="00F57557"/>
    <w:pPr>
      <w:spacing w:before="86"/>
      <w:ind w:left="567" w:hanging="567"/>
    </w:pPr>
  </w:style>
  <w:style w:type="paragraph" w:customStyle="1" w:styleId="enumlev2">
    <w:name w:val="enumlev2"/>
    <w:basedOn w:val="enumlev1"/>
    <w:rsid w:val="00F57557"/>
    <w:pPr>
      <w:ind w:left="1134"/>
    </w:pPr>
  </w:style>
  <w:style w:type="paragraph" w:customStyle="1" w:styleId="enumlev3">
    <w:name w:val="enumlev3"/>
    <w:basedOn w:val="enumlev2"/>
    <w:rsid w:val="00F57557"/>
    <w:pPr>
      <w:ind w:left="1701"/>
    </w:pPr>
  </w:style>
  <w:style w:type="paragraph" w:customStyle="1" w:styleId="Normalaftertitle">
    <w:name w:val="Normal after title"/>
    <w:basedOn w:val="Normal"/>
    <w:next w:val="Normal"/>
    <w:rsid w:val="00F57557"/>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pPr>
  </w:style>
  <w:style w:type="paragraph" w:customStyle="1" w:styleId="toc0">
    <w:name w:val="toc 0"/>
    <w:basedOn w:val="Normal"/>
    <w:next w:val="TOC1"/>
    <w:rsid w:val="00F57557"/>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F57557"/>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F57557"/>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F57557"/>
  </w:style>
  <w:style w:type="character" w:styleId="Hyperlink">
    <w:name w:val="Hyperlink"/>
    <w:basedOn w:val="DefaultParagraphFont"/>
    <w:uiPriority w:val="99"/>
    <w:rsid w:val="00F57557"/>
    <w:rPr>
      <w:rFonts w:ascii="Calibri" w:hAnsi="Calibri"/>
      <w:color w:val="0000FF"/>
      <w:u w:val="single"/>
    </w:rPr>
  </w:style>
  <w:style w:type="paragraph" w:customStyle="1" w:styleId="FirstFooter">
    <w:name w:val="FirstFooter"/>
    <w:basedOn w:val="Footer"/>
    <w:rsid w:val="00F57557"/>
    <w:rPr>
      <w:caps w:val="0"/>
    </w:rPr>
  </w:style>
  <w:style w:type="paragraph" w:customStyle="1" w:styleId="Note">
    <w:name w:val="Note"/>
    <w:basedOn w:val="Normal"/>
    <w:rsid w:val="00F57557"/>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F57557"/>
    <w:pPr>
      <w:spacing w:before="160"/>
      <w:outlineLvl w:val="0"/>
    </w:pPr>
  </w:style>
  <w:style w:type="character" w:styleId="FollowedHyperlink">
    <w:name w:val="FollowedHyperlink"/>
    <w:basedOn w:val="DefaultParagraphFont"/>
    <w:rsid w:val="00F57557"/>
    <w:rPr>
      <w:color w:val="800080"/>
      <w:u w:val="single"/>
    </w:rPr>
  </w:style>
  <w:style w:type="paragraph" w:customStyle="1" w:styleId="Title1">
    <w:name w:val="Title 1"/>
    <w:basedOn w:val="Source"/>
    <w:next w:val="Title2"/>
    <w:rsid w:val="00F57557"/>
    <w:pPr>
      <w:spacing w:before="240"/>
    </w:pPr>
    <w:rPr>
      <w:b w:val="0"/>
      <w:caps/>
    </w:rPr>
  </w:style>
  <w:style w:type="paragraph" w:customStyle="1" w:styleId="Title2">
    <w:name w:val="Title 2"/>
    <w:basedOn w:val="Source"/>
    <w:next w:val="Title3"/>
    <w:rsid w:val="00F57557"/>
    <w:pPr>
      <w:spacing w:before="240"/>
    </w:pPr>
    <w:rPr>
      <w:b w:val="0"/>
      <w:caps/>
    </w:rPr>
  </w:style>
  <w:style w:type="paragraph" w:customStyle="1" w:styleId="Title3">
    <w:name w:val="Title 3"/>
    <w:basedOn w:val="Title2"/>
    <w:next w:val="Normalaftertitle"/>
    <w:rsid w:val="00F57557"/>
    <w:rPr>
      <w:caps w:val="0"/>
    </w:rPr>
  </w:style>
  <w:style w:type="paragraph" w:customStyle="1" w:styleId="Title4">
    <w:name w:val="Title 4"/>
    <w:basedOn w:val="Title3"/>
    <w:next w:val="Heading1"/>
    <w:rsid w:val="003B0587"/>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F57557"/>
    <w:pPr>
      <w:spacing w:before="720"/>
      <w:jc w:val="center"/>
    </w:pPr>
    <w:rPr>
      <w:caps/>
      <w:sz w:val="28"/>
    </w:rPr>
  </w:style>
  <w:style w:type="paragraph" w:customStyle="1" w:styleId="Annextitle">
    <w:name w:val="Annex_title"/>
    <w:basedOn w:val="Normal"/>
    <w:next w:val="Normal"/>
    <w:rsid w:val="00F57557"/>
    <w:pPr>
      <w:spacing w:before="240" w:after="240"/>
      <w:jc w:val="center"/>
    </w:pPr>
    <w:rPr>
      <w:b/>
      <w:sz w:val="28"/>
    </w:rPr>
  </w:style>
  <w:style w:type="paragraph" w:customStyle="1" w:styleId="Annexref">
    <w:name w:val="Annex_ref"/>
    <w:basedOn w:val="Normal"/>
    <w:next w:val="Annextitle"/>
    <w:rsid w:val="00F57557"/>
    <w:pPr>
      <w:jc w:val="center"/>
    </w:pPr>
  </w:style>
  <w:style w:type="paragraph" w:customStyle="1" w:styleId="AppendixNo">
    <w:name w:val="Appendix_No"/>
    <w:basedOn w:val="AnnexNo"/>
    <w:next w:val="Appendixref"/>
    <w:rsid w:val="00F57557"/>
  </w:style>
  <w:style w:type="paragraph" w:customStyle="1" w:styleId="Appendixtitle">
    <w:name w:val="Appendix_title"/>
    <w:basedOn w:val="Annextitle"/>
    <w:next w:val="Normal"/>
    <w:rsid w:val="00F57557"/>
  </w:style>
  <w:style w:type="paragraph" w:customStyle="1" w:styleId="Appendixref">
    <w:name w:val="Appendix_ref"/>
    <w:basedOn w:val="Annexref"/>
    <w:next w:val="Appendixtitle"/>
    <w:rsid w:val="00F57557"/>
  </w:style>
  <w:style w:type="paragraph" w:customStyle="1" w:styleId="Call">
    <w:name w:val="Call"/>
    <w:basedOn w:val="Normal"/>
    <w:next w:val="Normal"/>
    <w:rsid w:val="00F57557"/>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spacing w:before="80"/>
      <w:ind w:left="1701" w:hanging="1701"/>
    </w:pPr>
  </w:style>
  <w:style w:type="paragraph" w:customStyle="1" w:styleId="Figure">
    <w:name w:val="Figure"/>
    <w:basedOn w:val="Normal"/>
    <w:next w:val="Normal"/>
    <w:rsid w:val="003B0587"/>
    <w:pPr>
      <w:keepNext/>
      <w:keepLines/>
      <w:tabs>
        <w:tab w:val="left" w:pos="794"/>
        <w:tab w:val="left" w:pos="1191"/>
        <w:tab w:val="left" w:pos="1588"/>
        <w:tab w:val="left" w:pos="1985"/>
      </w:tabs>
      <w:spacing w:before="240"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F57557"/>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F57557"/>
    <w:pPr>
      <w:keepNext/>
      <w:spacing w:before="560" w:after="120"/>
      <w:jc w:val="center"/>
    </w:pPr>
    <w:rPr>
      <w:caps/>
    </w:rPr>
  </w:style>
  <w:style w:type="paragraph" w:customStyle="1" w:styleId="Tabletext">
    <w:name w:val="Table_text"/>
    <w:basedOn w:val="Normal"/>
    <w:rsid w:val="00F57557"/>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3B0587"/>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F57557"/>
    <w:pPr>
      <w:spacing w:before="160"/>
      <w:outlineLvl w:val="0"/>
    </w:pPr>
    <w:rPr>
      <w:rFonts w:asciiTheme="minorHAnsi" w:hAnsiTheme="minorHAnsi"/>
      <w:b w:val="0"/>
      <w:i/>
    </w:rPr>
  </w:style>
  <w:style w:type="character" w:styleId="PageNumber">
    <w:name w:val="page number"/>
    <w:basedOn w:val="DefaultParagraphFont"/>
    <w:rsid w:val="00F57557"/>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F57557"/>
    <w:pPr>
      <w:spacing w:before="720"/>
      <w:jc w:val="center"/>
    </w:pPr>
    <w:rPr>
      <w:caps/>
      <w:sz w:val="28"/>
    </w:rPr>
  </w:style>
  <w:style w:type="paragraph" w:customStyle="1" w:styleId="Rectitle">
    <w:name w:val="Rec_title"/>
    <w:basedOn w:val="Normal"/>
    <w:next w:val="Heading1"/>
    <w:rsid w:val="00F57557"/>
    <w:pPr>
      <w:spacing w:before="240"/>
      <w:jc w:val="center"/>
    </w:pPr>
    <w:rPr>
      <w:b/>
      <w:sz w:val="28"/>
    </w:rPr>
  </w:style>
  <w:style w:type="paragraph" w:customStyle="1" w:styleId="Recref">
    <w:name w:val="Rec_ref"/>
    <w:basedOn w:val="Rectitle"/>
    <w:next w:val="Recdate"/>
    <w:rsid w:val="004D1851"/>
    <w:pPr>
      <w:spacing w:before="120"/>
    </w:pPr>
    <w:rPr>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F57557"/>
    <w:pPr>
      <w:ind w:left="567" w:hanging="567"/>
    </w:pPr>
  </w:style>
  <w:style w:type="paragraph" w:customStyle="1" w:styleId="Reftitle">
    <w:name w:val="Ref_title"/>
    <w:basedOn w:val="Normal"/>
    <w:next w:val="Reftext"/>
    <w:rsid w:val="00F57557"/>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F57557"/>
  </w:style>
  <w:style w:type="paragraph" w:customStyle="1" w:styleId="Restitle">
    <w:name w:val="Res_title"/>
    <w:basedOn w:val="Annextitle"/>
    <w:next w:val="Normal"/>
    <w:rsid w:val="00F57557"/>
  </w:style>
  <w:style w:type="paragraph" w:customStyle="1" w:styleId="Resref">
    <w:name w:val="Res_ref"/>
    <w:basedOn w:val="Recref"/>
    <w:next w:val="Resdate"/>
    <w:rsid w:val="004D1851"/>
  </w:style>
  <w:style w:type="paragraph" w:customStyle="1" w:styleId="SectionNo">
    <w:name w:val="Section_No"/>
    <w:basedOn w:val="ArtNo"/>
    <w:next w:val="Sectiontitle"/>
    <w:qFormat/>
    <w:rsid w:val="00F57557"/>
  </w:style>
  <w:style w:type="paragraph" w:customStyle="1" w:styleId="Sectiontitle">
    <w:name w:val="Section_title"/>
    <w:basedOn w:val="Arttitle"/>
    <w:next w:val="Normalaftertitle"/>
    <w:qFormat/>
    <w:rsid w:val="00F57557"/>
  </w:style>
  <w:style w:type="paragraph" w:customStyle="1" w:styleId="SpecialFooter">
    <w:name w:val="Special Footer"/>
    <w:basedOn w:val="Footer"/>
    <w:rsid w:val="00F57557"/>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Tablehead">
    <w:name w:val="Table_head"/>
    <w:basedOn w:val="Tabletext"/>
    <w:rsid w:val="00F57557"/>
    <w:pPr>
      <w:spacing w:before="120" w:after="120"/>
      <w:jc w:val="center"/>
    </w:pPr>
    <w:rPr>
      <w:b/>
    </w:rPr>
  </w:style>
  <w:style w:type="paragraph" w:customStyle="1" w:styleId="Tablelegend">
    <w:name w:val="Table_legend"/>
    <w:basedOn w:val="Tabletext"/>
    <w:rsid w:val="00F57557"/>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F57557"/>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F57557"/>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F57557"/>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F57557"/>
  </w:style>
  <w:style w:type="paragraph" w:customStyle="1" w:styleId="Chaptitle">
    <w:name w:val="Chap_title"/>
    <w:basedOn w:val="Arttitle"/>
    <w:next w:val="Normal"/>
    <w:rsid w:val="00F57557"/>
  </w:style>
  <w:style w:type="paragraph" w:customStyle="1" w:styleId="firstfooter0">
    <w:name w:val="firstfooter"/>
    <w:basedOn w:val="Normal"/>
    <w:rsid w:val="00F5755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left" w:pos="794"/>
        <w:tab w:val="left" w:pos="1191"/>
        <w:tab w:val="left" w:pos="1588"/>
        <w:tab w:val="left" w:pos="1985"/>
      </w:tabs>
      <w:spacing w:before="560" w:after="120"/>
      <w:jc w:val="center"/>
    </w:pPr>
    <w:rPr>
      <w:caps/>
    </w:rPr>
  </w:style>
  <w:style w:type="paragraph" w:customStyle="1" w:styleId="TableText0">
    <w:name w:val="Table_Text"/>
    <w:basedOn w:val="Normal"/>
    <w:rsid w:val="00685EE3"/>
    <w:pPr>
      <w:tabs>
        <w:tab w:val="left" w:pos="284"/>
        <w:tab w:val="left" w:pos="851"/>
        <w:tab w:val="left" w:pos="1418"/>
        <w:tab w:val="left" w:pos="1985"/>
        <w:tab w:val="left" w:pos="2552"/>
        <w:tab w:val="left" w:pos="3119"/>
        <w:tab w:val="left" w:pos="3402"/>
        <w:tab w:val="left" w:pos="3686"/>
        <w:tab w:val="left" w:pos="3969"/>
      </w:tabs>
      <w:spacing w:before="40" w:after="40"/>
    </w:pPr>
  </w:style>
  <w:style w:type="paragraph" w:customStyle="1" w:styleId="TableHead0">
    <w:name w:val="Table_Head"/>
    <w:basedOn w:val="TableText0"/>
    <w:rsid w:val="00685EE3"/>
    <w:pPr>
      <w:keepNext/>
      <w:spacing w:before="80" w:after="80"/>
      <w:jc w:val="center"/>
    </w:pPr>
    <w:rPr>
      <w:b/>
    </w:rPr>
  </w:style>
  <w:style w:type="paragraph" w:styleId="BalloonText">
    <w:name w:val="Balloon Text"/>
    <w:basedOn w:val="Normal"/>
    <w:link w:val="BalloonTextChar"/>
    <w:semiHidden/>
    <w:unhideWhenUsed/>
    <w:rsid w:val="00F5755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F57557"/>
    <w:rPr>
      <w:rFonts w:ascii="Tahoma" w:hAnsi="Tahoma" w:cs="Tahoma"/>
      <w:sz w:val="16"/>
      <w:szCs w:val="16"/>
      <w:lang w:val="en-GB" w:eastAsia="en-US"/>
    </w:rPr>
  </w:style>
  <w:style w:type="character" w:styleId="Strong">
    <w:name w:val="Strong"/>
    <w:basedOn w:val="DefaultParagraphFont"/>
    <w:uiPriority w:val="22"/>
    <w:qFormat/>
    <w:rsid w:val="00CF38CD"/>
    <w:rPr>
      <w:b/>
      <w:bCs/>
    </w:rPr>
  </w:style>
  <w:style w:type="paragraph" w:styleId="ListParagraph">
    <w:name w:val="List Paragraph"/>
    <w:basedOn w:val="Normal"/>
    <w:uiPriority w:val="34"/>
    <w:qFormat/>
    <w:rsid w:val="00D15129"/>
    <w:pPr>
      <w:ind w:left="720"/>
      <w:contextualSpacing/>
    </w:pPr>
  </w:style>
  <w:style w:type="table" w:styleId="TableGrid">
    <w:name w:val="Table Grid"/>
    <w:basedOn w:val="TableNormal"/>
    <w:rsid w:val="00BC0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646B1"/>
    <w:rPr>
      <w:sz w:val="16"/>
      <w:szCs w:val="16"/>
    </w:rPr>
  </w:style>
  <w:style w:type="paragraph" w:styleId="CommentText">
    <w:name w:val="annotation text"/>
    <w:basedOn w:val="Normal"/>
    <w:link w:val="CommentTextChar"/>
    <w:semiHidden/>
    <w:unhideWhenUsed/>
    <w:rsid w:val="003646B1"/>
    <w:rPr>
      <w:sz w:val="20"/>
    </w:rPr>
  </w:style>
  <w:style w:type="character" w:customStyle="1" w:styleId="CommentTextChar">
    <w:name w:val="Comment Text Char"/>
    <w:basedOn w:val="DefaultParagraphFont"/>
    <w:link w:val="CommentText"/>
    <w:semiHidden/>
    <w:rsid w:val="003646B1"/>
    <w:rPr>
      <w:rFonts w:ascii="Calibri" w:hAnsi="Calibri"/>
      <w:lang w:val="en-GB" w:eastAsia="en-US"/>
    </w:rPr>
  </w:style>
  <w:style w:type="paragraph" w:styleId="CommentSubject">
    <w:name w:val="annotation subject"/>
    <w:basedOn w:val="CommentText"/>
    <w:next w:val="CommentText"/>
    <w:link w:val="CommentSubjectChar"/>
    <w:semiHidden/>
    <w:unhideWhenUsed/>
    <w:rsid w:val="003646B1"/>
    <w:rPr>
      <w:b/>
      <w:bCs/>
    </w:rPr>
  </w:style>
  <w:style w:type="character" w:customStyle="1" w:styleId="CommentSubjectChar">
    <w:name w:val="Comment Subject Char"/>
    <w:basedOn w:val="CommentTextChar"/>
    <w:link w:val="CommentSubject"/>
    <w:semiHidden/>
    <w:rsid w:val="003646B1"/>
    <w:rPr>
      <w:rFonts w:ascii="Calibri" w:hAnsi="Calibri"/>
      <w:b/>
      <w:bCs/>
      <w:lang w:val="en-GB" w:eastAsia="en-US"/>
    </w:rPr>
  </w:style>
  <w:style w:type="character" w:customStyle="1" w:styleId="eop">
    <w:name w:val="eop"/>
    <w:basedOn w:val="DefaultParagraphFont"/>
    <w:rsid w:val="00D74D15"/>
  </w:style>
  <w:style w:type="paragraph" w:customStyle="1" w:styleId="MinusFootnote">
    <w:name w:val="MinusFootnote"/>
    <w:basedOn w:val="Normal"/>
    <w:rsid w:val="00F57557"/>
    <w:pPr>
      <w:ind w:left="-1701" w:hanging="284"/>
    </w:pPr>
  </w:style>
  <w:style w:type="paragraph" w:customStyle="1" w:styleId="AnnexNoS2">
    <w:name w:val="Annex_No_S2"/>
    <w:basedOn w:val="AnnexNo"/>
    <w:next w:val="AnnexrefS2"/>
    <w:rsid w:val="00F57557"/>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F57557"/>
    <w:rPr>
      <w:caps w:val="0"/>
    </w:rPr>
  </w:style>
  <w:style w:type="paragraph" w:customStyle="1" w:styleId="AnnexrefS2">
    <w:name w:val="Annex_ref_S2"/>
    <w:basedOn w:val="Annexref"/>
    <w:next w:val="AnnextitleS2"/>
    <w:rsid w:val="00F57557"/>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F57557"/>
    <w:pPr>
      <w:spacing w:before="240"/>
    </w:pPr>
    <w:rPr>
      <w:b/>
      <w:i/>
    </w:rPr>
  </w:style>
  <w:style w:type="paragraph" w:customStyle="1" w:styleId="AnnextitleS2">
    <w:name w:val="Annex_title_S2"/>
    <w:basedOn w:val="Annextitle"/>
    <w:next w:val="NormalS2"/>
    <w:rsid w:val="00F57557"/>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F57557"/>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F57557"/>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F57557"/>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F57557"/>
    <w:pPr>
      <w:tabs>
        <w:tab w:val="left" w:pos="851"/>
      </w:tabs>
      <w:jc w:val="left"/>
    </w:pPr>
    <w:rPr>
      <w:b/>
      <w:sz w:val="24"/>
    </w:rPr>
  </w:style>
  <w:style w:type="paragraph" w:customStyle="1" w:styleId="ArttitleS2">
    <w:name w:val="Art_title_S2"/>
    <w:basedOn w:val="Arttitle"/>
    <w:next w:val="NormalS2"/>
    <w:rsid w:val="00F57557"/>
    <w:pPr>
      <w:tabs>
        <w:tab w:val="left" w:pos="851"/>
      </w:tabs>
      <w:jc w:val="left"/>
    </w:pPr>
    <w:rPr>
      <w:sz w:val="24"/>
    </w:rPr>
  </w:style>
  <w:style w:type="paragraph" w:customStyle="1" w:styleId="ChapNoS2">
    <w:name w:val="Chap_No_S2"/>
    <w:basedOn w:val="ChapNo"/>
    <w:next w:val="ChaptitleS2"/>
    <w:rsid w:val="00F57557"/>
    <w:pPr>
      <w:tabs>
        <w:tab w:val="left" w:pos="851"/>
      </w:tabs>
      <w:jc w:val="left"/>
    </w:pPr>
    <w:rPr>
      <w:b/>
      <w:sz w:val="24"/>
    </w:rPr>
  </w:style>
  <w:style w:type="paragraph" w:customStyle="1" w:styleId="ChaptitleS2">
    <w:name w:val="Chap_title_S2"/>
    <w:basedOn w:val="Chaptitle"/>
    <w:next w:val="NormalS2"/>
    <w:rsid w:val="00F57557"/>
    <w:pPr>
      <w:tabs>
        <w:tab w:val="left" w:pos="851"/>
      </w:tabs>
      <w:jc w:val="left"/>
    </w:pPr>
    <w:rPr>
      <w:sz w:val="24"/>
    </w:rPr>
  </w:style>
  <w:style w:type="paragraph" w:customStyle="1" w:styleId="enumlev1S2">
    <w:name w:val="enumlev1_S2"/>
    <w:basedOn w:val="enumlev1"/>
    <w:rsid w:val="00F57557"/>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F57557"/>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F57557"/>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F57557"/>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F57557"/>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F57557"/>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F57557"/>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F57557"/>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F57557"/>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F57557"/>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F57557"/>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F57557"/>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F57557"/>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F57557"/>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F57557"/>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F57557"/>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F57557"/>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F57557"/>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F57557"/>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F57557"/>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F57557"/>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F57557"/>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F57557"/>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F57557"/>
    <w:pPr>
      <w:tabs>
        <w:tab w:val="left" w:pos="851"/>
      </w:tabs>
      <w:jc w:val="left"/>
    </w:pPr>
    <w:rPr>
      <w:caps/>
      <w:sz w:val="24"/>
    </w:rPr>
  </w:style>
  <w:style w:type="paragraph" w:customStyle="1" w:styleId="Section2S2">
    <w:name w:val="Section 2_S2"/>
    <w:basedOn w:val="Section2"/>
    <w:next w:val="NormalS2"/>
    <w:rsid w:val="00F57557"/>
    <w:pPr>
      <w:tabs>
        <w:tab w:val="left" w:pos="851"/>
      </w:tabs>
      <w:jc w:val="left"/>
    </w:pPr>
    <w:rPr>
      <w:sz w:val="24"/>
    </w:rPr>
  </w:style>
  <w:style w:type="paragraph" w:customStyle="1" w:styleId="TableNoS2">
    <w:name w:val="Table_No_S2"/>
    <w:basedOn w:val="TableNo"/>
    <w:next w:val="TabletitleS2"/>
    <w:rsid w:val="00F57557"/>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F57557"/>
    <w:pPr>
      <w:tabs>
        <w:tab w:val="left" w:pos="851"/>
      </w:tabs>
      <w:spacing w:after="0"/>
    </w:pPr>
    <w:rPr>
      <w:b/>
    </w:rPr>
  </w:style>
  <w:style w:type="paragraph" w:customStyle="1" w:styleId="TabletextS2">
    <w:name w:val="Table_text_S2"/>
    <w:basedOn w:val="Tabletext"/>
    <w:rsid w:val="00F57557"/>
    <w:pPr>
      <w:tabs>
        <w:tab w:val="left" w:pos="851"/>
      </w:tabs>
    </w:pPr>
    <w:rPr>
      <w:b/>
    </w:rPr>
  </w:style>
  <w:style w:type="paragraph" w:customStyle="1" w:styleId="TabletitleS2">
    <w:name w:val="Table_title_S2"/>
    <w:basedOn w:val="Tabletitle"/>
    <w:next w:val="TabletextS2"/>
    <w:rsid w:val="00F57557"/>
    <w:pPr>
      <w:keepNext w:val="0"/>
      <w:tabs>
        <w:tab w:val="clear" w:pos="2948"/>
        <w:tab w:val="clear" w:pos="4082"/>
        <w:tab w:val="left" w:pos="851"/>
      </w:tabs>
      <w:jc w:val="left"/>
    </w:pPr>
  </w:style>
  <w:style w:type="paragraph" w:customStyle="1" w:styleId="FooterS2">
    <w:name w:val="Footer_S2"/>
    <w:basedOn w:val="Footer"/>
    <w:rsid w:val="00F57557"/>
    <w:pPr>
      <w:tabs>
        <w:tab w:val="clear" w:pos="5954"/>
        <w:tab w:val="clear" w:pos="9639"/>
        <w:tab w:val="left" w:pos="3686"/>
        <w:tab w:val="right" w:pos="7655"/>
      </w:tabs>
      <w:ind w:left="-1985"/>
    </w:pPr>
  </w:style>
  <w:style w:type="paragraph" w:customStyle="1" w:styleId="HeaderS2">
    <w:name w:val="Header_S2"/>
    <w:basedOn w:val="Normal"/>
    <w:rsid w:val="00F57557"/>
    <w:pPr>
      <w:tabs>
        <w:tab w:val="clear" w:pos="567"/>
        <w:tab w:val="clear" w:pos="1134"/>
        <w:tab w:val="clear" w:pos="1701"/>
        <w:tab w:val="clear" w:pos="2268"/>
        <w:tab w:val="clear" w:pos="2835"/>
      </w:tabs>
      <w:spacing w:before="0"/>
      <w:ind w:left="-1985"/>
      <w:jc w:val="center"/>
    </w:pPr>
    <w:rPr>
      <w:sz w:val="22"/>
    </w:rPr>
  </w:style>
  <w:style w:type="paragraph" w:customStyle="1" w:styleId="ArtheadingS2">
    <w:name w:val="Art_heading_S2"/>
    <w:basedOn w:val="Artheading"/>
    <w:next w:val="NormalaftertitleS2"/>
    <w:rsid w:val="00F57557"/>
    <w:pPr>
      <w:tabs>
        <w:tab w:val="left" w:pos="851"/>
      </w:tabs>
      <w:jc w:val="left"/>
    </w:pPr>
  </w:style>
  <w:style w:type="paragraph" w:customStyle="1" w:styleId="NoteS2">
    <w:name w:val="Note_S2"/>
    <w:basedOn w:val="Note"/>
    <w:rsid w:val="00F57557"/>
    <w:pPr>
      <w:tabs>
        <w:tab w:val="clear" w:pos="1134"/>
        <w:tab w:val="clear" w:pos="1701"/>
        <w:tab w:val="clear" w:pos="2268"/>
        <w:tab w:val="clear" w:pos="2835"/>
      </w:tabs>
    </w:pPr>
    <w:rPr>
      <w:b/>
    </w:rPr>
  </w:style>
  <w:style w:type="paragraph" w:customStyle="1" w:styleId="HeadingbS2">
    <w:name w:val="Headingb_S2"/>
    <w:basedOn w:val="Headingb"/>
    <w:next w:val="NormalS2"/>
    <w:rsid w:val="00F57557"/>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F57557"/>
    <w:pPr>
      <w:tabs>
        <w:tab w:val="clear" w:pos="567"/>
        <w:tab w:val="clear" w:pos="1134"/>
        <w:tab w:val="clear" w:pos="1701"/>
        <w:tab w:val="clear" w:pos="2268"/>
        <w:tab w:val="clear" w:pos="2835"/>
        <w:tab w:val="left" w:pos="851"/>
      </w:tabs>
    </w:pPr>
    <w:rPr>
      <w:b/>
      <w:i w:val="0"/>
    </w:rPr>
  </w:style>
  <w:style w:type="paragraph" w:styleId="Date">
    <w:name w:val="Date"/>
    <w:basedOn w:val="Normal"/>
    <w:link w:val="DateChar"/>
    <w:rsid w:val="00F57557"/>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7E26B0"/>
    <w:rPr>
      <w:rFonts w:ascii="Calibri" w:hAnsi="Calibri"/>
      <w:lang w:val="en-GB" w:eastAsia="en-US"/>
    </w:rPr>
  </w:style>
  <w:style w:type="paragraph" w:customStyle="1" w:styleId="Heading1c">
    <w:name w:val="Heading 1c"/>
    <w:basedOn w:val="Heading1"/>
    <w:next w:val="Normal"/>
    <w:rsid w:val="00F57557"/>
    <w:pPr>
      <w:ind w:left="0" w:firstLine="0"/>
      <w:jc w:val="center"/>
      <w:outlineLvl w:val="9"/>
    </w:pPr>
  </w:style>
  <w:style w:type="paragraph" w:customStyle="1" w:styleId="Heading1cS2">
    <w:name w:val="Heading 1c_S2"/>
    <w:basedOn w:val="Heading1c"/>
    <w:next w:val="NormalS2"/>
    <w:rsid w:val="00F57557"/>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F57557"/>
    <w:rPr>
      <w:b w:val="0"/>
      <w:i/>
    </w:rPr>
  </w:style>
  <w:style w:type="paragraph" w:customStyle="1" w:styleId="Heading2iS2">
    <w:name w:val="Heading 2i_S2"/>
    <w:basedOn w:val="Heading2i"/>
    <w:next w:val="NormalS2"/>
    <w:rsid w:val="00F57557"/>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F57557"/>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F57557"/>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F57557"/>
    <w:pPr>
      <w:spacing w:before="320"/>
      <w:outlineLvl w:val="1"/>
    </w:pPr>
    <w:rPr>
      <w:sz w:val="24"/>
    </w:rPr>
  </w:style>
  <w:style w:type="paragraph" w:customStyle="1" w:styleId="Heading3pv">
    <w:name w:val="Heading 3pv"/>
    <w:basedOn w:val="Heading1pv"/>
    <w:next w:val="Normalpv"/>
    <w:rsid w:val="00F57557"/>
    <w:pPr>
      <w:spacing w:before="200"/>
      <w:outlineLvl w:val="2"/>
    </w:pPr>
    <w:rPr>
      <w:sz w:val="24"/>
    </w:rPr>
  </w:style>
  <w:style w:type="paragraph" w:customStyle="1" w:styleId="NormalendS2">
    <w:name w:val="Normal_end_S2"/>
    <w:basedOn w:val="Normal"/>
    <w:qFormat/>
    <w:rsid w:val="00F57557"/>
  </w:style>
  <w:style w:type="paragraph" w:customStyle="1" w:styleId="Dectitle">
    <w:name w:val="Dec_title"/>
    <w:basedOn w:val="Restitle"/>
    <w:next w:val="Normalaftertitle"/>
    <w:qFormat/>
    <w:rsid w:val="00F57557"/>
  </w:style>
  <w:style w:type="paragraph" w:customStyle="1" w:styleId="DecNo">
    <w:name w:val="Dec_No"/>
    <w:basedOn w:val="ResNo"/>
    <w:next w:val="Dectitle"/>
    <w:qFormat/>
    <w:rsid w:val="00F57557"/>
  </w:style>
  <w:style w:type="paragraph" w:customStyle="1" w:styleId="DectitleS2">
    <w:name w:val="Dec_title_S2"/>
    <w:basedOn w:val="RestitleS2"/>
    <w:next w:val="Normal"/>
    <w:qFormat/>
    <w:rsid w:val="00F57557"/>
  </w:style>
  <w:style w:type="paragraph" w:customStyle="1" w:styleId="DecNoS2">
    <w:name w:val="Dec_No_S2"/>
    <w:basedOn w:val="ResNoS2"/>
    <w:next w:val="DectitleS2"/>
    <w:qFormat/>
    <w:rsid w:val="00F57557"/>
  </w:style>
  <w:style w:type="paragraph" w:customStyle="1" w:styleId="SectiontitleS2">
    <w:name w:val="Section_title_S2"/>
    <w:basedOn w:val="ArttitleS2"/>
    <w:next w:val="Normal"/>
    <w:qFormat/>
    <w:rsid w:val="00F57557"/>
  </w:style>
  <w:style w:type="paragraph" w:customStyle="1" w:styleId="SectionNoS2">
    <w:name w:val="Section_No_S2"/>
    <w:basedOn w:val="ArtNoS2"/>
    <w:next w:val="SectiontitleS2"/>
    <w:qFormat/>
    <w:rsid w:val="00F57557"/>
  </w:style>
  <w:style w:type="paragraph" w:customStyle="1" w:styleId="Proposal">
    <w:name w:val="Proposal"/>
    <w:basedOn w:val="Normal"/>
    <w:next w:val="Normal"/>
    <w:rsid w:val="00F57557"/>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F57557"/>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F5755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F57557"/>
    <w:rPr>
      <w:rFonts w:ascii="Calibri" w:hAnsi="Calibri"/>
      <w:sz w:val="18"/>
      <w:lang w:val="en-GB" w:eastAsia="en-US"/>
    </w:rPr>
  </w:style>
  <w:style w:type="paragraph" w:customStyle="1" w:styleId="VolumeTitle">
    <w:name w:val="VolumeTitle"/>
    <w:basedOn w:val="Normal"/>
    <w:next w:val="Normal"/>
    <w:rsid w:val="00F57557"/>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F57557"/>
  </w:style>
  <w:style w:type="paragraph" w:customStyle="1" w:styleId="OP">
    <w:name w:val="OP"/>
    <w:basedOn w:val="Normal"/>
    <w:next w:val="Normal"/>
    <w:qFormat/>
    <w:rsid w:val="00F57557"/>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57557"/>
    <w:pPr>
      <w:jc w:val="center"/>
    </w:pPr>
    <w:rPr>
      <w:b/>
      <w:bCs/>
    </w:rPr>
  </w:style>
  <w:style w:type="paragraph" w:customStyle="1" w:styleId="StyleCommitteeAfter0ptLinespacingsingle">
    <w:name w:val="Style Committee + After:  0 pt Line spacing:  single"/>
    <w:basedOn w:val="Committee"/>
    <w:rsid w:val="00F57557"/>
    <w:pPr>
      <w:framePr w:wrap="around" w:hAnchor="text"/>
      <w:spacing w:after="0" w:line="240" w:lineRule="auto"/>
    </w:pPr>
    <w:rPr>
      <w:rFonts w:eastAsia="Times New Roman" w:cs="Times New Roman"/>
      <w:bCs/>
      <w:szCs w:val="20"/>
    </w:rPr>
  </w:style>
  <w:style w:type="paragraph" w:customStyle="1" w:styleId="CorrectionSeparatorBegin">
    <w:name w:val="Correction Separator Begin"/>
    <w:basedOn w:val="Normal"/>
    <w:rsid w:val="003B0587"/>
    <w:pPr>
      <w:keepNext/>
      <w:pBdr>
        <w:bottom w:val="single" w:sz="12" w:space="1" w:color="auto"/>
      </w:pBdr>
      <w:spacing w:before="240" w:after="240"/>
      <w:ind w:left="1440" w:right="1440"/>
      <w:jc w:val="center"/>
    </w:pPr>
    <w:rPr>
      <w:b/>
      <w:i/>
      <w:sz w:val="20"/>
    </w:rPr>
  </w:style>
  <w:style w:type="paragraph" w:customStyle="1" w:styleId="CorrectionSeparatorEnd">
    <w:name w:val="Correction Separator End"/>
    <w:basedOn w:val="Normal"/>
    <w:rsid w:val="003B0587"/>
    <w:pPr>
      <w:pBdr>
        <w:top w:val="single" w:sz="12" w:space="1" w:color="auto"/>
      </w:pBdr>
      <w:spacing w:before="240" w:after="240"/>
      <w:ind w:left="1440" w:right="1440"/>
      <w:jc w:val="center"/>
    </w:pPr>
    <w:rPr>
      <w:b/>
      <w:i/>
      <w:sz w:val="20"/>
    </w:rPr>
  </w:style>
  <w:style w:type="paragraph" w:customStyle="1" w:styleId="FigureNotitle">
    <w:name w:val="Figure_No &amp; title"/>
    <w:basedOn w:val="Normal"/>
    <w:next w:val="Normal"/>
    <w:rsid w:val="003B0587"/>
    <w:pPr>
      <w:keepLines/>
      <w:tabs>
        <w:tab w:val="left" w:pos="794"/>
        <w:tab w:val="left" w:pos="1191"/>
        <w:tab w:val="left" w:pos="1588"/>
        <w:tab w:val="left" w:pos="1985"/>
      </w:tabs>
      <w:spacing w:before="240" w:after="120"/>
      <w:jc w:val="center"/>
    </w:pPr>
    <w:rPr>
      <w:b/>
    </w:rPr>
  </w:style>
  <w:style w:type="character" w:customStyle="1" w:styleId="Heading1Char">
    <w:name w:val="Heading 1 Char"/>
    <w:basedOn w:val="DefaultParagraphFont"/>
    <w:link w:val="Heading1"/>
    <w:rsid w:val="003B0587"/>
    <w:rPr>
      <w:rFonts w:ascii="Calibri" w:hAnsi="Calibri"/>
      <w:b/>
      <w:sz w:val="28"/>
      <w:lang w:val="en-GB" w:eastAsia="en-US"/>
    </w:rPr>
  </w:style>
  <w:style w:type="paragraph" w:customStyle="1" w:styleId="Heading1Centered">
    <w:name w:val="Heading 1 Centered"/>
    <w:basedOn w:val="Heading1"/>
    <w:rsid w:val="003B0587"/>
    <w:pPr>
      <w:tabs>
        <w:tab w:val="left" w:pos="794"/>
        <w:tab w:val="left" w:pos="1191"/>
        <w:tab w:val="left" w:pos="1588"/>
        <w:tab w:val="left" w:pos="1985"/>
      </w:tabs>
      <w:spacing w:before="360"/>
      <w:jc w:val="center"/>
    </w:pPr>
  </w:style>
  <w:style w:type="character" w:customStyle="1" w:styleId="Heading2Char">
    <w:name w:val="Heading 2 Char"/>
    <w:basedOn w:val="DefaultParagraphFont"/>
    <w:link w:val="Heading2"/>
    <w:rsid w:val="003B0587"/>
    <w:rPr>
      <w:rFonts w:ascii="Calibri" w:hAnsi="Calibri"/>
      <w:b/>
      <w:sz w:val="24"/>
      <w:lang w:val="en-GB" w:eastAsia="en-US"/>
    </w:rPr>
  </w:style>
  <w:style w:type="character" w:customStyle="1" w:styleId="Heading3Char">
    <w:name w:val="Heading 3 Char"/>
    <w:basedOn w:val="DefaultParagraphFont"/>
    <w:link w:val="Heading3"/>
    <w:rsid w:val="003B0587"/>
    <w:rPr>
      <w:rFonts w:ascii="Calibri" w:hAnsi="Calibri"/>
      <w:b/>
      <w:sz w:val="24"/>
      <w:lang w:val="en-GB" w:eastAsia="en-US"/>
    </w:rPr>
  </w:style>
  <w:style w:type="character" w:customStyle="1" w:styleId="Heading4Char">
    <w:name w:val="Heading 4 Char"/>
    <w:basedOn w:val="DefaultParagraphFont"/>
    <w:link w:val="Heading4"/>
    <w:rsid w:val="003B0587"/>
    <w:rPr>
      <w:rFonts w:ascii="Calibri" w:hAnsi="Calibri"/>
      <w:b/>
      <w:sz w:val="24"/>
      <w:lang w:val="en-GB" w:eastAsia="en-US"/>
    </w:rPr>
  </w:style>
  <w:style w:type="character" w:customStyle="1" w:styleId="Heading5Char">
    <w:name w:val="Heading 5 Char"/>
    <w:basedOn w:val="DefaultParagraphFont"/>
    <w:link w:val="Heading5"/>
    <w:rsid w:val="003B0587"/>
    <w:rPr>
      <w:rFonts w:ascii="Calibri" w:hAnsi="Calibri"/>
      <w:b/>
      <w:sz w:val="24"/>
      <w:lang w:val="en-GB" w:eastAsia="en-US"/>
    </w:rPr>
  </w:style>
  <w:style w:type="character" w:customStyle="1" w:styleId="Heading6Char">
    <w:name w:val="Heading 6 Char"/>
    <w:basedOn w:val="DefaultParagraphFont"/>
    <w:link w:val="Heading6"/>
    <w:rsid w:val="003B0587"/>
    <w:rPr>
      <w:rFonts w:ascii="Calibri" w:hAnsi="Calibri"/>
      <w:b/>
      <w:sz w:val="24"/>
      <w:lang w:val="en-GB" w:eastAsia="en-US"/>
    </w:rPr>
  </w:style>
  <w:style w:type="character" w:customStyle="1" w:styleId="Heading7Char">
    <w:name w:val="Heading 7 Char"/>
    <w:basedOn w:val="DefaultParagraphFont"/>
    <w:link w:val="Heading7"/>
    <w:rsid w:val="003B0587"/>
    <w:rPr>
      <w:rFonts w:ascii="Calibri" w:hAnsi="Calibri"/>
      <w:b/>
      <w:sz w:val="24"/>
      <w:lang w:val="en-GB" w:eastAsia="en-US"/>
    </w:rPr>
  </w:style>
  <w:style w:type="character" w:customStyle="1" w:styleId="Heading8Char">
    <w:name w:val="Heading 8 Char"/>
    <w:basedOn w:val="DefaultParagraphFont"/>
    <w:link w:val="Heading8"/>
    <w:rsid w:val="003B0587"/>
    <w:rPr>
      <w:rFonts w:ascii="Calibri" w:hAnsi="Calibri"/>
      <w:b/>
      <w:sz w:val="24"/>
      <w:lang w:val="en-GB" w:eastAsia="en-US"/>
    </w:rPr>
  </w:style>
  <w:style w:type="character" w:customStyle="1" w:styleId="Heading9Char">
    <w:name w:val="Heading 9 Char"/>
    <w:basedOn w:val="DefaultParagraphFont"/>
    <w:link w:val="Heading9"/>
    <w:rsid w:val="003B0587"/>
    <w:rPr>
      <w:rFonts w:ascii="Calibri" w:hAnsi="Calibri"/>
      <w:b/>
      <w:sz w:val="24"/>
      <w:lang w:val="en-GB" w:eastAsia="en-US"/>
    </w:rPr>
  </w:style>
  <w:style w:type="paragraph" w:customStyle="1" w:styleId="LSDeadline">
    <w:name w:val="LSDeadline"/>
    <w:basedOn w:val="LSForAction"/>
    <w:next w:val="Normal"/>
    <w:rsid w:val="003B0587"/>
    <w:rPr>
      <w:bCs w:val="0"/>
    </w:rPr>
  </w:style>
  <w:style w:type="paragraph" w:customStyle="1" w:styleId="LSSource">
    <w:name w:val="LSSource"/>
    <w:basedOn w:val="LSForAction"/>
    <w:next w:val="Normal"/>
    <w:rsid w:val="003B0587"/>
    <w:rPr>
      <w:rFonts w:eastAsiaTheme="minorHAnsi"/>
      <w:bCs w:val="0"/>
    </w:rPr>
  </w:style>
  <w:style w:type="paragraph" w:customStyle="1" w:styleId="LSTitle">
    <w:name w:val="LSTitle"/>
    <w:basedOn w:val="LSForAction"/>
    <w:next w:val="Normal"/>
    <w:rsid w:val="003B0587"/>
    <w:rPr>
      <w:rFonts w:eastAsiaTheme="minorHAnsi"/>
      <w:bCs w:val="0"/>
    </w:rPr>
  </w:style>
  <w:style w:type="paragraph" w:customStyle="1" w:styleId="LSTo">
    <w:name w:val="LSTo"/>
    <w:basedOn w:val="Normal"/>
    <w:rsid w:val="003B0587"/>
    <w:pPr>
      <w:tabs>
        <w:tab w:val="left" w:pos="794"/>
        <w:tab w:val="left" w:pos="1191"/>
        <w:tab w:val="left" w:pos="1588"/>
        <w:tab w:val="left" w:pos="1985"/>
      </w:tabs>
    </w:pPr>
    <w:rPr>
      <w:b/>
      <w:bCs/>
    </w:rPr>
  </w:style>
  <w:style w:type="paragraph" w:customStyle="1" w:styleId="TableNotitle">
    <w:name w:val="Table_No &amp; title"/>
    <w:basedOn w:val="Normal"/>
    <w:next w:val="Normal"/>
    <w:rsid w:val="003B0587"/>
    <w:pPr>
      <w:keepNext/>
      <w:keepLines/>
      <w:tabs>
        <w:tab w:val="left" w:pos="794"/>
        <w:tab w:val="left" w:pos="1191"/>
        <w:tab w:val="left" w:pos="1588"/>
        <w:tab w:val="left" w:pos="1985"/>
      </w:tabs>
      <w:spacing w:before="360" w:after="120"/>
      <w:jc w:val="center"/>
    </w:pPr>
    <w:rPr>
      <w:b/>
    </w:rPr>
  </w:style>
  <w:style w:type="paragraph" w:customStyle="1" w:styleId="Normalbeforetable">
    <w:name w:val="Normal before table"/>
    <w:basedOn w:val="Normal"/>
    <w:rsid w:val="003B0587"/>
    <w:pPr>
      <w:keepNext/>
      <w:spacing w:after="120"/>
    </w:pPr>
    <w:rPr>
      <w:rFonts w:eastAsia="????"/>
    </w:rPr>
  </w:style>
  <w:style w:type="paragraph" w:customStyle="1" w:styleId="Headingib">
    <w:name w:val="Heading_ib"/>
    <w:basedOn w:val="Headingi"/>
    <w:next w:val="Normal"/>
    <w:qFormat/>
    <w:rsid w:val="003B0587"/>
    <w:rPr>
      <w:b/>
      <w:bCs/>
    </w:rPr>
  </w:style>
  <w:style w:type="paragraph" w:customStyle="1" w:styleId="References">
    <w:name w:val="References"/>
    <w:basedOn w:val="Normal"/>
    <w:rsid w:val="003B0587"/>
    <w:pPr>
      <w:widowControl w:val="0"/>
      <w:numPr>
        <w:numId w:val="19"/>
      </w:numPr>
    </w:pPr>
    <w:rPr>
      <w:lang w:eastAsia="zh-CN"/>
    </w:rPr>
  </w:style>
  <w:style w:type="paragraph" w:customStyle="1" w:styleId="NormalITU">
    <w:name w:val="Normal_ITU"/>
    <w:basedOn w:val="Normal"/>
    <w:rsid w:val="003B0587"/>
    <w:rPr>
      <w:rFonts w:cs="Arial"/>
    </w:rPr>
  </w:style>
  <w:style w:type="paragraph" w:customStyle="1" w:styleId="AnnexNotitle">
    <w:name w:val="Annex_No &amp; title"/>
    <w:basedOn w:val="Normal"/>
    <w:next w:val="Normal"/>
    <w:rsid w:val="003B0587"/>
    <w:pPr>
      <w:keepNext/>
      <w:keepLines/>
      <w:tabs>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3B0587"/>
  </w:style>
  <w:style w:type="paragraph" w:customStyle="1" w:styleId="Formal">
    <w:name w:val="Formal"/>
    <w:basedOn w:val="Normal"/>
    <w:rsid w:val="003B0587"/>
    <w:pPr>
      <w:tabs>
        <w:tab w:val="left" w:pos="3402"/>
        <w:tab w:val="left" w:pos="3969"/>
        <w:tab w:val="left" w:pos="4536"/>
        <w:tab w:val="left" w:pos="5103"/>
        <w:tab w:val="left" w:pos="5670"/>
      </w:tabs>
    </w:pPr>
    <w:rPr>
      <w:rFonts w:ascii="Courier New" w:eastAsia="SimSun" w:hAnsi="Courier New"/>
      <w:noProof/>
      <w:sz w:val="20"/>
    </w:rPr>
  </w:style>
  <w:style w:type="paragraph" w:customStyle="1" w:styleId="Docnumber">
    <w:name w:val="Docnumber"/>
    <w:basedOn w:val="Normal"/>
    <w:link w:val="DocnumberChar"/>
    <w:rsid w:val="003B0587"/>
    <w:pPr>
      <w:tabs>
        <w:tab w:val="left" w:pos="794"/>
        <w:tab w:val="left" w:pos="1191"/>
        <w:tab w:val="left" w:pos="1588"/>
        <w:tab w:val="left" w:pos="1985"/>
      </w:tabs>
      <w:jc w:val="right"/>
    </w:pPr>
    <w:rPr>
      <w:rFonts w:eastAsia="SimSun"/>
      <w:b/>
      <w:sz w:val="40"/>
    </w:rPr>
  </w:style>
  <w:style w:type="character" w:customStyle="1" w:styleId="DocnumberChar">
    <w:name w:val="Docnumber Char"/>
    <w:link w:val="Docnumber"/>
    <w:rsid w:val="003B0587"/>
    <w:rPr>
      <w:rFonts w:ascii="Times New Roman" w:eastAsia="SimSun" w:hAnsi="Times New Roman"/>
      <w:b/>
      <w:sz w:val="40"/>
      <w:lang w:val="en-GB" w:eastAsia="en-US"/>
    </w:rPr>
  </w:style>
  <w:style w:type="paragraph" w:styleId="TableofFigures">
    <w:name w:val="table of figures"/>
    <w:basedOn w:val="Normal"/>
    <w:next w:val="Normal"/>
    <w:uiPriority w:val="99"/>
    <w:rsid w:val="003B0587"/>
    <w:pPr>
      <w:tabs>
        <w:tab w:val="right" w:leader="dot" w:pos="9639"/>
      </w:tabs>
    </w:pPr>
    <w:rPr>
      <w:rFonts w:eastAsia="MS Mincho"/>
    </w:rPr>
  </w:style>
  <w:style w:type="character" w:customStyle="1" w:styleId="ReftextArial9pt">
    <w:name w:val="Ref_text Arial 9 pt"/>
    <w:rsid w:val="003B0587"/>
    <w:rPr>
      <w:rFonts w:ascii="Arial" w:hAnsi="Arial" w:cs="Arial"/>
      <w:sz w:val="18"/>
      <w:szCs w:val="18"/>
    </w:rPr>
  </w:style>
  <w:style w:type="paragraph" w:customStyle="1" w:styleId="LSForAction">
    <w:name w:val="LSForAction"/>
    <w:basedOn w:val="Normal"/>
    <w:rsid w:val="003B0587"/>
    <w:pPr>
      <w:tabs>
        <w:tab w:val="left" w:pos="794"/>
        <w:tab w:val="left" w:pos="1191"/>
        <w:tab w:val="left" w:pos="1588"/>
        <w:tab w:val="left" w:pos="1985"/>
      </w:tabs>
    </w:pPr>
    <w:rPr>
      <w:bCs/>
    </w:rPr>
  </w:style>
  <w:style w:type="paragraph" w:customStyle="1" w:styleId="LSForComment">
    <w:name w:val="LSForComment"/>
    <w:basedOn w:val="LSForAction"/>
    <w:next w:val="Normal"/>
    <w:rsid w:val="003B0587"/>
  </w:style>
  <w:style w:type="paragraph" w:customStyle="1" w:styleId="LSForInfo">
    <w:name w:val="LSForInfo"/>
    <w:basedOn w:val="LSForAction"/>
    <w:next w:val="Normal"/>
    <w:rsid w:val="003B0587"/>
  </w:style>
  <w:style w:type="character" w:customStyle="1" w:styleId="UnresolvedMention">
    <w:name w:val="Unresolved Mention"/>
    <w:basedOn w:val="DefaultParagraphFont"/>
    <w:uiPriority w:val="99"/>
    <w:semiHidden/>
    <w:unhideWhenUsed/>
    <w:rsid w:val="000B47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70597">
      <w:bodyDiv w:val="1"/>
      <w:marLeft w:val="0"/>
      <w:marRight w:val="0"/>
      <w:marTop w:val="0"/>
      <w:marBottom w:val="0"/>
      <w:divBdr>
        <w:top w:val="none" w:sz="0" w:space="0" w:color="auto"/>
        <w:left w:val="none" w:sz="0" w:space="0" w:color="auto"/>
        <w:bottom w:val="none" w:sz="0" w:space="0" w:color="auto"/>
        <w:right w:val="none" w:sz="0" w:space="0" w:color="auto"/>
      </w:divBdr>
    </w:div>
    <w:div w:id="189531602">
      <w:bodyDiv w:val="1"/>
      <w:marLeft w:val="0"/>
      <w:marRight w:val="0"/>
      <w:marTop w:val="0"/>
      <w:marBottom w:val="0"/>
      <w:divBdr>
        <w:top w:val="none" w:sz="0" w:space="0" w:color="auto"/>
        <w:left w:val="none" w:sz="0" w:space="0" w:color="auto"/>
        <w:bottom w:val="none" w:sz="0" w:space="0" w:color="auto"/>
        <w:right w:val="none" w:sz="0" w:space="0" w:color="auto"/>
      </w:divBdr>
    </w:div>
    <w:div w:id="373189892">
      <w:bodyDiv w:val="1"/>
      <w:marLeft w:val="0"/>
      <w:marRight w:val="0"/>
      <w:marTop w:val="0"/>
      <w:marBottom w:val="0"/>
      <w:divBdr>
        <w:top w:val="none" w:sz="0" w:space="0" w:color="auto"/>
        <w:left w:val="none" w:sz="0" w:space="0" w:color="auto"/>
        <w:bottom w:val="none" w:sz="0" w:space="0" w:color="auto"/>
        <w:right w:val="none" w:sz="0" w:space="0" w:color="auto"/>
      </w:divBdr>
    </w:div>
    <w:div w:id="418332537">
      <w:bodyDiv w:val="1"/>
      <w:marLeft w:val="0"/>
      <w:marRight w:val="0"/>
      <w:marTop w:val="0"/>
      <w:marBottom w:val="0"/>
      <w:divBdr>
        <w:top w:val="none" w:sz="0" w:space="0" w:color="auto"/>
        <w:left w:val="none" w:sz="0" w:space="0" w:color="auto"/>
        <w:bottom w:val="none" w:sz="0" w:space="0" w:color="auto"/>
        <w:right w:val="none" w:sz="0" w:space="0" w:color="auto"/>
      </w:divBdr>
    </w:div>
    <w:div w:id="661389993">
      <w:bodyDiv w:val="1"/>
      <w:marLeft w:val="0"/>
      <w:marRight w:val="0"/>
      <w:marTop w:val="0"/>
      <w:marBottom w:val="0"/>
      <w:divBdr>
        <w:top w:val="none" w:sz="0" w:space="0" w:color="auto"/>
        <w:left w:val="none" w:sz="0" w:space="0" w:color="auto"/>
        <w:bottom w:val="none" w:sz="0" w:space="0" w:color="auto"/>
        <w:right w:val="none" w:sz="0" w:space="0" w:color="auto"/>
      </w:divBdr>
    </w:div>
    <w:div w:id="724449403">
      <w:bodyDiv w:val="1"/>
      <w:marLeft w:val="0"/>
      <w:marRight w:val="0"/>
      <w:marTop w:val="0"/>
      <w:marBottom w:val="0"/>
      <w:divBdr>
        <w:top w:val="none" w:sz="0" w:space="0" w:color="auto"/>
        <w:left w:val="none" w:sz="0" w:space="0" w:color="auto"/>
        <w:bottom w:val="none" w:sz="0" w:space="0" w:color="auto"/>
        <w:right w:val="none" w:sz="0" w:space="0" w:color="auto"/>
      </w:divBdr>
    </w:div>
    <w:div w:id="850723985">
      <w:bodyDiv w:val="1"/>
      <w:marLeft w:val="0"/>
      <w:marRight w:val="0"/>
      <w:marTop w:val="0"/>
      <w:marBottom w:val="0"/>
      <w:divBdr>
        <w:top w:val="none" w:sz="0" w:space="0" w:color="auto"/>
        <w:left w:val="none" w:sz="0" w:space="0" w:color="auto"/>
        <w:bottom w:val="none" w:sz="0" w:space="0" w:color="auto"/>
        <w:right w:val="none" w:sz="0" w:space="0" w:color="auto"/>
      </w:divBdr>
    </w:div>
    <w:div w:id="967667151">
      <w:bodyDiv w:val="1"/>
      <w:marLeft w:val="0"/>
      <w:marRight w:val="0"/>
      <w:marTop w:val="0"/>
      <w:marBottom w:val="0"/>
      <w:divBdr>
        <w:top w:val="none" w:sz="0" w:space="0" w:color="auto"/>
        <w:left w:val="none" w:sz="0" w:space="0" w:color="auto"/>
        <w:bottom w:val="none" w:sz="0" w:space="0" w:color="auto"/>
        <w:right w:val="none" w:sz="0" w:space="0" w:color="auto"/>
      </w:divBdr>
    </w:div>
    <w:div w:id="1064792054">
      <w:bodyDiv w:val="1"/>
      <w:marLeft w:val="0"/>
      <w:marRight w:val="0"/>
      <w:marTop w:val="0"/>
      <w:marBottom w:val="0"/>
      <w:divBdr>
        <w:top w:val="none" w:sz="0" w:space="0" w:color="auto"/>
        <w:left w:val="none" w:sz="0" w:space="0" w:color="auto"/>
        <w:bottom w:val="none" w:sz="0" w:space="0" w:color="auto"/>
        <w:right w:val="none" w:sz="0" w:space="0" w:color="auto"/>
      </w:divBdr>
    </w:div>
    <w:div w:id="1131633416">
      <w:bodyDiv w:val="1"/>
      <w:marLeft w:val="0"/>
      <w:marRight w:val="0"/>
      <w:marTop w:val="0"/>
      <w:marBottom w:val="0"/>
      <w:divBdr>
        <w:top w:val="none" w:sz="0" w:space="0" w:color="auto"/>
        <w:left w:val="none" w:sz="0" w:space="0" w:color="auto"/>
        <w:bottom w:val="none" w:sz="0" w:space="0" w:color="auto"/>
        <w:right w:val="none" w:sz="0" w:space="0" w:color="auto"/>
      </w:divBdr>
    </w:div>
    <w:div w:id="1243369249">
      <w:bodyDiv w:val="1"/>
      <w:marLeft w:val="0"/>
      <w:marRight w:val="0"/>
      <w:marTop w:val="0"/>
      <w:marBottom w:val="0"/>
      <w:divBdr>
        <w:top w:val="none" w:sz="0" w:space="0" w:color="auto"/>
        <w:left w:val="none" w:sz="0" w:space="0" w:color="auto"/>
        <w:bottom w:val="none" w:sz="0" w:space="0" w:color="auto"/>
        <w:right w:val="none" w:sz="0" w:space="0" w:color="auto"/>
      </w:divBdr>
    </w:div>
    <w:div w:id="1336103839">
      <w:bodyDiv w:val="1"/>
      <w:marLeft w:val="0"/>
      <w:marRight w:val="0"/>
      <w:marTop w:val="0"/>
      <w:marBottom w:val="0"/>
      <w:divBdr>
        <w:top w:val="none" w:sz="0" w:space="0" w:color="auto"/>
        <w:left w:val="none" w:sz="0" w:space="0" w:color="auto"/>
        <w:bottom w:val="none" w:sz="0" w:space="0" w:color="auto"/>
        <w:right w:val="none" w:sz="0" w:space="0" w:color="auto"/>
      </w:divBdr>
      <w:divsChild>
        <w:div w:id="1225868021">
          <w:marLeft w:val="446"/>
          <w:marRight w:val="0"/>
          <w:marTop w:val="0"/>
          <w:marBottom w:val="0"/>
          <w:divBdr>
            <w:top w:val="none" w:sz="0" w:space="0" w:color="auto"/>
            <w:left w:val="none" w:sz="0" w:space="0" w:color="auto"/>
            <w:bottom w:val="none" w:sz="0" w:space="0" w:color="auto"/>
            <w:right w:val="none" w:sz="0" w:space="0" w:color="auto"/>
          </w:divBdr>
        </w:div>
      </w:divsChild>
    </w:div>
    <w:div w:id="1389376448">
      <w:bodyDiv w:val="1"/>
      <w:marLeft w:val="0"/>
      <w:marRight w:val="0"/>
      <w:marTop w:val="0"/>
      <w:marBottom w:val="0"/>
      <w:divBdr>
        <w:top w:val="none" w:sz="0" w:space="0" w:color="auto"/>
        <w:left w:val="none" w:sz="0" w:space="0" w:color="auto"/>
        <w:bottom w:val="none" w:sz="0" w:space="0" w:color="auto"/>
        <w:right w:val="none" w:sz="0" w:space="0" w:color="auto"/>
      </w:divBdr>
    </w:div>
    <w:div w:id="1430849782">
      <w:bodyDiv w:val="1"/>
      <w:marLeft w:val="0"/>
      <w:marRight w:val="0"/>
      <w:marTop w:val="0"/>
      <w:marBottom w:val="0"/>
      <w:divBdr>
        <w:top w:val="none" w:sz="0" w:space="0" w:color="auto"/>
        <w:left w:val="none" w:sz="0" w:space="0" w:color="auto"/>
        <w:bottom w:val="none" w:sz="0" w:space="0" w:color="auto"/>
        <w:right w:val="none" w:sz="0" w:space="0" w:color="auto"/>
      </w:divBdr>
    </w:div>
    <w:div w:id="1464884241">
      <w:bodyDiv w:val="1"/>
      <w:marLeft w:val="0"/>
      <w:marRight w:val="0"/>
      <w:marTop w:val="0"/>
      <w:marBottom w:val="0"/>
      <w:divBdr>
        <w:top w:val="none" w:sz="0" w:space="0" w:color="auto"/>
        <w:left w:val="none" w:sz="0" w:space="0" w:color="auto"/>
        <w:bottom w:val="none" w:sz="0" w:space="0" w:color="auto"/>
        <w:right w:val="none" w:sz="0" w:space="0" w:color="auto"/>
      </w:divBdr>
    </w:div>
    <w:div w:id="1842625007">
      <w:bodyDiv w:val="1"/>
      <w:marLeft w:val="0"/>
      <w:marRight w:val="0"/>
      <w:marTop w:val="0"/>
      <w:marBottom w:val="0"/>
      <w:divBdr>
        <w:top w:val="none" w:sz="0" w:space="0" w:color="auto"/>
        <w:left w:val="none" w:sz="0" w:space="0" w:color="auto"/>
        <w:bottom w:val="none" w:sz="0" w:space="0" w:color="auto"/>
        <w:right w:val="none" w:sz="0" w:space="0" w:color="auto"/>
      </w:divBdr>
    </w:div>
    <w:div w:id="1866554507">
      <w:bodyDiv w:val="1"/>
      <w:marLeft w:val="0"/>
      <w:marRight w:val="0"/>
      <w:marTop w:val="0"/>
      <w:marBottom w:val="0"/>
      <w:divBdr>
        <w:top w:val="none" w:sz="0" w:space="0" w:color="auto"/>
        <w:left w:val="none" w:sz="0" w:space="0" w:color="auto"/>
        <w:bottom w:val="none" w:sz="0" w:space="0" w:color="auto"/>
        <w:right w:val="none" w:sz="0" w:space="0" w:color="auto"/>
      </w:divBdr>
      <w:divsChild>
        <w:div w:id="1462068134">
          <w:marLeft w:val="446"/>
          <w:marRight w:val="0"/>
          <w:marTop w:val="0"/>
          <w:marBottom w:val="0"/>
          <w:divBdr>
            <w:top w:val="none" w:sz="0" w:space="0" w:color="auto"/>
            <w:left w:val="none" w:sz="0" w:space="0" w:color="auto"/>
            <w:bottom w:val="none" w:sz="0" w:space="0" w:color="auto"/>
            <w:right w:val="none" w:sz="0" w:space="0" w:color="auto"/>
          </w:divBdr>
        </w:div>
      </w:divsChild>
    </w:div>
    <w:div w:id="2032996447">
      <w:bodyDiv w:val="1"/>
      <w:marLeft w:val="0"/>
      <w:marRight w:val="0"/>
      <w:marTop w:val="0"/>
      <w:marBottom w:val="0"/>
      <w:divBdr>
        <w:top w:val="none" w:sz="0" w:space="0" w:color="auto"/>
        <w:left w:val="none" w:sz="0" w:space="0" w:color="auto"/>
        <w:bottom w:val="none" w:sz="0" w:space="0" w:color="auto"/>
        <w:right w:val="none" w:sz="0" w:space="0" w:color="auto"/>
      </w:divBdr>
    </w:div>
    <w:div w:id="2092773250">
      <w:bodyDiv w:val="1"/>
      <w:marLeft w:val="0"/>
      <w:marRight w:val="0"/>
      <w:marTop w:val="0"/>
      <w:marBottom w:val="0"/>
      <w:divBdr>
        <w:top w:val="none" w:sz="0" w:space="0" w:color="auto"/>
        <w:left w:val="none" w:sz="0" w:space="0" w:color="auto"/>
        <w:bottom w:val="none" w:sz="0" w:space="0" w:color="auto"/>
        <w:right w:val="none" w:sz="0" w:space="0" w:color="auto"/>
      </w:divBdr>
    </w:div>
    <w:div w:id="2104956999">
      <w:bodyDiv w:val="1"/>
      <w:marLeft w:val="0"/>
      <w:marRight w:val="0"/>
      <w:marTop w:val="0"/>
      <w:marBottom w:val="0"/>
      <w:divBdr>
        <w:top w:val="none" w:sz="0" w:space="0" w:color="auto"/>
        <w:left w:val="none" w:sz="0" w:space="0" w:color="auto"/>
        <w:bottom w:val="none" w:sz="0" w:space="0" w:color="auto"/>
        <w:right w:val="none" w:sz="0" w:space="0" w:color="auto"/>
      </w:divBdr>
    </w:div>
    <w:div w:id="2112967702">
      <w:bodyDiv w:val="1"/>
      <w:marLeft w:val="0"/>
      <w:marRight w:val="0"/>
      <w:marTop w:val="0"/>
      <w:marBottom w:val="0"/>
      <w:divBdr>
        <w:top w:val="none" w:sz="0" w:space="0" w:color="auto"/>
        <w:left w:val="none" w:sz="0" w:space="0" w:color="auto"/>
        <w:bottom w:val="none" w:sz="0" w:space="0" w:color="auto"/>
        <w:right w:val="none" w:sz="0" w:space="0" w:color="auto"/>
      </w:divBdr>
      <w:divsChild>
        <w:div w:id="1664770392">
          <w:marLeft w:val="446"/>
          <w:marRight w:val="0"/>
          <w:marTop w:val="0"/>
          <w:marBottom w:val="0"/>
          <w:divBdr>
            <w:top w:val="none" w:sz="0" w:space="0" w:color="auto"/>
            <w:left w:val="none" w:sz="0" w:space="0" w:color="auto"/>
            <w:bottom w:val="none" w:sz="0" w:space="0" w:color="auto"/>
            <w:right w:val="none" w:sz="0" w:space="0" w:color="auto"/>
          </w:divBdr>
        </w:div>
        <w:div w:id="129348623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17-2020/16/Pages/default.aspx" TargetMode="External"/><Relationship Id="rId18" Type="http://schemas.openxmlformats.org/officeDocument/2006/relationships/hyperlink" Target="https://witsa.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elecomworld.itu.int/Documents/WT18/WT18_Flyer-SMEs.pdf" TargetMode="External"/><Relationship Id="rId7" Type="http://schemas.openxmlformats.org/officeDocument/2006/relationships/endnotes" Target="endnotes.xml"/><Relationship Id="rId12" Type="http://schemas.openxmlformats.org/officeDocument/2006/relationships/hyperlink" Target="https://www.itu.int/en/ITU-T/about/groups/Pages/sg11.aspx" TargetMode="External"/><Relationship Id="rId17" Type="http://schemas.openxmlformats.org/officeDocument/2006/relationships/hyperlink" Target="https://www.itu.int/net4/ITU-D/CDS/sg/index.asp?lg=1&amp;sp=2018&amp;stg=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net4/ITU-D/CDS/sg/index.asp?lg=1&amp;sp=2018&amp;stg=1" TargetMode="External"/><Relationship Id="rId20" Type="http://schemas.openxmlformats.org/officeDocument/2006/relationships/hyperlink" Target="https://telecomworld.itu.int/2018-event/s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05/Pages/default.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tu.int/go/academy/t/f921" TargetMode="External"/><Relationship Id="rId23" Type="http://schemas.openxmlformats.org/officeDocument/2006/relationships/footer" Target="footer1.xml"/><Relationship Id="rId10" Type="http://schemas.openxmlformats.org/officeDocument/2006/relationships/hyperlink" Target="https://www.itu.int/md/S17-CL-C-0120/en" TargetMode="External"/><Relationship Id="rId19" Type="http://schemas.openxmlformats.org/officeDocument/2006/relationships/hyperlink" Target="http://www.cabase.org.ar/?lang=en" TargetMode="External"/><Relationship Id="rId4" Type="http://schemas.openxmlformats.org/officeDocument/2006/relationships/settings" Target="settings.xml"/><Relationship Id="rId9" Type="http://schemas.openxmlformats.org/officeDocument/2006/relationships/hyperlink" Target="https://www.itu.int/md/S17-CL-C-0120/en" TargetMode="External"/><Relationship Id="rId14" Type="http://schemas.openxmlformats.org/officeDocument/2006/relationships/hyperlink" Target="https://www.itu.int/en/ITU-T/studygroups/2017-2020/20/Pages/default.aspx" TargetMode="External"/><Relationship Id="rId22" Type="http://schemas.openxmlformats.org/officeDocument/2006/relationships/header" Target="head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83CF2-9992-4E3A-A07F-CF149E4A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PE_PP18.dotx</Template>
  <TotalTime>0</TotalTime>
  <Pages>6</Pages>
  <Words>2024</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SMEs project</dc:title>
  <dc:subject/>
  <dc:creator/>
  <cp:keywords>Pp-18, Plenipotentiary</cp:keywords>
  <dc:description/>
  <cp:lastModifiedBy/>
  <cp:revision>1</cp:revision>
  <dcterms:created xsi:type="dcterms:W3CDTF">2018-10-05T10:13:00Z</dcterms:created>
  <dcterms:modified xsi:type="dcterms:W3CDTF">2018-10-10T05:46:00Z</dcterms:modified>
  <cp:category/>
</cp:coreProperties>
</file>