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rsidRPr="009A3F4D" w:rsidTr="003B43D8">
        <w:trPr>
          <w:cantSplit/>
        </w:trPr>
        <w:tc>
          <w:tcPr>
            <w:tcW w:w="6911" w:type="dxa"/>
          </w:tcPr>
          <w:p w:rsidR="00C710E5" w:rsidRPr="009A3F4D" w:rsidRDefault="00C710E5" w:rsidP="009A3F4D">
            <w:pPr>
              <w:spacing w:before="240" w:after="48"/>
              <w:rPr>
                <w:rFonts w:asciiTheme="minorHAnsi" w:eastAsiaTheme="minorEastAsia" w:hAnsiTheme="minorHAnsi" w:cstheme="minorHAnsi"/>
                <w:b/>
                <w:bCs/>
                <w:position w:val="6"/>
                <w:lang w:eastAsia="zh-CN"/>
              </w:rPr>
            </w:pPr>
            <w:bookmarkStart w:id="0" w:name="dpp"/>
            <w:bookmarkStart w:id="1" w:name="dorlang" w:colFirst="1" w:colLast="1"/>
            <w:bookmarkStart w:id="2" w:name="_GoBack"/>
            <w:bookmarkEnd w:id="2"/>
            <w:r w:rsidRPr="009A3F4D">
              <w:rPr>
                <w:rFonts w:asciiTheme="minorHAnsi" w:eastAsiaTheme="minorEastAsia" w:hAnsiTheme="minorHAnsi" w:cstheme="minorHAnsi"/>
                <w:b/>
                <w:smallCaps/>
                <w:sz w:val="30"/>
                <w:szCs w:val="30"/>
                <w:lang w:val="en-US" w:eastAsia="zh-CN"/>
              </w:rPr>
              <w:t>全权代表大会（</w:t>
            </w:r>
            <w:r w:rsidRPr="009A3F4D">
              <w:rPr>
                <w:rFonts w:asciiTheme="minorHAnsi" w:eastAsiaTheme="minorEastAsia" w:hAnsiTheme="minorHAnsi" w:cstheme="minorHAnsi"/>
                <w:b/>
                <w:smallCaps/>
                <w:sz w:val="30"/>
                <w:szCs w:val="30"/>
                <w:lang w:val="en-US" w:eastAsia="zh-CN"/>
              </w:rPr>
              <w:t>PP-1</w:t>
            </w:r>
            <w:r w:rsidR="009D6EA5" w:rsidRPr="009A3F4D">
              <w:rPr>
                <w:rFonts w:asciiTheme="minorHAnsi" w:eastAsiaTheme="minorEastAsia" w:hAnsiTheme="minorHAnsi" w:cstheme="minorHAnsi"/>
                <w:b/>
                <w:smallCaps/>
                <w:sz w:val="30"/>
                <w:szCs w:val="30"/>
                <w:lang w:val="en-US" w:eastAsia="zh-CN"/>
              </w:rPr>
              <w:t>8</w:t>
            </w:r>
            <w:r w:rsidRPr="009A3F4D">
              <w:rPr>
                <w:rFonts w:asciiTheme="minorHAnsi" w:eastAsiaTheme="minorEastAsia" w:hAnsiTheme="minorHAnsi" w:cstheme="minorHAnsi"/>
                <w:b/>
                <w:smallCaps/>
                <w:sz w:val="30"/>
                <w:szCs w:val="30"/>
                <w:lang w:val="en-US" w:eastAsia="zh-CN"/>
              </w:rPr>
              <w:t>）</w:t>
            </w:r>
            <w:r w:rsidRPr="009A3F4D">
              <w:rPr>
                <w:rFonts w:asciiTheme="minorHAnsi" w:eastAsiaTheme="minorEastAsia" w:hAnsiTheme="minorHAnsi" w:cstheme="minorHAnsi"/>
                <w:b/>
                <w:smallCaps/>
                <w:sz w:val="26"/>
                <w:szCs w:val="26"/>
                <w:lang w:val="en-US" w:eastAsia="zh-CN"/>
              </w:rPr>
              <w:br/>
            </w:r>
            <w:r w:rsidRPr="009A3F4D">
              <w:rPr>
                <w:rFonts w:asciiTheme="minorHAnsi" w:eastAsiaTheme="minorEastAsia" w:hAnsiTheme="minorHAnsi" w:cstheme="minorHAnsi"/>
                <w:b/>
                <w:bCs/>
                <w:szCs w:val="24"/>
                <w:lang w:eastAsia="zh-CN"/>
              </w:rPr>
              <w:t>201</w:t>
            </w:r>
            <w:r w:rsidR="009D6EA5" w:rsidRPr="009A3F4D">
              <w:rPr>
                <w:rFonts w:asciiTheme="minorHAnsi" w:eastAsiaTheme="minorEastAsia" w:hAnsiTheme="minorHAnsi" w:cstheme="minorHAnsi"/>
                <w:b/>
                <w:bCs/>
                <w:szCs w:val="24"/>
                <w:lang w:eastAsia="zh-CN"/>
              </w:rPr>
              <w:t>8</w:t>
            </w:r>
            <w:r w:rsidRPr="009A3F4D">
              <w:rPr>
                <w:rFonts w:asciiTheme="minorHAnsi" w:eastAsiaTheme="minorEastAsia" w:hAnsiTheme="minorHAnsi" w:cstheme="minorHAnsi"/>
                <w:b/>
                <w:bCs/>
                <w:szCs w:val="24"/>
                <w:lang w:eastAsia="zh-CN"/>
              </w:rPr>
              <w:t>年</w:t>
            </w:r>
            <w:r w:rsidRPr="009A3F4D">
              <w:rPr>
                <w:rFonts w:asciiTheme="minorHAnsi" w:eastAsiaTheme="minorEastAsia" w:hAnsiTheme="minorHAnsi" w:cstheme="minorHAnsi"/>
                <w:b/>
                <w:bCs/>
                <w:szCs w:val="24"/>
                <w:lang w:eastAsia="zh-CN"/>
              </w:rPr>
              <w:t>10</w:t>
            </w:r>
            <w:r w:rsidRPr="009A3F4D">
              <w:rPr>
                <w:rFonts w:asciiTheme="minorHAnsi" w:eastAsiaTheme="minorEastAsia" w:hAnsiTheme="minorHAnsi" w:cstheme="minorHAnsi"/>
                <w:b/>
                <w:bCs/>
                <w:szCs w:val="24"/>
                <w:lang w:eastAsia="zh-CN"/>
              </w:rPr>
              <w:t>月</w:t>
            </w:r>
            <w:r w:rsidRPr="009A3F4D">
              <w:rPr>
                <w:rFonts w:asciiTheme="minorHAnsi" w:eastAsiaTheme="minorEastAsia" w:hAnsiTheme="minorHAnsi" w:cstheme="minorHAnsi"/>
                <w:b/>
                <w:bCs/>
                <w:szCs w:val="24"/>
                <w:lang w:eastAsia="zh-CN"/>
              </w:rPr>
              <w:t>2</w:t>
            </w:r>
            <w:r w:rsidR="009D6EA5" w:rsidRPr="009A3F4D">
              <w:rPr>
                <w:rFonts w:asciiTheme="minorHAnsi" w:eastAsiaTheme="minorEastAsia" w:hAnsiTheme="minorHAnsi" w:cstheme="minorHAnsi"/>
                <w:b/>
                <w:bCs/>
                <w:szCs w:val="24"/>
                <w:lang w:eastAsia="zh-CN"/>
              </w:rPr>
              <w:t>9</w:t>
            </w:r>
            <w:r w:rsidRPr="009A3F4D">
              <w:rPr>
                <w:rFonts w:asciiTheme="minorHAnsi" w:eastAsiaTheme="minorEastAsia" w:hAnsiTheme="minorHAnsi" w:cstheme="minorHAnsi"/>
                <w:b/>
                <w:bCs/>
                <w:szCs w:val="24"/>
                <w:lang w:eastAsia="zh-CN"/>
              </w:rPr>
              <w:t>日</w:t>
            </w:r>
            <w:r w:rsidRPr="009A3F4D">
              <w:rPr>
                <w:rFonts w:asciiTheme="minorHAnsi" w:eastAsiaTheme="minorEastAsia" w:hAnsiTheme="minorHAnsi" w:cstheme="minorHAnsi"/>
                <w:b/>
                <w:bCs/>
                <w:szCs w:val="24"/>
                <w:lang w:eastAsia="zh-CN"/>
              </w:rPr>
              <w:t>-11</w:t>
            </w:r>
            <w:r w:rsidRPr="009A3F4D">
              <w:rPr>
                <w:rFonts w:asciiTheme="minorHAnsi" w:eastAsiaTheme="minorEastAsia" w:hAnsiTheme="minorHAnsi" w:cstheme="minorHAnsi"/>
                <w:b/>
                <w:bCs/>
                <w:szCs w:val="24"/>
                <w:lang w:eastAsia="zh-CN"/>
              </w:rPr>
              <w:t>月</w:t>
            </w:r>
            <w:r w:rsidR="009D6EA5" w:rsidRPr="009A3F4D">
              <w:rPr>
                <w:rFonts w:asciiTheme="minorHAnsi" w:eastAsiaTheme="minorEastAsia" w:hAnsiTheme="minorHAnsi" w:cstheme="minorHAnsi"/>
                <w:b/>
                <w:bCs/>
                <w:szCs w:val="24"/>
                <w:lang w:eastAsia="zh-CN"/>
              </w:rPr>
              <w:t>16</w:t>
            </w:r>
            <w:r w:rsidRPr="009A3F4D">
              <w:rPr>
                <w:rFonts w:asciiTheme="minorHAnsi" w:eastAsiaTheme="minorEastAsia" w:hAnsiTheme="minorHAnsi" w:cstheme="minorHAnsi"/>
                <w:b/>
                <w:bCs/>
                <w:szCs w:val="24"/>
                <w:lang w:eastAsia="zh-CN"/>
              </w:rPr>
              <w:t>日，</w:t>
            </w:r>
            <w:r w:rsidR="009D6EA5" w:rsidRPr="009A3F4D">
              <w:rPr>
                <w:rFonts w:asciiTheme="minorHAnsi" w:eastAsiaTheme="minorEastAsia" w:hAnsiTheme="minorHAnsi" w:cstheme="minorHAnsi"/>
                <w:b/>
                <w:bCs/>
                <w:szCs w:val="24"/>
                <w:lang w:eastAsia="zh-CN"/>
              </w:rPr>
              <w:t>迪拜</w:t>
            </w:r>
            <w:bookmarkEnd w:id="0"/>
          </w:p>
        </w:tc>
        <w:tc>
          <w:tcPr>
            <w:tcW w:w="3120" w:type="dxa"/>
          </w:tcPr>
          <w:p w:rsidR="00C710E5" w:rsidRPr="009A3F4D" w:rsidRDefault="00C710E5" w:rsidP="009A3F4D">
            <w:pPr>
              <w:rPr>
                <w:rFonts w:asciiTheme="minorHAnsi" w:eastAsiaTheme="minorEastAsia" w:hAnsiTheme="minorHAnsi" w:cstheme="minorHAnsi"/>
              </w:rPr>
            </w:pPr>
            <w:bookmarkStart w:id="3" w:name="ditulogo"/>
            <w:bookmarkEnd w:id="3"/>
            <w:r w:rsidRPr="009A3F4D">
              <w:rPr>
                <w:rFonts w:asciiTheme="minorHAnsi" w:eastAsiaTheme="minorEastAsia" w:hAnsiTheme="minorHAnsi" w:cstheme="minorHAnsi"/>
                <w:noProof/>
                <w:lang w:eastAsia="zh-CN"/>
              </w:rPr>
              <w:drawing>
                <wp:inline distT="0" distB="0" distL="0" distR="0" wp14:anchorId="05FA8259" wp14:editId="76673B56">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C710E5" w:rsidRPr="009A3F4D" w:rsidTr="003B43D8">
        <w:trPr>
          <w:cantSplit/>
        </w:trPr>
        <w:tc>
          <w:tcPr>
            <w:tcW w:w="6911" w:type="dxa"/>
            <w:tcBorders>
              <w:bottom w:val="single" w:sz="12" w:space="0" w:color="auto"/>
            </w:tcBorders>
          </w:tcPr>
          <w:p w:rsidR="00C710E5" w:rsidRPr="009A3F4D" w:rsidRDefault="00C710E5" w:rsidP="009A3F4D">
            <w:pPr>
              <w:spacing w:after="48"/>
              <w:rPr>
                <w:rFonts w:asciiTheme="minorHAnsi" w:eastAsiaTheme="minorEastAsia" w:hAnsiTheme="minorHAnsi" w:cstheme="minorHAnsi"/>
                <w:b/>
                <w:smallCaps/>
                <w:szCs w:val="24"/>
              </w:rPr>
            </w:pPr>
            <w:bookmarkStart w:id="4" w:name="dhead"/>
          </w:p>
        </w:tc>
        <w:tc>
          <w:tcPr>
            <w:tcW w:w="3120" w:type="dxa"/>
            <w:tcBorders>
              <w:bottom w:val="single" w:sz="12" w:space="0" w:color="auto"/>
            </w:tcBorders>
          </w:tcPr>
          <w:p w:rsidR="00C710E5" w:rsidRPr="009A3F4D" w:rsidRDefault="00C710E5" w:rsidP="009A3F4D">
            <w:pPr>
              <w:spacing w:after="48"/>
              <w:rPr>
                <w:rFonts w:asciiTheme="minorHAnsi" w:eastAsiaTheme="minorEastAsia" w:hAnsiTheme="minorHAnsi" w:cstheme="minorHAnsi"/>
                <w:b/>
                <w:smallCaps/>
                <w:szCs w:val="24"/>
              </w:rPr>
            </w:pPr>
          </w:p>
        </w:tc>
      </w:tr>
      <w:tr w:rsidR="00C710E5" w:rsidRPr="009A3F4D" w:rsidTr="003B43D8">
        <w:trPr>
          <w:cantSplit/>
        </w:trPr>
        <w:tc>
          <w:tcPr>
            <w:tcW w:w="6911" w:type="dxa"/>
            <w:tcBorders>
              <w:top w:val="single" w:sz="12" w:space="0" w:color="auto"/>
            </w:tcBorders>
          </w:tcPr>
          <w:p w:rsidR="00C710E5" w:rsidRPr="009A3F4D" w:rsidRDefault="00C710E5" w:rsidP="009A3F4D">
            <w:pPr>
              <w:rPr>
                <w:rFonts w:asciiTheme="minorHAnsi" w:eastAsiaTheme="minorEastAsia" w:hAnsiTheme="minorHAnsi" w:cstheme="minorHAnsi"/>
                <w:b/>
                <w:bCs/>
                <w:sz w:val="20"/>
              </w:rPr>
            </w:pPr>
          </w:p>
        </w:tc>
        <w:tc>
          <w:tcPr>
            <w:tcW w:w="3120" w:type="dxa"/>
            <w:tcBorders>
              <w:top w:val="single" w:sz="12" w:space="0" w:color="auto"/>
            </w:tcBorders>
          </w:tcPr>
          <w:p w:rsidR="00C710E5" w:rsidRPr="009A3F4D" w:rsidRDefault="00C710E5" w:rsidP="009A3F4D">
            <w:pPr>
              <w:rPr>
                <w:rFonts w:asciiTheme="minorHAnsi" w:eastAsiaTheme="minorEastAsia" w:hAnsiTheme="minorHAnsi" w:cstheme="minorHAnsi"/>
                <w:b/>
                <w:bCs/>
                <w:sz w:val="20"/>
              </w:rPr>
            </w:pPr>
          </w:p>
        </w:tc>
      </w:tr>
      <w:tr w:rsidR="000C0900" w:rsidRPr="009A3F4D" w:rsidTr="003B43D8">
        <w:trPr>
          <w:cantSplit/>
          <w:trHeight w:val="23"/>
        </w:trPr>
        <w:tc>
          <w:tcPr>
            <w:tcW w:w="6911" w:type="dxa"/>
          </w:tcPr>
          <w:p w:rsidR="000C0900" w:rsidRPr="009A3F4D" w:rsidRDefault="000C0900" w:rsidP="009A3F4D">
            <w:pPr>
              <w:pStyle w:val="Committee"/>
              <w:framePr w:hSpace="0" w:wrap="auto" w:hAnchor="text" w:yAlign="inline"/>
              <w:spacing w:line="240" w:lineRule="auto"/>
              <w:rPr>
                <w:rFonts w:eastAsiaTheme="minorEastAsia"/>
              </w:rPr>
            </w:pPr>
            <w:r w:rsidRPr="009A3F4D">
              <w:rPr>
                <w:rFonts w:eastAsiaTheme="minorEastAsia"/>
              </w:rPr>
              <w:t>全体会议</w:t>
            </w:r>
          </w:p>
        </w:tc>
        <w:tc>
          <w:tcPr>
            <w:tcW w:w="3120" w:type="dxa"/>
          </w:tcPr>
          <w:p w:rsidR="000C0900" w:rsidRPr="009A3F4D" w:rsidRDefault="000C0900" w:rsidP="009A3F4D">
            <w:pPr>
              <w:spacing w:before="0"/>
              <w:rPr>
                <w:rFonts w:asciiTheme="minorHAnsi" w:eastAsiaTheme="minorEastAsia" w:hAnsiTheme="minorHAnsi" w:cstheme="minorHAnsi"/>
                <w:szCs w:val="24"/>
              </w:rPr>
            </w:pPr>
            <w:proofErr w:type="spellStart"/>
            <w:r w:rsidRPr="009A3F4D">
              <w:rPr>
                <w:rFonts w:asciiTheme="minorHAnsi" w:eastAsiaTheme="minorEastAsia" w:hAnsiTheme="minorHAnsi" w:cstheme="minorHAnsi"/>
                <w:b/>
                <w:szCs w:val="24"/>
              </w:rPr>
              <w:t>文件</w:t>
            </w:r>
            <w:proofErr w:type="spellEnd"/>
            <w:r w:rsidR="00332BCD" w:rsidRPr="009A3F4D">
              <w:rPr>
                <w:rFonts w:asciiTheme="minorHAnsi" w:eastAsiaTheme="minorEastAsia" w:hAnsiTheme="minorHAnsi" w:cstheme="minorHAnsi"/>
                <w:b/>
                <w:szCs w:val="24"/>
              </w:rPr>
              <w:t xml:space="preserve"> 52</w:t>
            </w:r>
            <w:r w:rsidRPr="009A3F4D">
              <w:rPr>
                <w:rFonts w:asciiTheme="minorHAnsi" w:eastAsiaTheme="minorEastAsia" w:hAnsiTheme="minorHAnsi" w:cstheme="minorHAnsi"/>
                <w:b/>
                <w:szCs w:val="24"/>
              </w:rPr>
              <w:t>-C</w:t>
            </w:r>
          </w:p>
        </w:tc>
      </w:tr>
      <w:tr w:rsidR="00C710E5" w:rsidRPr="009A3F4D" w:rsidTr="003B43D8">
        <w:trPr>
          <w:cantSplit/>
          <w:trHeight w:val="23"/>
        </w:trPr>
        <w:tc>
          <w:tcPr>
            <w:tcW w:w="6911" w:type="dxa"/>
          </w:tcPr>
          <w:p w:rsidR="00C710E5" w:rsidRPr="009A3F4D" w:rsidRDefault="00C710E5" w:rsidP="009A3F4D">
            <w:pPr>
              <w:spacing w:before="0"/>
              <w:rPr>
                <w:rFonts w:asciiTheme="minorHAnsi" w:eastAsiaTheme="minorEastAsia" w:hAnsiTheme="minorHAnsi" w:cstheme="minorHAnsi"/>
                <w:b/>
                <w:bCs/>
                <w:szCs w:val="24"/>
              </w:rPr>
            </w:pPr>
          </w:p>
        </w:tc>
        <w:tc>
          <w:tcPr>
            <w:tcW w:w="3120" w:type="dxa"/>
          </w:tcPr>
          <w:p w:rsidR="00C710E5" w:rsidRPr="009A3F4D" w:rsidRDefault="000C0900" w:rsidP="009A3F4D">
            <w:pPr>
              <w:spacing w:before="0"/>
              <w:rPr>
                <w:rFonts w:asciiTheme="minorHAnsi" w:eastAsiaTheme="minorEastAsia" w:hAnsiTheme="minorHAnsi" w:cstheme="minorHAnsi"/>
                <w:szCs w:val="24"/>
              </w:rPr>
            </w:pPr>
            <w:r w:rsidRPr="009A3F4D">
              <w:rPr>
                <w:rFonts w:asciiTheme="minorHAnsi" w:eastAsiaTheme="minorEastAsia" w:hAnsiTheme="minorHAnsi" w:cstheme="minorHAnsi"/>
                <w:b/>
                <w:bCs/>
                <w:szCs w:val="24"/>
              </w:rPr>
              <w:t>201</w:t>
            </w:r>
            <w:r w:rsidR="00332BCD" w:rsidRPr="009A3F4D">
              <w:rPr>
                <w:rFonts w:asciiTheme="minorHAnsi" w:eastAsiaTheme="minorEastAsia" w:hAnsiTheme="minorHAnsi" w:cstheme="minorHAnsi"/>
                <w:b/>
                <w:bCs/>
                <w:szCs w:val="24"/>
              </w:rPr>
              <w:t>8</w:t>
            </w:r>
            <w:r w:rsidRPr="009A3F4D">
              <w:rPr>
                <w:rFonts w:asciiTheme="minorHAnsi" w:eastAsiaTheme="minorEastAsia" w:hAnsiTheme="minorHAnsi" w:cstheme="minorHAnsi"/>
                <w:b/>
                <w:bCs/>
                <w:szCs w:val="24"/>
              </w:rPr>
              <w:t>年</w:t>
            </w:r>
            <w:r w:rsidR="00332BCD" w:rsidRPr="009A3F4D">
              <w:rPr>
                <w:rFonts w:asciiTheme="minorHAnsi" w:eastAsiaTheme="minorEastAsia" w:hAnsiTheme="minorHAnsi" w:cstheme="minorHAnsi"/>
                <w:b/>
                <w:bCs/>
                <w:szCs w:val="24"/>
              </w:rPr>
              <w:t>10</w:t>
            </w:r>
            <w:r w:rsidRPr="009A3F4D">
              <w:rPr>
                <w:rFonts w:asciiTheme="minorHAnsi" w:eastAsiaTheme="minorEastAsia" w:hAnsiTheme="minorHAnsi" w:cstheme="minorHAnsi"/>
                <w:b/>
                <w:bCs/>
                <w:szCs w:val="24"/>
              </w:rPr>
              <w:t>月</w:t>
            </w:r>
            <w:r w:rsidR="00332BCD" w:rsidRPr="009A3F4D">
              <w:rPr>
                <w:rFonts w:asciiTheme="minorHAnsi" w:eastAsiaTheme="minorEastAsia" w:hAnsiTheme="minorHAnsi" w:cstheme="minorHAnsi"/>
                <w:b/>
                <w:bCs/>
                <w:szCs w:val="24"/>
              </w:rPr>
              <w:t>5</w:t>
            </w:r>
            <w:r w:rsidRPr="009A3F4D">
              <w:rPr>
                <w:rFonts w:asciiTheme="minorHAnsi" w:eastAsiaTheme="minorEastAsia" w:hAnsiTheme="minorHAnsi" w:cstheme="minorHAnsi"/>
                <w:b/>
                <w:bCs/>
                <w:szCs w:val="24"/>
              </w:rPr>
              <w:t>日</w:t>
            </w:r>
          </w:p>
        </w:tc>
      </w:tr>
      <w:tr w:rsidR="00C710E5" w:rsidRPr="009A3F4D" w:rsidTr="003B43D8">
        <w:trPr>
          <w:cantSplit/>
          <w:trHeight w:val="23"/>
        </w:trPr>
        <w:tc>
          <w:tcPr>
            <w:tcW w:w="6911" w:type="dxa"/>
          </w:tcPr>
          <w:p w:rsidR="00C710E5" w:rsidRPr="009A3F4D" w:rsidRDefault="00C710E5" w:rsidP="009A3F4D">
            <w:pPr>
              <w:spacing w:before="0"/>
              <w:rPr>
                <w:rFonts w:asciiTheme="minorHAnsi" w:eastAsiaTheme="minorEastAsia" w:hAnsiTheme="minorHAnsi" w:cstheme="minorHAnsi"/>
                <w:b/>
                <w:bCs/>
                <w:szCs w:val="24"/>
              </w:rPr>
            </w:pPr>
          </w:p>
        </w:tc>
        <w:tc>
          <w:tcPr>
            <w:tcW w:w="3120" w:type="dxa"/>
          </w:tcPr>
          <w:p w:rsidR="00C710E5" w:rsidRPr="009A3F4D" w:rsidRDefault="000C0900" w:rsidP="009A3F4D">
            <w:pPr>
              <w:spacing w:before="0"/>
              <w:rPr>
                <w:rFonts w:asciiTheme="minorHAnsi" w:eastAsiaTheme="minorEastAsia" w:hAnsiTheme="minorHAnsi" w:cstheme="minorHAnsi"/>
                <w:szCs w:val="24"/>
              </w:rPr>
            </w:pPr>
            <w:r w:rsidRPr="009A3F4D">
              <w:rPr>
                <w:rFonts w:asciiTheme="minorHAnsi" w:eastAsiaTheme="minorEastAsia" w:hAnsiTheme="minorHAnsi" w:cstheme="minorHAnsi"/>
                <w:b/>
                <w:bCs/>
                <w:szCs w:val="24"/>
              </w:rPr>
              <w:t>原文：英文</w:t>
            </w:r>
          </w:p>
        </w:tc>
      </w:tr>
      <w:tr w:rsidR="00C710E5" w:rsidRPr="009A3F4D" w:rsidTr="003B43D8">
        <w:trPr>
          <w:cantSplit/>
          <w:trHeight w:val="23"/>
        </w:trPr>
        <w:tc>
          <w:tcPr>
            <w:tcW w:w="10031" w:type="dxa"/>
            <w:gridSpan w:val="2"/>
          </w:tcPr>
          <w:p w:rsidR="00C710E5" w:rsidRPr="009A3F4D" w:rsidRDefault="00C710E5" w:rsidP="009A3F4D">
            <w:pPr>
              <w:spacing w:before="0"/>
              <w:rPr>
                <w:rFonts w:asciiTheme="minorHAnsi" w:eastAsiaTheme="minorEastAsia" w:hAnsiTheme="minorHAnsi" w:cstheme="minorHAnsi"/>
                <w:b/>
                <w:bCs/>
                <w:sz w:val="20"/>
              </w:rPr>
            </w:pPr>
          </w:p>
        </w:tc>
      </w:tr>
      <w:tr w:rsidR="00C710E5" w:rsidRPr="009A3F4D" w:rsidTr="003B43D8">
        <w:trPr>
          <w:cantSplit/>
        </w:trPr>
        <w:tc>
          <w:tcPr>
            <w:tcW w:w="10031" w:type="dxa"/>
            <w:gridSpan w:val="2"/>
          </w:tcPr>
          <w:p w:rsidR="00C710E5" w:rsidRPr="009A3F4D" w:rsidRDefault="00B132B7" w:rsidP="009A3F4D">
            <w:pPr>
              <w:pStyle w:val="Source"/>
              <w:rPr>
                <w:rFonts w:asciiTheme="minorHAnsi" w:eastAsiaTheme="minorEastAsia" w:hAnsiTheme="minorHAnsi" w:cstheme="minorHAnsi"/>
              </w:rPr>
            </w:pPr>
            <w:bookmarkStart w:id="5" w:name="dsource" w:colFirst="0" w:colLast="0"/>
            <w:bookmarkEnd w:id="1"/>
            <w:bookmarkEnd w:id="4"/>
            <w:r w:rsidRPr="009A3F4D">
              <w:rPr>
                <w:rFonts w:asciiTheme="minorHAnsi" w:eastAsiaTheme="minorEastAsia" w:hAnsiTheme="minorHAnsi" w:cstheme="minorHAnsi"/>
                <w:lang w:val="fr-CH" w:eastAsia="zh-CN"/>
              </w:rPr>
              <w:t>秘书长的</w:t>
            </w:r>
            <w:r w:rsidRPr="009A3F4D">
              <w:rPr>
                <w:rFonts w:asciiTheme="minorHAnsi" w:eastAsiaTheme="minorEastAsia" w:hAnsiTheme="minorHAnsi" w:cstheme="minorHAnsi"/>
                <w:lang w:eastAsia="zh-CN"/>
              </w:rPr>
              <w:t>报告</w:t>
            </w:r>
          </w:p>
        </w:tc>
      </w:tr>
      <w:tr w:rsidR="00DD0F42" w:rsidRPr="009A3F4D" w:rsidTr="003B43D8">
        <w:trPr>
          <w:cantSplit/>
        </w:trPr>
        <w:tc>
          <w:tcPr>
            <w:tcW w:w="10031" w:type="dxa"/>
            <w:gridSpan w:val="2"/>
          </w:tcPr>
          <w:p w:rsidR="00DD0F42" w:rsidRPr="009A3F4D" w:rsidRDefault="00DD0F42" w:rsidP="009A3F4D">
            <w:pPr>
              <w:pStyle w:val="Title1"/>
              <w:rPr>
                <w:rFonts w:asciiTheme="minorHAnsi" w:eastAsiaTheme="minorEastAsia" w:hAnsiTheme="minorHAnsi" w:cstheme="minorHAnsi"/>
                <w:lang w:eastAsia="zh-CN"/>
              </w:rPr>
            </w:pPr>
            <w:bookmarkStart w:id="6" w:name="dtitle1" w:colFirst="0" w:colLast="0"/>
            <w:bookmarkEnd w:id="5"/>
            <w:r w:rsidRPr="009A3F4D">
              <w:rPr>
                <w:rFonts w:asciiTheme="minorHAnsi" w:eastAsiaTheme="minorEastAsia" w:hAnsiTheme="minorHAnsi" w:cstheme="minorHAnsi"/>
                <w:lang w:eastAsia="zh-CN"/>
              </w:rPr>
              <w:t>进展报告：中小企业（</w:t>
            </w:r>
            <w:r w:rsidRPr="009A3F4D">
              <w:rPr>
                <w:rFonts w:asciiTheme="minorHAnsi" w:eastAsiaTheme="minorEastAsia" w:hAnsiTheme="minorHAnsi" w:cstheme="minorHAnsi"/>
                <w:lang w:eastAsia="zh-CN"/>
              </w:rPr>
              <w:t>SME</w:t>
            </w:r>
            <w:r w:rsidRPr="009A3F4D">
              <w:rPr>
                <w:rFonts w:asciiTheme="minorHAnsi" w:eastAsiaTheme="minorEastAsia" w:hAnsiTheme="minorHAnsi" w:cstheme="minorHAnsi"/>
                <w:lang w:eastAsia="zh-CN"/>
              </w:rPr>
              <w:t>）试点项目的实施和</w:t>
            </w:r>
            <w:r w:rsidR="009A3F4D">
              <w:rPr>
                <w:rFonts w:asciiTheme="minorHAnsi" w:eastAsiaTheme="minorEastAsia" w:hAnsiTheme="minorHAnsi" w:cstheme="minorHAnsi"/>
                <w:lang w:eastAsia="zh-CN"/>
              </w:rPr>
              <w:br/>
            </w:r>
            <w:r w:rsidRPr="009A3F4D">
              <w:rPr>
                <w:rFonts w:asciiTheme="minorHAnsi" w:eastAsiaTheme="minorEastAsia" w:hAnsiTheme="minorHAnsi" w:cstheme="minorHAnsi"/>
                <w:lang w:eastAsia="zh-CN"/>
              </w:rPr>
              <w:t>中小企业参与国际电联工作的现状</w:t>
            </w:r>
          </w:p>
        </w:tc>
      </w:tr>
      <w:bookmarkEnd w:id="6"/>
    </w:tbl>
    <w:p w:rsidR="009A0A59" w:rsidRPr="009A3F4D" w:rsidRDefault="009A0A59" w:rsidP="009A3F4D">
      <w:pPr>
        <w:rPr>
          <w:rFonts w:asciiTheme="minorHAnsi" w:eastAsiaTheme="minorEastAsia" w:hAnsiTheme="minorHAnsi" w:cstheme="minorHAnsi"/>
          <w:lang w:eastAsia="zh-CN"/>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9A0A59" w:rsidRPr="009A3F4D" w:rsidTr="003B43D8">
        <w:trPr>
          <w:trHeight w:val="3372"/>
        </w:trPr>
        <w:tc>
          <w:tcPr>
            <w:tcW w:w="8080" w:type="dxa"/>
            <w:tcBorders>
              <w:top w:val="single" w:sz="12" w:space="0" w:color="auto"/>
              <w:left w:val="single" w:sz="12" w:space="0" w:color="auto"/>
              <w:bottom w:val="single" w:sz="12" w:space="0" w:color="auto"/>
              <w:right w:val="single" w:sz="12" w:space="0" w:color="auto"/>
            </w:tcBorders>
          </w:tcPr>
          <w:p w:rsidR="009A0A59" w:rsidRPr="009A3F4D" w:rsidRDefault="00DD0F42" w:rsidP="009A3F4D">
            <w:pPr>
              <w:pStyle w:val="Headingb"/>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概要</w:t>
            </w:r>
          </w:p>
          <w:p w:rsidR="009A0A59" w:rsidRPr="009A3F4D" w:rsidRDefault="00EA50B4" w:rsidP="009A3F4D">
            <w:pPr>
              <w:jc w:val="both"/>
              <w:rPr>
                <w:rFonts w:asciiTheme="minorHAnsi" w:eastAsiaTheme="minorEastAsia" w:hAnsiTheme="minorHAnsi" w:cstheme="minorHAnsi"/>
                <w:lang w:eastAsia="zh-CN"/>
              </w:rPr>
            </w:pPr>
            <w:r w:rsidRPr="009A3F4D">
              <w:rPr>
                <w:rFonts w:asciiTheme="minorHAnsi" w:eastAsiaTheme="minorEastAsia" w:hAnsiTheme="minorHAnsi" w:cstheme="minorHAnsi"/>
                <w:szCs w:val="24"/>
                <w:lang w:val="en-AU" w:eastAsia="zh-CN"/>
              </w:rPr>
              <w:t>理事会</w:t>
            </w:r>
            <w:r w:rsidRPr="009A3F4D">
              <w:rPr>
                <w:rFonts w:asciiTheme="minorHAnsi" w:eastAsiaTheme="minorEastAsia" w:hAnsiTheme="minorHAnsi" w:cstheme="minorHAnsi"/>
                <w:szCs w:val="24"/>
                <w:lang w:val="en-AU" w:eastAsia="zh-CN"/>
              </w:rPr>
              <w:t>2017</w:t>
            </w:r>
            <w:r w:rsidRPr="009A3F4D">
              <w:rPr>
                <w:rFonts w:asciiTheme="minorHAnsi" w:eastAsiaTheme="minorEastAsia" w:hAnsiTheme="minorHAnsi" w:cstheme="minorHAnsi"/>
                <w:szCs w:val="24"/>
                <w:lang w:val="en-AU" w:eastAsia="zh-CN"/>
              </w:rPr>
              <w:t>年会议决定在相关</w:t>
            </w:r>
            <w:r w:rsidRPr="009A3F4D">
              <w:rPr>
                <w:rFonts w:asciiTheme="minorHAnsi" w:eastAsiaTheme="minorEastAsia" w:hAnsiTheme="minorHAnsi" w:cstheme="minorHAnsi"/>
                <w:szCs w:val="24"/>
                <w:lang w:val="en-AU" w:eastAsia="zh-CN"/>
              </w:rPr>
              <w:t>ITU-T</w:t>
            </w:r>
            <w:r w:rsidRPr="009A3F4D">
              <w:rPr>
                <w:rFonts w:asciiTheme="minorHAnsi" w:eastAsiaTheme="minorEastAsia" w:hAnsiTheme="minorHAnsi" w:cstheme="minorHAnsi"/>
                <w:szCs w:val="24"/>
                <w:lang w:val="en-AU" w:eastAsia="zh-CN"/>
              </w:rPr>
              <w:t>和</w:t>
            </w:r>
            <w:r w:rsidRPr="009A3F4D">
              <w:rPr>
                <w:rFonts w:asciiTheme="minorHAnsi" w:eastAsiaTheme="minorEastAsia" w:hAnsiTheme="minorHAnsi" w:cstheme="minorHAnsi"/>
                <w:szCs w:val="24"/>
                <w:lang w:val="en-AU" w:eastAsia="zh-CN"/>
              </w:rPr>
              <w:t>ITU-D</w:t>
            </w:r>
            <w:r w:rsidRPr="009A3F4D">
              <w:rPr>
                <w:rFonts w:asciiTheme="minorHAnsi" w:eastAsiaTheme="minorEastAsia" w:hAnsiTheme="minorHAnsi" w:cstheme="minorHAnsi"/>
                <w:szCs w:val="24"/>
                <w:lang w:val="en-AU" w:eastAsia="zh-CN"/>
              </w:rPr>
              <w:t>研究组推出中小企业试点项目。</w:t>
            </w:r>
            <w:r w:rsidRPr="009A3F4D">
              <w:rPr>
                <w:rFonts w:asciiTheme="minorHAnsi" w:eastAsiaTheme="minorEastAsia" w:hAnsiTheme="minorHAnsi" w:cstheme="minorHAnsi"/>
                <w:szCs w:val="24"/>
                <w:lang w:val="en-AU" w:eastAsia="zh-CN"/>
              </w:rPr>
              <w:t>ITU-T</w:t>
            </w:r>
            <w:r w:rsidRPr="009A3F4D">
              <w:rPr>
                <w:rFonts w:asciiTheme="minorHAnsi" w:eastAsiaTheme="minorEastAsia" w:hAnsiTheme="minorHAnsi" w:cstheme="minorHAnsi"/>
                <w:szCs w:val="24"/>
                <w:lang w:val="en-AU" w:eastAsia="zh-CN"/>
              </w:rPr>
              <w:t>第</w:t>
            </w:r>
            <w:r w:rsidRPr="009A3F4D">
              <w:rPr>
                <w:rFonts w:asciiTheme="minorHAnsi" w:eastAsiaTheme="minorEastAsia" w:hAnsiTheme="minorHAnsi" w:cstheme="minorHAnsi"/>
                <w:szCs w:val="24"/>
                <w:lang w:val="en-AU" w:eastAsia="zh-CN"/>
              </w:rPr>
              <w:t>5</w:t>
            </w:r>
            <w:r w:rsidRPr="009A3F4D">
              <w:rPr>
                <w:rFonts w:asciiTheme="minorHAnsi" w:eastAsiaTheme="minorEastAsia" w:hAnsiTheme="minorHAnsi" w:cstheme="minorHAnsi"/>
                <w:szCs w:val="24"/>
                <w:lang w:val="en-AU" w:eastAsia="zh-CN"/>
              </w:rPr>
              <w:t>、</w:t>
            </w:r>
            <w:r w:rsidR="00DD0F42" w:rsidRPr="009A3F4D">
              <w:rPr>
                <w:rFonts w:asciiTheme="minorHAnsi" w:eastAsiaTheme="minorEastAsia" w:hAnsiTheme="minorHAnsi" w:cstheme="minorHAnsi"/>
                <w:szCs w:val="24"/>
                <w:lang w:val="en-AU" w:eastAsia="zh-CN"/>
              </w:rPr>
              <w:t>11</w:t>
            </w:r>
            <w:r w:rsidR="00DD0F42" w:rsidRPr="009A3F4D">
              <w:rPr>
                <w:rFonts w:asciiTheme="minorHAnsi" w:eastAsiaTheme="minorEastAsia" w:hAnsiTheme="minorHAnsi" w:cstheme="minorHAnsi"/>
                <w:szCs w:val="24"/>
                <w:lang w:val="en-AU" w:eastAsia="zh-CN"/>
              </w:rPr>
              <w:t>、</w:t>
            </w:r>
            <w:r w:rsidRPr="009A3F4D">
              <w:rPr>
                <w:rFonts w:asciiTheme="minorHAnsi" w:eastAsiaTheme="minorEastAsia" w:hAnsiTheme="minorHAnsi" w:cstheme="minorHAnsi"/>
                <w:szCs w:val="24"/>
                <w:lang w:val="en-AU" w:eastAsia="zh-CN"/>
              </w:rPr>
              <w:t>16</w:t>
            </w:r>
            <w:r w:rsidRPr="009A3F4D">
              <w:rPr>
                <w:rFonts w:asciiTheme="minorHAnsi" w:eastAsiaTheme="minorEastAsia" w:hAnsiTheme="minorHAnsi" w:cstheme="minorHAnsi"/>
                <w:szCs w:val="24"/>
                <w:lang w:val="en-AU" w:eastAsia="zh-CN"/>
              </w:rPr>
              <w:t>和</w:t>
            </w:r>
            <w:r w:rsidRPr="009A3F4D">
              <w:rPr>
                <w:rFonts w:asciiTheme="minorHAnsi" w:eastAsiaTheme="minorEastAsia" w:hAnsiTheme="minorHAnsi" w:cstheme="minorHAnsi"/>
                <w:szCs w:val="24"/>
                <w:lang w:val="en-AU" w:eastAsia="zh-CN"/>
              </w:rPr>
              <w:t>20</w:t>
            </w:r>
            <w:r w:rsidRPr="009A3F4D">
              <w:rPr>
                <w:rFonts w:asciiTheme="minorHAnsi" w:eastAsiaTheme="minorEastAsia" w:hAnsiTheme="minorHAnsi" w:cstheme="minorHAnsi"/>
                <w:szCs w:val="24"/>
                <w:lang w:val="en-AU" w:eastAsia="zh-CN"/>
              </w:rPr>
              <w:t>研究组以及</w:t>
            </w:r>
            <w:r w:rsidRPr="009A3F4D">
              <w:rPr>
                <w:rFonts w:asciiTheme="minorHAnsi" w:eastAsiaTheme="minorEastAsia" w:hAnsiTheme="minorHAnsi" w:cstheme="minorHAnsi"/>
                <w:szCs w:val="24"/>
                <w:lang w:val="en-AU" w:eastAsia="zh-CN"/>
              </w:rPr>
              <w:t>ITU-D</w:t>
            </w:r>
            <w:r w:rsidRPr="009A3F4D">
              <w:rPr>
                <w:rFonts w:asciiTheme="minorHAnsi" w:eastAsiaTheme="minorEastAsia" w:hAnsiTheme="minorHAnsi" w:cstheme="minorHAnsi"/>
                <w:szCs w:val="24"/>
                <w:lang w:val="en-AU" w:eastAsia="zh-CN"/>
              </w:rPr>
              <w:t>两个研究组</w:t>
            </w:r>
            <w:r w:rsidR="00DD0F42" w:rsidRPr="009A3F4D">
              <w:rPr>
                <w:rFonts w:asciiTheme="minorHAnsi" w:eastAsiaTheme="minorEastAsia" w:hAnsiTheme="minorHAnsi" w:cstheme="minorHAnsi"/>
                <w:szCs w:val="24"/>
                <w:lang w:val="en-AU" w:eastAsia="zh-CN"/>
              </w:rPr>
              <w:t>已决定</w:t>
            </w:r>
            <w:r w:rsidRPr="009A3F4D">
              <w:rPr>
                <w:rFonts w:asciiTheme="minorHAnsi" w:eastAsiaTheme="minorEastAsia" w:hAnsiTheme="minorHAnsi" w:cstheme="minorHAnsi"/>
                <w:szCs w:val="24"/>
                <w:lang w:val="en-AU" w:eastAsia="zh-CN"/>
              </w:rPr>
              <w:t>参加该项目。理事会责成秘书处向理事会</w:t>
            </w:r>
            <w:r w:rsidRPr="009A3F4D">
              <w:rPr>
                <w:rFonts w:asciiTheme="minorHAnsi" w:eastAsiaTheme="minorEastAsia" w:hAnsiTheme="minorHAnsi" w:cstheme="minorHAnsi"/>
                <w:szCs w:val="24"/>
                <w:lang w:val="en-AU" w:eastAsia="zh-CN"/>
              </w:rPr>
              <w:t>2018</w:t>
            </w:r>
            <w:r w:rsidRPr="009A3F4D">
              <w:rPr>
                <w:rFonts w:asciiTheme="minorHAnsi" w:eastAsiaTheme="minorEastAsia" w:hAnsiTheme="minorHAnsi" w:cstheme="minorHAnsi"/>
                <w:szCs w:val="24"/>
                <w:lang w:val="en-AU" w:eastAsia="zh-CN"/>
              </w:rPr>
              <w:t>年会议提交进展报告并向</w:t>
            </w:r>
            <w:r w:rsidRPr="009A3F4D">
              <w:rPr>
                <w:rFonts w:asciiTheme="minorHAnsi" w:eastAsiaTheme="minorEastAsia" w:hAnsiTheme="minorHAnsi" w:cstheme="minorHAnsi"/>
                <w:szCs w:val="24"/>
                <w:lang w:val="en-AU" w:eastAsia="zh-CN"/>
              </w:rPr>
              <w:t>2018</w:t>
            </w:r>
            <w:r w:rsidRPr="009A3F4D">
              <w:rPr>
                <w:rFonts w:asciiTheme="minorHAnsi" w:eastAsiaTheme="minorEastAsia" w:hAnsiTheme="minorHAnsi" w:cstheme="minorHAnsi"/>
                <w:szCs w:val="24"/>
                <w:lang w:val="en-AU" w:eastAsia="zh-CN"/>
              </w:rPr>
              <w:t>年全权代表大会（</w:t>
            </w:r>
            <w:r w:rsidRPr="009A3F4D">
              <w:rPr>
                <w:rFonts w:asciiTheme="minorHAnsi" w:eastAsiaTheme="minorEastAsia" w:hAnsiTheme="minorHAnsi" w:cstheme="minorHAnsi"/>
                <w:szCs w:val="24"/>
                <w:lang w:val="en-AU" w:eastAsia="zh-CN"/>
              </w:rPr>
              <w:t>PP18</w:t>
            </w:r>
            <w:r w:rsidRPr="009A3F4D">
              <w:rPr>
                <w:rFonts w:asciiTheme="minorHAnsi" w:eastAsiaTheme="minorEastAsia" w:hAnsiTheme="minorHAnsi" w:cstheme="minorHAnsi"/>
                <w:szCs w:val="24"/>
                <w:lang w:val="en-AU" w:eastAsia="zh-CN"/>
              </w:rPr>
              <w:t>）提交更加全面的成果报告。</w:t>
            </w:r>
          </w:p>
          <w:p w:rsidR="009A0A59" w:rsidRPr="009A3F4D" w:rsidRDefault="00DD0F42" w:rsidP="009A3F4D">
            <w:pPr>
              <w:pStyle w:val="Headingb"/>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需采取的行动</w:t>
            </w:r>
          </w:p>
          <w:p w:rsidR="009A0A59" w:rsidRPr="009A3F4D" w:rsidRDefault="00EA50B4"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szCs w:val="24"/>
                <w:lang w:eastAsia="zh-CN"/>
              </w:rPr>
              <w:t>请</w:t>
            </w:r>
            <w:r w:rsidR="00DD0F42" w:rsidRPr="009A3F4D">
              <w:rPr>
                <w:rFonts w:asciiTheme="minorHAnsi" w:eastAsiaTheme="minorEastAsia" w:hAnsiTheme="minorHAnsi" w:cstheme="minorHAnsi"/>
                <w:szCs w:val="24"/>
                <w:lang w:eastAsia="zh-CN"/>
              </w:rPr>
              <w:t>全权代表大</w:t>
            </w:r>
            <w:r w:rsidRPr="009A3F4D">
              <w:rPr>
                <w:rFonts w:asciiTheme="minorHAnsi" w:eastAsiaTheme="minorEastAsia" w:hAnsiTheme="minorHAnsi" w:cstheme="minorHAnsi"/>
                <w:szCs w:val="24"/>
                <w:lang w:eastAsia="zh-CN"/>
              </w:rPr>
              <w:t>会</w:t>
            </w:r>
            <w:r w:rsidRPr="009A3F4D">
              <w:rPr>
                <w:rFonts w:asciiTheme="minorHAnsi" w:eastAsiaTheme="minorEastAsia" w:hAnsiTheme="minorHAnsi" w:cstheme="minorHAnsi"/>
                <w:b/>
                <w:bCs/>
                <w:szCs w:val="24"/>
                <w:lang w:eastAsia="zh-CN"/>
              </w:rPr>
              <w:t>注意</w:t>
            </w:r>
            <w:r w:rsidR="00DD0F42" w:rsidRPr="009A3F4D">
              <w:rPr>
                <w:rFonts w:asciiTheme="minorHAnsi" w:eastAsiaTheme="minorEastAsia" w:hAnsiTheme="minorHAnsi" w:cstheme="minorHAnsi"/>
                <w:bCs/>
                <w:szCs w:val="24"/>
                <w:lang w:eastAsia="zh-CN"/>
              </w:rPr>
              <w:t>此</w:t>
            </w:r>
            <w:r w:rsidRPr="009A3F4D">
              <w:rPr>
                <w:rFonts w:asciiTheme="minorHAnsi" w:eastAsiaTheme="minorEastAsia" w:hAnsiTheme="minorHAnsi" w:cstheme="minorHAnsi"/>
                <w:szCs w:val="24"/>
                <w:lang w:eastAsia="zh-CN"/>
              </w:rPr>
              <w:t>项目的实施状况</w:t>
            </w:r>
            <w:r w:rsidR="00DD0F42" w:rsidRPr="009A3F4D">
              <w:rPr>
                <w:rFonts w:asciiTheme="minorHAnsi" w:eastAsiaTheme="minorEastAsia" w:hAnsiTheme="minorHAnsi" w:cstheme="minorHAnsi"/>
                <w:szCs w:val="24"/>
                <w:lang w:eastAsia="zh-CN"/>
              </w:rPr>
              <w:t>并就接下来的步骤做出</w:t>
            </w:r>
            <w:r w:rsidR="00DD0F42" w:rsidRPr="009A3F4D">
              <w:rPr>
                <w:rFonts w:asciiTheme="minorHAnsi" w:eastAsiaTheme="minorEastAsia" w:hAnsiTheme="minorHAnsi" w:cstheme="minorHAnsi"/>
                <w:b/>
                <w:szCs w:val="24"/>
                <w:lang w:eastAsia="zh-CN"/>
              </w:rPr>
              <w:t>决定</w:t>
            </w:r>
            <w:r w:rsidR="00DD0F42" w:rsidRPr="009A3F4D">
              <w:rPr>
                <w:rFonts w:asciiTheme="minorHAnsi" w:eastAsiaTheme="minorEastAsia" w:hAnsiTheme="minorHAnsi" w:cstheme="minorHAnsi"/>
                <w:szCs w:val="24"/>
                <w:lang w:eastAsia="zh-CN"/>
              </w:rPr>
              <w:t>，同时考虑到秘书长提出的可选方案</w:t>
            </w:r>
            <w:r w:rsidRPr="009A3F4D">
              <w:rPr>
                <w:rFonts w:asciiTheme="minorHAnsi" w:eastAsiaTheme="minorEastAsia" w:hAnsiTheme="minorHAnsi" w:cstheme="minorHAnsi"/>
                <w:szCs w:val="24"/>
                <w:lang w:eastAsia="zh-CN"/>
              </w:rPr>
              <w:t>。</w:t>
            </w:r>
          </w:p>
          <w:p w:rsidR="009A0A59" w:rsidRPr="009A3F4D" w:rsidRDefault="009A0A59" w:rsidP="009A3F4D">
            <w:pPr>
              <w:pStyle w:val="Table"/>
              <w:keepNext w:val="0"/>
              <w:spacing w:before="0" w:after="0"/>
              <w:rPr>
                <w:rFonts w:asciiTheme="minorHAnsi" w:eastAsiaTheme="minorEastAsia" w:hAnsiTheme="minorHAnsi" w:cstheme="minorHAnsi"/>
                <w:caps w:val="0"/>
                <w:lang w:eastAsia="zh-CN"/>
              </w:rPr>
            </w:pPr>
            <w:r w:rsidRPr="009A3F4D">
              <w:rPr>
                <w:rFonts w:asciiTheme="minorHAnsi" w:eastAsiaTheme="minorEastAsia" w:hAnsiTheme="minorHAnsi" w:cstheme="minorHAnsi"/>
                <w:caps w:val="0"/>
                <w:lang w:eastAsia="zh-CN"/>
              </w:rPr>
              <w:t>____________</w:t>
            </w:r>
          </w:p>
          <w:p w:rsidR="009A0A59" w:rsidRPr="009A3F4D" w:rsidRDefault="00DD0F42" w:rsidP="009A3F4D">
            <w:pPr>
              <w:pStyle w:val="Headingb"/>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参考文件</w:t>
            </w:r>
          </w:p>
          <w:p w:rsidR="009A0A59" w:rsidRPr="009A3F4D" w:rsidRDefault="00DD0F42" w:rsidP="009A3F4D">
            <w:pPr>
              <w:rPr>
                <w:rFonts w:ascii="STKaiti" w:eastAsia="STKaiti" w:hAnsi="STKaiti" w:cstheme="minorHAnsi"/>
                <w:iCs/>
                <w:lang w:eastAsia="zh-CN"/>
              </w:rPr>
            </w:pPr>
            <w:r w:rsidRPr="009A3F4D">
              <w:rPr>
                <w:rStyle w:val="Hyperlink"/>
                <w:rFonts w:ascii="STKaiti" w:eastAsia="STKaiti" w:hAnsi="STKaiti" w:cstheme="minorHAnsi"/>
                <w:iCs/>
                <w:lang w:eastAsia="zh-CN"/>
              </w:rPr>
              <w:t>理事会人力和财务资源工作组（CWG-FHR）</w:t>
            </w:r>
            <w:r w:rsidR="009E3AA3" w:rsidRPr="009A3F4D">
              <w:rPr>
                <w:rStyle w:val="Hyperlink"/>
                <w:rFonts w:ascii="STKaiti" w:eastAsia="STKaiti" w:hAnsi="STKaiti" w:cstheme="minorHAnsi"/>
                <w:iCs/>
                <w:lang w:eastAsia="zh-CN"/>
              </w:rPr>
              <w:t>向</w:t>
            </w:r>
            <w:r w:rsidR="003B43D8" w:rsidRPr="009A3F4D">
              <w:rPr>
                <w:rStyle w:val="Hyperlink"/>
                <w:rFonts w:ascii="STKaiti" w:eastAsia="STKaiti" w:hAnsi="STKaiti" w:cstheme="minorHAnsi"/>
                <w:iCs/>
              </w:rPr>
              <w:fldChar w:fldCharType="begin"/>
            </w:r>
            <w:r w:rsidR="003B43D8" w:rsidRPr="009A3F4D">
              <w:rPr>
                <w:rStyle w:val="Hyperlink"/>
                <w:rFonts w:ascii="STKaiti" w:eastAsia="STKaiti" w:hAnsi="STKaiti" w:cstheme="minorHAnsi"/>
                <w:iCs/>
                <w:lang w:eastAsia="zh-CN"/>
              </w:rPr>
              <w:instrText xml:space="preserve"> HYPERLINK "https://www.itu.int/md/S17-CL-C-0120/en" </w:instrText>
            </w:r>
            <w:r w:rsidR="003B43D8" w:rsidRPr="009A3F4D">
              <w:rPr>
                <w:rStyle w:val="Hyperlink"/>
                <w:rFonts w:ascii="STKaiti" w:eastAsia="STKaiti" w:hAnsi="STKaiti" w:cstheme="minorHAnsi"/>
                <w:iCs/>
              </w:rPr>
              <w:fldChar w:fldCharType="separate"/>
            </w:r>
            <w:r w:rsidRPr="009A3F4D">
              <w:rPr>
                <w:rStyle w:val="Hyperlink"/>
                <w:rFonts w:ascii="STKaiti" w:eastAsia="STKaiti" w:hAnsi="STKaiti" w:cstheme="minorHAnsi"/>
                <w:iCs/>
                <w:lang w:eastAsia="zh-CN"/>
              </w:rPr>
              <w:t>理事会2017年会议</w:t>
            </w:r>
            <w:r w:rsidR="009E3AA3" w:rsidRPr="009A3F4D">
              <w:rPr>
                <w:rStyle w:val="Hyperlink"/>
                <w:rFonts w:ascii="STKaiti" w:eastAsia="STKaiti" w:hAnsi="STKaiti" w:cstheme="minorHAnsi"/>
                <w:iCs/>
                <w:lang w:eastAsia="zh-CN"/>
              </w:rPr>
              <w:t>提交</w:t>
            </w:r>
            <w:r w:rsidRPr="009A3F4D">
              <w:rPr>
                <w:rStyle w:val="Hyperlink"/>
                <w:rFonts w:ascii="STKaiti" w:eastAsia="STKaiti" w:hAnsi="STKaiti" w:cstheme="minorHAnsi"/>
                <w:iCs/>
                <w:lang w:eastAsia="zh-CN"/>
              </w:rPr>
              <w:t>的</w:t>
            </w:r>
            <w:r w:rsidR="009E3AA3" w:rsidRPr="009A3F4D">
              <w:rPr>
                <w:rStyle w:val="Hyperlink"/>
                <w:rFonts w:ascii="STKaiti" w:eastAsia="STKaiti" w:hAnsi="STKaiti" w:cstheme="minorHAnsi"/>
                <w:iCs/>
                <w:lang w:eastAsia="zh-CN"/>
              </w:rPr>
              <w:t>报告</w:t>
            </w:r>
            <w:r w:rsidR="003B43D8" w:rsidRPr="009A3F4D">
              <w:rPr>
                <w:rStyle w:val="Hyperlink"/>
                <w:rFonts w:ascii="STKaiti" w:eastAsia="STKaiti" w:hAnsi="STKaiti" w:cstheme="minorHAnsi"/>
                <w:iCs/>
              </w:rPr>
              <w:fldChar w:fldCharType="end"/>
            </w:r>
            <w:r w:rsidR="009E3AA3" w:rsidRPr="009A3F4D">
              <w:rPr>
                <w:rFonts w:ascii="STKaiti" w:eastAsia="STKaiti" w:hAnsi="STKaiti" w:cstheme="minorHAnsi"/>
                <w:iCs/>
                <w:lang w:eastAsia="zh-CN"/>
              </w:rPr>
              <w:t>（附件K）</w:t>
            </w:r>
          </w:p>
        </w:tc>
      </w:tr>
    </w:tbl>
    <w:p w:rsidR="009A0A59" w:rsidRPr="009A3F4D" w:rsidRDefault="009A0A59" w:rsidP="009A3F4D">
      <w:pPr>
        <w:pStyle w:val="Heading1"/>
        <w:rPr>
          <w:lang w:eastAsia="zh-CN"/>
        </w:rPr>
      </w:pPr>
      <w:bookmarkStart w:id="7" w:name="dstart"/>
      <w:bookmarkStart w:id="8" w:name="dbreak"/>
      <w:bookmarkEnd w:id="7"/>
      <w:bookmarkEnd w:id="8"/>
      <w:r w:rsidRPr="009A3F4D">
        <w:rPr>
          <w:lang w:eastAsia="zh-CN"/>
        </w:rPr>
        <w:t>1</w:t>
      </w:r>
      <w:r w:rsidRPr="009A3F4D">
        <w:rPr>
          <w:lang w:eastAsia="zh-CN"/>
        </w:rPr>
        <w:tab/>
      </w:r>
      <w:r w:rsidR="002460E3" w:rsidRPr="009A3F4D">
        <w:rPr>
          <w:lang w:eastAsia="zh-CN"/>
        </w:rPr>
        <w:t>背景</w:t>
      </w:r>
    </w:p>
    <w:p w:rsidR="009A0A59" w:rsidRPr="009A3F4D" w:rsidRDefault="009A0A59" w:rsidP="009A3F4D">
      <w:pPr>
        <w:jc w:val="both"/>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1.1</w:t>
      </w:r>
      <w:r w:rsidRPr="009A3F4D">
        <w:rPr>
          <w:rFonts w:asciiTheme="minorHAnsi" w:eastAsiaTheme="minorEastAsia" w:hAnsiTheme="minorHAnsi" w:cstheme="minorHAnsi"/>
          <w:lang w:eastAsia="zh-CN"/>
        </w:rPr>
        <w:tab/>
      </w:r>
      <w:r w:rsidR="00EA50B4" w:rsidRPr="009A3F4D">
        <w:rPr>
          <w:rFonts w:asciiTheme="minorHAnsi" w:eastAsiaTheme="minorEastAsia" w:hAnsiTheme="minorHAnsi" w:cstheme="minorHAnsi"/>
          <w:szCs w:val="24"/>
          <w:lang w:val="en-AU" w:eastAsia="zh-CN"/>
        </w:rPr>
        <w:t>理事会</w:t>
      </w:r>
      <w:r w:rsidR="00EA50B4" w:rsidRPr="009A3F4D">
        <w:rPr>
          <w:rFonts w:asciiTheme="minorHAnsi" w:eastAsiaTheme="minorEastAsia" w:hAnsiTheme="minorHAnsi" w:cstheme="minorHAnsi"/>
          <w:szCs w:val="24"/>
          <w:lang w:val="en-AU" w:eastAsia="zh-CN"/>
        </w:rPr>
        <w:t>2017</w:t>
      </w:r>
      <w:r w:rsidR="00EA50B4" w:rsidRPr="009A3F4D">
        <w:rPr>
          <w:rFonts w:asciiTheme="minorHAnsi" w:eastAsiaTheme="minorEastAsia" w:hAnsiTheme="minorHAnsi" w:cstheme="minorHAnsi"/>
          <w:szCs w:val="24"/>
          <w:lang w:val="en-AU" w:eastAsia="zh-CN"/>
        </w:rPr>
        <w:t>年会议决定在相关</w:t>
      </w:r>
      <w:r w:rsidR="00EA50B4" w:rsidRPr="009A3F4D">
        <w:rPr>
          <w:rFonts w:asciiTheme="minorHAnsi" w:eastAsiaTheme="minorEastAsia" w:hAnsiTheme="minorHAnsi" w:cstheme="minorHAnsi"/>
          <w:szCs w:val="24"/>
          <w:lang w:val="en-AU" w:eastAsia="zh-CN"/>
        </w:rPr>
        <w:t>ITU-T</w:t>
      </w:r>
      <w:r w:rsidR="00EA50B4" w:rsidRPr="009A3F4D">
        <w:rPr>
          <w:rFonts w:asciiTheme="minorHAnsi" w:eastAsiaTheme="minorEastAsia" w:hAnsiTheme="minorHAnsi" w:cstheme="minorHAnsi"/>
          <w:szCs w:val="24"/>
          <w:lang w:val="en-AU" w:eastAsia="zh-CN"/>
        </w:rPr>
        <w:t>和</w:t>
      </w:r>
      <w:r w:rsidR="00EA50B4" w:rsidRPr="009A3F4D">
        <w:rPr>
          <w:rFonts w:asciiTheme="minorHAnsi" w:eastAsiaTheme="minorEastAsia" w:hAnsiTheme="minorHAnsi" w:cstheme="minorHAnsi"/>
          <w:szCs w:val="24"/>
          <w:lang w:val="en-AU" w:eastAsia="zh-CN"/>
        </w:rPr>
        <w:t>ITU-D</w:t>
      </w:r>
      <w:r w:rsidR="00EA50B4" w:rsidRPr="009A3F4D">
        <w:rPr>
          <w:rFonts w:asciiTheme="minorHAnsi" w:eastAsiaTheme="minorEastAsia" w:hAnsiTheme="minorHAnsi" w:cstheme="minorHAnsi"/>
          <w:szCs w:val="24"/>
          <w:lang w:val="en-AU" w:eastAsia="zh-CN"/>
        </w:rPr>
        <w:t>研究组推出中小企业试点项目。</w:t>
      </w:r>
      <w:r w:rsidR="00EA50B4" w:rsidRPr="009A3F4D">
        <w:rPr>
          <w:rFonts w:asciiTheme="minorHAnsi" w:eastAsiaTheme="minorEastAsia" w:hAnsiTheme="minorHAnsi" w:cstheme="minorHAnsi"/>
          <w:sz w:val="22"/>
          <w:szCs w:val="30"/>
          <w:lang w:val="en-US" w:eastAsia="zh-CN"/>
        </w:rPr>
        <w:t>中小企业可全面出席参加研究组的会议，但</w:t>
      </w:r>
      <w:r w:rsidR="009E3AA3" w:rsidRPr="009A3F4D">
        <w:rPr>
          <w:rFonts w:asciiTheme="minorHAnsi" w:eastAsiaTheme="minorEastAsia" w:hAnsiTheme="minorHAnsi" w:cstheme="minorHAnsi"/>
          <w:sz w:val="22"/>
          <w:szCs w:val="30"/>
          <w:lang w:val="en-US" w:eastAsia="zh-CN"/>
        </w:rPr>
        <w:t>无</w:t>
      </w:r>
      <w:r w:rsidR="00EA50B4" w:rsidRPr="009A3F4D">
        <w:rPr>
          <w:rFonts w:asciiTheme="minorHAnsi" w:eastAsiaTheme="minorEastAsia" w:hAnsiTheme="minorHAnsi" w:cstheme="minorHAnsi"/>
          <w:sz w:val="22"/>
          <w:szCs w:val="30"/>
          <w:lang w:val="en-US" w:eastAsia="zh-CN"/>
        </w:rPr>
        <w:t>决策职责</w:t>
      </w:r>
      <w:r w:rsidR="009E3AA3" w:rsidRPr="009A3F4D">
        <w:rPr>
          <w:rFonts w:asciiTheme="minorHAnsi" w:eastAsiaTheme="minorEastAsia" w:hAnsiTheme="minorHAnsi" w:cstheme="minorHAnsi"/>
          <w:sz w:val="22"/>
          <w:szCs w:val="30"/>
          <w:lang w:val="en-US" w:eastAsia="zh-CN"/>
        </w:rPr>
        <w:t>，</w:t>
      </w:r>
      <w:r w:rsidR="00EA50B4" w:rsidRPr="009A3F4D">
        <w:rPr>
          <w:rFonts w:asciiTheme="minorHAnsi" w:eastAsiaTheme="minorEastAsia" w:hAnsiTheme="minorHAnsi" w:cstheme="minorHAnsi"/>
          <w:sz w:val="22"/>
          <w:szCs w:val="30"/>
          <w:lang w:val="en-US" w:eastAsia="zh-CN"/>
        </w:rPr>
        <w:t>包括担任领导岗位</w:t>
      </w:r>
      <w:r w:rsidR="009E3AA3" w:rsidRPr="009A3F4D">
        <w:rPr>
          <w:rFonts w:asciiTheme="minorHAnsi" w:eastAsiaTheme="minorEastAsia" w:hAnsiTheme="minorHAnsi" w:cstheme="minorHAnsi"/>
          <w:sz w:val="22"/>
          <w:szCs w:val="30"/>
          <w:lang w:val="en-US" w:eastAsia="zh-CN"/>
        </w:rPr>
        <w:t>和</w:t>
      </w:r>
      <w:r w:rsidR="00EA50B4" w:rsidRPr="009A3F4D">
        <w:rPr>
          <w:rFonts w:asciiTheme="minorHAnsi" w:eastAsiaTheme="minorEastAsia" w:hAnsiTheme="minorHAnsi" w:cstheme="minorHAnsi"/>
          <w:sz w:val="22"/>
          <w:szCs w:val="30"/>
          <w:lang w:val="en-US" w:eastAsia="zh-CN"/>
        </w:rPr>
        <w:t>通过决议</w:t>
      </w:r>
      <w:r w:rsidR="009E3AA3" w:rsidRPr="009A3F4D">
        <w:rPr>
          <w:rFonts w:asciiTheme="minorHAnsi" w:eastAsiaTheme="minorEastAsia" w:hAnsiTheme="minorHAnsi" w:cstheme="minorHAnsi"/>
          <w:sz w:val="22"/>
          <w:szCs w:val="30"/>
          <w:lang w:val="en-US" w:eastAsia="zh-CN"/>
        </w:rPr>
        <w:t>或</w:t>
      </w:r>
      <w:r w:rsidR="00EA50B4" w:rsidRPr="009A3F4D">
        <w:rPr>
          <w:rFonts w:asciiTheme="minorHAnsi" w:eastAsiaTheme="minorEastAsia" w:hAnsiTheme="minorHAnsi" w:cstheme="minorHAnsi"/>
          <w:sz w:val="22"/>
          <w:szCs w:val="30"/>
          <w:lang w:val="en-US" w:eastAsia="zh-CN"/>
        </w:rPr>
        <w:t>建议书。</w:t>
      </w:r>
      <w:r w:rsidR="009E3AA3" w:rsidRPr="009A3F4D">
        <w:rPr>
          <w:rFonts w:asciiTheme="minorHAnsi" w:eastAsiaTheme="minorEastAsia" w:hAnsiTheme="minorHAnsi" w:cstheme="minorHAnsi"/>
          <w:sz w:val="22"/>
          <w:szCs w:val="30"/>
          <w:lang w:val="en-US" w:eastAsia="zh-CN"/>
        </w:rPr>
        <w:t>试点项目完整的职责范围可查阅</w:t>
      </w:r>
      <w:hyperlink r:id="rId8" w:history="1">
        <w:r w:rsidR="009E3AA3" w:rsidRPr="009A3F4D">
          <w:rPr>
            <w:rStyle w:val="Hyperlink"/>
            <w:rFonts w:asciiTheme="minorHAnsi" w:eastAsiaTheme="minorEastAsia" w:hAnsiTheme="minorHAnsi" w:cstheme="minorHAnsi"/>
            <w:lang w:eastAsia="zh-CN"/>
          </w:rPr>
          <w:t>此处</w:t>
        </w:r>
      </w:hyperlink>
      <w:r w:rsidR="009E3AA3" w:rsidRPr="009A3F4D">
        <w:rPr>
          <w:rFonts w:asciiTheme="minorHAnsi" w:eastAsiaTheme="minorEastAsia" w:hAnsiTheme="minorHAnsi" w:cstheme="minorHAnsi"/>
          <w:lang w:eastAsia="zh-CN"/>
        </w:rPr>
        <w:t>。</w:t>
      </w:r>
      <w:r w:rsidRPr="009A3F4D">
        <w:rPr>
          <w:rStyle w:val="FootnoteReference"/>
          <w:rFonts w:asciiTheme="minorHAnsi" w:eastAsiaTheme="minorEastAsia" w:hAnsiTheme="minorHAnsi" w:cstheme="minorHAnsi"/>
        </w:rPr>
        <w:footnoteReference w:id="1"/>
      </w:r>
      <w:r w:rsidRPr="009A3F4D">
        <w:rPr>
          <w:rFonts w:asciiTheme="minorHAnsi" w:eastAsiaTheme="minorEastAsia" w:hAnsiTheme="minorHAnsi" w:cstheme="minorHAnsi"/>
          <w:color w:val="000000"/>
          <w:sz w:val="20"/>
          <w:lang w:eastAsia="zh-CN"/>
        </w:rPr>
        <w:t xml:space="preserve"> </w:t>
      </w:r>
    </w:p>
    <w:p w:rsidR="009A0A59" w:rsidRPr="009A3F4D" w:rsidRDefault="009A0A59" w:rsidP="009A3F4D">
      <w:pPr>
        <w:jc w:val="both"/>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1.2</w:t>
      </w:r>
      <w:r w:rsidRPr="009A3F4D">
        <w:rPr>
          <w:rFonts w:asciiTheme="minorHAnsi" w:eastAsiaTheme="minorEastAsia" w:hAnsiTheme="minorHAnsi" w:cstheme="minorHAnsi"/>
          <w:lang w:eastAsia="zh-CN"/>
        </w:rPr>
        <w:tab/>
      </w:r>
      <w:r w:rsidR="00EA50B4" w:rsidRPr="009A3F4D">
        <w:rPr>
          <w:rFonts w:asciiTheme="minorHAnsi" w:eastAsiaTheme="minorEastAsia" w:hAnsiTheme="minorHAnsi" w:cstheme="minorHAnsi"/>
          <w:szCs w:val="24"/>
          <w:lang w:val="en-US" w:eastAsia="zh-CN"/>
        </w:rPr>
        <w:t>为参加</w:t>
      </w:r>
      <w:r w:rsidR="008D7F98" w:rsidRPr="009A3F4D">
        <w:rPr>
          <w:rFonts w:asciiTheme="minorHAnsi" w:eastAsiaTheme="minorEastAsia" w:hAnsiTheme="minorHAnsi" w:cstheme="minorHAnsi"/>
          <w:szCs w:val="24"/>
          <w:lang w:val="en-US" w:eastAsia="zh-CN"/>
        </w:rPr>
        <w:t>相关活动</w:t>
      </w:r>
      <w:r w:rsidR="00EA50B4" w:rsidRPr="009A3F4D">
        <w:rPr>
          <w:rFonts w:asciiTheme="minorHAnsi" w:eastAsiaTheme="minorEastAsia" w:hAnsiTheme="minorHAnsi" w:cstheme="minorHAnsi"/>
          <w:szCs w:val="24"/>
          <w:lang w:val="en-US" w:eastAsia="zh-CN"/>
        </w:rPr>
        <w:t>，</w:t>
      </w:r>
      <w:r w:rsidR="00EA50B4" w:rsidRPr="009A3F4D">
        <w:rPr>
          <w:rFonts w:asciiTheme="minorHAnsi" w:eastAsiaTheme="minorEastAsia" w:hAnsiTheme="minorHAnsi" w:cstheme="minorHAnsi"/>
          <w:szCs w:val="24"/>
          <w:lang w:val="en-US" w:eastAsia="zh-CN"/>
        </w:rPr>
        <w:t>SME</w:t>
      </w:r>
      <w:r w:rsidR="00EA50B4" w:rsidRPr="009A3F4D">
        <w:rPr>
          <w:rFonts w:asciiTheme="minorHAnsi" w:eastAsiaTheme="minorEastAsia" w:hAnsiTheme="minorHAnsi" w:cstheme="minorHAnsi"/>
          <w:szCs w:val="24"/>
          <w:lang w:val="en-US" w:eastAsia="zh-CN"/>
        </w:rPr>
        <w:t>必须按照各国的</w:t>
      </w:r>
      <w:r w:rsidR="00EA50B4" w:rsidRPr="009A3F4D">
        <w:rPr>
          <w:rFonts w:asciiTheme="minorHAnsi" w:eastAsiaTheme="minorEastAsia" w:hAnsiTheme="minorHAnsi" w:cstheme="minorHAnsi"/>
          <w:szCs w:val="24"/>
          <w:lang w:val="en-US" w:eastAsia="zh-CN"/>
        </w:rPr>
        <w:t>SME</w:t>
      </w:r>
      <w:r w:rsidR="00EA50B4" w:rsidRPr="009A3F4D">
        <w:rPr>
          <w:rFonts w:asciiTheme="minorHAnsi" w:eastAsiaTheme="minorEastAsia" w:hAnsiTheme="minorHAnsi" w:cstheme="minorHAnsi"/>
          <w:szCs w:val="24"/>
          <w:lang w:val="en-US" w:eastAsia="zh-CN"/>
        </w:rPr>
        <w:t>定义得到相关主管部门的批准。</w:t>
      </w:r>
    </w:p>
    <w:p w:rsidR="009A0A59" w:rsidRPr="009A3F4D" w:rsidRDefault="009A0A59" w:rsidP="009A3F4D">
      <w:pPr>
        <w:jc w:val="both"/>
        <w:rPr>
          <w:rFonts w:asciiTheme="minorHAnsi" w:eastAsiaTheme="minorEastAsia" w:hAnsiTheme="minorHAnsi" w:cstheme="minorHAnsi"/>
          <w:szCs w:val="24"/>
          <w:lang w:val="en-AU" w:eastAsia="zh-CN"/>
        </w:rPr>
      </w:pPr>
      <w:r w:rsidRPr="009A3F4D">
        <w:rPr>
          <w:rFonts w:asciiTheme="minorHAnsi" w:eastAsiaTheme="minorEastAsia" w:hAnsiTheme="minorHAnsi" w:cstheme="minorHAnsi"/>
          <w:szCs w:val="24"/>
          <w:lang w:val="en-AU" w:eastAsia="zh-CN"/>
        </w:rPr>
        <w:lastRenderedPageBreak/>
        <w:t>1.3</w:t>
      </w:r>
      <w:r w:rsidRPr="009A3F4D">
        <w:rPr>
          <w:rFonts w:asciiTheme="minorHAnsi" w:eastAsiaTheme="minorEastAsia" w:hAnsiTheme="minorHAnsi" w:cstheme="minorHAnsi"/>
          <w:szCs w:val="24"/>
          <w:lang w:val="en-AU" w:eastAsia="zh-CN"/>
        </w:rPr>
        <w:tab/>
      </w:r>
      <w:r w:rsidR="00EA50B4" w:rsidRPr="009A3F4D">
        <w:rPr>
          <w:rFonts w:asciiTheme="minorHAnsi" w:eastAsiaTheme="minorEastAsia" w:hAnsiTheme="minorHAnsi" w:cstheme="minorHAnsi"/>
          <w:szCs w:val="24"/>
          <w:lang w:val="en-AU" w:eastAsia="zh-CN"/>
        </w:rPr>
        <w:t>该试点项目将与相关局、区域组织、有关主管部门及国际电联区域代表处和地区办事处协作，</w:t>
      </w:r>
      <w:r w:rsidR="009E3AA3" w:rsidRPr="009A3F4D">
        <w:rPr>
          <w:rFonts w:asciiTheme="minorHAnsi" w:eastAsiaTheme="minorEastAsia" w:hAnsiTheme="minorHAnsi" w:cstheme="minorHAnsi"/>
          <w:szCs w:val="24"/>
          <w:lang w:val="en-AU" w:eastAsia="zh-CN"/>
        </w:rPr>
        <w:t>通过</w:t>
      </w:r>
      <w:r w:rsidR="00EA50B4" w:rsidRPr="009A3F4D">
        <w:rPr>
          <w:rFonts w:asciiTheme="minorHAnsi" w:eastAsiaTheme="minorEastAsia" w:hAnsiTheme="minorHAnsi" w:cstheme="minorHAnsi"/>
          <w:szCs w:val="24"/>
          <w:lang w:val="en-AU" w:eastAsia="zh-CN"/>
        </w:rPr>
        <w:t>与中小企业及中小企业协会联系</w:t>
      </w:r>
      <w:r w:rsidR="009E3AA3" w:rsidRPr="009A3F4D">
        <w:rPr>
          <w:rFonts w:asciiTheme="minorHAnsi" w:eastAsiaTheme="minorEastAsia" w:hAnsiTheme="minorHAnsi" w:cstheme="minorHAnsi"/>
          <w:szCs w:val="24"/>
          <w:lang w:val="en-AU" w:eastAsia="zh-CN"/>
        </w:rPr>
        <w:t>的方式</w:t>
      </w:r>
      <w:r w:rsidR="00EA50B4" w:rsidRPr="009A3F4D">
        <w:rPr>
          <w:rFonts w:asciiTheme="minorHAnsi" w:eastAsiaTheme="minorEastAsia" w:hAnsiTheme="minorHAnsi" w:cstheme="minorHAnsi"/>
          <w:szCs w:val="24"/>
          <w:lang w:val="en-AU" w:eastAsia="zh-CN"/>
        </w:rPr>
        <w:t>予以推广。</w:t>
      </w:r>
      <w:r w:rsidR="003717AB" w:rsidRPr="009A3F4D">
        <w:rPr>
          <w:rFonts w:asciiTheme="minorHAnsi" w:eastAsiaTheme="minorEastAsia" w:hAnsiTheme="minorHAnsi" w:cstheme="minorHAnsi"/>
          <w:szCs w:val="24"/>
          <w:lang w:val="en-AU" w:eastAsia="zh-CN"/>
        </w:rPr>
        <w:tab/>
      </w:r>
    </w:p>
    <w:p w:rsidR="009A0A59" w:rsidRPr="009A3F4D" w:rsidRDefault="009A0A59" w:rsidP="009A3F4D">
      <w:pPr>
        <w:pStyle w:val="enumlev1"/>
        <w:rPr>
          <w:lang w:eastAsia="zh-CN"/>
        </w:rPr>
      </w:pPr>
      <w:r w:rsidRPr="009A3F4D">
        <w:rPr>
          <w:lang w:eastAsia="zh-CN"/>
        </w:rPr>
        <w:t>1.4</w:t>
      </w:r>
      <w:r w:rsidRPr="009A3F4D">
        <w:rPr>
          <w:lang w:eastAsia="zh-CN"/>
        </w:rPr>
        <w:tab/>
      </w:r>
      <w:r w:rsidR="00EA50B4" w:rsidRPr="009A3F4D">
        <w:rPr>
          <w:lang w:val="en-AU" w:eastAsia="zh-CN"/>
        </w:rPr>
        <w:t>理事会</w:t>
      </w:r>
      <w:r w:rsidR="009E3AA3" w:rsidRPr="009A3F4D">
        <w:rPr>
          <w:lang w:val="en-AU" w:eastAsia="zh-CN"/>
        </w:rPr>
        <w:t>2017</w:t>
      </w:r>
      <w:r w:rsidR="009E3AA3" w:rsidRPr="009A3F4D">
        <w:rPr>
          <w:lang w:val="en-AU" w:eastAsia="zh-CN"/>
        </w:rPr>
        <w:t>年会议</w:t>
      </w:r>
      <w:r w:rsidR="00EA50B4" w:rsidRPr="009A3F4D">
        <w:rPr>
          <w:lang w:val="en-AU" w:eastAsia="zh-CN"/>
        </w:rPr>
        <w:t>责成秘书处向理事会</w:t>
      </w:r>
      <w:r w:rsidR="00EA50B4" w:rsidRPr="009A3F4D">
        <w:rPr>
          <w:lang w:val="en-AU" w:eastAsia="zh-CN"/>
        </w:rPr>
        <w:t>2018</w:t>
      </w:r>
      <w:r w:rsidR="00EA50B4" w:rsidRPr="009A3F4D">
        <w:rPr>
          <w:lang w:val="en-AU" w:eastAsia="zh-CN"/>
        </w:rPr>
        <w:t>年会议提供进展报告并向</w:t>
      </w:r>
      <w:r w:rsidR="00EA50B4" w:rsidRPr="009A3F4D">
        <w:rPr>
          <w:lang w:val="en-AU" w:eastAsia="zh-CN"/>
        </w:rPr>
        <w:t>2018</w:t>
      </w:r>
      <w:r w:rsidR="00EA50B4" w:rsidRPr="009A3F4D">
        <w:rPr>
          <w:lang w:val="en-AU" w:eastAsia="zh-CN"/>
        </w:rPr>
        <w:t>年全权代表大会（</w:t>
      </w:r>
      <w:r w:rsidR="00EA50B4" w:rsidRPr="009A3F4D">
        <w:rPr>
          <w:lang w:val="en-AU" w:eastAsia="zh-CN"/>
        </w:rPr>
        <w:t>PP18</w:t>
      </w:r>
      <w:r w:rsidR="00EA50B4" w:rsidRPr="009A3F4D">
        <w:rPr>
          <w:lang w:val="en-AU" w:eastAsia="zh-CN"/>
        </w:rPr>
        <w:t>）提交更加全面的成果报告。</w:t>
      </w:r>
    </w:p>
    <w:p w:rsidR="009A0A59" w:rsidRPr="009A3F4D" w:rsidRDefault="009A0A59" w:rsidP="009A3F4D">
      <w:pPr>
        <w:pStyle w:val="Heading1"/>
        <w:rPr>
          <w:lang w:eastAsia="zh-CN"/>
        </w:rPr>
      </w:pPr>
      <w:r w:rsidRPr="009A3F4D">
        <w:rPr>
          <w:lang w:eastAsia="zh-CN"/>
        </w:rPr>
        <w:t>2</w:t>
      </w:r>
      <w:r w:rsidR="009A3F4D">
        <w:rPr>
          <w:lang w:eastAsia="zh-CN"/>
        </w:rPr>
        <w:tab/>
      </w:r>
      <w:r w:rsidR="009E3AA3" w:rsidRPr="009A3F4D">
        <w:rPr>
          <w:lang w:eastAsia="zh-CN"/>
        </w:rPr>
        <w:t>试点项目的实施</w:t>
      </w:r>
      <w:r w:rsidR="003717AB" w:rsidRPr="009A3F4D">
        <w:rPr>
          <w:lang w:eastAsia="zh-CN"/>
        </w:rPr>
        <w:t>现状</w:t>
      </w:r>
    </w:p>
    <w:p w:rsidR="009A0A59" w:rsidRPr="009A3F4D" w:rsidRDefault="009A0A59"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2.1</w:t>
      </w:r>
      <w:r w:rsidRPr="009A3F4D">
        <w:rPr>
          <w:rFonts w:asciiTheme="minorHAnsi" w:eastAsiaTheme="minorEastAsia" w:hAnsiTheme="minorHAnsi" w:cstheme="minorHAnsi"/>
          <w:lang w:eastAsia="zh-CN"/>
        </w:rPr>
        <w:tab/>
        <w:t>ITU-T</w:t>
      </w:r>
      <w:r w:rsidR="009E3AA3" w:rsidRPr="009A3F4D">
        <w:rPr>
          <w:rFonts w:asciiTheme="minorHAnsi" w:eastAsiaTheme="minorEastAsia" w:hAnsiTheme="minorHAnsi" w:cstheme="minorHAnsi"/>
          <w:lang w:eastAsia="zh-CN"/>
        </w:rPr>
        <w:t>的以下研究组参加了试点项目：</w:t>
      </w:r>
    </w:p>
    <w:p w:rsidR="009A0A59" w:rsidRPr="009A3F4D" w:rsidRDefault="009A3F4D" w:rsidP="004A58F0">
      <w:pPr>
        <w:pStyle w:val="enumlev1"/>
        <w:rPr>
          <w:rStyle w:val="Hyperlink"/>
          <w:rFonts w:asciiTheme="minorHAnsi" w:eastAsiaTheme="minorEastAsia" w:hAnsiTheme="minorHAnsi" w:cstheme="minorHAnsi"/>
          <w:lang w:eastAsia="zh-CN"/>
        </w:rPr>
      </w:pPr>
      <w:r w:rsidRPr="004A58F0">
        <w:rPr>
          <w:lang w:eastAsia="zh-CN"/>
        </w:rPr>
        <w:t>•</w:t>
      </w:r>
      <w:r w:rsidRPr="009A3F4D">
        <w:rPr>
          <w:rStyle w:val="Hyperlink"/>
          <w:rFonts w:asciiTheme="minorHAnsi" w:eastAsiaTheme="minorEastAsia" w:hAnsiTheme="minorHAnsi" w:cstheme="minorHAnsi"/>
          <w:b/>
          <w:bCs/>
          <w:u w:val="none"/>
          <w:lang w:eastAsia="zh-CN"/>
        </w:rPr>
        <w:tab/>
      </w:r>
      <w:hyperlink r:id="rId9" w:history="1">
        <w:r w:rsidR="003220B2" w:rsidRPr="009A3F4D">
          <w:rPr>
            <w:rStyle w:val="Hyperlink"/>
            <w:rFonts w:asciiTheme="minorHAnsi" w:eastAsiaTheme="minorEastAsia" w:hAnsiTheme="minorHAnsi" w:cstheme="minorHAnsi"/>
            <w:b/>
            <w:bCs/>
            <w:lang w:eastAsia="zh-CN"/>
          </w:rPr>
          <w:t>第</w:t>
        </w:r>
        <w:r w:rsidR="003220B2" w:rsidRPr="009A3F4D">
          <w:rPr>
            <w:rStyle w:val="Hyperlink"/>
            <w:rFonts w:asciiTheme="minorHAnsi" w:eastAsiaTheme="minorEastAsia" w:hAnsiTheme="minorHAnsi" w:cstheme="minorHAnsi"/>
            <w:b/>
            <w:bCs/>
            <w:lang w:eastAsia="zh-CN"/>
          </w:rPr>
          <w:t>5</w:t>
        </w:r>
        <w:r w:rsidR="003220B2" w:rsidRPr="009A3F4D">
          <w:rPr>
            <w:rStyle w:val="Hyperlink"/>
            <w:rFonts w:asciiTheme="minorHAnsi" w:eastAsiaTheme="minorEastAsia" w:hAnsiTheme="minorHAnsi" w:cstheme="minorHAnsi"/>
            <w:b/>
            <w:bCs/>
            <w:lang w:eastAsia="zh-CN"/>
          </w:rPr>
          <w:t>研究组</w:t>
        </w:r>
        <w:r w:rsidR="00AB5091" w:rsidRPr="009A3F4D">
          <w:rPr>
            <w:rStyle w:val="Hyperlink"/>
            <w:rFonts w:asciiTheme="minorHAnsi" w:eastAsiaTheme="minorEastAsia" w:hAnsiTheme="minorHAnsi" w:cstheme="minorHAnsi"/>
            <w:b/>
            <w:bCs/>
            <w:lang w:eastAsia="zh-CN"/>
          </w:rPr>
          <w:t xml:space="preserve"> </w:t>
        </w:r>
        <w:r w:rsidRPr="009A3F4D">
          <w:rPr>
            <w:rStyle w:val="Hyperlink"/>
            <w:rFonts w:asciiTheme="minorHAnsi" w:eastAsiaTheme="minorEastAsia" w:hAnsiTheme="minorHAnsi" w:cstheme="minorHAnsi"/>
            <w:b/>
            <w:bCs/>
            <w:lang w:eastAsia="zh-CN"/>
          </w:rPr>
          <w:t>–</w:t>
        </w:r>
        <w:r w:rsidR="003220B2" w:rsidRPr="009A3F4D">
          <w:rPr>
            <w:rStyle w:val="Hyperlink"/>
            <w:rFonts w:asciiTheme="minorHAnsi" w:eastAsiaTheme="minorEastAsia" w:hAnsiTheme="minorHAnsi" w:cstheme="minorHAnsi"/>
            <w:b/>
            <w:bCs/>
            <w:lang w:eastAsia="zh-CN"/>
          </w:rPr>
          <w:t xml:space="preserve"> </w:t>
        </w:r>
        <w:r w:rsidR="003220B2" w:rsidRPr="009A3F4D">
          <w:rPr>
            <w:rStyle w:val="Hyperlink"/>
            <w:rFonts w:asciiTheme="minorHAnsi" w:eastAsiaTheme="minorEastAsia" w:hAnsiTheme="minorHAnsi" w:cstheme="minorHAnsi"/>
            <w:b/>
            <w:bCs/>
            <w:lang w:eastAsia="zh-CN"/>
          </w:rPr>
          <w:t>环境与循环经济</w:t>
        </w:r>
      </w:hyperlink>
    </w:p>
    <w:p w:rsidR="009A0A59" w:rsidRPr="009A3F4D" w:rsidRDefault="009A3F4D" w:rsidP="004A58F0">
      <w:pPr>
        <w:pStyle w:val="enumlev1"/>
        <w:rPr>
          <w:rStyle w:val="Hyperlink"/>
          <w:rFonts w:asciiTheme="minorHAnsi" w:eastAsiaTheme="minorEastAsia" w:hAnsiTheme="minorHAnsi" w:cstheme="minorHAnsi"/>
          <w:b/>
          <w:bCs/>
          <w:lang w:eastAsia="zh-CN"/>
        </w:rPr>
      </w:pPr>
      <w:r w:rsidRPr="004A58F0">
        <w:rPr>
          <w:lang w:eastAsia="zh-CN"/>
        </w:rPr>
        <w:t>•</w:t>
      </w:r>
      <w:r w:rsidRPr="009A3F4D">
        <w:rPr>
          <w:rStyle w:val="Hyperlink"/>
          <w:rFonts w:asciiTheme="minorHAnsi" w:eastAsiaTheme="minorEastAsia" w:hAnsiTheme="minorHAnsi" w:cstheme="minorHAnsi"/>
          <w:b/>
          <w:bCs/>
          <w:u w:val="none"/>
          <w:lang w:eastAsia="zh-CN"/>
        </w:rPr>
        <w:tab/>
      </w:r>
      <w:hyperlink r:id="rId10" w:history="1">
        <w:r w:rsidR="003220B2" w:rsidRPr="009A3F4D">
          <w:rPr>
            <w:rStyle w:val="Hyperlink"/>
            <w:rFonts w:asciiTheme="minorHAnsi" w:eastAsiaTheme="minorEastAsia" w:hAnsiTheme="minorHAnsi" w:cstheme="minorHAnsi"/>
            <w:b/>
            <w:bCs/>
            <w:lang w:eastAsia="zh-CN"/>
          </w:rPr>
          <w:t>第</w:t>
        </w:r>
        <w:r w:rsidR="003220B2" w:rsidRPr="009A3F4D">
          <w:rPr>
            <w:rStyle w:val="Hyperlink"/>
            <w:rFonts w:asciiTheme="minorHAnsi" w:eastAsiaTheme="minorEastAsia" w:hAnsiTheme="minorHAnsi" w:cstheme="minorHAnsi"/>
            <w:b/>
            <w:bCs/>
            <w:lang w:eastAsia="zh-CN"/>
          </w:rPr>
          <w:t>11</w:t>
        </w:r>
        <w:r w:rsidR="003220B2" w:rsidRPr="009A3F4D">
          <w:rPr>
            <w:rStyle w:val="Hyperlink"/>
            <w:rFonts w:asciiTheme="minorHAnsi" w:eastAsiaTheme="minorEastAsia" w:hAnsiTheme="minorHAnsi" w:cstheme="minorHAnsi"/>
            <w:b/>
            <w:bCs/>
            <w:lang w:eastAsia="zh-CN"/>
          </w:rPr>
          <w:t>研究组</w:t>
        </w:r>
        <w:r w:rsidR="003220B2" w:rsidRPr="009A3F4D">
          <w:rPr>
            <w:rStyle w:val="Hyperlink"/>
            <w:rFonts w:asciiTheme="minorHAnsi" w:eastAsiaTheme="minorEastAsia" w:hAnsiTheme="minorHAnsi" w:cstheme="minorHAnsi"/>
            <w:b/>
            <w:bCs/>
            <w:lang w:eastAsia="zh-CN"/>
          </w:rPr>
          <w:t xml:space="preserve"> </w:t>
        </w:r>
        <w:r w:rsidR="009E3AA3" w:rsidRPr="009A3F4D">
          <w:rPr>
            <w:rStyle w:val="Hyperlink"/>
            <w:rFonts w:asciiTheme="minorHAnsi" w:eastAsiaTheme="minorEastAsia" w:hAnsiTheme="minorHAnsi" w:cstheme="minorHAnsi"/>
            <w:b/>
            <w:bCs/>
            <w:lang w:eastAsia="zh-CN"/>
          </w:rPr>
          <w:t>–</w:t>
        </w:r>
        <w:r w:rsidR="003220B2" w:rsidRPr="009A3F4D">
          <w:rPr>
            <w:rStyle w:val="Hyperlink"/>
            <w:rFonts w:asciiTheme="minorHAnsi" w:eastAsiaTheme="minorEastAsia" w:hAnsiTheme="minorHAnsi" w:cstheme="minorHAnsi"/>
            <w:b/>
            <w:bCs/>
            <w:lang w:eastAsia="zh-CN"/>
          </w:rPr>
          <w:t xml:space="preserve"> </w:t>
        </w:r>
        <w:r w:rsidR="009E3AA3" w:rsidRPr="009A3F4D">
          <w:rPr>
            <w:rStyle w:val="Hyperlink"/>
            <w:rFonts w:asciiTheme="minorHAnsi" w:eastAsiaTheme="minorEastAsia" w:hAnsiTheme="minorHAnsi" w:cstheme="minorHAnsi"/>
            <w:b/>
            <w:bCs/>
            <w:lang w:eastAsia="zh-CN"/>
          </w:rPr>
          <w:t>信令要求、</w:t>
        </w:r>
        <w:r w:rsidR="003220B2" w:rsidRPr="009A3F4D">
          <w:rPr>
            <w:rStyle w:val="Hyperlink"/>
            <w:rFonts w:asciiTheme="minorHAnsi" w:eastAsiaTheme="minorEastAsia" w:hAnsiTheme="minorHAnsi" w:cstheme="minorHAnsi"/>
            <w:b/>
            <w:bCs/>
            <w:lang w:eastAsia="zh-CN"/>
          </w:rPr>
          <w:t>协议及测试规范</w:t>
        </w:r>
      </w:hyperlink>
    </w:p>
    <w:p w:rsidR="009A0A59" w:rsidRPr="009A3F4D" w:rsidRDefault="009A3F4D" w:rsidP="009A3F4D">
      <w:pPr>
        <w:pStyle w:val="enumlev1"/>
        <w:rPr>
          <w:rStyle w:val="Hyperlink"/>
          <w:rFonts w:asciiTheme="minorHAnsi" w:eastAsiaTheme="minorEastAsia" w:hAnsiTheme="minorHAnsi" w:cstheme="minorHAnsi"/>
          <w:b/>
          <w:bCs/>
          <w:lang w:eastAsia="zh-CN"/>
        </w:rPr>
      </w:pPr>
      <w:r w:rsidRPr="004A58F0">
        <w:rPr>
          <w:lang w:eastAsia="zh-CN"/>
        </w:rPr>
        <w:t>•</w:t>
      </w:r>
      <w:r w:rsidRPr="009A3F4D">
        <w:rPr>
          <w:rStyle w:val="Hyperlink"/>
          <w:rFonts w:asciiTheme="minorHAnsi" w:eastAsiaTheme="minorEastAsia" w:hAnsiTheme="minorHAnsi" w:cstheme="minorHAnsi"/>
          <w:b/>
          <w:bCs/>
          <w:u w:val="none"/>
          <w:lang w:eastAsia="zh-CN"/>
        </w:rPr>
        <w:tab/>
      </w:r>
      <w:hyperlink r:id="rId11" w:history="1">
        <w:r w:rsidR="003220B2" w:rsidRPr="009A3F4D">
          <w:rPr>
            <w:rStyle w:val="Hyperlink"/>
            <w:rFonts w:asciiTheme="minorHAnsi" w:eastAsiaTheme="minorEastAsia" w:hAnsiTheme="minorHAnsi" w:cstheme="minorHAnsi"/>
            <w:b/>
            <w:bCs/>
            <w:lang w:eastAsia="zh-CN"/>
          </w:rPr>
          <w:t>第</w:t>
        </w:r>
        <w:r w:rsidR="003220B2" w:rsidRPr="009A3F4D">
          <w:rPr>
            <w:rStyle w:val="Hyperlink"/>
            <w:rFonts w:asciiTheme="minorHAnsi" w:eastAsiaTheme="minorEastAsia" w:hAnsiTheme="minorHAnsi" w:cstheme="minorHAnsi"/>
            <w:b/>
            <w:bCs/>
            <w:lang w:eastAsia="zh-CN"/>
          </w:rPr>
          <w:t>16</w:t>
        </w:r>
        <w:r w:rsidR="003220B2" w:rsidRPr="009A3F4D">
          <w:rPr>
            <w:rStyle w:val="Hyperlink"/>
            <w:rFonts w:asciiTheme="minorHAnsi" w:eastAsiaTheme="minorEastAsia" w:hAnsiTheme="minorHAnsi" w:cstheme="minorHAnsi"/>
            <w:b/>
            <w:bCs/>
            <w:lang w:eastAsia="zh-CN"/>
          </w:rPr>
          <w:t>研究组</w:t>
        </w:r>
        <w:r w:rsidR="003220B2" w:rsidRPr="009A3F4D">
          <w:rPr>
            <w:rStyle w:val="Hyperlink"/>
            <w:rFonts w:asciiTheme="minorHAnsi" w:eastAsiaTheme="minorEastAsia" w:hAnsiTheme="minorHAnsi" w:cstheme="minorHAnsi"/>
            <w:b/>
            <w:bCs/>
            <w:lang w:eastAsia="zh-CN"/>
          </w:rPr>
          <w:t xml:space="preserve"> </w:t>
        </w:r>
        <w:r w:rsidRPr="009A3F4D">
          <w:rPr>
            <w:rStyle w:val="Hyperlink"/>
            <w:rFonts w:asciiTheme="minorHAnsi" w:eastAsiaTheme="minorEastAsia" w:hAnsiTheme="minorHAnsi" w:cstheme="minorHAnsi"/>
            <w:b/>
            <w:bCs/>
            <w:lang w:eastAsia="zh-CN"/>
          </w:rPr>
          <w:t>–</w:t>
        </w:r>
        <w:r w:rsidR="003220B2" w:rsidRPr="009A3F4D">
          <w:rPr>
            <w:rStyle w:val="Hyperlink"/>
            <w:rFonts w:asciiTheme="minorHAnsi" w:eastAsiaTheme="minorEastAsia" w:hAnsiTheme="minorHAnsi" w:cstheme="minorHAnsi"/>
            <w:b/>
            <w:bCs/>
            <w:lang w:eastAsia="zh-CN"/>
          </w:rPr>
          <w:t xml:space="preserve"> </w:t>
        </w:r>
        <w:r w:rsidR="003220B2" w:rsidRPr="009A3F4D">
          <w:rPr>
            <w:rStyle w:val="Hyperlink"/>
            <w:rFonts w:asciiTheme="minorHAnsi" w:eastAsiaTheme="minorEastAsia" w:hAnsiTheme="minorHAnsi" w:cstheme="minorHAnsi"/>
            <w:b/>
            <w:bCs/>
            <w:lang w:eastAsia="zh-CN"/>
          </w:rPr>
          <w:t>多媒体</w:t>
        </w:r>
      </w:hyperlink>
      <w:r w:rsidR="00262453" w:rsidRPr="009A3F4D">
        <w:rPr>
          <w:rStyle w:val="Hyperlink"/>
          <w:rFonts w:asciiTheme="minorHAnsi" w:eastAsiaTheme="minorEastAsia" w:hAnsiTheme="minorHAnsi" w:cstheme="minorHAnsi"/>
          <w:b/>
          <w:bCs/>
          <w:lang w:eastAsia="zh-CN"/>
        </w:rPr>
        <w:t>编码、系统和应用</w:t>
      </w:r>
    </w:p>
    <w:p w:rsidR="009A0A59" w:rsidRPr="009A3F4D" w:rsidRDefault="009A3F4D" w:rsidP="009A3F4D">
      <w:pPr>
        <w:pStyle w:val="enumlev1"/>
        <w:rPr>
          <w:rStyle w:val="Hyperlink"/>
          <w:rFonts w:asciiTheme="minorHAnsi" w:eastAsiaTheme="minorEastAsia" w:hAnsiTheme="minorHAnsi" w:cstheme="minorHAnsi"/>
          <w:b/>
          <w:bCs/>
          <w:lang w:eastAsia="zh-CN"/>
        </w:rPr>
      </w:pPr>
      <w:r w:rsidRPr="004A58F0">
        <w:rPr>
          <w:lang w:eastAsia="zh-CN"/>
        </w:rPr>
        <w:t>•</w:t>
      </w:r>
      <w:r w:rsidRPr="009A3F4D">
        <w:rPr>
          <w:rStyle w:val="Hyperlink"/>
          <w:rFonts w:asciiTheme="minorHAnsi" w:eastAsiaTheme="minorEastAsia" w:hAnsiTheme="minorHAnsi" w:cstheme="minorHAnsi"/>
          <w:b/>
          <w:bCs/>
          <w:u w:val="none"/>
          <w:lang w:eastAsia="zh-CN"/>
        </w:rPr>
        <w:tab/>
      </w:r>
      <w:hyperlink r:id="rId12" w:history="1">
        <w:r w:rsidR="003220B2" w:rsidRPr="009A3F4D">
          <w:rPr>
            <w:rStyle w:val="Hyperlink"/>
            <w:rFonts w:asciiTheme="minorHAnsi" w:eastAsiaTheme="minorEastAsia" w:hAnsiTheme="minorHAnsi" w:cstheme="minorHAnsi"/>
            <w:b/>
            <w:bCs/>
            <w:lang w:eastAsia="zh-CN"/>
          </w:rPr>
          <w:t>第</w:t>
        </w:r>
        <w:r w:rsidR="003220B2" w:rsidRPr="009A3F4D">
          <w:rPr>
            <w:rStyle w:val="Hyperlink"/>
            <w:rFonts w:asciiTheme="minorHAnsi" w:eastAsiaTheme="minorEastAsia" w:hAnsiTheme="minorHAnsi" w:cstheme="minorHAnsi"/>
            <w:b/>
            <w:bCs/>
            <w:lang w:eastAsia="zh-CN"/>
          </w:rPr>
          <w:t>20</w:t>
        </w:r>
        <w:r w:rsidR="003220B2" w:rsidRPr="009A3F4D">
          <w:rPr>
            <w:rStyle w:val="Hyperlink"/>
            <w:rFonts w:asciiTheme="minorHAnsi" w:eastAsiaTheme="minorEastAsia" w:hAnsiTheme="minorHAnsi" w:cstheme="minorHAnsi"/>
            <w:b/>
            <w:bCs/>
            <w:lang w:eastAsia="zh-CN"/>
          </w:rPr>
          <w:t>研究组</w:t>
        </w:r>
        <w:r w:rsidR="002460E3" w:rsidRPr="009A3F4D">
          <w:rPr>
            <w:rStyle w:val="Hyperlink"/>
            <w:rFonts w:asciiTheme="minorHAnsi" w:eastAsiaTheme="minorEastAsia" w:hAnsiTheme="minorHAnsi" w:cstheme="minorHAnsi"/>
            <w:b/>
            <w:bCs/>
            <w:lang w:eastAsia="zh-CN"/>
          </w:rPr>
          <w:t xml:space="preserve"> </w:t>
        </w:r>
        <w:r w:rsidRPr="009A3F4D">
          <w:rPr>
            <w:rStyle w:val="Hyperlink"/>
            <w:rFonts w:asciiTheme="minorHAnsi" w:eastAsiaTheme="minorEastAsia" w:hAnsiTheme="minorHAnsi" w:cstheme="minorHAnsi"/>
            <w:b/>
            <w:bCs/>
            <w:lang w:eastAsia="zh-CN"/>
          </w:rPr>
          <w:t>–</w:t>
        </w:r>
        <w:r w:rsidR="002460E3" w:rsidRPr="009A3F4D">
          <w:rPr>
            <w:rStyle w:val="Hyperlink"/>
            <w:rFonts w:asciiTheme="minorHAnsi" w:eastAsiaTheme="minorEastAsia" w:hAnsiTheme="minorHAnsi" w:cstheme="minorHAnsi"/>
            <w:b/>
            <w:bCs/>
            <w:lang w:eastAsia="zh-CN"/>
          </w:rPr>
          <w:t xml:space="preserve"> </w:t>
        </w:r>
        <w:r w:rsidR="003220B2" w:rsidRPr="009A3F4D">
          <w:rPr>
            <w:rStyle w:val="Hyperlink"/>
            <w:rFonts w:asciiTheme="minorHAnsi" w:eastAsiaTheme="minorEastAsia" w:hAnsiTheme="minorHAnsi" w:cstheme="minorHAnsi"/>
            <w:b/>
            <w:bCs/>
            <w:lang w:eastAsia="zh-CN"/>
          </w:rPr>
          <w:t>物联网（</w:t>
        </w:r>
        <w:proofErr w:type="spellStart"/>
        <w:r w:rsidR="003220B2" w:rsidRPr="009A3F4D">
          <w:rPr>
            <w:rStyle w:val="Hyperlink"/>
            <w:rFonts w:asciiTheme="minorHAnsi" w:eastAsiaTheme="minorEastAsia" w:hAnsiTheme="minorHAnsi" w:cstheme="minorHAnsi"/>
            <w:b/>
            <w:bCs/>
            <w:lang w:eastAsia="zh-CN"/>
          </w:rPr>
          <w:t>IoT</w:t>
        </w:r>
        <w:proofErr w:type="spellEnd"/>
        <w:r w:rsidR="003220B2" w:rsidRPr="009A3F4D">
          <w:rPr>
            <w:rStyle w:val="Hyperlink"/>
            <w:rFonts w:asciiTheme="minorHAnsi" w:eastAsiaTheme="minorEastAsia" w:hAnsiTheme="minorHAnsi" w:cstheme="minorHAnsi"/>
            <w:b/>
            <w:bCs/>
            <w:lang w:eastAsia="zh-CN"/>
          </w:rPr>
          <w:t>）、智慧城市与社区</w:t>
        </w:r>
      </w:hyperlink>
    </w:p>
    <w:p w:rsidR="009A0A59" w:rsidRPr="009A3F4D" w:rsidRDefault="002460E3" w:rsidP="009A3F4D">
      <w:pPr>
        <w:ind w:firstLineChars="200" w:firstLine="480"/>
        <w:rPr>
          <w:rFonts w:asciiTheme="minorHAnsi" w:eastAsiaTheme="minorEastAsia" w:hAnsiTheme="minorHAnsi" w:cstheme="minorHAnsi"/>
          <w:lang w:eastAsia="zh-CN"/>
        </w:rPr>
      </w:pPr>
      <w:r w:rsidRPr="009A3F4D">
        <w:rPr>
          <w:rFonts w:asciiTheme="minorHAnsi" w:eastAsiaTheme="minorEastAsia" w:hAnsiTheme="minorHAnsi" w:cstheme="minorHAnsi"/>
          <w:szCs w:val="24"/>
          <w:lang w:val="en-CA" w:eastAsia="zh-CN"/>
        </w:rPr>
        <w:t>目前，相关主管部门已批准</w:t>
      </w:r>
      <w:r w:rsidR="00262453" w:rsidRPr="009A3F4D">
        <w:rPr>
          <w:rFonts w:asciiTheme="minorHAnsi" w:eastAsiaTheme="minorEastAsia" w:hAnsiTheme="minorHAnsi" w:cstheme="minorHAnsi"/>
          <w:szCs w:val="24"/>
          <w:lang w:val="en-CA" w:eastAsia="zh-CN"/>
        </w:rPr>
        <w:t>15</w:t>
      </w:r>
      <w:r w:rsidRPr="009A3F4D">
        <w:rPr>
          <w:rFonts w:asciiTheme="minorHAnsi" w:eastAsiaTheme="minorEastAsia" w:hAnsiTheme="minorHAnsi" w:cstheme="minorHAnsi"/>
          <w:szCs w:val="24"/>
          <w:lang w:val="en-CA" w:eastAsia="zh-CN"/>
        </w:rPr>
        <w:t>家</w:t>
      </w:r>
      <w:r w:rsidRPr="009A3F4D">
        <w:rPr>
          <w:rFonts w:asciiTheme="minorHAnsi" w:eastAsiaTheme="minorEastAsia" w:hAnsiTheme="minorHAnsi" w:cstheme="minorHAnsi"/>
          <w:szCs w:val="24"/>
          <w:lang w:val="en-CA" w:eastAsia="zh-CN"/>
        </w:rPr>
        <w:t>SME</w:t>
      </w:r>
      <w:r w:rsidR="00A52FFF" w:rsidRPr="009A3F4D">
        <w:rPr>
          <w:rFonts w:asciiTheme="minorHAnsi" w:eastAsiaTheme="minorEastAsia" w:hAnsiTheme="minorHAnsi" w:cstheme="minorHAnsi"/>
          <w:szCs w:val="24"/>
          <w:lang w:val="en-CA" w:eastAsia="zh-CN"/>
        </w:rPr>
        <w:t>参加</w:t>
      </w:r>
      <w:r w:rsidR="00A52FFF" w:rsidRPr="009A3F4D">
        <w:rPr>
          <w:rFonts w:asciiTheme="minorHAnsi" w:eastAsiaTheme="minorEastAsia" w:hAnsiTheme="minorHAnsi" w:cstheme="minorHAnsi"/>
          <w:szCs w:val="24"/>
          <w:lang w:val="en-CA" w:eastAsia="zh-CN"/>
        </w:rPr>
        <w:t>ITU-T</w:t>
      </w:r>
      <w:r w:rsidRPr="009A3F4D">
        <w:rPr>
          <w:rFonts w:asciiTheme="minorHAnsi" w:eastAsiaTheme="minorEastAsia" w:hAnsiTheme="minorHAnsi" w:cstheme="minorHAnsi"/>
          <w:szCs w:val="24"/>
          <w:lang w:val="en-CA" w:eastAsia="zh-CN"/>
        </w:rPr>
        <w:t>试点项目</w:t>
      </w:r>
      <w:r w:rsidR="00262453" w:rsidRPr="009A3F4D">
        <w:rPr>
          <w:rFonts w:asciiTheme="minorHAnsi" w:eastAsiaTheme="minorEastAsia" w:hAnsiTheme="minorHAnsi" w:cstheme="minorHAnsi"/>
          <w:szCs w:val="24"/>
          <w:lang w:val="en-CA" w:eastAsia="zh-CN"/>
        </w:rPr>
        <w:t>会议，另外</w:t>
      </w:r>
      <w:r w:rsidR="00262453" w:rsidRPr="009A3F4D">
        <w:rPr>
          <w:rFonts w:asciiTheme="minorHAnsi" w:eastAsiaTheme="minorEastAsia" w:hAnsiTheme="minorHAnsi" w:cstheme="minorHAnsi"/>
          <w:szCs w:val="24"/>
          <w:lang w:val="en-CA" w:eastAsia="zh-CN"/>
        </w:rPr>
        <w:t>3</w:t>
      </w:r>
      <w:r w:rsidRPr="009A3F4D">
        <w:rPr>
          <w:rFonts w:asciiTheme="minorHAnsi" w:eastAsiaTheme="minorEastAsia" w:hAnsiTheme="minorHAnsi" w:cstheme="minorHAnsi"/>
          <w:szCs w:val="24"/>
          <w:lang w:val="en-CA" w:eastAsia="zh-CN"/>
        </w:rPr>
        <w:t>家正在审批中</w:t>
      </w:r>
      <w:r w:rsidR="00262453" w:rsidRPr="009A3F4D">
        <w:rPr>
          <w:rFonts w:asciiTheme="minorHAnsi" w:eastAsiaTheme="minorEastAsia" w:hAnsiTheme="minorHAnsi" w:cstheme="minorHAnsi"/>
          <w:szCs w:val="24"/>
          <w:lang w:val="en-CA" w:eastAsia="zh-CN"/>
        </w:rPr>
        <w:t>，还有</w:t>
      </w:r>
      <w:r w:rsidR="00262453" w:rsidRPr="009A3F4D">
        <w:rPr>
          <w:rFonts w:asciiTheme="minorHAnsi" w:eastAsiaTheme="minorEastAsia" w:hAnsiTheme="minorHAnsi" w:cstheme="minorHAnsi"/>
          <w:szCs w:val="24"/>
          <w:lang w:val="en-CA" w:eastAsia="zh-CN"/>
        </w:rPr>
        <w:t>4</w:t>
      </w:r>
      <w:r w:rsidR="00262453" w:rsidRPr="009A3F4D">
        <w:rPr>
          <w:rFonts w:asciiTheme="minorHAnsi" w:eastAsiaTheme="minorEastAsia" w:hAnsiTheme="minorHAnsi" w:cstheme="minorHAnsi"/>
          <w:szCs w:val="24"/>
          <w:lang w:val="en-CA" w:eastAsia="zh-CN"/>
        </w:rPr>
        <w:t>家表示对此感兴趣</w:t>
      </w:r>
      <w:r w:rsidRPr="009A3F4D">
        <w:rPr>
          <w:rFonts w:asciiTheme="minorHAnsi" w:eastAsiaTheme="minorEastAsia" w:hAnsiTheme="minorHAnsi" w:cstheme="minorHAnsi"/>
          <w:szCs w:val="24"/>
          <w:lang w:val="en-CA" w:eastAsia="zh-CN"/>
        </w:rPr>
        <w:t>。</w:t>
      </w:r>
      <w:r w:rsidR="001D1EC0" w:rsidRPr="009A3F4D">
        <w:rPr>
          <w:rFonts w:asciiTheme="minorHAnsi" w:eastAsiaTheme="minorEastAsia" w:hAnsiTheme="minorHAnsi" w:cstheme="minorHAnsi"/>
          <w:szCs w:val="24"/>
          <w:lang w:val="en-CA" w:eastAsia="zh-CN"/>
        </w:rPr>
        <w:t>参与试点项目已经取得了</w:t>
      </w:r>
      <w:r w:rsidR="00A52FFF" w:rsidRPr="009A3F4D">
        <w:rPr>
          <w:rFonts w:asciiTheme="minorHAnsi" w:eastAsiaTheme="minorEastAsia" w:hAnsiTheme="minorHAnsi" w:cstheme="minorHAnsi"/>
          <w:szCs w:val="24"/>
          <w:lang w:val="en-CA" w:eastAsia="zh-CN"/>
        </w:rPr>
        <w:t>一些</w:t>
      </w:r>
      <w:r w:rsidR="001D1EC0" w:rsidRPr="009A3F4D">
        <w:rPr>
          <w:rFonts w:asciiTheme="minorHAnsi" w:eastAsiaTheme="minorEastAsia" w:hAnsiTheme="minorHAnsi" w:cstheme="minorHAnsi"/>
          <w:szCs w:val="24"/>
          <w:lang w:val="en-CA" w:eastAsia="zh-CN"/>
        </w:rPr>
        <w:t>积极成果。例如，</w:t>
      </w:r>
      <w:r w:rsidR="009A0A59" w:rsidRPr="009A3F4D">
        <w:rPr>
          <w:rFonts w:asciiTheme="minorHAnsi" w:eastAsiaTheme="minorEastAsia" w:hAnsiTheme="minorHAnsi" w:cstheme="minorHAnsi"/>
          <w:lang w:eastAsia="zh-CN"/>
        </w:rPr>
        <w:t>ITU-T</w:t>
      </w:r>
      <w:r w:rsidR="001D1EC0" w:rsidRPr="009A3F4D">
        <w:rPr>
          <w:rFonts w:asciiTheme="minorHAnsi" w:eastAsiaTheme="minorEastAsia" w:hAnsiTheme="minorHAnsi" w:cstheme="minorHAnsi"/>
          <w:lang w:eastAsia="zh-CN"/>
        </w:rPr>
        <w:t>第</w:t>
      </w:r>
      <w:r w:rsidR="001D1EC0" w:rsidRPr="009A3F4D">
        <w:rPr>
          <w:rFonts w:asciiTheme="minorHAnsi" w:eastAsiaTheme="minorEastAsia" w:hAnsiTheme="minorHAnsi" w:cstheme="minorHAnsi"/>
          <w:lang w:eastAsia="zh-CN"/>
        </w:rPr>
        <w:t>16</w:t>
      </w:r>
      <w:r w:rsidR="001D1EC0" w:rsidRPr="009A3F4D">
        <w:rPr>
          <w:rFonts w:asciiTheme="minorHAnsi" w:eastAsiaTheme="minorEastAsia" w:hAnsiTheme="minorHAnsi" w:cstheme="minorHAnsi"/>
          <w:lang w:eastAsia="zh-CN"/>
        </w:rPr>
        <w:t>研究组和</w:t>
      </w:r>
      <w:r w:rsidR="009A0A59" w:rsidRPr="009A3F4D">
        <w:rPr>
          <w:rFonts w:asciiTheme="minorHAnsi" w:eastAsiaTheme="minorEastAsia" w:hAnsiTheme="minorHAnsi" w:cstheme="minorHAnsi"/>
          <w:lang w:eastAsia="zh-CN"/>
        </w:rPr>
        <w:t>ASTEM</w:t>
      </w:r>
      <w:r w:rsidR="001D1EC0" w:rsidRPr="009A3F4D">
        <w:rPr>
          <w:rFonts w:asciiTheme="minorHAnsi" w:eastAsiaTheme="minorEastAsia" w:hAnsiTheme="minorHAnsi" w:cstheme="minorHAnsi"/>
          <w:lang w:eastAsia="zh-CN"/>
        </w:rPr>
        <w:t>（日本）为无障碍获取型</w:t>
      </w:r>
      <w:r w:rsidR="001D1EC0" w:rsidRPr="009A3F4D">
        <w:rPr>
          <w:rFonts w:asciiTheme="minorHAnsi" w:eastAsiaTheme="minorEastAsia" w:hAnsiTheme="minorHAnsi" w:cstheme="minorHAnsi"/>
          <w:lang w:eastAsia="zh-CN"/>
        </w:rPr>
        <w:t>IPTV</w:t>
      </w:r>
      <w:r w:rsidR="001D1EC0" w:rsidRPr="009A3F4D">
        <w:rPr>
          <w:rFonts w:asciiTheme="minorHAnsi" w:eastAsiaTheme="minorEastAsia" w:hAnsiTheme="minorHAnsi" w:cstheme="minorHAnsi"/>
          <w:lang w:eastAsia="zh-CN"/>
        </w:rPr>
        <w:t>终端及其测试贡献了大量标准规范，如今这些规范已纳入</w:t>
      </w:r>
      <w:r w:rsidR="001D1EC0" w:rsidRPr="009A3F4D">
        <w:rPr>
          <w:rFonts w:asciiTheme="minorHAnsi" w:eastAsiaTheme="minorEastAsia" w:hAnsiTheme="minorHAnsi" w:cstheme="minorHAnsi"/>
          <w:lang w:eastAsia="zh-CN"/>
        </w:rPr>
        <w:t>ITU-T H.702</w:t>
      </w:r>
      <w:r w:rsidR="001D1EC0" w:rsidRPr="009A3F4D">
        <w:rPr>
          <w:rFonts w:asciiTheme="minorHAnsi" w:eastAsiaTheme="minorEastAsia" w:hAnsiTheme="minorHAnsi" w:cstheme="minorHAnsi"/>
          <w:lang w:eastAsia="zh-CN"/>
        </w:rPr>
        <w:t>建议书和</w:t>
      </w:r>
      <w:r w:rsidR="001D1EC0" w:rsidRPr="009A3F4D">
        <w:rPr>
          <w:rFonts w:asciiTheme="minorHAnsi" w:eastAsiaTheme="minorEastAsia" w:hAnsiTheme="minorHAnsi" w:cstheme="minorHAnsi"/>
          <w:lang w:eastAsia="zh-CN"/>
        </w:rPr>
        <w:t>ITU-T HSTP-CONF-H702</w:t>
      </w:r>
      <w:r w:rsidR="001D1EC0" w:rsidRPr="009A3F4D">
        <w:rPr>
          <w:rFonts w:asciiTheme="minorHAnsi" w:eastAsiaTheme="minorEastAsia" w:hAnsiTheme="minorHAnsi" w:cstheme="minorHAnsi"/>
          <w:lang w:eastAsia="zh-CN"/>
        </w:rPr>
        <w:t>技术文件。英国的</w:t>
      </w:r>
      <w:proofErr w:type="spellStart"/>
      <w:r w:rsidR="009A0A59" w:rsidRPr="009A3F4D">
        <w:rPr>
          <w:rFonts w:asciiTheme="minorHAnsi" w:eastAsiaTheme="minorEastAsia" w:hAnsiTheme="minorHAnsi" w:cstheme="minorHAnsi"/>
          <w:lang w:eastAsia="zh-CN"/>
        </w:rPr>
        <w:t>Wayfindr</w:t>
      </w:r>
      <w:proofErr w:type="spellEnd"/>
      <w:r w:rsidR="001D1EC0" w:rsidRPr="009A3F4D">
        <w:rPr>
          <w:rFonts w:asciiTheme="minorHAnsi" w:eastAsiaTheme="minorEastAsia" w:hAnsiTheme="minorHAnsi" w:cstheme="minorHAnsi"/>
          <w:lang w:eastAsia="zh-CN"/>
        </w:rPr>
        <w:t>公司为服务于有视觉障碍人士的音频网络导航系统及其一致性测试提供了规范（</w:t>
      </w:r>
      <w:r w:rsidR="001D1EC0" w:rsidRPr="009A3F4D">
        <w:rPr>
          <w:rFonts w:asciiTheme="minorHAnsi" w:eastAsiaTheme="minorEastAsia" w:hAnsiTheme="minorHAnsi" w:cstheme="minorHAnsi"/>
          <w:lang w:eastAsia="zh-CN"/>
        </w:rPr>
        <w:t>ITU-T F.921</w:t>
      </w:r>
      <w:r w:rsidR="001D1EC0" w:rsidRPr="009A3F4D">
        <w:rPr>
          <w:rFonts w:asciiTheme="minorHAnsi" w:eastAsiaTheme="minorEastAsia" w:hAnsiTheme="minorHAnsi" w:cstheme="minorHAnsi"/>
          <w:lang w:eastAsia="zh-CN"/>
        </w:rPr>
        <w:t>建议书和</w:t>
      </w:r>
      <w:r w:rsidR="001D1EC0" w:rsidRPr="009A3F4D">
        <w:rPr>
          <w:rFonts w:asciiTheme="minorHAnsi" w:eastAsiaTheme="minorEastAsia" w:hAnsiTheme="minorHAnsi" w:cstheme="minorHAnsi"/>
          <w:lang w:eastAsia="zh-CN"/>
        </w:rPr>
        <w:t>ITU-T HSTP-CONF-F921</w:t>
      </w:r>
      <w:r w:rsidR="001D1EC0" w:rsidRPr="009A3F4D">
        <w:rPr>
          <w:rFonts w:asciiTheme="minorHAnsi" w:eastAsiaTheme="minorEastAsia" w:hAnsiTheme="minorHAnsi" w:cstheme="minorHAnsi"/>
          <w:lang w:eastAsia="zh-CN"/>
        </w:rPr>
        <w:t>技术文件）。</w:t>
      </w:r>
      <w:r w:rsidR="00744797" w:rsidRPr="009A3F4D">
        <w:rPr>
          <w:rFonts w:asciiTheme="minorHAnsi" w:eastAsiaTheme="minorEastAsia" w:hAnsiTheme="minorHAnsi" w:cstheme="minorHAnsi"/>
          <w:lang w:eastAsia="zh-CN"/>
        </w:rPr>
        <w:t>此外，</w:t>
      </w:r>
      <w:proofErr w:type="spellStart"/>
      <w:r w:rsidR="009A0A59" w:rsidRPr="009A3F4D">
        <w:rPr>
          <w:rFonts w:asciiTheme="minorHAnsi" w:eastAsiaTheme="minorEastAsia" w:hAnsiTheme="minorHAnsi" w:cstheme="minorHAnsi"/>
          <w:lang w:eastAsia="zh-CN"/>
        </w:rPr>
        <w:t>Wayfindr</w:t>
      </w:r>
      <w:proofErr w:type="spellEnd"/>
      <w:r w:rsidR="00744797" w:rsidRPr="009A3F4D">
        <w:rPr>
          <w:rFonts w:asciiTheme="minorHAnsi" w:eastAsiaTheme="minorEastAsia" w:hAnsiTheme="minorHAnsi" w:cstheme="minorHAnsi"/>
          <w:lang w:eastAsia="zh-CN"/>
        </w:rPr>
        <w:t>亦开发了相关的在线培训材料，这些资料可</w:t>
      </w:r>
      <w:r w:rsidR="003850F9">
        <w:rPr>
          <w:rStyle w:val="Hyperlink"/>
          <w:rFonts w:asciiTheme="minorHAnsi" w:eastAsiaTheme="minorEastAsia" w:hAnsiTheme="minorHAnsi" w:cstheme="minorHAnsi"/>
          <w:lang w:eastAsia="zh-CN"/>
        </w:rPr>
        <w:fldChar w:fldCharType="begin"/>
      </w:r>
      <w:r w:rsidR="003850F9">
        <w:rPr>
          <w:rStyle w:val="Hyperlink"/>
          <w:rFonts w:asciiTheme="minorHAnsi" w:eastAsiaTheme="minorEastAsia" w:hAnsiTheme="minorHAnsi" w:cstheme="minorHAnsi"/>
          <w:lang w:eastAsia="zh-CN"/>
        </w:rPr>
        <w:instrText xml:space="preserve"> HYPERLINK "https://itu.int/go/academy/t/f921" </w:instrText>
      </w:r>
      <w:r w:rsidR="003850F9">
        <w:rPr>
          <w:rStyle w:val="Hyperlink"/>
          <w:rFonts w:asciiTheme="minorHAnsi" w:eastAsiaTheme="minorEastAsia" w:hAnsiTheme="minorHAnsi" w:cstheme="minorHAnsi"/>
          <w:lang w:eastAsia="zh-CN"/>
        </w:rPr>
        <w:fldChar w:fldCharType="separate"/>
      </w:r>
      <w:r w:rsidR="00744797" w:rsidRPr="009A3F4D">
        <w:rPr>
          <w:rStyle w:val="Hyperlink"/>
          <w:rFonts w:asciiTheme="minorHAnsi" w:eastAsiaTheme="minorEastAsia" w:hAnsiTheme="minorHAnsi" w:cstheme="minorHAnsi"/>
          <w:lang w:eastAsia="zh-CN"/>
        </w:rPr>
        <w:t>通过国际电联学院平台获取</w:t>
      </w:r>
      <w:r w:rsidR="003850F9">
        <w:rPr>
          <w:rStyle w:val="Hyperlink"/>
          <w:rFonts w:asciiTheme="minorHAnsi" w:eastAsiaTheme="minorEastAsia" w:hAnsiTheme="minorHAnsi" w:cstheme="minorHAnsi"/>
          <w:lang w:eastAsia="zh-CN"/>
        </w:rPr>
        <w:fldChar w:fldCharType="end"/>
      </w:r>
      <w:r w:rsidR="00744797" w:rsidRPr="009A3F4D">
        <w:rPr>
          <w:rFonts w:asciiTheme="minorHAnsi" w:eastAsiaTheme="minorEastAsia" w:hAnsiTheme="minorHAnsi" w:cstheme="minorHAnsi"/>
          <w:lang w:eastAsia="zh-CN"/>
        </w:rPr>
        <w:t>。</w:t>
      </w:r>
    </w:p>
    <w:p w:rsidR="009A0A59" w:rsidRPr="009A3F4D" w:rsidRDefault="009A0A59" w:rsidP="009A3F4D">
      <w:pPr>
        <w:snapToGrid w:val="0"/>
        <w:spacing w:after="120"/>
        <w:jc w:val="both"/>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2.2</w:t>
      </w:r>
      <w:r w:rsidRPr="009A3F4D">
        <w:rPr>
          <w:rFonts w:asciiTheme="minorHAnsi" w:eastAsiaTheme="minorEastAsia" w:hAnsiTheme="minorHAnsi" w:cstheme="minorHAnsi"/>
          <w:lang w:eastAsia="zh-CN"/>
        </w:rPr>
        <w:tab/>
      </w:r>
      <w:r w:rsidR="00744797" w:rsidRPr="009A3F4D">
        <w:rPr>
          <w:rFonts w:asciiTheme="minorHAnsi" w:eastAsiaTheme="minorEastAsia" w:hAnsiTheme="minorHAnsi" w:cstheme="minorHAnsi"/>
          <w:lang w:eastAsia="zh-CN"/>
        </w:rPr>
        <w:t>两</w:t>
      </w:r>
      <w:r w:rsidR="008D7F98" w:rsidRPr="009A3F4D">
        <w:rPr>
          <w:rFonts w:asciiTheme="minorHAnsi" w:eastAsiaTheme="minorEastAsia" w:hAnsiTheme="minorHAnsi" w:cstheme="minorHAnsi"/>
          <w:lang w:eastAsia="zh-CN"/>
        </w:rPr>
        <w:t>个</w:t>
      </w:r>
      <w:r w:rsidRPr="009A3F4D">
        <w:rPr>
          <w:rFonts w:asciiTheme="minorHAnsi" w:eastAsiaTheme="minorEastAsia" w:hAnsiTheme="minorHAnsi" w:cstheme="minorHAnsi"/>
          <w:lang w:eastAsia="zh-CN"/>
        </w:rPr>
        <w:t>ITU-D</w:t>
      </w:r>
      <w:r w:rsidR="00744797" w:rsidRPr="009A3F4D">
        <w:rPr>
          <w:rFonts w:asciiTheme="minorHAnsi" w:eastAsiaTheme="minorEastAsia" w:hAnsiTheme="minorHAnsi" w:cstheme="minorHAnsi"/>
          <w:lang w:eastAsia="zh-CN"/>
        </w:rPr>
        <w:t>研究组亦参加了此试点项目：</w:t>
      </w:r>
    </w:p>
    <w:p w:rsidR="009A0A59" w:rsidRPr="00BC047D" w:rsidRDefault="00BC047D" w:rsidP="004A58F0">
      <w:pPr>
        <w:pStyle w:val="enumlev1"/>
        <w:rPr>
          <w:rStyle w:val="Hyperlink"/>
          <w:rFonts w:asciiTheme="minorHAnsi" w:eastAsiaTheme="minorEastAsia" w:hAnsiTheme="minorHAnsi" w:cstheme="minorHAnsi"/>
          <w:b/>
          <w:bCs/>
          <w:lang w:eastAsia="zh-CN"/>
        </w:rPr>
      </w:pPr>
      <w:r w:rsidRPr="004A58F0">
        <w:rPr>
          <w:lang w:eastAsia="zh-CN"/>
        </w:rPr>
        <w:t>•</w:t>
      </w:r>
      <w:r w:rsidRPr="00BC047D">
        <w:rPr>
          <w:rStyle w:val="Hyperlink"/>
          <w:rFonts w:asciiTheme="minorHAnsi" w:eastAsiaTheme="minorEastAsia" w:hAnsiTheme="minorHAnsi" w:cstheme="minorHAnsi"/>
          <w:b/>
          <w:bCs/>
          <w:u w:val="none"/>
          <w:lang w:eastAsia="zh-CN"/>
        </w:rPr>
        <w:tab/>
      </w:r>
      <w:hyperlink r:id="rId13" w:history="1">
        <w:r w:rsidR="00B132B7" w:rsidRPr="009A3F4D">
          <w:rPr>
            <w:rStyle w:val="Hyperlink"/>
            <w:rFonts w:asciiTheme="minorHAnsi" w:eastAsiaTheme="minorEastAsia" w:hAnsiTheme="minorHAnsi" w:cstheme="minorHAnsi"/>
            <w:b/>
            <w:bCs/>
            <w:lang w:eastAsia="zh-CN"/>
          </w:rPr>
          <w:t>第</w:t>
        </w:r>
        <w:r w:rsidR="00B132B7" w:rsidRPr="009A3F4D">
          <w:rPr>
            <w:rStyle w:val="Hyperlink"/>
            <w:rFonts w:asciiTheme="minorHAnsi" w:eastAsiaTheme="minorEastAsia" w:hAnsiTheme="minorHAnsi" w:cstheme="minorHAnsi"/>
            <w:b/>
            <w:bCs/>
            <w:lang w:eastAsia="zh-CN"/>
          </w:rPr>
          <w:t>1</w:t>
        </w:r>
        <w:r w:rsidR="00B132B7" w:rsidRPr="009A3F4D">
          <w:rPr>
            <w:rStyle w:val="Hyperlink"/>
            <w:rFonts w:asciiTheme="minorHAnsi" w:eastAsiaTheme="minorEastAsia" w:hAnsiTheme="minorHAnsi" w:cstheme="minorHAnsi"/>
            <w:b/>
            <w:bCs/>
            <w:lang w:eastAsia="zh-CN"/>
          </w:rPr>
          <w:t>研究组</w:t>
        </w:r>
        <w:r w:rsidR="00744797" w:rsidRPr="009A3F4D">
          <w:rPr>
            <w:rStyle w:val="Hyperlink"/>
            <w:rFonts w:asciiTheme="minorHAnsi" w:eastAsiaTheme="minorEastAsia" w:hAnsiTheme="minorHAnsi" w:cstheme="minorHAnsi"/>
            <w:b/>
            <w:bCs/>
            <w:lang w:eastAsia="zh-CN"/>
          </w:rPr>
          <w:t xml:space="preserve"> </w:t>
        </w:r>
        <w:r w:rsidRPr="00BC047D">
          <w:rPr>
            <w:rStyle w:val="Hyperlink"/>
            <w:rFonts w:asciiTheme="minorHAnsi" w:eastAsiaTheme="minorEastAsia" w:hAnsiTheme="minorHAnsi" w:cstheme="minorHAnsi"/>
            <w:b/>
            <w:bCs/>
            <w:lang w:eastAsia="zh-CN"/>
          </w:rPr>
          <w:t>–</w:t>
        </w:r>
        <w:r w:rsidR="00744797" w:rsidRPr="009A3F4D">
          <w:rPr>
            <w:rStyle w:val="Hyperlink"/>
            <w:rFonts w:asciiTheme="minorHAnsi" w:eastAsiaTheme="minorEastAsia" w:hAnsiTheme="minorHAnsi" w:cstheme="minorHAnsi"/>
            <w:b/>
            <w:bCs/>
            <w:lang w:eastAsia="zh-CN"/>
          </w:rPr>
          <w:t xml:space="preserve"> </w:t>
        </w:r>
        <w:r w:rsidR="00744797" w:rsidRPr="009A3F4D">
          <w:rPr>
            <w:rStyle w:val="Hyperlink"/>
            <w:rFonts w:asciiTheme="minorHAnsi" w:eastAsiaTheme="minorEastAsia" w:hAnsiTheme="minorHAnsi" w:cstheme="minorHAnsi"/>
            <w:b/>
            <w:bCs/>
            <w:lang w:eastAsia="zh-CN"/>
          </w:rPr>
          <w:t>发展电信</w:t>
        </w:r>
        <w:r w:rsidR="00744797" w:rsidRPr="009A3F4D">
          <w:rPr>
            <w:rStyle w:val="Hyperlink"/>
            <w:rFonts w:asciiTheme="minorHAnsi" w:eastAsiaTheme="minorEastAsia" w:hAnsiTheme="minorHAnsi" w:cstheme="minorHAnsi"/>
            <w:b/>
            <w:bCs/>
            <w:lang w:eastAsia="zh-CN"/>
          </w:rPr>
          <w:t>/ICT</w:t>
        </w:r>
        <w:r w:rsidR="00744797" w:rsidRPr="009A3F4D">
          <w:rPr>
            <w:rStyle w:val="Hyperlink"/>
            <w:rFonts w:asciiTheme="minorHAnsi" w:eastAsiaTheme="minorEastAsia" w:hAnsiTheme="minorHAnsi" w:cstheme="minorHAnsi"/>
            <w:b/>
            <w:bCs/>
            <w:lang w:eastAsia="zh-CN"/>
          </w:rPr>
          <w:t>的有利环境</w:t>
        </w:r>
      </w:hyperlink>
    </w:p>
    <w:p w:rsidR="009A0A59" w:rsidRPr="009A3F4D" w:rsidRDefault="00BC047D" w:rsidP="00BC047D">
      <w:pPr>
        <w:pStyle w:val="enumlev1"/>
        <w:rPr>
          <w:rFonts w:asciiTheme="minorHAnsi" w:eastAsiaTheme="minorEastAsia" w:hAnsiTheme="minorHAnsi" w:cstheme="minorHAnsi"/>
          <w:lang w:eastAsia="zh-CN"/>
        </w:rPr>
      </w:pPr>
      <w:r w:rsidRPr="004A58F0">
        <w:rPr>
          <w:lang w:eastAsia="zh-CN"/>
        </w:rPr>
        <w:t>•</w:t>
      </w:r>
      <w:r w:rsidRPr="00BC047D">
        <w:rPr>
          <w:rStyle w:val="Hyperlink"/>
          <w:rFonts w:asciiTheme="minorHAnsi" w:eastAsiaTheme="minorEastAsia" w:hAnsiTheme="minorHAnsi" w:cstheme="minorHAnsi"/>
          <w:b/>
          <w:bCs/>
          <w:u w:val="none"/>
          <w:lang w:eastAsia="zh-CN"/>
        </w:rPr>
        <w:tab/>
      </w:r>
      <w:hyperlink r:id="rId14" w:history="1">
        <w:r w:rsidR="00EC49FC" w:rsidRPr="009A3F4D">
          <w:rPr>
            <w:rStyle w:val="Hyperlink"/>
            <w:rFonts w:asciiTheme="minorHAnsi" w:eastAsiaTheme="minorEastAsia" w:hAnsiTheme="minorHAnsi" w:cstheme="minorHAnsi"/>
            <w:b/>
            <w:bCs/>
            <w:lang w:eastAsia="zh-CN"/>
          </w:rPr>
          <w:t>第</w:t>
        </w:r>
        <w:r w:rsidR="00EC49FC" w:rsidRPr="009A3F4D">
          <w:rPr>
            <w:rStyle w:val="Hyperlink"/>
            <w:rFonts w:asciiTheme="minorHAnsi" w:eastAsiaTheme="minorEastAsia" w:hAnsiTheme="minorHAnsi" w:cstheme="minorHAnsi"/>
            <w:b/>
            <w:bCs/>
            <w:lang w:eastAsia="zh-CN"/>
          </w:rPr>
          <w:t>2</w:t>
        </w:r>
        <w:r w:rsidR="00EC49FC" w:rsidRPr="009A3F4D">
          <w:rPr>
            <w:rStyle w:val="Hyperlink"/>
            <w:rFonts w:asciiTheme="minorHAnsi" w:eastAsiaTheme="minorEastAsia" w:hAnsiTheme="minorHAnsi" w:cstheme="minorHAnsi"/>
            <w:b/>
            <w:bCs/>
            <w:lang w:eastAsia="zh-CN"/>
          </w:rPr>
          <w:t>研究组</w:t>
        </w:r>
        <w:r w:rsidR="00744797" w:rsidRPr="009A3F4D">
          <w:rPr>
            <w:rStyle w:val="Hyperlink"/>
            <w:rFonts w:asciiTheme="minorHAnsi" w:eastAsiaTheme="minorEastAsia" w:hAnsiTheme="minorHAnsi" w:cstheme="minorHAnsi"/>
            <w:b/>
            <w:bCs/>
            <w:lang w:eastAsia="zh-CN"/>
          </w:rPr>
          <w:t xml:space="preserve"> </w:t>
        </w:r>
        <w:r w:rsidRPr="00BC047D">
          <w:rPr>
            <w:rStyle w:val="Hyperlink"/>
            <w:rFonts w:asciiTheme="minorHAnsi" w:eastAsiaTheme="minorEastAsia" w:hAnsiTheme="minorHAnsi" w:cstheme="minorHAnsi"/>
            <w:b/>
            <w:bCs/>
            <w:lang w:eastAsia="zh-CN"/>
          </w:rPr>
          <w:t>–</w:t>
        </w:r>
        <w:r w:rsidR="00744797" w:rsidRPr="009A3F4D">
          <w:rPr>
            <w:rStyle w:val="Hyperlink"/>
            <w:rFonts w:asciiTheme="minorHAnsi" w:eastAsiaTheme="minorEastAsia" w:hAnsiTheme="minorHAnsi" w:cstheme="minorHAnsi"/>
            <w:b/>
            <w:bCs/>
            <w:lang w:eastAsia="zh-CN"/>
          </w:rPr>
          <w:t xml:space="preserve"> </w:t>
        </w:r>
        <w:r w:rsidR="00EC49FC" w:rsidRPr="009A3F4D">
          <w:rPr>
            <w:rStyle w:val="Hyperlink"/>
            <w:rFonts w:asciiTheme="minorHAnsi" w:eastAsiaTheme="minorEastAsia" w:hAnsiTheme="minorHAnsi" w:cstheme="minorHAnsi"/>
            <w:b/>
            <w:bCs/>
            <w:lang w:eastAsia="zh-CN"/>
          </w:rPr>
          <w:t>利用</w:t>
        </w:r>
        <w:r w:rsidR="00EC49FC" w:rsidRPr="009A3F4D">
          <w:rPr>
            <w:rStyle w:val="Hyperlink"/>
            <w:rFonts w:asciiTheme="minorHAnsi" w:eastAsiaTheme="minorEastAsia" w:hAnsiTheme="minorHAnsi" w:cstheme="minorHAnsi"/>
            <w:b/>
            <w:bCs/>
            <w:lang w:eastAsia="zh-CN"/>
          </w:rPr>
          <w:t>ICT</w:t>
        </w:r>
        <w:r w:rsidR="00EC49FC" w:rsidRPr="009A3F4D">
          <w:rPr>
            <w:rStyle w:val="Hyperlink"/>
            <w:rFonts w:asciiTheme="minorHAnsi" w:eastAsiaTheme="minorEastAsia" w:hAnsiTheme="minorHAnsi" w:cstheme="minorHAnsi"/>
            <w:b/>
            <w:bCs/>
            <w:lang w:eastAsia="zh-CN"/>
          </w:rPr>
          <w:t>服务和应用促进可持续发展</w:t>
        </w:r>
      </w:hyperlink>
    </w:p>
    <w:p w:rsidR="009A0A59" w:rsidRPr="009A3F4D" w:rsidRDefault="00744797" w:rsidP="009A3F4D">
      <w:pPr>
        <w:snapToGrid w:val="0"/>
        <w:spacing w:after="120"/>
        <w:ind w:firstLineChars="200" w:firstLine="480"/>
        <w:jc w:val="both"/>
        <w:rPr>
          <w:rStyle w:val="eop"/>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目前各主管部门共批准了</w:t>
      </w:r>
      <w:r w:rsidRPr="009A3F4D">
        <w:rPr>
          <w:rFonts w:asciiTheme="minorHAnsi" w:eastAsiaTheme="minorEastAsia" w:hAnsiTheme="minorHAnsi" w:cstheme="minorHAnsi"/>
          <w:lang w:eastAsia="zh-CN"/>
        </w:rPr>
        <w:t>8</w:t>
      </w:r>
      <w:r w:rsidRPr="009A3F4D">
        <w:rPr>
          <w:rFonts w:asciiTheme="minorHAnsi" w:eastAsiaTheme="minorEastAsia" w:hAnsiTheme="minorHAnsi" w:cstheme="minorHAnsi"/>
          <w:lang w:eastAsia="zh-CN"/>
        </w:rPr>
        <w:t>家</w:t>
      </w:r>
      <w:r w:rsidR="009A0A59" w:rsidRPr="009A3F4D">
        <w:rPr>
          <w:rFonts w:asciiTheme="minorHAnsi" w:eastAsiaTheme="minorEastAsia" w:hAnsiTheme="minorHAnsi" w:cstheme="minorHAnsi"/>
          <w:lang w:eastAsia="zh-CN"/>
        </w:rPr>
        <w:t>SME</w:t>
      </w:r>
      <w:r w:rsidRPr="009A3F4D">
        <w:rPr>
          <w:rFonts w:asciiTheme="minorHAnsi" w:eastAsiaTheme="minorEastAsia" w:hAnsiTheme="minorHAnsi" w:cstheme="minorHAnsi"/>
          <w:lang w:eastAsia="zh-CN"/>
        </w:rPr>
        <w:t>参加</w:t>
      </w:r>
      <w:r w:rsidRPr="009A3F4D">
        <w:rPr>
          <w:rFonts w:asciiTheme="minorHAnsi" w:eastAsiaTheme="minorEastAsia" w:hAnsiTheme="minorHAnsi" w:cstheme="minorHAnsi"/>
          <w:lang w:eastAsia="zh-CN"/>
        </w:rPr>
        <w:t>ITU-D</w:t>
      </w:r>
      <w:r w:rsidRPr="009A3F4D">
        <w:rPr>
          <w:rFonts w:asciiTheme="minorHAnsi" w:eastAsiaTheme="minorEastAsia" w:hAnsiTheme="minorHAnsi" w:cstheme="minorHAnsi"/>
          <w:lang w:eastAsia="zh-CN"/>
        </w:rPr>
        <w:t>研究组和报告人组会议。</w:t>
      </w:r>
      <w:r w:rsidR="00EC49FC" w:rsidRPr="009A3F4D">
        <w:rPr>
          <w:rFonts w:asciiTheme="minorHAnsi" w:eastAsiaTheme="minorEastAsia" w:hAnsiTheme="minorHAnsi" w:cstheme="minorHAnsi"/>
          <w:lang w:eastAsia="zh-CN"/>
        </w:rPr>
        <w:t>这些</w:t>
      </w:r>
      <w:r w:rsidR="00EC49FC" w:rsidRPr="009A3F4D">
        <w:rPr>
          <w:rFonts w:asciiTheme="minorHAnsi" w:eastAsiaTheme="minorEastAsia" w:hAnsiTheme="minorHAnsi" w:cstheme="minorHAnsi"/>
          <w:lang w:eastAsia="zh-CN"/>
        </w:rPr>
        <w:t>SME</w:t>
      </w:r>
      <w:r w:rsidR="00EC49FC" w:rsidRPr="009A3F4D">
        <w:rPr>
          <w:rFonts w:asciiTheme="minorHAnsi" w:eastAsiaTheme="minorEastAsia" w:hAnsiTheme="minorHAnsi" w:cstheme="minorHAnsi"/>
          <w:lang w:eastAsia="zh-CN"/>
        </w:rPr>
        <w:t>试点的参与方亦向</w:t>
      </w:r>
      <w:r w:rsidR="00EC49FC" w:rsidRPr="009A3F4D">
        <w:rPr>
          <w:rFonts w:asciiTheme="minorHAnsi" w:eastAsiaTheme="minorEastAsia" w:hAnsiTheme="minorHAnsi" w:cstheme="minorHAnsi"/>
          <w:lang w:eastAsia="zh-CN"/>
        </w:rPr>
        <w:t>ITU-D</w:t>
      </w:r>
      <w:r w:rsidR="00EC49FC" w:rsidRPr="009A3F4D">
        <w:rPr>
          <w:rFonts w:asciiTheme="minorHAnsi" w:eastAsiaTheme="minorEastAsia" w:hAnsiTheme="minorHAnsi" w:cstheme="minorHAnsi"/>
          <w:lang w:eastAsia="zh-CN"/>
        </w:rPr>
        <w:t>第</w:t>
      </w:r>
      <w:r w:rsidR="00EC49FC" w:rsidRPr="009A3F4D">
        <w:rPr>
          <w:rFonts w:asciiTheme="minorHAnsi" w:eastAsiaTheme="minorEastAsia" w:hAnsiTheme="minorHAnsi" w:cstheme="minorHAnsi"/>
          <w:lang w:eastAsia="zh-CN"/>
        </w:rPr>
        <w:t>1</w:t>
      </w:r>
      <w:r w:rsidR="00EC49FC" w:rsidRPr="009A3F4D">
        <w:rPr>
          <w:rFonts w:asciiTheme="minorHAnsi" w:eastAsiaTheme="minorEastAsia" w:hAnsiTheme="minorHAnsi" w:cstheme="minorHAnsi"/>
          <w:lang w:eastAsia="zh-CN"/>
        </w:rPr>
        <w:t>和第</w:t>
      </w:r>
      <w:r w:rsidR="00EC49FC" w:rsidRPr="009A3F4D">
        <w:rPr>
          <w:rFonts w:asciiTheme="minorHAnsi" w:eastAsiaTheme="minorEastAsia" w:hAnsiTheme="minorHAnsi" w:cstheme="minorHAnsi"/>
          <w:lang w:eastAsia="zh-CN"/>
        </w:rPr>
        <w:t>2</w:t>
      </w:r>
      <w:r w:rsidR="00EC49FC" w:rsidRPr="009A3F4D">
        <w:rPr>
          <w:rFonts w:asciiTheme="minorHAnsi" w:eastAsiaTheme="minorEastAsia" w:hAnsiTheme="minorHAnsi" w:cstheme="minorHAnsi"/>
          <w:lang w:eastAsia="zh-CN"/>
        </w:rPr>
        <w:t>研究组会议提交了文稿，同时参加了</w:t>
      </w:r>
      <w:r w:rsidR="00EC49FC" w:rsidRPr="009A3F4D">
        <w:rPr>
          <w:rFonts w:asciiTheme="minorHAnsi" w:eastAsiaTheme="minorEastAsia" w:hAnsiTheme="minorHAnsi" w:cstheme="minorHAnsi"/>
          <w:lang w:eastAsia="zh-CN"/>
        </w:rPr>
        <w:t>ITU-D</w:t>
      </w:r>
      <w:r w:rsidR="00EC49FC" w:rsidRPr="009A3F4D">
        <w:rPr>
          <w:rFonts w:asciiTheme="minorHAnsi" w:eastAsiaTheme="minorEastAsia" w:hAnsiTheme="minorHAnsi" w:cstheme="minorHAnsi"/>
          <w:lang w:eastAsia="zh-CN"/>
        </w:rPr>
        <w:t>研究组</w:t>
      </w:r>
      <w:r w:rsidR="00EC49FC" w:rsidRPr="009A3F4D">
        <w:rPr>
          <w:rFonts w:asciiTheme="minorHAnsi" w:eastAsiaTheme="minorEastAsia" w:hAnsiTheme="minorHAnsi" w:cstheme="minorHAnsi"/>
          <w:lang w:eastAsia="zh-CN"/>
        </w:rPr>
        <w:t>2018</w:t>
      </w:r>
      <w:r w:rsidR="00EC49FC" w:rsidRPr="009A3F4D">
        <w:rPr>
          <w:rFonts w:asciiTheme="minorHAnsi" w:eastAsiaTheme="minorEastAsia" w:hAnsiTheme="minorHAnsi" w:cstheme="minorHAnsi"/>
          <w:lang w:eastAsia="zh-CN"/>
        </w:rPr>
        <w:t>年开展的主题活动。</w:t>
      </w:r>
      <w:r w:rsidR="009A0A59" w:rsidRPr="009A3F4D">
        <w:rPr>
          <w:rStyle w:val="eop"/>
          <w:rFonts w:asciiTheme="minorHAnsi" w:eastAsiaTheme="minorEastAsia" w:hAnsiTheme="minorHAnsi" w:cstheme="minorHAnsi"/>
          <w:lang w:eastAsia="zh-CN"/>
        </w:rPr>
        <w:t>SME</w:t>
      </w:r>
      <w:r w:rsidR="00EC49FC" w:rsidRPr="009A3F4D">
        <w:rPr>
          <w:rStyle w:val="eop"/>
          <w:rFonts w:asciiTheme="minorHAnsi" w:eastAsiaTheme="minorEastAsia" w:hAnsiTheme="minorHAnsi" w:cstheme="minorHAnsi"/>
          <w:lang w:eastAsia="zh-CN"/>
        </w:rPr>
        <w:t>对云计算、农村接入、网络安全、电子卫生和其它</w:t>
      </w:r>
      <w:r w:rsidR="00EC49FC" w:rsidRPr="009A3F4D">
        <w:rPr>
          <w:rStyle w:val="eop"/>
          <w:rFonts w:asciiTheme="minorHAnsi" w:eastAsiaTheme="minorEastAsia" w:hAnsiTheme="minorHAnsi" w:cstheme="minorHAnsi"/>
          <w:lang w:eastAsia="zh-CN"/>
        </w:rPr>
        <w:t>ICT</w:t>
      </w:r>
      <w:r w:rsidR="00EC49FC" w:rsidRPr="009A3F4D">
        <w:rPr>
          <w:rStyle w:val="eop"/>
          <w:rFonts w:asciiTheme="minorHAnsi" w:eastAsiaTheme="minorEastAsia" w:hAnsiTheme="minorHAnsi" w:cstheme="minorHAnsi"/>
          <w:lang w:eastAsia="zh-CN"/>
        </w:rPr>
        <w:t>应用等领域尤为感兴趣。</w:t>
      </w:r>
    </w:p>
    <w:p w:rsidR="009A0A59" w:rsidRPr="009A3F4D" w:rsidRDefault="00EC49FC" w:rsidP="009A3F4D">
      <w:pPr>
        <w:snapToGrid w:val="0"/>
        <w:spacing w:after="120"/>
        <w:ind w:firstLineChars="200" w:firstLine="480"/>
        <w:jc w:val="both"/>
        <w:rPr>
          <w:rFonts w:asciiTheme="minorHAnsi" w:eastAsiaTheme="minorEastAsia" w:hAnsiTheme="minorHAnsi" w:cstheme="minorHAnsi"/>
          <w:lang w:eastAsia="zh-CN"/>
        </w:rPr>
      </w:pPr>
      <w:r w:rsidRPr="009A3F4D">
        <w:rPr>
          <w:rStyle w:val="eop"/>
          <w:rFonts w:asciiTheme="minorHAnsi" w:eastAsiaTheme="minorEastAsia" w:hAnsiTheme="minorHAnsi" w:cstheme="minorHAnsi"/>
          <w:lang w:eastAsia="zh-CN"/>
        </w:rPr>
        <w:t>共有</w:t>
      </w:r>
      <w:r w:rsidRPr="009A3F4D">
        <w:rPr>
          <w:rStyle w:val="eop"/>
          <w:rFonts w:asciiTheme="minorHAnsi" w:eastAsiaTheme="minorEastAsia" w:hAnsiTheme="minorHAnsi" w:cstheme="minorHAnsi"/>
          <w:lang w:eastAsia="zh-CN"/>
        </w:rPr>
        <w:t>22</w:t>
      </w:r>
      <w:r w:rsidRPr="009A3F4D">
        <w:rPr>
          <w:rStyle w:val="eop"/>
          <w:rFonts w:asciiTheme="minorHAnsi" w:eastAsiaTheme="minorEastAsia" w:hAnsiTheme="minorHAnsi" w:cstheme="minorHAnsi"/>
          <w:lang w:eastAsia="zh-CN"/>
        </w:rPr>
        <w:t>家</w:t>
      </w:r>
      <w:r w:rsidR="009A0A59" w:rsidRPr="009A3F4D">
        <w:rPr>
          <w:rStyle w:val="eop"/>
          <w:rFonts w:asciiTheme="minorHAnsi" w:eastAsiaTheme="minorEastAsia" w:hAnsiTheme="minorHAnsi" w:cstheme="minorHAnsi"/>
          <w:lang w:eastAsia="zh-CN"/>
        </w:rPr>
        <w:t>SME</w:t>
      </w:r>
      <w:r w:rsidRPr="009A3F4D">
        <w:rPr>
          <w:rStyle w:val="eop"/>
          <w:rFonts w:asciiTheme="minorHAnsi" w:eastAsiaTheme="minorEastAsia" w:hAnsiTheme="minorHAnsi" w:cstheme="minorHAnsi"/>
          <w:lang w:eastAsia="zh-CN"/>
        </w:rPr>
        <w:t>注册参与</w:t>
      </w:r>
      <w:r w:rsidRPr="009A3F4D">
        <w:rPr>
          <w:rStyle w:val="eop"/>
          <w:rFonts w:asciiTheme="minorHAnsi" w:eastAsiaTheme="minorEastAsia" w:hAnsiTheme="minorHAnsi" w:cstheme="minorHAnsi"/>
          <w:lang w:eastAsia="zh-CN"/>
        </w:rPr>
        <w:t>ITU-T</w:t>
      </w:r>
      <w:r w:rsidRPr="009A3F4D">
        <w:rPr>
          <w:rStyle w:val="eop"/>
          <w:rFonts w:asciiTheme="minorHAnsi" w:eastAsiaTheme="minorEastAsia" w:hAnsiTheme="minorHAnsi" w:cstheme="minorHAnsi"/>
          <w:lang w:eastAsia="zh-CN"/>
        </w:rPr>
        <w:t>和</w:t>
      </w:r>
      <w:r w:rsidRPr="009A3F4D">
        <w:rPr>
          <w:rStyle w:val="eop"/>
          <w:rFonts w:asciiTheme="minorHAnsi" w:eastAsiaTheme="minorEastAsia" w:hAnsiTheme="minorHAnsi" w:cstheme="minorHAnsi"/>
          <w:lang w:eastAsia="zh-CN"/>
        </w:rPr>
        <w:t>ITU</w:t>
      </w:r>
      <w:r w:rsidRPr="009A3F4D">
        <w:rPr>
          <w:rStyle w:val="eop"/>
          <w:rFonts w:asciiTheme="minorHAnsi" w:eastAsiaTheme="minorEastAsia" w:hAnsiTheme="minorHAnsi" w:cstheme="minorHAnsi"/>
          <w:lang w:eastAsia="zh-CN"/>
        </w:rPr>
        <w:noBreakHyphen/>
        <w:t>D</w:t>
      </w:r>
      <w:r w:rsidRPr="009A3F4D">
        <w:rPr>
          <w:rStyle w:val="eop"/>
          <w:rFonts w:asciiTheme="minorHAnsi" w:eastAsiaTheme="minorEastAsia" w:hAnsiTheme="minorHAnsi" w:cstheme="minorHAnsi"/>
          <w:lang w:eastAsia="zh-CN"/>
        </w:rPr>
        <w:t>研究组的试点项目。其中一家</w:t>
      </w:r>
      <w:r w:rsidR="009A0A59" w:rsidRPr="009A3F4D">
        <w:rPr>
          <w:rStyle w:val="eop"/>
          <w:rFonts w:asciiTheme="minorHAnsi" w:eastAsiaTheme="minorEastAsia" w:hAnsiTheme="minorHAnsi" w:cstheme="minorHAnsi"/>
          <w:lang w:eastAsia="zh-CN"/>
        </w:rPr>
        <w:t>SME</w:t>
      </w:r>
      <w:r w:rsidRPr="009A3F4D">
        <w:rPr>
          <w:rStyle w:val="eop"/>
          <w:rFonts w:asciiTheme="minorHAnsi" w:eastAsiaTheme="minorEastAsia" w:hAnsiTheme="minorHAnsi" w:cstheme="minorHAnsi"/>
          <w:lang w:eastAsia="zh-CN"/>
        </w:rPr>
        <w:t>同时在</w:t>
      </w:r>
      <w:r w:rsidR="009A0A59" w:rsidRPr="009A3F4D">
        <w:rPr>
          <w:rStyle w:val="eop"/>
          <w:rFonts w:asciiTheme="minorHAnsi" w:eastAsiaTheme="minorEastAsia" w:hAnsiTheme="minorHAnsi" w:cstheme="minorHAnsi"/>
          <w:lang w:eastAsia="zh-CN"/>
        </w:rPr>
        <w:t>ITU-T</w:t>
      </w:r>
      <w:r w:rsidRPr="009A3F4D">
        <w:rPr>
          <w:rStyle w:val="eop"/>
          <w:rFonts w:asciiTheme="minorHAnsi" w:eastAsiaTheme="minorEastAsia" w:hAnsiTheme="minorHAnsi" w:cstheme="minorHAnsi"/>
          <w:lang w:eastAsia="zh-CN"/>
        </w:rPr>
        <w:t>和</w:t>
      </w:r>
      <w:r w:rsidR="009A0A59" w:rsidRPr="009A3F4D">
        <w:rPr>
          <w:rStyle w:val="eop"/>
          <w:rFonts w:asciiTheme="minorHAnsi" w:eastAsiaTheme="minorEastAsia" w:hAnsiTheme="minorHAnsi" w:cstheme="minorHAnsi"/>
          <w:lang w:eastAsia="zh-CN"/>
        </w:rPr>
        <w:t>ITU-D</w:t>
      </w:r>
      <w:r w:rsidRPr="009A3F4D">
        <w:rPr>
          <w:rStyle w:val="eop"/>
          <w:rFonts w:asciiTheme="minorHAnsi" w:eastAsiaTheme="minorEastAsia" w:hAnsiTheme="minorHAnsi" w:cstheme="minorHAnsi"/>
          <w:lang w:eastAsia="zh-CN"/>
        </w:rPr>
        <w:t>注册。</w:t>
      </w:r>
    </w:p>
    <w:p w:rsidR="009A0A59" w:rsidRPr="009A3F4D" w:rsidRDefault="009A0A59" w:rsidP="00BC047D">
      <w:pPr>
        <w:spacing w:after="120"/>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2.3</w:t>
      </w:r>
      <w:r w:rsidR="00BC047D">
        <w:rPr>
          <w:rFonts w:asciiTheme="minorHAnsi" w:eastAsiaTheme="minorEastAsia" w:hAnsiTheme="minorHAnsi" w:cstheme="minorHAnsi"/>
          <w:lang w:eastAsia="zh-CN"/>
        </w:rPr>
        <w:tab/>
      </w:r>
      <w:r w:rsidR="00EC49FC" w:rsidRPr="009A3F4D">
        <w:rPr>
          <w:rFonts w:asciiTheme="minorHAnsi" w:eastAsiaTheme="minorEastAsia" w:hAnsiTheme="minorHAnsi" w:cstheme="minorHAnsi"/>
          <w:lang w:eastAsia="zh-CN"/>
        </w:rPr>
        <w:t>参与试点项目</w:t>
      </w:r>
      <w:r w:rsidR="00EC49FC" w:rsidRPr="009A3F4D">
        <w:rPr>
          <w:rFonts w:asciiTheme="minorHAnsi" w:eastAsiaTheme="minorEastAsia" w:hAnsiTheme="minorHAnsi" w:cstheme="minorHAnsi"/>
          <w:lang w:eastAsia="zh-CN"/>
        </w:rPr>
        <w:t>SME</w:t>
      </w:r>
      <w:r w:rsidR="00EC49FC" w:rsidRPr="009A3F4D">
        <w:rPr>
          <w:rFonts w:asciiTheme="minorHAnsi" w:eastAsiaTheme="minorEastAsia" w:hAnsiTheme="minorHAnsi" w:cstheme="minorHAnsi"/>
          <w:lang w:eastAsia="zh-CN"/>
        </w:rPr>
        <w:t>的完整清单请参阅</w:t>
      </w:r>
      <w:r w:rsidR="00EC49FC" w:rsidRPr="009A3F4D">
        <w:rPr>
          <w:rFonts w:asciiTheme="minorHAnsi" w:eastAsiaTheme="minorEastAsia" w:hAnsiTheme="minorHAnsi" w:cstheme="minorHAnsi"/>
          <w:b/>
          <w:lang w:eastAsia="zh-CN"/>
        </w:rPr>
        <w:t>附件</w:t>
      </w:r>
      <w:r w:rsidR="00EC49FC" w:rsidRPr="009A3F4D">
        <w:rPr>
          <w:rFonts w:asciiTheme="minorHAnsi" w:eastAsiaTheme="minorEastAsia" w:hAnsiTheme="minorHAnsi" w:cstheme="minorHAnsi"/>
          <w:lang w:eastAsia="zh-CN"/>
        </w:rPr>
        <w:t>。</w:t>
      </w:r>
    </w:p>
    <w:p w:rsidR="00BC047D" w:rsidRDefault="009A0A59" w:rsidP="00BC047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2.4</w:t>
      </w:r>
      <w:r w:rsidRPr="009A3F4D">
        <w:rPr>
          <w:rFonts w:asciiTheme="minorHAnsi" w:eastAsiaTheme="minorEastAsia" w:hAnsiTheme="minorHAnsi" w:cstheme="minorHAnsi"/>
          <w:lang w:eastAsia="zh-CN"/>
        </w:rPr>
        <w:tab/>
      </w:r>
      <w:r w:rsidR="003B43D8" w:rsidRPr="009A3F4D">
        <w:rPr>
          <w:rFonts w:asciiTheme="minorHAnsi" w:eastAsiaTheme="minorEastAsia" w:hAnsiTheme="minorHAnsi" w:cstheme="minorHAnsi"/>
          <w:lang w:eastAsia="zh-CN"/>
        </w:rPr>
        <w:t>为更加有效且高效地与</w:t>
      </w:r>
      <w:r w:rsidR="003B43D8" w:rsidRPr="009A3F4D">
        <w:rPr>
          <w:rFonts w:asciiTheme="minorHAnsi" w:eastAsiaTheme="minorEastAsia" w:hAnsiTheme="minorHAnsi" w:cstheme="minorHAnsi"/>
          <w:lang w:eastAsia="zh-CN"/>
        </w:rPr>
        <w:t>SME</w:t>
      </w:r>
      <w:r w:rsidR="003B43D8" w:rsidRPr="009A3F4D">
        <w:rPr>
          <w:rFonts w:asciiTheme="minorHAnsi" w:eastAsiaTheme="minorEastAsia" w:hAnsiTheme="minorHAnsi" w:cstheme="minorHAnsi"/>
          <w:lang w:eastAsia="zh-CN"/>
        </w:rPr>
        <w:t>接触，国际电联正在与全球、区域和国家网络及协会建立伙伴关系。例如这其中就包括全球性</w:t>
      </w:r>
      <w:r w:rsidR="003B43D8" w:rsidRPr="009A3F4D">
        <w:rPr>
          <w:rFonts w:asciiTheme="minorHAnsi" w:eastAsiaTheme="minorEastAsia" w:hAnsiTheme="minorHAnsi" w:cstheme="minorHAnsi"/>
          <w:lang w:eastAsia="zh-CN"/>
        </w:rPr>
        <w:t>ICT</w:t>
      </w:r>
      <w:r w:rsidR="003B43D8" w:rsidRPr="009A3F4D">
        <w:rPr>
          <w:rFonts w:asciiTheme="minorHAnsi" w:eastAsiaTheme="minorEastAsia" w:hAnsiTheme="minorHAnsi" w:cstheme="minorHAnsi"/>
          <w:lang w:eastAsia="zh-CN"/>
        </w:rPr>
        <w:t>协会</w:t>
      </w:r>
      <w:r w:rsidR="00BC047D">
        <w:rPr>
          <w:rFonts w:asciiTheme="minorHAnsi" w:eastAsiaTheme="minorEastAsia" w:hAnsiTheme="minorHAnsi" w:cstheme="minorHAnsi" w:hint="eastAsia"/>
          <w:lang w:eastAsia="zh-CN"/>
        </w:rPr>
        <w:t xml:space="preserve"> </w:t>
      </w:r>
      <w:r w:rsidR="00BC047D" w:rsidRPr="00BC047D">
        <w:rPr>
          <w:rFonts w:asciiTheme="minorHAnsi" w:eastAsiaTheme="minorEastAsia" w:hAnsiTheme="minorHAnsi" w:cstheme="minorHAnsi"/>
          <w:lang w:eastAsia="zh-CN"/>
        </w:rPr>
        <w:t>–</w:t>
      </w:r>
      <w:r w:rsidR="00BC047D">
        <w:rPr>
          <w:rFonts w:asciiTheme="minorHAnsi" w:eastAsiaTheme="minorEastAsia" w:hAnsiTheme="minorHAnsi" w:cstheme="minorHAnsi"/>
          <w:lang w:eastAsia="zh-CN"/>
        </w:rPr>
        <w:t xml:space="preserve"> </w:t>
      </w:r>
      <w:r w:rsidR="003B43D8" w:rsidRPr="009A3F4D">
        <w:rPr>
          <w:rFonts w:asciiTheme="minorHAnsi" w:eastAsiaTheme="minorEastAsia" w:hAnsiTheme="minorHAnsi" w:cstheme="minorHAnsi"/>
          <w:lang w:eastAsia="zh-CN"/>
        </w:rPr>
        <w:t>世界信息技术和服务联盟（</w:t>
      </w:r>
      <w:r w:rsidR="003B43D8" w:rsidRPr="009A3F4D">
        <w:rPr>
          <w:rStyle w:val="Hyperlink"/>
          <w:rFonts w:asciiTheme="minorHAnsi" w:eastAsiaTheme="minorEastAsia" w:hAnsiTheme="minorHAnsi" w:cstheme="minorHAnsi"/>
        </w:rPr>
        <w:fldChar w:fldCharType="begin"/>
      </w:r>
      <w:r w:rsidR="003B43D8" w:rsidRPr="009A3F4D">
        <w:rPr>
          <w:rStyle w:val="Hyperlink"/>
          <w:rFonts w:asciiTheme="minorHAnsi" w:eastAsiaTheme="minorEastAsia" w:hAnsiTheme="minorHAnsi" w:cstheme="minorHAnsi"/>
          <w:lang w:eastAsia="zh-CN"/>
        </w:rPr>
        <w:instrText xml:space="preserve"> HYPERLINK "https://witsa.org/" </w:instrText>
      </w:r>
      <w:r w:rsidR="003B43D8" w:rsidRPr="009A3F4D">
        <w:rPr>
          <w:rStyle w:val="Hyperlink"/>
          <w:rFonts w:asciiTheme="minorHAnsi" w:eastAsiaTheme="minorEastAsia" w:hAnsiTheme="minorHAnsi" w:cstheme="minorHAnsi"/>
        </w:rPr>
        <w:fldChar w:fldCharType="separate"/>
      </w:r>
      <w:r w:rsidRPr="009A3F4D">
        <w:rPr>
          <w:rStyle w:val="Hyperlink"/>
          <w:rFonts w:asciiTheme="minorHAnsi" w:eastAsiaTheme="minorEastAsia" w:hAnsiTheme="minorHAnsi" w:cstheme="minorHAnsi"/>
          <w:lang w:eastAsia="zh-CN"/>
        </w:rPr>
        <w:t>WITSA</w:t>
      </w:r>
      <w:r w:rsidR="003B43D8" w:rsidRPr="009A3F4D">
        <w:rPr>
          <w:rStyle w:val="Hyperlink"/>
          <w:rFonts w:asciiTheme="minorHAnsi" w:eastAsiaTheme="minorEastAsia" w:hAnsiTheme="minorHAnsi" w:cstheme="minorHAnsi"/>
        </w:rPr>
        <w:fldChar w:fldCharType="end"/>
      </w:r>
      <w:r w:rsidR="003B43D8" w:rsidRPr="009A3F4D">
        <w:rPr>
          <w:rFonts w:asciiTheme="minorHAnsi" w:eastAsiaTheme="minorEastAsia" w:hAnsiTheme="minorHAnsi" w:cstheme="minorHAnsi"/>
          <w:lang w:eastAsia="zh-CN"/>
        </w:rPr>
        <w:t>）阿根廷的企业协会</w:t>
      </w:r>
      <w:r w:rsidR="00BC047D">
        <w:rPr>
          <w:rFonts w:asciiTheme="minorHAnsi" w:eastAsiaTheme="minorEastAsia" w:hAnsiTheme="minorHAnsi" w:cstheme="minorHAnsi" w:hint="eastAsia"/>
          <w:lang w:eastAsia="zh-CN"/>
        </w:rPr>
        <w:t xml:space="preserve"> </w:t>
      </w:r>
      <w:r w:rsidR="00BC047D" w:rsidRPr="00BC047D">
        <w:rPr>
          <w:rFonts w:asciiTheme="minorHAnsi" w:eastAsiaTheme="minorEastAsia" w:hAnsiTheme="minorHAnsi" w:cstheme="minorHAnsi"/>
          <w:lang w:eastAsia="zh-CN"/>
        </w:rPr>
        <w:t>–</w:t>
      </w:r>
      <w:r w:rsidR="00BC047D">
        <w:rPr>
          <w:rFonts w:asciiTheme="minorHAnsi" w:eastAsiaTheme="minorEastAsia" w:hAnsiTheme="minorHAnsi" w:cstheme="minorHAnsi"/>
          <w:lang w:eastAsia="zh-CN"/>
        </w:rPr>
        <w:t xml:space="preserve"> </w:t>
      </w:r>
      <w:hyperlink r:id="rId15" w:history="1">
        <w:r w:rsidRPr="009A3F4D">
          <w:rPr>
            <w:rStyle w:val="Hyperlink"/>
            <w:rFonts w:asciiTheme="minorHAnsi" w:eastAsiaTheme="minorEastAsia" w:hAnsiTheme="minorHAnsi" w:cstheme="minorHAnsi"/>
            <w:lang w:eastAsia="zh-CN"/>
          </w:rPr>
          <w:t>CABASE</w:t>
        </w:r>
      </w:hyperlink>
      <w:r w:rsidR="003B43D8" w:rsidRPr="009A3F4D">
        <w:rPr>
          <w:rFonts w:asciiTheme="minorHAnsi" w:eastAsiaTheme="minorEastAsia" w:hAnsiTheme="minorHAnsi" w:cstheme="minorHAnsi"/>
          <w:lang w:eastAsia="zh-CN"/>
        </w:rPr>
        <w:t>。他们均为推广</w:t>
      </w:r>
      <w:r w:rsidR="003B43D8" w:rsidRPr="009A3F4D">
        <w:rPr>
          <w:rFonts w:asciiTheme="minorHAnsi" w:eastAsiaTheme="minorEastAsia" w:hAnsiTheme="minorHAnsi" w:cstheme="minorHAnsi"/>
          <w:lang w:eastAsia="zh-CN"/>
        </w:rPr>
        <w:t>SME</w:t>
      </w:r>
      <w:r w:rsidR="003B43D8" w:rsidRPr="009A3F4D">
        <w:rPr>
          <w:rFonts w:asciiTheme="minorHAnsi" w:eastAsiaTheme="minorEastAsia" w:hAnsiTheme="minorHAnsi" w:cstheme="minorHAnsi"/>
          <w:lang w:eastAsia="zh-CN"/>
        </w:rPr>
        <w:t>试点项目提供了帮助。</w:t>
      </w:r>
    </w:p>
    <w:p w:rsidR="009A0A59" w:rsidRPr="009A3F4D" w:rsidRDefault="00356E04" w:rsidP="00BC047D">
      <w:pPr>
        <w:pStyle w:val="Heading1"/>
        <w:rPr>
          <w:lang w:eastAsia="zh-CN"/>
        </w:rPr>
      </w:pPr>
      <w:r w:rsidRPr="009A3F4D">
        <w:rPr>
          <w:lang w:eastAsia="zh-CN"/>
        </w:rPr>
        <w:t>3</w:t>
      </w:r>
      <w:r w:rsidR="009A0A59" w:rsidRPr="009A3F4D">
        <w:rPr>
          <w:lang w:eastAsia="zh-CN"/>
        </w:rPr>
        <w:tab/>
      </w:r>
      <w:r w:rsidR="003B43D8" w:rsidRPr="009A3F4D">
        <w:rPr>
          <w:lang w:eastAsia="zh-CN"/>
        </w:rPr>
        <w:t>SME</w:t>
      </w:r>
      <w:r w:rsidR="003B43D8" w:rsidRPr="009A3F4D">
        <w:rPr>
          <w:lang w:eastAsia="zh-CN"/>
        </w:rPr>
        <w:t>参与国际电联工作的现状</w:t>
      </w:r>
      <w:r w:rsidR="009A0A59" w:rsidRPr="009A3F4D">
        <w:rPr>
          <w:lang w:eastAsia="zh-CN"/>
        </w:rPr>
        <w:t xml:space="preserve"> </w:t>
      </w:r>
    </w:p>
    <w:p w:rsidR="009A0A59" w:rsidRPr="009A3F4D" w:rsidRDefault="009A0A59"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3.1</w:t>
      </w:r>
      <w:r w:rsidRPr="009A3F4D">
        <w:rPr>
          <w:rFonts w:asciiTheme="minorHAnsi" w:eastAsiaTheme="minorEastAsia" w:hAnsiTheme="minorHAnsi" w:cstheme="minorHAnsi"/>
          <w:lang w:eastAsia="zh-CN"/>
        </w:rPr>
        <w:tab/>
      </w:r>
      <w:r w:rsidR="00544F14" w:rsidRPr="009A3F4D">
        <w:rPr>
          <w:rFonts w:asciiTheme="minorHAnsi" w:eastAsiaTheme="minorEastAsia" w:hAnsiTheme="minorHAnsi" w:cstheme="minorHAnsi"/>
          <w:lang w:eastAsia="zh-CN"/>
        </w:rPr>
        <w:t>除试点项目外，目前</w:t>
      </w:r>
      <w:r w:rsidR="00544F14" w:rsidRPr="009A3F4D">
        <w:rPr>
          <w:rFonts w:asciiTheme="minorHAnsi" w:eastAsiaTheme="minorEastAsia" w:hAnsiTheme="minorHAnsi" w:cstheme="minorHAnsi"/>
          <w:lang w:eastAsia="zh-CN"/>
        </w:rPr>
        <w:t>SME</w:t>
      </w:r>
      <w:r w:rsidR="00544F14" w:rsidRPr="009A3F4D">
        <w:rPr>
          <w:rFonts w:asciiTheme="minorHAnsi" w:eastAsiaTheme="minorEastAsia" w:hAnsiTheme="minorHAnsi" w:cstheme="minorHAnsi"/>
          <w:lang w:eastAsia="zh-CN"/>
        </w:rPr>
        <w:t>参加国际电联活动还有一些其它方式，其中包括以部门成员和部门准成员的身份参加研究组，或作为国家代表团成员参加国际电联世界电信展、信息社会世界峰会（</w:t>
      </w:r>
      <w:r w:rsidR="00544F14" w:rsidRPr="009A3F4D">
        <w:rPr>
          <w:rFonts w:asciiTheme="minorHAnsi" w:eastAsiaTheme="minorEastAsia" w:hAnsiTheme="minorHAnsi" w:cstheme="minorHAnsi"/>
          <w:lang w:eastAsia="zh-CN"/>
        </w:rPr>
        <w:t>WSIS</w:t>
      </w:r>
      <w:r w:rsidR="00544F14" w:rsidRPr="009A3F4D">
        <w:rPr>
          <w:rFonts w:asciiTheme="minorHAnsi" w:eastAsiaTheme="minorEastAsia" w:hAnsiTheme="minorHAnsi" w:cstheme="minorHAnsi"/>
          <w:lang w:eastAsia="zh-CN"/>
        </w:rPr>
        <w:t>）以及跨部门的各种全球和区域性活动，例如讲习班、培训和其它向非成员开放的活动。</w:t>
      </w:r>
      <w:r w:rsidRPr="009A3F4D">
        <w:rPr>
          <w:rFonts w:asciiTheme="minorHAnsi" w:eastAsiaTheme="minorEastAsia" w:hAnsiTheme="minorHAnsi" w:cstheme="minorHAnsi"/>
          <w:lang w:eastAsia="zh-CN"/>
        </w:rPr>
        <w:t xml:space="preserve"> </w:t>
      </w:r>
    </w:p>
    <w:p w:rsidR="009A0A59" w:rsidRPr="009A3F4D" w:rsidRDefault="009A0A59"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lastRenderedPageBreak/>
        <w:t>3.2</w:t>
      </w:r>
      <w:r w:rsidRPr="009A3F4D">
        <w:rPr>
          <w:rFonts w:asciiTheme="minorHAnsi" w:eastAsiaTheme="minorEastAsia" w:hAnsiTheme="minorHAnsi" w:cstheme="minorHAnsi"/>
          <w:lang w:eastAsia="zh-CN"/>
        </w:rPr>
        <w:tab/>
      </w:r>
      <w:r w:rsidR="00063E0D" w:rsidRPr="009A3F4D">
        <w:rPr>
          <w:rFonts w:asciiTheme="minorHAnsi" w:eastAsiaTheme="minorEastAsia" w:hAnsiTheme="minorHAnsi" w:cstheme="minorHAnsi"/>
          <w:lang w:eastAsia="zh-CN"/>
        </w:rPr>
        <w:t>目前已有大量</w:t>
      </w:r>
      <w:r w:rsidR="00063E0D" w:rsidRPr="009A3F4D">
        <w:rPr>
          <w:rFonts w:asciiTheme="minorHAnsi" w:eastAsiaTheme="minorEastAsia" w:hAnsiTheme="minorHAnsi" w:cstheme="minorHAnsi"/>
          <w:lang w:eastAsia="zh-CN"/>
        </w:rPr>
        <w:t>SME</w:t>
      </w:r>
      <w:r w:rsidR="00063E0D" w:rsidRPr="009A3F4D">
        <w:rPr>
          <w:rFonts w:asciiTheme="minorHAnsi" w:eastAsiaTheme="minorEastAsia" w:hAnsiTheme="minorHAnsi" w:cstheme="minorHAnsi"/>
          <w:lang w:eastAsia="zh-CN"/>
        </w:rPr>
        <w:t>以部门成员和部门准成员的身份参加国际电联。此类成员的实际数量取决于</w:t>
      </w:r>
      <w:r w:rsidR="008D7F98" w:rsidRPr="009A3F4D">
        <w:rPr>
          <w:rFonts w:asciiTheme="minorHAnsi" w:eastAsiaTheme="minorEastAsia" w:hAnsiTheme="minorHAnsi" w:cstheme="minorHAnsi"/>
          <w:lang w:eastAsia="zh-CN"/>
        </w:rPr>
        <w:t>SME</w:t>
      </w:r>
      <w:r w:rsidR="008D7F98" w:rsidRPr="009A3F4D">
        <w:rPr>
          <w:rFonts w:asciiTheme="minorHAnsi" w:eastAsiaTheme="minorEastAsia" w:hAnsiTheme="minorHAnsi" w:cstheme="minorHAnsi"/>
          <w:lang w:eastAsia="zh-CN"/>
        </w:rPr>
        <w:t>的</w:t>
      </w:r>
      <w:r w:rsidR="00063E0D" w:rsidRPr="009A3F4D">
        <w:rPr>
          <w:rFonts w:asciiTheme="minorHAnsi" w:eastAsiaTheme="minorEastAsia" w:hAnsiTheme="minorHAnsi" w:cstheme="minorHAnsi"/>
          <w:lang w:eastAsia="zh-CN"/>
        </w:rPr>
        <w:t>定义方式，但依照某些衡量标准，预计国际电联目前已有</w:t>
      </w:r>
      <w:r w:rsidR="00063E0D" w:rsidRPr="009A3F4D">
        <w:rPr>
          <w:rFonts w:asciiTheme="minorHAnsi" w:eastAsiaTheme="minorEastAsia" w:hAnsiTheme="minorHAnsi" w:cstheme="minorHAnsi"/>
          <w:lang w:eastAsia="zh-CN"/>
        </w:rPr>
        <w:t>60</w:t>
      </w:r>
      <w:r w:rsidR="00063E0D" w:rsidRPr="009A3F4D">
        <w:rPr>
          <w:rFonts w:asciiTheme="minorHAnsi" w:eastAsiaTheme="minorEastAsia" w:hAnsiTheme="minorHAnsi" w:cstheme="minorHAnsi"/>
          <w:lang w:eastAsia="zh-CN"/>
        </w:rPr>
        <w:t>多家作为部门成员和部门准成员加盟的</w:t>
      </w:r>
      <w:r w:rsidRPr="009A3F4D">
        <w:rPr>
          <w:rFonts w:asciiTheme="minorHAnsi" w:eastAsiaTheme="minorEastAsia" w:hAnsiTheme="minorHAnsi" w:cstheme="minorHAnsi"/>
          <w:lang w:eastAsia="zh-CN"/>
        </w:rPr>
        <w:t>SME</w:t>
      </w:r>
      <w:r w:rsidR="00063E0D" w:rsidRPr="009A3F4D">
        <w:rPr>
          <w:rFonts w:asciiTheme="minorHAnsi" w:eastAsiaTheme="minorEastAsia" w:hAnsiTheme="minorHAnsi" w:cstheme="minorHAnsi"/>
          <w:lang w:eastAsia="zh-CN"/>
        </w:rPr>
        <w:t>。</w:t>
      </w:r>
      <w:r w:rsidRPr="009A3F4D">
        <w:rPr>
          <w:rStyle w:val="FootnoteReference"/>
          <w:rFonts w:asciiTheme="minorHAnsi" w:eastAsiaTheme="minorEastAsia" w:hAnsiTheme="minorHAnsi" w:cstheme="minorHAnsi"/>
        </w:rPr>
        <w:footnoteReference w:id="2"/>
      </w:r>
    </w:p>
    <w:p w:rsidR="009A0A59" w:rsidRPr="009A3F4D" w:rsidRDefault="009A0A59"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3.3</w:t>
      </w:r>
      <w:r w:rsidRPr="009A3F4D">
        <w:rPr>
          <w:rFonts w:asciiTheme="minorHAnsi" w:eastAsiaTheme="minorEastAsia" w:hAnsiTheme="minorHAnsi" w:cstheme="minorHAnsi"/>
          <w:lang w:eastAsia="zh-CN"/>
        </w:rPr>
        <w:tab/>
      </w:r>
      <w:r w:rsidR="00063E0D" w:rsidRPr="009A3F4D">
        <w:rPr>
          <w:rFonts w:asciiTheme="minorHAnsi" w:eastAsiaTheme="minorEastAsia" w:hAnsiTheme="minorHAnsi" w:cstheme="minorHAnsi"/>
          <w:lang w:eastAsia="zh-CN"/>
        </w:rPr>
        <w:t>国际电联世界电信展</w:t>
      </w:r>
      <w:r w:rsidR="00FE6B7E" w:rsidRPr="009A3F4D">
        <w:rPr>
          <w:rFonts w:asciiTheme="minorHAnsi" w:eastAsiaTheme="minorEastAsia" w:hAnsiTheme="minorHAnsi" w:cstheme="minorHAnsi"/>
          <w:lang w:eastAsia="zh-CN"/>
        </w:rPr>
        <w:t>这一平台正在为支持和促进中小企业参与提供愈来愈多的国际服务。国际电联世界电信展的中小企业参展商数量与日俱增，他们或加盟国家展团，或跻身于主题展馆，抑或作为独立展台参展。</w:t>
      </w:r>
      <w:r w:rsidRPr="009A3F4D">
        <w:rPr>
          <w:rFonts w:asciiTheme="minorHAnsi" w:eastAsiaTheme="minorEastAsia" w:hAnsiTheme="minorHAnsi" w:cstheme="minorHAnsi"/>
          <w:lang w:eastAsia="zh-CN"/>
        </w:rPr>
        <w:t>SME</w:t>
      </w:r>
      <w:r w:rsidR="00FE6B7E" w:rsidRPr="009A3F4D">
        <w:rPr>
          <w:rFonts w:asciiTheme="minorHAnsi" w:eastAsiaTheme="minorEastAsia" w:hAnsiTheme="minorHAnsi" w:cstheme="minorHAnsi"/>
          <w:lang w:eastAsia="zh-CN"/>
        </w:rPr>
        <w:t>的解决方案、产品和服务涵盖了一系列行业和技术，其中包括</w:t>
      </w:r>
      <w:r w:rsidR="00FE6B7E" w:rsidRPr="009A3F4D">
        <w:rPr>
          <w:rFonts w:asciiTheme="minorHAnsi" w:eastAsiaTheme="minorEastAsia" w:hAnsiTheme="minorHAnsi" w:cstheme="minorHAnsi"/>
          <w:lang w:eastAsia="zh-CN"/>
        </w:rPr>
        <w:t>ICT</w:t>
      </w:r>
      <w:r w:rsidR="00FE6B7E" w:rsidRPr="009A3F4D">
        <w:rPr>
          <w:rFonts w:asciiTheme="minorHAnsi" w:eastAsiaTheme="minorEastAsia" w:hAnsiTheme="minorHAnsi" w:cstheme="minorHAnsi"/>
          <w:lang w:eastAsia="zh-CN"/>
        </w:rPr>
        <w:t>在卫生、教育、金融、政府服务、农业和劳动力市场的创新应用。</w:t>
      </w:r>
      <w:r w:rsidR="00A52FFF" w:rsidRPr="009A3F4D">
        <w:rPr>
          <w:rFonts w:asciiTheme="minorHAnsi" w:eastAsiaTheme="minorEastAsia" w:hAnsiTheme="minorHAnsi" w:cstheme="minorHAnsi"/>
          <w:color w:val="0000FF"/>
          <w:u w:val="single"/>
          <w:lang w:eastAsia="zh-CN"/>
        </w:rPr>
        <w:fldChar w:fldCharType="begin"/>
      </w:r>
      <w:r w:rsidR="00A52FFF" w:rsidRPr="009A3F4D">
        <w:rPr>
          <w:rFonts w:asciiTheme="minorHAnsi" w:eastAsiaTheme="minorEastAsia" w:hAnsiTheme="minorHAnsi" w:cstheme="minorHAnsi"/>
          <w:color w:val="0000FF"/>
          <w:u w:val="single"/>
          <w:lang w:eastAsia="zh-CN"/>
        </w:rPr>
        <w:instrText xml:space="preserve"> HYPERLINK "https://telecomworld.itu.int/2018-event/sme/" </w:instrText>
      </w:r>
      <w:r w:rsidR="00A52FFF" w:rsidRPr="009A3F4D">
        <w:rPr>
          <w:rFonts w:asciiTheme="minorHAnsi" w:eastAsiaTheme="minorEastAsia" w:hAnsiTheme="minorHAnsi" w:cstheme="minorHAnsi"/>
          <w:color w:val="0000FF"/>
          <w:u w:val="single"/>
          <w:lang w:eastAsia="zh-CN"/>
        </w:rPr>
        <w:fldChar w:fldCharType="separate"/>
      </w:r>
      <w:r w:rsidR="00FE6B7E" w:rsidRPr="009A3F4D">
        <w:rPr>
          <w:rFonts w:asciiTheme="minorHAnsi" w:eastAsiaTheme="minorEastAsia" w:hAnsiTheme="minorHAnsi" w:cstheme="minorHAnsi"/>
          <w:color w:val="0000FF"/>
          <w:u w:val="single"/>
          <w:lang w:eastAsia="zh-CN"/>
        </w:rPr>
        <w:t>国际电联世界电信展中小企业项目</w:t>
      </w:r>
      <w:r w:rsidR="00A52FFF" w:rsidRPr="009A3F4D">
        <w:rPr>
          <w:rFonts w:asciiTheme="minorHAnsi" w:eastAsiaTheme="minorEastAsia" w:hAnsiTheme="minorHAnsi" w:cstheme="minorHAnsi"/>
          <w:color w:val="0000FF"/>
          <w:u w:val="single"/>
          <w:lang w:eastAsia="zh-CN"/>
        </w:rPr>
        <w:fldChar w:fldCharType="end"/>
      </w:r>
      <w:r w:rsidR="00FE6B7E" w:rsidRPr="009A3F4D">
        <w:rPr>
          <w:rFonts w:asciiTheme="minorHAnsi" w:eastAsiaTheme="minorEastAsia" w:hAnsiTheme="minorHAnsi" w:cstheme="minorHAnsi"/>
          <w:lang w:eastAsia="zh-CN"/>
        </w:rPr>
        <w:t>侧重于帮助那些有社会影响的高增长</w:t>
      </w:r>
      <w:r w:rsidRPr="009A3F4D">
        <w:rPr>
          <w:rFonts w:asciiTheme="minorHAnsi" w:eastAsiaTheme="minorEastAsia" w:hAnsiTheme="minorHAnsi" w:cstheme="minorHAnsi"/>
          <w:lang w:eastAsia="zh-CN"/>
        </w:rPr>
        <w:t>SME</w:t>
      </w:r>
      <w:r w:rsidR="00FE6B7E" w:rsidRPr="009A3F4D">
        <w:rPr>
          <w:rFonts w:asciiTheme="minorHAnsi" w:eastAsiaTheme="minorEastAsia" w:hAnsiTheme="minorHAnsi" w:cstheme="minorHAnsi"/>
          <w:lang w:eastAsia="zh-CN"/>
        </w:rPr>
        <w:t>，</w:t>
      </w:r>
      <w:r w:rsidR="00FD279B" w:rsidRPr="009A3F4D">
        <w:rPr>
          <w:rFonts w:asciiTheme="minorHAnsi" w:eastAsiaTheme="minorEastAsia" w:hAnsiTheme="minorHAnsi" w:cstheme="minorHAnsi"/>
          <w:lang w:eastAsia="zh-CN"/>
        </w:rPr>
        <w:t>增加其</w:t>
      </w:r>
      <w:r w:rsidR="00FD279B" w:rsidRPr="009A3F4D">
        <w:rPr>
          <w:rFonts w:asciiTheme="minorHAnsi" w:eastAsiaTheme="minorEastAsia" w:hAnsiTheme="minorHAnsi" w:cstheme="minorHAnsi"/>
          <w:lang w:eastAsia="zh-CN"/>
        </w:rPr>
        <w:t>ICT</w:t>
      </w:r>
      <w:r w:rsidR="008D7F98" w:rsidRPr="009A3F4D">
        <w:rPr>
          <w:rFonts w:asciiTheme="minorHAnsi" w:eastAsiaTheme="minorEastAsia" w:hAnsiTheme="minorHAnsi" w:cstheme="minorHAnsi"/>
          <w:lang w:eastAsia="zh-CN"/>
        </w:rPr>
        <w:t>领域的产品或服务</w:t>
      </w:r>
      <w:r w:rsidR="00FD279B" w:rsidRPr="009A3F4D">
        <w:rPr>
          <w:rFonts w:asciiTheme="minorHAnsi" w:eastAsiaTheme="minorEastAsia" w:hAnsiTheme="minorHAnsi" w:cstheme="minorHAnsi"/>
          <w:lang w:eastAsia="zh-CN"/>
        </w:rPr>
        <w:t>数量，或是</w:t>
      </w:r>
      <w:r w:rsidR="008D7F98" w:rsidRPr="009A3F4D">
        <w:rPr>
          <w:rFonts w:asciiTheme="minorHAnsi" w:eastAsiaTheme="minorEastAsia" w:hAnsiTheme="minorHAnsi" w:cstheme="minorHAnsi"/>
          <w:lang w:eastAsia="zh-CN"/>
        </w:rPr>
        <w:t>有</w:t>
      </w:r>
      <w:r w:rsidR="00FD279B" w:rsidRPr="009A3F4D">
        <w:rPr>
          <w:rFonts w:asciiTheme="minorHAnsi" w:eastAsiaTheme="minorEastAsia" w:hAnsiTheme="minorHAnsi" w:cstheme="minorHAnsi"/>
          <w:lang w:eastAsia="zh-CN"/>
        </w:rPr>
        <w:t>赖</w:t>
      </w:r>
      <w:r w:rsidR="008D7F98" w:rsidRPr="009A3F4D">
        <w:rPr>
          <w:rFonts w:asciiTheme="minorHAnsi" w:eastAsiaTheme="minorEastAsia" w:hAnsiTheme="minorHAnsi" w:cstheme="minorHAnsi"/>
          <w:lang w:eastAsia="zh-CN"/>
        </w:rPr>
        <w:t>于</w:t>
      </w:r>
      <w:r w:rsidR="00FD279B" w:rsidRPr="009A3F4D">
        <w:rPr>
          <w:rFonts w:asciiTheme="minorHAnsi" w:eastAsiaTheme="minorEastAsia" w:hAnsiTheme="minorHAnsi" w:cstheme="minorHAnsi"/>
          <w:lang w:eastAsia="zh-CN"/>
        </w:rPr>
        <w:t>ICT</w:t>
      </w:r>
      <w:r w:rsidR="00FD279B" w:rsidRPr="009A3F4D">
        <w:rPr>
          <w:rFonts w:asciiTheme="minorHAnsi" w:eastAsiaTheme="minorEastAsia" w:hAnsiTheme="minorHAnsi" w:cstheme="minorHAnsi"/>
          <w:lang w:eastAsia="zh-CN"/>
        </w:rPr>
        <w:t>的业务模式的数量。国际电联世界电信展已帮助</w:t>
      </w:r>
      <w:hyperlink r:id="rId16" w:history="1">
        <w:r w:rsidR="00FD279B" w:rsidRPr="009A3F4D">
          <w:rPr>
            <w:rStyle w:val="Hyperlink"/>
            <w:rFonts w:asciiTheme="minorHAnsi" w:eastAsiaTheme="minorEastAsia" w:hAnsiTheme="minorHAnsi" w:cstheme="minorHAnsi"/>
            <w:lang w:eastAsia="zh-CN"/>
          </w:rPr>
          <w:t>技术型</w:t>
        </w:r>
        <w:r w:rsidRPr="009A3F4D">
          <w:rPr>
            <w:rStyle w:val="Hyperlink"/>
            <w:rFonts w:asciiTheme="minorHAnsi" w:eastAsiaTheme="minorEastAsia" w:hAnsiTheme="minorHAnsi" w:cstheme="minorHAnsi"/>
            <w:lang w:eastAsia="zh-CN"/>
          </w:rPr>
          <w:t>SME</w:t>
        </w:r>
        <w:r w:rsidR="00FD279B" w:rsidRPr="009A3F4D">
          <w:rPr>
            <w:rStyle w:val="Hyperlink"/>
            <w:rFonts w:asciiTheme="minorHAnsi" w:eastAsiaTheme="minorEastAsia" w:hAnsiTheme="minorHAnsi" w:cstheme="minorHAnsi"/>
            <w:lang w:eastAsia="zh-CN"/>
          </w:rPr>
          <w:t>获得了新市场机遇，增加了</w:t>
        </w:r>
      </w:hyperlink>
      <w:r w:rsidR="002818FA" w:rsidRPr="009A3F4D">
        <w:rPr>
          <w:rFonts w:asciiTheme="minorHAnsi" w:eastAsiaTheme="minorEastAsia" w:hAnsiTheme="minorHAnsi" w:cstheme="minorHAnsi"/>
          <w:lang w:eastAsia="zh-CN"/>
        </w:rPr>
        <w:t>它们的</w:t>
      </w:r>
      <w:r w:rsidR="008D7F98" w:rsidRPr="009A3F4D">
        <w:rPr>
          <w:rFonts w:asciiTheme="minorHAnsi" w:eastAsiaTheme="minorEastAsia" w:hAnsiTheme="minorHAnsi" w:cstheme="minorHAnsi"/>
          <w:lang w:eastAsia="zh-CN"/>
        </w:rPr>
        <w:t>商</w:t>
      </w:r>
      <w:r w:rsidR="00FD279B" w:rsidRPr="009A3F4D">
        <w:rPr>
          <w:rFonts w:asciiTheme="minorHAnsi" w:eastAsiaTheme="minorEastAsia" w:hAnsiTheme="minorHAnsi" w:cstheme="minorHAnsi"/>
          <w:lang w:eastAsia="zh-CN"/>
        </w:rPr>
        <w:t>务活动的强度</w:t>
      </w:r>
      <w:r w:rsidR="002818FA" w:rsidRPr="009A3F4D">
        <w:rPr>
          <w:rFonts w:asciiTheme="minorHAnsi" w:eastAsiaTheme="minorEastAsia" w:hAnsiTheme="minorHAnsi" w:cstheme="minorHAnsi"/>
          <w:lang w:eastAsia="zh-CN"/>
        </w:rPr>
        <w:t>，促使其在全球的影响达到最大化。这方面的具体工作包括通过展览、指导、</w:t>
      </w:r>
      <w:r w:rsidR="008D7F98" w:rsidRPr="009A3F4D">
        <w:rPr>
          <w:rFonts w:asciiTheme="minorHAnsi" w:eastAsiaTheme="minorEastAsia" w:hAnsiTheme="minorHAnsi" w:cstheme="minorHAnsi"/>
          <w:lang w:eastAsia="zh-CN"/>
        </w:rPr>
        <w:t>入门介绍</w:t>
      </w:r>
      <w:r w:rsidR="002818FA" w:rsidRPr="009A3F4D">
        <w:rPr>
          <w:rFonts w:asciiTheme="minorHAnsi" w:eastAsiaTheme="minorEastAsia" w:hAnsiTheme="minorHAnsi" w:cstheme="minorHAnsi"/>
          <w:lang w:eastAsia="zh-CN"/>
        </w:rPr>
        <w:t>、为投资人牵线搭桥、推介以及国际电联世界电信展中小企业奖的表彰，来提升中小企业的国际知名度。自</w:t>
      </w:r>
      <w:r w:rsidR="002818FA" w:rsidRPr="009A3F4D">
        <w:rPr>
          <w:rFonts w:asciiTheme="minorHAnsi" w:eastAsiaTheme="minorEastAsia" w:hAnsiTheme="minorHAnsi" w:cstheme="minorHAnsi"/>
          <w:lang w:eastAsia="zh-CN"/>
        </w:rPr>
        <w:t>2015</w:t>
      </w:r>
      <w:r w:rsidR="002818FA" w:rsidRPr="009A3F4D">
        <w:rPr>
          <w:rFonts w:asciiTheme="minorHAnsi" w:eastAsiaTheme="minorEastAsia" w:hAnsiTheme="minorHAnsi" w:cstheme="minorHAnsi"/>
          <w:lang w:eastAsia="zh-CN"/>
        </w:rPr>
        <w:t>年以来，</w:t>
      </w:r>
      <w:r w:rsidR="008D7F98" w:rsidRPr="009A3F4D">
        <w:rPr>
          <w:rFonts w:asciiTheme="minorHAnsi" w:eastAsiaTheme="minorEastAsia" w:hAnsiTheme="minorHAnsi" w:cstheme="minorHAnsi"/>
          <w:lang w:eastAsia="zh-CN"/>
        </w:rPr>
        <w:t>已有</w:t>
      </w:r>
      <w:r w:rsidRPr="009A3F4D">
        <w:rPr>
          <w:rFonts w:asciiTheme="minorHAnsi" w:eastAsiaTheme="minorEastAsia" w:hAnsiTheme="minorHAnsi" w:cstheme="minorHAnsi"/>
          <w:lang w:eastAsia="zh-CN"/>
        </w:rPr>
        <w:t>500</w:t>
      </w:r>
      <w:r w:rsidR="002818FA" w:rsidRPr="009A3F4D">
        <w:rPr>
          <w:rFonts w:asciiTheme="minorHAnsi" w:eastAsiaTheme="minorEastAsia" w:hAnsiTheme="minorHAnsi" w:cstheme="minorHAnsi"/>
          <w:lang w:eastAsia="zh-CN"/>
        </w:rPr>
        <w:t>多家技术型</w:t>
      </w:r>
      <w:r w:rsidRPr="009A3F4D">
        <w:rPr>
          <w:rFonts w:asciiTheme="minorHAnsi" w:eastAsiaTheme="minorEastAsia" w:hAnsiTheme="minorHAnsi" w:cstheme="minorHAnsi"/>
          <w:lang w:eastAsia="zh-CN"/>
        </w:rPr>
        <w:t>SME</w:t>
      </w:r>
      <w:r w:rsidR="002818FA" w:rsidRPr="009A3F4D">
        <w:rPr>
          <w:rFonts w:asciiTheme="minorHAnsi" w:eastAsiaTheme="minorEastAsia" w:hAnsiTheme="minorHAnsi" w:cstheme="minorHAnsi"/>
          <w:lang w:eastAsia="zh-CN"/>
        </w:rPr>
        <w:t>参加了电信展或参与了国际电联世界电信展</w:t>
      </w:r>
      <w:r w:rsidR="008D7F98" w:rsidRPr="009A3F4D">
        <w:rPr>
          <w:rFonts w:asciiTheme="minorHAnsi" w:eastAsiaTheme="minorEastAsia" w:hAnsiTheme="minorHAnsi" w:cstheme="minorHAnsi"/>
          <w:lang w:eastAsia="zh-CN"/>
        </w:rPr>
        <w:t>的</w:t>
      </w:r>
      <w:r w:rsidR="002818FA" w:rsidRPr="009A3F4D">
        <w:rPr>
          <w:rFonts w:asciiTheme="minorHAnsi" w:eastAsiaTheme="minorEastAsia" w:hAnsiTheme="minorHAnsi" w:cstheme="minorHAnsi"/>
          <w:lang w:eastAsia="zh-CN"/>
        </w:rPr>
        <w:t>中小企业项目和颁奖活动。一些获奖企业仍在继续拓展国内外市场。</w:t>
      </w:r>
    </w:p>
    <w:p w:rsidR="009A0A59" w:rsidRPr="009A3F4D" w:rsidRDefault="009A0A59"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3.4</w:t>
      </w:r>
      <w:r w:rsidRPr="009A3F4D">
        <w:rPr>
          <w:rFonts w:asciiTheme="minorHAnsi" w:eastAsiaTheme="minorEastAsia" w:hAnsiTheme="minorHAnsi" w:cstheme="minorHAnsi"/>
          <w:lang w:eastAsia="zh-CN"/>
        </w:rPr>
        <w:tab/>
      </w:r>
      <w:r w:rsidR="00DF7548" w:rsidRPr="009A3F4D">
        <w:rPr>
          <w:rFonts w:asciiTheme="minorHAnsi" w:eastAsiaTheme="minorEastAsia" w:hAnsiTheme="minorHAnsi" w:cstheme="minorHAnsi"/>
          <w:lang w:eastAsia="zh-CN"/>
        </w:rPr>
        <w:t>此外，</w:t>
      </w:r>
      <w:r w:rsidRPr="009A3F4D">
        <w:rPr>
          <w:rFonts w:asciiTheme="minorHAnsi" w:eastAsiaTheme="minorEastAsia" w:hAnsiTheme="minorHAnsi" w:cstheme="minorHAnsi"/>
          <w:lang w:eastAsia="zh-CN"/>
        </w:rPr>
        <w:t>WSIS</w:t>
      </w:r>
      <w:r w:rsidR="00DF7548" w:rsidRPr="009A3F4D">
        <w:rPr>
          <w:rFonts w:asciiTheme="minorHAnsi" w:eastAsiaTheme="minorEastAsia" w:hAnsiTheme="minorHAnsi" w:cstheme="minorHAnsi"/>
          <w:lang w:eastAsia="zh-CN"/>
        </w:rPr>
        <w:t>论坛已成为</w:t>
      </w:r>
      <w:r w:rsidR="00DF7548" w:rsidRPr="009A3F4D">
        <w:rPr>
          <w:rFonts w:asciiTheme="minorHAnsi" w:eastAsiaTheme="minorEastAsia" w:hAnsiTheme="minorHAnsi" w:cstheme="minorHAnsi"/>
          <w:lang w:eastAsia="zh-CN"/>
        </w:rPr>
        <w:t>SME</w:t>
      </w:r>
      <w:r w:rsidR="00DF7548" w:rsidRPr="009A3F4D">
        <w:rPr>
          <w:rFonts w:asciiTheme="minorHAnsi" w:eastAsiaTheme="minorEastAsia" w:hAnsiTheme="minorHAnsi" w:cstheme="minorHAnsi"/>
          <w:lang w:eastAsia="zh-CN"/>
        </w:rPr>
        <w:t>和初创企业愈发感兴趣的一个平台。国际电联和共同主办方始终鼓励</w:t>
      </w:r>
      <w:r w:rsidR="00DF7548" w:rsidRPr="009A3F4D">
        <w:rPr>
          <w:rFonts w:asciiTheme="minorHAnsi" w:eastAsiaTheme="minorEastAsia" w:hAnsiTheme="minorHAnsi" w:cstheme="minorHAnsi"/>
          <w:lang w:eastAsia="zh-CN"/>
        </w:rPr>
        <w:t>SME</w:t>
      </w:r>
      <w:r w:rsidR="00DF7548" w:rsidRPr="009A3F4D">
        <w:rPr>
          <w:rFonts w:asciiTheme="minorHAnsi" w:eastAsiaTheme="minorEastAsia" w:hAnsiTheme="minorHAnsi" w:cstheme="minorHAnsi"/>
          <w:lang w:eastAsia="zh-CN"/>
        </w:rPr>
        <w:t>和初创企业展示其创新技术并在更大范围内与</w:t>
      </w:r>
      <w:r w:rsidR="00DF7548" w:rsidRPr="009A3F4D">
        <w:rPr>
          <w:rFonts w:asciiTheme="minorHAnsi" w:eastAsiaTheme="minorEastAsia" w:hAnsiTheme="minorHAnsi" w:cstheme="minorHAnsi"/>
          <w:lang w:eastAsia="zh-CN"/>
        </w:rPr>
        <w:t>WSIS</w:t>
      </w:r>
      <w:r w:rsidR="00DF7548" w:rsidRPr="009A3F4D">
        <w:rPr>
          <w:rFonts w:asciiTheme="minorHAnsi" w:eastAsiaTheme="minorEastAsia" w:hAnsiTheme="minorHAnsi" w:cstheme="minorHAnsi"/>
          <w:lang w:eastAsia="zh-CN"/>
        </w:rPr>
        <w:t>利益攸关方团体互动。</w:t>
      </w:r>
      <w:r w:rsidR="00DF7548" w:rsidRPr="009A3F4D">
        <w:rPr>
          <w:rFonts w:asciiTheme="minorHAnsi" w:eastAsiaTheme="minorEastAsia" w:hAnsiTheme="minorHAnsi" w:cstheme="minorHAnsi"/>
          <w:lang w:eastAsia="zh-CN"/>
        </w:rPr>
        <w:t>SME</w:t>
      </w:r>
      <w:r w:rsidR="00DF7548" w:rsidRPr="009A3F4D">
        <w:rPr>
          <w:rFonts w:asciiTheme="minorHAnsi" w:eastAsiaTheme="minorEastAsia" w:hAnsiTheme="minorHAnsi" w:cstheme="minorHAnsi"/>
          <w:lang w:eastAsia="zh-CN"/>
        </w:rPr>
        <w:t>和初创企业近期展示的解决方案包括无人机、造福社会的机器人和人工智能、</w:t>
      </w:r>
      <w:r w:rsidR="00DF7548" w:rsidRPr="009A3F4D">
        <w:rPr>
          <w:rFonts w:asciiTheme="minorHAnsi" w:eastAsiaTheme="minorEastAsia" w:hAnsiTheme="minorHAnsi" w:cstheme="minorHAnsi"/>
          <w:color w:val="212529"/>
          <w:shd w:val="clear" w:color="auto" w:fill="FFFFFF"/>
          <w:lang w:eastAsia="zh-CN"/>
        </w:rPr>
        <w:t>在线能力建设项目、利用</w:t>
      </w:r>
      <w:r w:rsidR="00DF7548" w:rsidRPr="009A3F4D">
        <w:rPr>
          <w:rFonts w:asciiTheme="minorHAnsi" w:eastAsiaTheme="minorEastAsia" w:hAnsiTheme="minorHAnsi" w:cstheme="minorHAnsi"/>
          <w:color w:val="212529"/>
          <w:shd w:val="clear" w:color="auto" w:fill="FFFFFF"/>
          <w:lang w:eastAsia="zh-CN"/>
        </w:rPr>
        <w:t>ICT</w:t>
      </w:r>
      <w:r w:rsidR="00DF7548" w:rsidRPr="009A3F4D">
        <w:rPr>
          <w:rFonts w:asciiTheme="minorHAnsi" w:eastAsiaTheme="minorEastAsia" w:hAnsiTheme="minorHAnsi" w:cstheme="minorHAnsi"/>
          <w:color w:val="212529"/>
          <w:shd w:val="clear" w:color="auto" w:fill="FFFFFF"/>
          <w:lang w:eastAsia="zh-CN"/>
        </w:rPr>
        <w:t>消除饥饿以及电子卫生方案。</w:t>
      </w:r>
    </w:p>
    <w:p w:rsidR="009A0A59" w:rsidRPr="009A3F4D" w:rsidRDefault="009A0A59"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3.5</w:t>
      </w:r>
      <w:r w:rsidRPr="009A3F4D">
        <w:rPr>
          <w:rFonts w:asciiTheme="minorHAnsi" w:eastAsiaTheme="minorEastAsia" w:hAnsiTheme="minorHAnsi" w:cstheme="minorHAnsi"/>
          <w:lang w:eastAsia="zh-CN"/>
        </w:rPr>
        <w:tab/>
      </w:r>
      <w:r w:rsidR="00DF7548" w:rsidRPr="009A3F4D">
        <w:rPr>
          <w:rFonts w:asciiTheme="minorHAnsi" w:eastAsiaTheme="minorEastAsia" w:hAnsiTheme="minorHAnsi" w:cstheme="minorHAnsi"/>
          <w:lang w:eastAsia="zh-CN"/>
        </w:rPr>
        <w:t>此外，国际电联亦开展了诸多其它活动，其中包括向非成员开</w:t>
      </w:r>
      <w:r w:rsidR="008D7F98" w:rsidRPr="009A3F4D">
        <w:rPr>
          <w:rFonts w:asciiTheme="minorHAnsi" w:eastAsiaTheme="minorEastAsia" w:hAnsiTheme="minorHAnsi" w:cstheme="minorHAnsi"/>
          <w:lang w:eastAsia="zh-CN"/>
        </w:rPr>
        <w:t>放</w:t>
      </w:r>
      <w:r w:rsidR="00DF7548" w:rsidRPr="009A3F4D">
        <w:rPr>
          <w:rFonts w:asciiTheme="minorHAnsi" w:eastAsiaTheme="minorEastAsia" w:hAnsiTheme="minorHAnsi" w:cstheme="minorHAnsi"/>
          <w:lang w:eastAsia="zh-CN"/>
        </w:rPr>
        <w:t>入的焦点组、讲习班和培训。对</w:t>
      </w:r>
      <w:r w:rsidR="00DF7548" w:rsidRPr="009A3F4D">
        <w:rPr>
          <w:rFonts w:asciiTheme="minorHAnsi" w:eastAsiaTheme="minorEastAsia" w:hAnsiTheme="minorHAnsi" w:cstheme="minorHAnsi"/>
          <w:lang w:eastAsia="zh-CN"/>
        </w:rPr>
        <w:t>SME</w:t>
      </w:r>
      <w:r w:rsidR="00DF7548" w:rsidRPr="009A3F4D">
        <w:rPr>
          <w:rFonts w:asciiTheme="minorHAnsi" w:eastAsiaTheme="minorEastAsia" w:hAnsiTheme="minorHAnsi" w:cstheme="minorHAnsi"/>
          <w:lang w:eastAsia="zh-CN"/>
        </w:rPr>
        <w:t>而言，这些均是重要机遇，他们可藉此参与国际电联的工作</w:t>
      </w:r>
      <w:r w:rsidR="0092338B" w:rsidRPr="009A3F4D">
        <w:rPr>
          <w:rFonts w:asciiTheme="minorHAnsi" w:eastAsiaTheme="minorEastAsia" w:hAnsiTheme="minorHAnsi" w:cstheme="minorHAnsi"/>
          <w:lang w:eastAsia="zh-CN"/>
        </w:rPr>
        <w:t>并</w:t>
      </w:r>
      <w:r w:rsidR="008D7F98" w:rsidRPr="009A3F4D">
        <w:rPr>
          <w:rFonts w:asciiTheme="minorHAnsi" w:eastAsiaTheme="minorEastAsia" w:hAnsiTheme="minorHAnsi" w:cstheme="minorHAnsi"/>
          <w:lang w:eastAsia="zh-CN"/>
        </w:rPr>
        <w:t>更广泛地</w:t>
      </w:r>
      <w:r w:rsidR="00DF7548" w:rsidRPr="009A3F4D">
        <w:rPr>
          <w:rFonts w:asciiTheme="minorHAnsi" w:eastAsiaTheme="minorEastAsia" w:hAnsiTheme="minorHAnsi" w:cstheme="minorHAnsi"/>
          <w:lang w:eastAsia="zh-CN"/>
        </w:rPr>
        <w:t>了解世界不同地区的重大问题和发展</w:t>
      </w:r>
      <w:r w:rsidR="0092338B" w:rsidRPr="009A3F4D">
        <w:rPr>
          <w:rFonts w:asciiTheme="minorHAnsi" w:eastAsiaTheme="minorEastAsia" w:hAnsiTheme="minorHAnsi" w:cstheme="minorHAnsi"/>
          <w:lang w:eastAsia="zh-CN"/>
        </w:rPr>
        <w:t>状况</w:t>
      </w:r>
      <w:r w:rsidR="00DF7548" w:rsidRPr="009A3F4D">
        <w:rPr>
          <w:rFonts w:asciiTheme="minorHAnsi" w:eastAsiaTheme="minorEastAsia" w:hAnsiTheme="minorHAnsi" w:cstheme="minorHAnsi"/>
          <w:lang w:eastAsia="zh-CN"/>
        </w:rPr>
        <w:t>。</w:t>
      </w:r>
      <w:r w:rsidR="0092338B" w:rsidRPr="009A3F4D">
        <w:rPr>
          <w:rFonts w:asciiTheme="minorHAnsi" w:eastAsiaTheme="minorEastAsia" w:hAnsiTheme="minorHAnsi" w:cstheme="minorHAnsi"/>
          <w:lang w:eastAsia="zh-CN"/>
        </w:rPr>
        <w:t>这些活动同时亦为中小企业与世界其它地区的政府、学术机构、民间团体及更大的公司交流提供了机会，或许这些实体正在寻求</w:t>
      </w:r>
      <w:r w:rsidR="0092338B" w:rsidRPr="009A3F4D">
        <w:rPr>
          <w:rFonts w:asciiTheme="minorHAnsi" w:eastAsiaTheme="minorEastAsia" w:hAnsiTheme="minorHAnsi" w:cstheme="minorHAnsi"/>
          <w:lang w:eastAsia="zh-CN"/>
        </w:rPr>
        <w:t>SME</w:t>
      </w:r>
      <w:r w:rsidR="0092338B" w:rsidRPr="009A3F4D">
        <w:rPr>
          <w:rFonts w:asciiTheme="minorHAnsi" w:eastAsiaTheme="minorEastAsia" w:hAnsiTheme="minorHAnsi" w:cstheme="minorHAnsi"/>
          <w:lang w:eastAsia="zh-CN"/>
        </w:rPr>
        <w:t>或本地合作伙伴提供的解决方案，以满足新兴市场的具体需求。</w:t>
      </w:r>
    </w:p>
    <w:p w:rsidR="009A0A59" w:rsidRPr="009A3F4D" w:rsidRDefault="009A0A59"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3.6</w:t>
      </w:r>
      <w:r w:rsidRPr="009A3F4D">
        <w:rPr>
          <w:rFonts w:asciiTheme="minorHAnsi" w:eastAsiaTheme="minorEastAsia" w:hAnsiTheme="minorHAnsi" w:cstheme="minorHAnsi"/>
          <w:lang w:eastAsia="zh-CN"/>
        </w:rPr>
        <w:tab/>
      </w:r>
      <w:r w:rsidR="0092338B" w:rsidRPr="009A3F4D">
        <w:rPr>
          <w:rFonts w:asciiTheme="minorHAnsi" w:eastAsiaTheme="minorEastAsia" w:hAnsiTheme="minorHAnsi" w:cstheme="minorHAnsi"/>
          <w:lang w:eastAsia="zh-CN"/>
        </w:rPr>
        <w:t>有些成员国亦会将</w:t>
      </w:r>
      <w:r w:rsidR="0092338B" w:rsidRPr="009A3F4D">
        <w:rPr>
          <w:rFonts w:asciiTheme="minorHAnsi" w:eastAsiaTheme="minorEastAsia" w:hAnsiTheme="minorHAnsi" w:cstheme="minorHAnsi"/>
          <w:lang w:eastAsia="zh-CN"/>
        </w:rPr>
        <w:t>SME</w:t>
      </w:r>
      <w:r w:rsidR="0092338B" w:rsidRPr="009A3F4D">
        <w:rPr>
          <w:rFonts w:asciiTheme="minorHAnsi" w:eastAsiaTheme="minorEastAsia" w:hAnsiTheme="minorHAnsi" w:cstheme="minorHAnsi"/>
          <w:lang w:eastAsia="zh-CN"/>
        </w:rPr>
        <w:t>并入其代表团。注重国际交流和收集信息的小公司可能觉得参加国家代表团完全可以满足需求，因为这些公司</w:t>
      </w:r>
      <w:r w:rsidR="008D7F98" w:rsidRPr="009A3F4D">
        <w:rPr>
          <w:rFonts w:asciiTheme="minorHAnsi" w:eastAsiaTheme="minorEastAsia" w:hAnsiTheme="minorHAnsi" w:cstheme="minorHAnsi"/>
          <w:lang w:eastAsia="zh-CN"/>
        </w:rPr>
        <w:t>尚</w:t>
      </w:r>
      <w:r w:rsidR="0092338B" w:rsidRPr="009A3F4D">
        <w:rPr>
          <w:rFonts w:asciiTheme="minorHAnsi" w:eastAsiaTheme="minorEastAsia" w:hAnsiTheme="minorHAnsi" w:cstheme="minorHAnsi"/>
          <w:lang w:eastAsia="zh-CN"/>
        </w:rPr>
        <w:t>不想通过自己独立提交的文稿</w:t>
      </w:r>
      <w:r w:rsidR="008D7F98" w:rsidRPr="009A3F4D">
        <w:rPr>
          <w:rFonts w:asciiTheme="minorHAnsi" w:eastAsiaTheme="minorEastAsia" w:hAnsiTheme="minorHAnsi" w:cstheme="minorHAnsi"/>
          <w:lang w:eastAsia="zh-CN"/>
        </w:rPr>
        <w:t>对</w:t>
      </w:r>
      <w:r w:rsidR="00213A54" w:rsidRPr="009A3F4D">
        <w:rPr>
          <w:rFonts w:asciiTheme="minorHAnsi" w:eastAsiaTheme="minorEastAsia" w:hAnsiTheme="minorHAnsi" w:cstheme="minorHAnsi"/>
          <w:lang w:eastAsia="zh-CN"/>
        </w:rPr>
        <w:t>会议的议程</w:t>
      </w:r>
      <w:r w:rsidR="008D7F98" w:rsidRPr="009A3F4D">
        <w:rPr>
          <w:rFonts w:asciiTheme="minorHAnsi" w:eastAsiaTheme="minorEastAsia" w:hAnsiTheme="minorHAnsi" w:cstheme="minorHAnsi"/>
          <w:lang w:eastAsia="zh-CN"/>
        </w:rPr>
        <w:t>施加影响</w:t>
      </w:r>
      <w:r w:rsidR="00213A54" w:rsidRPr="009A3F4D">
        <w:rPr>
          <w:rFonts w:asciiTheme="minorHAnsi" w:eastAsiaTheme="minorEastAsia" w:hAnsiTheme="minorHAnsi" w:cstheme="minorHAnsi"/>
          <w:lang w:eastAsia="zh-CN"/>
        </w:rPr>
        <w:t>。此外，许多</w:t>
      </w:r>
      <w:r w:rsidRPr="009A3F4D">
        <w:rPr>
          <w:rFonts w:asciiTheme="minorHAnsi" w:eastAsiaTheme="minorEastAsia" w:hAnsiTheme="minorHAnsi" w:cstheme="minorHAnsi"/>
          <w:lang w:eastAsia="zh-CN"/>
        </w:rPr>
        <w:t>SME</w:t>
      </w:r>
      <w:r w:rsidR="008D7F98" w:rsidRPr="009A3F4D">
        <w:rPr>
          <w:rFonts w:asciiTheme="minorHAnsi" w:eastAsiaTheme="minorEastAsia" w:hAnsiTheme="minorHAnsi" w:cstheme="minorHAnsi"/>
          <w:lang w:eastAsia="zh-CN"/>
        </w:rPr>
        <w:t>可能</w:t>
      </w:r>
      <w:r w:rsidR="00213A54" w:rsidRPr="009A3F4D">
        <w:rPr>
          <w:rFonts w:asciiTheme="minorHAnsi" w:eastAsiaTheme="minorEastAsia" w:hAnsiTheme="minorHAnsi" w:cstheme="minorHAnsi"/>
          <w:lang w:eastAsia="zh-CN"/>
        </w:rPr>
        <w:t>没有能力投</w:t>
      </w:r>
      <w:r w:rsidR="008D7F98" w:rsidRPr="009A3F4D">
        <w:rPr>
          <w:rFonts w:asciiTheme="minorHAnsi" w:eastAsiaTheme="minorEastAsia" w:hAnsiTheme="minorHAnsi" w:cstheme="minorHAnsi"/>
          <w:lang w:eastAsia="zh-CN"/>
        </w:rPr>
        <w:t>入</w:t>
      </w:r>
      <w:r w:rsidR="00213A54" w:rsidRPr="009A3F4D">
        <w:rPr>
          <w:rFonts w:asciiTheme="minorHAnsi" w:eastAsiaTheme="minorEastAsia" w:hAnsiTheme="minorHAnsi" w:cstheme="minorHAnsi"/>
          <w:lang w:eastAsia="zh-CN"/>
        </w:rPr>
        <w:t>必须的资源，自始至终为整个进程提供有针对性的标准或为决策提出建议，但他们</w:t>
      </w:r>
      <w:r w:rsidR="008D7F98" w:rsidRPr="009A3F4D">
        <w:rPr>
          <w:rFonts w:asciiTheme="minorHAnsi" w:eastAsiaTheme="minorEastAsia" w:hAnsiTheme="minorHAnsi" w:cstheme="minorHAnsi"/>
          <w:lang w:eastAsia="zh-CN"/>
        </w:rPr>
        <w:t>有财力</w:t>
      </w:r>
      <w:r w:rsidR="00213A54" w:rsidRPr="009A3F4D">
        <w:rPr>
          <w:rFonts w:asciiTheme="minorHAnsi" w:eastAsiaTheme="minorEastAsia" w:hAnsiTheme="minorHAnsi" w:cstheme="minorHAnsi"/>
          <w:lang w:eastAsia="zh-CN"/>
        </w:rPr>
        <w:t>偶尔参加国际电联的活动。有鉴于此，这些公司中有一部分将来可能会作为部门准成员或部门成员加入国际电联。</w:t>
      </w:r>
    </w:p>
    <w:p w:rsidR="009A0A59" w:rsidRPr="009A3F4D" w:rsidRDefault="00356E04" w:rsidP="00BC047D">
      <w:pPr>
        <w:pStyle w:val="Heading1"/>
        <w:rPr>
          <w:lang w:eastAsia="zh-CN"/>
        </w:rPr>
      </w:pPr>
      <w:r w:rsidRPr="009A3F4D">
        <w:rPr>
          <w:lang w:eastAsia="zh-CN"/>
        </w:rPr>
        <w:t>4</w:t>
      </w:r>
      <w:r w:rsidR="009A0A59" w:rsidRPr="009A3F4D">
        <w:rPr>
          <w:lang w:eastAsia="zh-CN"/>
        </w:rPr>
        <w:tab/>
      </w:r>
      <w:r w:rsidR="00D91A9E" w:rsidRPr="009A3F4D">
        <w:rPr>
          <w:lang w:eastAsia="zh-CN"/>
        </w:rPr>
        <w:t>分析</w:t>
      </w:r>
    </w:p>
    <w:p w:rsidR="009A0A59" w:rsidRPr="009A3F4D" w:rsidRDefault="009A0A59"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4.1</w:t>
      </w:r>
      <w:r w:rsidRPr="009A3F4D">
        <w:rPr>
          <w:rFonts w:asciiTheme="minorHAnsi" w:eastAsiaTheme="minorEastAsia" w:hAnsiTheme="minorHAnsi" w:cstheme="minorHAnsi"/>
          <w:lang w:eastAsia="zh-CN"/>
        </w:rPr>
        <w:tab/>
        <w:t>SME</w:t>
      </w:r>
      <w:r w:rsidR="00D91A9E" w:rsidRPr="009A3F4D">
        <w:rPr>
          <w:rFonts w:asciiTheme="minorHAnsi" w:eastAsiaTheme="minorEastAsia" w:hAnsiTheme="minorHAnsi" w:cstheme="minorHAnsi"/>
          <w:lang w:eastAsia="zh-CN"/>
        </w:rPr>
        <w:t>试点项目早期取得了积极的成果。如上文所述，</w:t>
      </w:r>
      <w:r w:rsidRPr="009A3F4D">
        <w:rPr>
          <w:rFonts w:asciiTheme="minorHAnsi" w:eastAsiaTheme="minorEastAsia" w:hAnsiTheme="minorHAnsi" w:cstheme="minorHAnsi"/>
          <w:lang w:eastAsia="zh-CN"/>
        </w:rPr>
        <w:t>22</w:t>
      </w:r>
      <w:r w:rsidR="00D91A9E" w:rsidRPr="009A3F4D">
        <w:rPr>
          <w:rFonts w:asciiTheme="minorHAnsi" w:eastAsiaTheme="minorEastAsia" w:hAnsiTheme="minorHAnsi" w:cstheme="minorHAnsi"/>
          <w:lang w:eastAsia="zh-CN"/>
        </w:rPr>
        <w:t>家</w:t>
      </w:r>
      <w:r w:rsidRPr="009A3F4D">
        <w:rPr>
          <w:rFonts w:asciiTheme="minorHAnsi" w:eastAsiaTheme="minorEastAsia" w:hAnsiTheme="minorHAnsi" w:cstheme="minorHAnsi"/>
          <w:lang w:eastAsia="zh-CN"/>
        </w:rPr>
        <w:t>SME</w:t>
      </w:r>
      <w:r w:rsidR="00D91A9E" w:rsidRPr="009A3F4D">
        <w:rPr>
          <w:rFonts w:asciiTheme="minorHAnsi" w:eastAsiaTheme="minorEastAsia" w:hAnsiTheme="minorHAnsi" w:cstheme="minorHAnsi"/>
          <w:lang w:eastAsia="zh-CN"/>
        </w:rPr>
        <w:t>在极短的时间内便取得了相关主管部门的参与批准。鉴于试点项目于</w:t>
      </w:r>
      <w:r w:rsidR="00D91A9E" w:rsidRPr="009A3F4D">
        <w:rPr>
          <w:rFonts w:asciiTheme="minorHAnsi" w:eastAsiaTheme="minorEastAsia" w:hAnsiTheme="minorHAnsi" w:cstheme="minorHAnsi"/>
          <w:lang w:eastAsia="zh-CN"/>
        </w:rPr>
        <w:t>2017</w:t>
      </w:r>
      <w:r w:rsidR="00D91A9E" w:rsidRPr="009A3F4D">
        <w:rPr>
          <w:rFonts w:asciiTheme="minorHAnsi" w:eastAsiaTheme="minorEastAsia" w:hAnsiTheme="minorHAnsi" w:cstheme="minorHAnsi"/>
          <w:lang w:eastAsia="zh-CN"/>
        </w:rPr>
        <w:t>年下半年启动，其潜力可能尚未完全发挥。</w:t>
      </w:r>
      <w:r w:rsidRPr="009A3F4D">
        <w:rPr>
          <w:rFonts w:asciiTheme="minorHAnsi" w:eastAsiaTheme="minorEastAsia" w:hAnsiTheme="minorHAnsi" w:cstheme="minorHAnsi"/>
          <w:lang w:eastAsia="zh-CN"/>
        </w:rPr>
        <w:t xml:space="preserve"> </w:t>
      </w:r>
    </w:p>
    <w:p w:rsidR="009A0A59" w:rsidRPr="009A3F4D" w:rsidRDefault="009A0A59"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4.2</w:t>
      </w:r>
      <w:r w:rsidRPr="009A3F4D">
        <w:rPr>
          <w:rFonts w:asciiTheme="minorHAnsi" w:eastAsiaTheme="minorEastAsia" w:hAnsiTheme="minorHAnsi" w:cstheme="minorHAnsi"/>
          <w:b/>
          <w:lang w:eastAsia="zh-CN"/>
        </w:rPr>
        <w:tab/>
      </w:r>
      <w:r w:rsidR="006652E1" w:rsidRPr="009A3F4D">
        <w:rPr>
          <w:rFonts w:asciiTheme="minorHAnsi" w:eastAsiaTheme="minorEastAsia" w:hAnsiTheme="minorHAnsi" w:cstheme="minorHAnsi"/>
          <w:lang w:eastAsia="zh-CN"/>
        </w:rPr>
        <w:t>国际电联可在试点项目成果的基础上，探索下文列出的一批可选方案：</w:t>
      </w:r>
    </w:p>
    <w:p w:rsidR="009A0A59" w:rsidRPr="009A3F4D" w:rsidRDefault="009A0A59"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4.3</w:t>
      </w:r>
      <w:r w:rsidRPr="009A3F4D">
        <w:rPr>
          <w:rFonts w:asciiTheme="minorHAnsi" w:eastAsiaTheme="minorEastAsia" w:hAnsiTheme="minorHAnsi" w:cstheme="minorHAnsi"/>
          <w:lang w:eastAsia="zh-CN"/>
        </w:rPr>
        <w:tab/>
      </w:r>
      <w:r w:rsidR="006652E1" w:rsidRPr="009A3F4D">
        <w:rPr>
          <w:rFonts w:asciiTheme="minorHAnsi" w:eastAsiaTheme="minorEastAsia" w:hAnsiTheme="minorHAnsi" w:cstheme="minorHAnsi"/>
          <w:b/>
          <w:u w:val="single"/>
          <w:lang w:eastAsia="zh-CN"/>
        </w:rPr>
        <w:t>为中小企业建立一个新的成员类别。</w:t>
      </w:r>
      <w:r w:rsidR="006652E1" w:rsidRPr="009A3F4D">
        <w:rPr>
          <w:rFonts w:asciiTheme="minorHAnsi" w:eastAsiaTheme="minorEastAsia" w:hAnsiTheme="minorHAnsi" w:cstheme="minorHAnsi"/>
          <w:lang w:eastAsia="zh-CN"/>
        </w:rPr>
        <w:t>如要实施此方案，则需考虑相关的接纳程序、参加的费用和规则。如上所述，</w:t>
      </w:r>
      <w:r w:rsidR="002460E3" w:rsidRPr="009A3F4D">
        <w:rPr>
          <w:rFonts w:asciiTheme="minorHAnsi" w:eastAsiaTheme="minorEastAsia" w:hAnsiTheme="minorHAnsi" w:cstheme="minorHAnsi"/>
          <w:szCs w:val="24"/>
          <w:lang w:val="en-US" w:eastAsia="zh-CN"/>
        </w:rPr>
        <w:t>为参</w:t>
      </w:r>
      <w:r w:rsidR="006652E1" w:rsidRPr="009A3F4D">
        <w:rPr>
          <w:rFonts w:asciiTheme="minorHAnsi" w:eastAsiaTheme="minorEastAsia" w:hAnsiTheme="minorHAnsi" w:cstheme="minorHAnsi"/>
          <w:szCs w:val="24"/>
          <w:lang w:val="en-US" w:eastAsia="zh-CN"/>
        </w:rPr>
        <w:t>与试点，</w:t>
      </w:r>
      <w:r w:rsidR="002460E3" w:rsidRPr="009A3F4D">
        <w:rPr>
          <w:rFonts w:asciiTheme="minorHAnsi" w:eastAsiaTheme="minorEastAsia" w:hAnsiTheme="minorHAnsi" w:cstheme="minorHAnsi"/>
          <w:szCs w:val="24"/>
          <w:lang w:val="en-US" w:eastAsia="zh-CN"/>
        </w:rPr>
        <w:t>SME</w:t>
      </w:r>
      <w:r w:rsidR="002460E3" w:rsidRPr="009A3F4D">
        <w:rPr>
          <w:rFonts w:asciiTheme="minorHAnsi" w:eastAsiaTheme="minorEastAsia" w:hAnsiTheme="minorHAnsi" w:cstheme="minorHAnsi"/>
          <w:szCs w:val="24"/>
          <w:lang w:val="en-US" w:eastAsia="zh-CN"/>
        </w:rPr>
        <w:t>必须</w:t>
      </w:r>
      <w:r w:rsidR="006652E1" w:rsidRPr="009A3F4D">
        <w:rPr>
          <w:rFonts w:asciiTheme="minorHAnsi" w:eastAsiaTheme="minorEastAsia" w:hAnsiTheme="minorHAnsi" w:cstheme="minorHAnsi"/>
          <w:szCs w:val="24"/>
          <w:lang w:val="en-US" w:eastAsia="zh-CN"/>
        </w:rPr>
        <w:t>获得相关主管部门依照</w:t>
      </w:r>
      <w:r w:rsidR="002460E3" w:rsidRPr="009A3F4D">
        <w:rPr>
          <w:rFonts w:asciiTheme="minorHAnsi" w:eastAsiaTheme="minorEastAsia" w:hAnsiTheme="minorHAnsi" w:cstheme="minorHAnsi"/>
          <w:szCs w:val="24"/>
          <w:lang w:val="en-US" w:eastAsia="zh-CN"/>
        </w:rPr>
        <w:t>各国</w:t>
      </w:r>
      <w:r w:rsidR="002460E3" w:rsidRPr="009A3F4D">
        <w:rPr>
          <w:rFonts w:asciiTheme="minorHAnsi" w:eastAsiaTheme="minorEastAsia" w:hAnsiTheme="minorHAnsi" w:cstheme="minorHAnsi"/>
          <w:szCs w:val="24"/>
          <w:lang w:val="en-US" w:eastAsia="zh-CN"/>
        </w:rPr>
        <w:t>SME</w:t>
      </w:r>
      <w:r w:rsidR="006652E1" w:rsidRPr="009A3F4D">
        <w:rPr>
          <w:rFonts w:asciiTheme="minorHAnsi" w:eastAsiaTheme="minorEastAsia" w:hAnsiTheme="minorHAnsi" w:cstheme="minorHAnsi"/>
          <w:szCs w:val="24"/>
          <w:lang w:val="en-US" w:eastAsia="zh-CN"/>
        </w:rPr>
        <w:t>的</w:t>
      </w:r>
      <w:r w:rsidR="002460E3" w:rsidRPr="009A3F4D">
        <w:rPr>
          <w:rFonts w:asciiTheme="minorHAnsi" w:eastAsiaTheme="minorEastAsia" w:hAnsiTheme="minorHAnsi" w:cstheme="minorHAnsi"/>
          <w:szCs w:val="24"/>
          <w:lang w:val="en-US" w:eastAsia="zh-CN"/>
        </w:rPr>
        <w:t>定义</w:t>
      </w:r>
      <w:r w:rsidR="006652E1" w:rsidRPr="009A3F4D">
        <w:rPr>
          <w:rFonts w:asciiTheme="minorHAnsi" w:eastAsiaTheme="minorEastAsia" w:hAnsiTheme="minorHAnsi" w:cstheme="minorHAnsi"/>
          <w:szCs w:val="24"/>
          <w:lang w:val="en-US" w:eastAsia="zh-CN"/>
        </w:rPr>
        <w:t>给出的</w:t>
      </w:r>
      <w:r w:rsidR="002460E3" w:rsidRPr="009A3F4D">
        <w:rPr>
          <w:rFonts w:asciiTheme="minorHAnsi" w:eastAsiaTheme="minorEastAsia" w:hAnsiTheme="minorHAnsi" w:cstheme="minorHAnsi"/>
          <w:szCs w:val="24"/>
          <w:lang w:val="en-US" w:eastAsia="zh-CN"/>
        </w:rPr>
        <w:t>批准。</w:t>
      </w:r>
      <w:r w:rsidR="008848E6" w:rsidRPr="009A3F4D">
        <w:rPr>
          <w:rFonts w:asciiTheme="minorHAnsi" w:eastAsiaTheme="minorEastAsia" w:hAnsiTheme="minorHAnsi" w:cstheme="minorHAnsi"/>
          <w:szCs w:val="24"/>
          <w:lang w:val="en-US" w:eastAsia="zh-CN"/>
        </w:rPr>
        <w:t>但是，如果国际电联要为</w:t>
      </w:r>
      <w:r w:rsidR="008848E6" w:rsidRPr="009A3F4D">
        <w:rPr>
          <w:rFonts w:asciiTheme="minorHAnsi" w:eastAsiaTheme="minorEastAsia" w:hAnsiTheme="minorHAnsi" w:cstheme="minorHAnsi"/>
          <w:szCs w:val="24"/>
          <w:lang w:val="en-US" w:eastAsia="zh-CN"/>
        </w:rPr>
        <w:t>SME</w:t>
      </w:r>
      <w:r w:rsidR="008848E6" w:rsidRPr="009A3F4D">
        <w:rPr>
          <w:rFonts w:asciiTheme="minorHAnsi" w:eastAsiaTheme="minorEastAsia" w:hAnsiTheme="minorHAnsi" w:cstheme="minorHAnsi"/>
          <w:szCs w:val="24"/>
          <w:lang w:val="en-US" w:eastAsia="zh-CN"/>
        </w:rPr>
        <w:t>建立一个新的、会员费大幅下调的成员类别，则有必要制定相关标准，对享受低价会费企业的规模做出限制。为便于说明，如果国际电联采</w:t>
      </w:r>
      <w:r w:rsidR="008848E6" w:rsidRPr="009A3F4D">
        <w:rPr>
          <w:rFonts w:asciiTheme="minorHAnsi" w:eastAsiaTheme="minorEastAsia" w:hAnsiTheme="minorHAnsi" w:cstheme="minorHAnsi"/>
          <w:szCs w:val="24"/>
          <w:lang w:val="en-US" w:eastAsia="zh-CN"/>
        </w:rPr>
        <w:lastRenderedPageBreak/>
        <w:t>用欧洲对</w:t>
      </w:r>
      <w:r w:rsidR="008848E6" w:rsidRPr="009A3F4D">
        <w:rPr>
          <w:rFonts w:asciiTheme="minorHAnsi" w:eastAsiaTheme="minorEastAsia" w:hAnsiTheme="minorHAnsi" w:cstheme="minorHAnsi"/>
          <w:szCs w:val="24"/>
          <w:lang w:val="en-US" w:eastAsia="zh-CN"/>
        </w:rPr>
        <w:t>SME</w:t>
      </w:r>
      <w:r w:rsidR="008848E6" w:rsidRPr="009A3F4D">
        <w:rPr>
          <w:rFonts w:asciiTheme="minorHAnsi" w:eastAsiaTheme="minorEastAsia" w:hAnsiTheme="minorHAnsi" w:cstheme="minorHAnsi"/>
          <w:szCs w:val="24"/>
          <w:lang w:val="en-US" w:eastAsia="zh-CN"/>
        </w:rPr>
        <w:t>的定义，即将</w:t>
      </w:r>
      <w:r w:rsidR="008848E6" w:rsidRPr="009A3F4D">
        <w:rPr>
          <w:rFonts w:asciiTheme="minorHAnsi" w:eastAsiaTheme="minorEastAsia" w:hAnsiTheme="minorHAnsi" w:cstheme="minorHAnsi"/>
          <w:szCs w:val="24"/>
          <w:lang w:val="en-US" w:eastAsia="zh-CN"/>
        </w:rPr>
        <w:t>300</w:t>
      </w:r>
      <w:r w:rsidR="008848E6" w:rsidRPr="009A3F4D">
        <w:rPr>
          <w:rFonts w:asciiTheme="minorHAnsi" w:eastAsiaTheme="minorEastAsia" w:hAnsiTheme="minorHAnsi" w:cstheme="minorHAnsi"/>
          <w:szCs w:val="24"/>
          <w:lang w:val="en-US" w:eastAsia="zh-CN"/>
        </w:rPr>
        <w:t>名</w:t>
      </w:r>
      <w:r w:rsidR="008D7F98" w:rsidRPr="009A3F4D">
        <w:rPr>
          <w:rFonts w:asciiTheme="minorHAnsi" w:eastAsiaTheme="minorEastAsia" w:hAnsiTheme="minorHAnsi" w:cstheme="minorHAnsi"/>
          <w:szCs w:val="24"/>
          <w:lang w:val="en-US" w:eastAsia="zh-CN"/>
        </w:rPr>
        <w:t>雇员</w:t>
      </w:r>
      <w:r w:rsidR="008848E6" w:rsidRPr="009A3F4D">
        <w:rPr>
          <w:rFonts w:asciiTheme="minorHAnsi" w:eastAsiaTheme="minorEastAsia" w:hAnsiTheme="minorHAnsi" w:cstheme="minorHAnsi"/>
          <w:szCs w:val="24"/>
          <w:lang w:val="en-US" w:eastAsia="zh-CN"/>
        </w:rPr>
        <w:t>作为门槛值，则</w:t>
      </w:r>
      <w:r w:rsidR="008848E6" w:rsidRPr="009A3F4D">
        <w:rPr>
          <w:rFonts w:asciiTheme="minorHAnsi" w:eastAsiaTheme="minorEastAsia" w:hAnsiTheme="minorHAnsi" w:cstheme="minorHAnsi"/>
          <w:szCs w:val="24"/>
          <w:lang w:val="en-US" w:eastAsia="zh-CN"/>
        </w:rPr>
        <w:t>60</w:t>
      </w:r>
      <w:r w:rsidR="008848E6" w:rsidRPr="009A3F4D">
        <w:rPr>
          <w:rFonts w:asciiTheme="minorHAnsi" w:eastAsiaTheme="minorEastAsia" w:hAnsiTheme="minorHAnsi" w:cstheme="minorHAnsi"/>
          <w:szCs w:val="24"/>
          <w:lang w:val="en-US" w:eastAsia="zh-CN"/>
        </w:rPr>
        <w:t>多个现有部门成员和部门准成员很可能均具备</w:t>
      </w:r>
      <w:r w:rsidR="00767CB9" w:rsidRPr="009A3F4D">
        <w:rPr>
          <w:rFonts w:asciiTheme="minorHAnsi" w:eastAsiaTheme="minorEastAsia" w:hAnsiTheme="minorHAnsi" w:cstheme="minorHAnsi"/>
          <w:szCs w:val="24"/>
          <w:lang w:val="en-US" w:eastAsia="zh-CN"/>
        </w:rPr>
        <w:t>享受低会费的资格，从而造成大量收入损失。鉴于此举旨在吸引新的初创公司和中小企业，特别是来自于发展中国家、规模明显</w:t>
      </w:r>
      <w:r w:rsidR="008D7F98" w:rsidRPr="009A3F4D">
        <w:rPr>
          <w:rFonts w:asciiTheme="minorHAnsi" w:eastAsiaTheme="minorEastAsia" w:hAnsiTheme="minorHAnsi" w:cstheme="minorHAnsi"/>
          <w:szCs w:val="24"/>
          <w:lang w:val="en-US" w:eastAsia="zh-CN"/>
        </w:rPr>
        <w:t>低一量级</w:t>
      </w:r>
      <w:r w:rsidR="00767CB9" w:rsidRPr="009A3F4D">
        <w:rPr>
          <w:rFonts w:asciiTheme="minorHAnsi" w:eastAsiaTheme="minorEastAsia" w:hAnsiTheme="minorHAnsi" w:cstheme="minorHAnsi"/>
          <w:szCs w:val="24"/>
          <w:lang w:val="en-US" w:eastAsia="zh-CN"/>
        </w:rPr>
        <w:t>的初创公司和中小企业，所以为他们建立的新成员类别设定一个远低于</w:t>
      </w:r>
      <w:r w:rsidR="00767CB9" w:rsidRPr="009A3F4D">
        <w:rPr>
          <w:rFonts w:asciiTheme="minorHAnsi" w:eastAsiaTheme="minorEastAsia" w:hAnsiTheme="minorHAnsi" w:cstheme="minorHAnsi"/>
          <w:szCs w:val="24"/>
          <w:lang w:val="en-US" w:eastAsia="zh-CN"/>
        </w:rPr>
        <w:t>300</w:t>
      </w:r>
      <w:r w:rsidR="00767CB9" w:rsidRPr="009A3F4D">
        <w:rPr>
          <w:rFonts w:asciiTheme="minorHAnsi" w:eastAsiaTheme="minorEastAsia" w:hAnsiTheme="minorHAnsi" w:cstheme="minorHAnsi"/>
          <w:szCs w:val="24"/>
          <w:lang w:val="en-US" w:eastAsia="zh-CN"/>
        </w:rPr>
        <w:t>名雇员</w:t>
      </w:r>
      <w:r w:rsidR="008D7F98" w:rsidRPr="009A3F4D">
        <w:rPr>
          <w:rFonts w:asciiTheme="minorHAnsi" w:eastAsiaTheme="minorEastAsia" w:hAnsiTheme="minorHAnsi" w:cstheme="minorHAnsi"/>
          <w:szCs w:val="24"/>
          <w:lang w:val="en-US" w:eastAsia="zh-CN"/>
        </w:rPr>
        <w:t>的</w:t>
      </w:r>
      <w:r w:rsidR="00767CB9" w:rsidRPr="009A3F4D">
        <w:rPr>
          <w:rFonts w:asciiTheme="minorHAnsi" w:eastAsiaTheme="minorEastAsia" w:hAnsiTheme="minorHAnsi" w:cstheme="minorHAnsi"/>
          <w:szCs w:val="24"/>
          <w:lang w:val="en-US" w:eastAsia="zh-CN"/>
        </w:rPr>
        <w:t>门槛值将不太可能给收入造成影响。</w:t>
      </w:r>
      <w:r w:rsidRPr="009A3F4D">
        <w:rPr>
          <w:rFonts w:asciiTheme="minorHAnsi" w:eastAsiaTheme="minorEastAsia" w:hAnsiTheme="minorHAnsi" w:cstheme="minorHAnsi"/>
          <w:lang w:eastAsia="zh-CN"/>
        </w:rPr>
        <w:t xml:space="preserve"> </w:t>
      </w:r>
    </w:p>
    <w:p w:rsidR="009A0A59" w:rsidRPr="009A3F4D" w:rsidRDefault="009A0A59"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4.4</w:t>
      </w:r>
      <w:r w:rsidRPr="009A3F4D">
        <w:rPr>
          <w:rFonts w:asciiTheme="minorHAnsi" w:eastAsiaTheme="minorEastAsia" w:hAnsiTheme="minorHAnsi" w:cstheme="minorHAnsi"/>
          <w:lang w:eastAsia="zh-CN"/>
        </w:rPr>
        <w:tab/>
      </w:r>
      <w:r w:rsidR="00767CB9" w:rsidRPr="009A3F4D">
        <w:rPr>
          <w:rFonts w:asciiTheme="minorHAnsi" w:eastAsiaTheme="minorEastAsia" w:hAnsiTheme="minorHAnsi" w:cstheme="minorHAnsi"/>
          <w:b/>
          <w:u w:val="single"/>
          <w:lang w:eastAsia="zh-CN"/>
        </w:rPr>
        <w:t>鼓励成员国将</w:t>
      </w:r>
      <w:r w:rsidR="00767CB9" w:rsidRPr="009A3F4D">
        <w:rPr>
          <w:rFonts w:asciiTheme="minorHAnsi" w:eastAsiaTheme="minorEastAsia" w:hAnsiTheme="minorHAnsi" w:cstheme="minorHAnsi"/>
          <w:b/>
          <w:u w:val="single"/>
          <w:lang w:eastAsia="zh-CN"/>
        </w:rPr>
        <w:t>SME</w:t>
      </w:r>
      <w:r w:rsidR="00767CB9" w:rsidRPr="009A3F4D">
        <w:rPr>
          <w:rFonts w:asciiTheme="minorHAnsi" w:eastAsiaTheme="minorEastAsia" w:hAnsiTheme="minorHAnsi" w:cstheme="minorHAnsi"/>
          <w:b/>
          <w:u w:val="single"/>
          <w:lang w:eastAsia="zh-CN"/>
        </w:rPr>
        <w:t>纳入国家代表团。</w:t>
      </w:r>
      <w:r w:rsidR="00767CB9" w:rsidRPr="009A3F4D">
        <w:rPr>
          <w:rFonts w:asciiTheme="minorHAnsi" w:eastAsiaTheme="minorEastAsia" w:hAnsiTheme="minorHAnsi" w:cstheme="minorHAnsi"/>
          <w:lang w:eastAsia="zh-CN"/>
        </w:rPr>
        <w:t>秘书处可通过在举办</w:t>
      </w:r>
      <w:r w:rsidR="00C821CE" w:rsidRPr="009A3F4D">
        <w:rPr>
          <w:rFonts w:asciiTheme="minorHAnsi" w:eastAsiaTheme="minorEastAsia" w:hAnsiTheme="minorHAnsi" w:cstheme="minorHAnsi"/>
          <w:lang w:eastAsia="zh-CN"/>
        </w:rPr>
        <w:t>现有</w:t>
      </w:r>
      <w:r w:rsidR="00767CB9" w:rsidRPr="009A3F4D">
        <w:rPr>
          <w:rFonts w:asciiTheme="minorHAnsi" w:eastAsiaTheme="minorEastAsia" w:hAnsiTheme="minorHAnsi" w:cstheme="minorHAnsi"/>
          <w:lang w:eastAsia="zh-CN"/>
        </w:rPr>
        <w:t>国际电联活动的同时为</w:t>
      </w:r>
      <w:r w:rsidR="00767CB9" w:rsidRPr="009A3F4D">
        <w:rPr>
          <w:rFonts w:asciiTheme="minorHAnsi" w:eastAsiaTheme="minorEastAsia" w:hAnsiTheme="minorHAnsi" w:cstheme="minorHAnsi"/>
          <w:lang w:eastAsia="zh-CN"/>
        </w:rPr>
        <w:t>SME</w:t>
      </w:r>
      <w:r w:rsidR="00767CB9" w:rsidRPr="009A3F4D">
        <w:rPr>
          <w:rFonts w:asciiTheme="minorHAnsi" w:eastAsiaTheme="minorEastAsia" w:hAnsiTheme="minorHAnsi" w:cstheme="minorHAnsi"/>
          <w:lang w:eastAsia="zh-CN"/>
        </w:rPr>
        <w:t>组织专项活动的方式为这种做法提供支持，此类专项活动包括</w:t>
      </w:r>
      <w:r w:rsidR="00C821CE" w:rsidRPr="009A3F4D">
        <w:rPr>
          <w:rFonts w:asciiTheme="minorHAnsi" w:eastAsiaTheme="minorEastAsia" w:hAnsiTheme="minorHAnsi" w:cstheme="minorHAnsi"/>
          <w:lang w:eastAsia="zh-CN"/>
        </w:rPr>
        <w:t>资讯讲习班、工具包和能力建设以及为</w:t>
      </w:r>
      <w:r w:rsidR="00C821CE" w:rsidRPr="009A3F4D">
        <w:rPr>
          <w:rFonts w:asciiTheme="minorHAnsi" w:eastAsiaTheme="minorEastAsia" w:hAnsiTheme="minorHAnsi" w:cstheme="minorHAnsi"/>
          <w:lang w:eastAsia="zh-CN"/>
        </w:rPr>
        <w:t>SME</w:t>
      </w:r>
      <w:r w:rsidR="00C821CE" w:rsidRPr="009A3F4D">
        <w:rPr>
          <w:rFonts w:asciiTheme="minorHAnsi" w:eastAsiaTheme="minorEastAsia" w:hAnsiTheme="minorHAnsi" w:cstheme="minorHAnsi"/>
          <w:lang w:eastAsia="zh-CN"/>
        </w:rPr>
        <w:t>提供的新代表入门介绍和情况说明，以此帮助他们更多地了解国际电联和那些对新人而言有些复杂的规则与程序。</w:t>
      </w:r>
      <w:r w:rsidRPr="009A3F4D">
        <w:rPr>
          <w:rFonts w:asciiTheme="minorHAnsi" w:eastAsiaTheme="minorEastAsia" w:hAnsiTheme="minorHAnsi" w:cstheme="minorHAnsi"/>
          <w:lang w:eastAsia="zh-CN"/>
        </w:rPr>
        <w:t xml:space="preserve"> </w:t>
      </w:r>
    </w:p>
    <w:p w:rsidR="009A0A59" w:rsidRPr="009A3F4D" w:rsidRDefault="009A0A59"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4.5</w:t>
      </w:r>
      <w:r w:rsidRPr="009A3F4D">
        <w:rPr>
          <w:rFonts w:asciiTheme="minorHAnsi" w:eastAsiaTheme="minorEastAsia" w:hAnsiTheme="minorHAnsi" w:cstheme="minorHAnsi"/>
          <w:lang w:eastAsia="zh-CN"/>
        </w:rPr>
        <w:tab/>
      </w:r>
      <w:r w:rsidR="00C821CE" w:rsidRPr="009A3F4D">
        <w:rPr>
          <w:rFonts w:asciiTheme="minorHAnsi" w:eastAsiaTheme="minorEastAsia" w:hAnsiTheme="minorHAnsi" w:cstheme="minorHAnsi"/>
          <w:b/>
          <w:u w:val="single"/>
          <w:lang w:eastAsia="zh-CN"/>
        </w:rPr>
        <w:t>允许</w:t>
      </w:r>
      <w:r w:rsidRPr="009A3F4D">
        <w:rPr>
          <w:rFonts w:asciiTheme="minorHAnsi" w:eastAsiaTheme="minorEastAsia" w:hAnsiTheme="minorHAnsi" w:cstheme="minorHAnsi"/>
          <w:b/>
          <w:u w:val="single"/>
          <w:lang w:eastAsia="zh-CN"/>
        </w:rPr>
        <w:t>SME</w:t>
      </w:r>
      <w:r w:rsidR="00C821CE" w:rsidRPr="009A3F4D">
        <w:rPr>
          <w:rFonts w:asciiTheme="minorHAnsi" w:eastAsiaTheme="minorEastAsia" w:hAnsiTheme="minorHAnsi" w:cstheme="minorHAnsi"/>
          <w:b/>
          <w:u w:val="single"/>
          <w:lang w:eastAsia="zh-CN"/>
        </w:rPr>
        <w:t>以现收现付的方式参与国际电联研究组的活动</w:t>
      </w:r>
      <w:r w:rsidR="003B5D80" w:rsidRPr="009A3F4D">
        <w:rPr>
          <w:rFonts w:asciiTheme="minorHAnsi" w:eastAsiaTheme="minorEastAsia" w:hAnsiTheme="minorHAnsi" w:cstheme="minorHAnsi"/>
          <w:b/>
          <w:u w:val="single"/>
          <w:lang w:eastAsia="zh-CN"/>
        </w:rPr>
        <w:t>。</w:t>
      </w:r>
      <w:r w:rsidR="003B5D80" w:rsidRPr="009A3F4D">
        <w:rPr>
          <w:rFonts w:asciiTheme="minorHAnsi" w:eastAsiaTheme="minorEastAsia" w:hAnsiTheme="minorHAnsi" w:cstheme="minorHAnsi"/>
          <w:lang w:eastAsia="zh-CN"/>
        </w:rPr>
        <w:t>此方法的一大优势在于可为</w:t>
      </w:r>
      <w:r w:rsidR="003B5D80" w:rsidRPr="009A3F4D">
        <w:rPr>
          <w:rFonts w:asciiTheme="minorHAnsi" w:eastAsiaTheme="minorEastAsia" w:hAnsiTheme="minorHAnsi" w:cstheme="minorHAnsi"/>
          <w:lang w:eastAsia="zh-CN"/>
        </w:rPr>
        <w:t>SME</w:t>
      </w:r>
      <w:r w:rsidR="003B5D80" w:rsidRPr="009A3F4D">
        <w:rPr>
          <w:rFonts w:asciiTheme="minorHAnsi" w:eastAsiaTheme="minorEastAsia" w:hAnsiTheme="minorHAnsi" w:cstheme="minorHAnsi"/>
          <w:lang w:eastAsia="zh-CN"/>
        </w:rPr>
        <w:t>参加研究组的活动提供价格可承受且灵活的</w:t>
      </w:r>
      <w:r w:rsidR="00520CA5" w:rsidRPr="009A3F4D">
        <w:rPr>
          <w:rFonts w:asciiTheme="minorHAnsi" w:eastAsiaTheme="minorEastAsia" w:hAnsiTheme="minorHAnsi" w:cstheme="minorHAnsi"/>
          <w:lang w:eastAsia="zh-CN"/>
        </w:rPr>
        <w:t>手段，有些</w:t>
      </w:r>
      <w:r w:rsidR="00520CA5" w:rsidRPr="009A3F4D">
        <w:rPr>
          <w:rFonts w:asciiTheme="minorHAnsi" w:eastAsiaTheme="minorEastAsia" w:hAnsiTheme="minorHAnsi" w:cstheme="minorHAnsi"/>
          <w:lang w:eastAsia="zh-CN"/>
        </w:rPr>
        <w:t>SME</w:t>
      </w:r>
      <w:r w:rsidR="00520CA5" w:rsidRPr="009A3F4D">
        <w:rPr>
          <w:rFonts w:asciiTheme="minorHAnsi" w:eastAsiaTheme="minorEastAsia" w:hAnsiTheme="minorHAnsi" w:cstheme="minorHAnsi"/>
          <w:lang w:eastAsia="zh-CN"/>
        </w:rPr>
        <w:t>可能最终会选择加盟成为部门准成员或部门成员。此方法的劣势在于，如果相关企业仅偶尔参加活动，则难以对标准制定</w:t>
      </w:r>
      <w:r w:rsidR="00520CA5" w:rsidRPr="009A3F4D">
        <w:rPr>
          <w:rFonts w:asciiTheme="minorHAnsi" w:eastAsiaTheme="minorEastAsia" w:hAnsiTheme="minorHAnsi" w:cstheme="minorHAnsi"/>
          <w:lang w:eastAsia="zh-CN"/>
        </w:rPr>
        <w:t>/</w:t>
      </w:r>
      <w:r w:rsidR="00520CA5" w:rsidRPr="009A3F4D">
        <w:rPr>
          <w:rFonts w:asciiTheme="minorHAnsi" w:eastAsiaTheme="minorEastAsia" w:hAnsiTheme="minorHAnsi" w:cstheme="minorHAnsi"/>
          <w:lang w:eastAsia="zh-CN"/>
        </w:rPr>
        <w:t>最佳做法的制定流程施加影响。此方案尚需就可行性开展深入研究，其中包括高效的注册和支付方法。国际电联亦可通过向中小企业协会咨询来确定他们对这些方案的兴趣如何。</w:t>
      </w:r>
      <w:r w:rsidRPr="009A3F4D">
        <w:rPr>
          <w:rFonts w:asciiTheme="minorHAnsi" w:eastAsiaTheme="minorEastAsia" w:hAnsiTheme="minorHAnsi" w:cstheme="minorHAnsi"/>
          <w:lang w:eastAsia="zh-CN"/>
        </w:rPr>
        <w:t xml:space="preserve"> </w:t>
      </w:r>
    </w:p>
    <w:p w:rsidR="009A0A59" w:rsidRPr="009A3F4D" w:rsidRDefault="009A0A59"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4.6</w:t>
      </w:r>
      <w:r w:rsidRPr="009A3F4D">
        <w:rPr>
          <w:rFonts w:asciiTheme="minorHAnsi" w:eastAsiaTheme="minorEastAsia" w:hAnsiTheme="minorHAnsi" w:cstheme="minorHAnsi"/>
          <w:lang w:eastAsia="zh-CN"/>
        </w:rPr>
        <w:tab/>
      </w:r>
      <w:r w:rsidR="00237FDE" w:rsidRPr="009A3F4D">
        <w:rPr>
          <w:rFonts w:asciiTheme="minorHAnsi" w:eastAsiaTheme="minorEastAsia" w:hAnsiTheme="minorHAnsi" w:cstheme="minorHAnsi"/>
          <w:b/>
          <w:u w:val="single"/>
          <w:lang w:eastAsia="zh-CN"/>
        </w:rPr>
        <w:t>完善国</w:t>
      </w:r>
      <w:r w:rsidR="002D23B1" w:rsidRPr="009A3F4D">
        <w:rPr>
          <w:rFonts w:asciiTheme="minorHAnsi" w:eastAsiaTheme="minorEastAsia" w:hAnsiTheme="minorHAnsi" w:cstheme="minorHAnsi"/>
          <w:b/>
          <w:u w:val="single"/>
          <w:lang w:eastAsia="zh-CN"/>
        </w:rPr>
        <w:t>际电联现有的重大活动和日常活动</w:t>
      </w:r>
      <w:r w:rsidR="00237FDE" w:rsidRPr="009A3F4D">
        <w:rPr>
          <w:rFonts w:asciiTheme="minorHAnsi" w:eastAsiaTheme="minorEastAsia" w:hAnsiTheme="minorHAnsi" w:cstheme="minorHAnsi"/>
          <w:b/>
          <w:u w:val="single"/>
          <w:lang w:eastAsia="zh-CN"/>
        </w:rPr>
        <w:t>。</w:t>
      </w:r>
      <w:r w:rsidR="002D23B1" w:rsidRPr="009A3F4D">
        <w:rPr>
          <w:rFonts w:asciiTheme="minorHAnsi" w:eastAsiaTheme="minorEastAsia" w:hAnsiTheme="minorHAnsi" w:cstheme="minorHAnsi"/>
          <w:lang w:eastAsia="zh-CN"/>
        </w:rPr>
        <w:t>这些现有活动为</w:t>
      </w:r>
      <w:r w:rsidR="002D23B1" w:rsidRPr="009A3F4D">
        <w:rPr>
          <w:rFonts w:asciiTheme="minorHAnsi" w:eastAsiaTheme="minorEastAsia" w:hAnsiTheme="minorHAnsi" w:cstheme="minorHAnsi"/>
          <w:lang w:eastAsia="zh-CN"/>
        </w:rPr>
        <w:t>SME</w:t>
      </w:r>
      <w:r w:rsidR="002D23B1" w:rsidRPr="009A3F4D">
        <w:rPr>
          <w:rFonts w:asciiTheme="minorHAnsi" w:eastAsiaTheme="minorEastAsia" w:hAnsiTheme="minorHAnsi" w:cstheme="minorHAnsi"/>
          <w:lang w:eastAsia="zh-CN"/>
        </w:rPr>
        <w:t>提供了特殊机遇。例如，</w:t>
      </w:r>
      <w:r w:rsidR="002D23B1" w:rsidRPr="009A3F4D">
        <w:rPr>
          <w:rFonts w:asciiTheme="minorHAnsi" w:eastAsiaTheme="minorEastAsia" w:hAnsiTheme="minorHAnsi" w:cstheme="minorHAnsi"/>
          <w:b/>
          <w:u w:val="single"/>
          <w:lang w:eastAsia="zh-CN"/>
        </w:rPr>
        <w:t>国际电联世界电信展</w:t>
      </w:r>
      <w:r w:rsidR="002D23B1" w:rsidRPr="009A3F4D">
        <w:rPr>
          <w:rFonts w:asciiTheme="minorHAnsi" w:eastAsiaTheme="minorEastAsia" w:hAnsiTheme="minorHAnsi" w:cstheme="minorHAnsi"/>
          <w:lang w:eastAsia="zh-CN"/>
        </w:rPr>
        <w:t>通过有针对性的举措不断发展，以满足</w:t>
      </w:r>
      <w:r w:rsidR="002D23B1" w:rsidRPr="009A3F4D">
        <w:rPr>
          <w:rFonts w:asciiTheme="minorHAnsi" w:eastAsiaTheme="minorEastAsia" w:hAnsiTheme="minorHAnsi" w:cstheme="minorHAnsi"/>
          <w:lang w:eastAsia="zh-CN"/>
        </w:rPr>
        <w:t>SME</w:t>
      </w:r>
      <w:r w:rsidR="002D23B1" w:rsidRPr="009A3F4D">
        <w:rPr>
          <w:rFonts w:asciiTheme="minorHAnsi" w:eastAsiaTheme="minorEastAsia" w:hAnsiTheme="minorHAnsi" w:cstheme="minorHAnsi"/>
          <w:lang w:eastAsia="zh-CN"/>
        </w:rPr>
        <w:t>的具体需求。</w:t>
      </w:r>
      <w:r w:rsidRPr="009A3F4D">
        <w:rPr>
          <w:rFonts w:asciiTheme="minorHAnsi" w:eastAsiaTheme="minorEastAsia" w:hAnsiTheme="minorHAnsi" w:cstheme="minorHAnsi"/>
          <w:lang w:eastAsia="zh-CN"/>
        </w:rPr>
        <w:t>SME</w:t>
      </w:r>
      <w:r w:rsidR="002D23B1" w:rsidRPr="009A3F4D">
        <w:rPr>
          <w:rFonts w:asciiTheme="minorHAnsi" w:eastAsiaTheme="minorEastAsia" w:hAnsiTheme="minorHAnsi" w:cstheme="minorHAnsi"/>
          <w:lang w:eastAsia="zh-CN"/>
        </w:rPr>
        <w:t>对</w:t>
      </w:r>
      <w:r w:rsidRPr="009A3F4D">
        <w:rPr>
          <w:rFonts w:asciiTheme="minorHAnsi" w:eastAsiaTheme="minorEastAsia" w:hAnsiTheme="minorHAnsi" w:cstheme="minorHAnsi"/>
          <w:b/>
          <w:u w:val="single"/>
          <w:lang w:eastAsia="zh-CN"/>
        </w:rPr>
        <w:t>WSIS</w:t>
      </w:r>
      <w:r w:rsidR="002D23B1" w:rsidRPr="009A3F4D">
        <w:rPr>
          <w:rFonts w:asciiTheme="minorHAnsi" w:eastAsiaTheme="minorEastAsia" w:hAnsiTheme="minorHAnsi" w:cstheme="minorHAnsi"/>
          <w:lang w:eastAsia="zh-CN"/>
        </w:rPr>
        <w:t>的兴趣也愈发浓厚，且已通过举办部门和区域</w:t>
      </w:r>
      <w:r w:rsidR="002D23B1" w:rsidRPr="009A3F4D">
        <w:rPr>
          <w:rFonts w:asciiTheme="minorHAnsi" w:eastAsiaTheme="minorEastAsia" w:hAnsiTheme="minorHAnsi" w:cstheme="minorHAnsi"/>
          <w:b/>
          <w:u w:val="single"/>
          <w:lang w:eastAsia="zh-CN"/>
        </w:rPr>
        <w:t>讲习班以及开展非正式活动</w:t>
      </w:r>
      <w:r w:rsidR="002D23B1" w:rsidRPr="009A3F4D">
        <w:rPr>
          <w:rFonts w:asciiTheme="minorHAnsi" w:eastAsiaTheme="minorEastAsia" w:hAnsiTheme="minorHAnsi" w:cstheme="minorHAnsi"/>
          <w:lang w:eastAsia="zh-CN"/>
        </w:rPr>
        <w:t>的方式让</w:t>
      </w:r>
      <w:r w:rsidR="002D23B1" w:rsidRPr="009A3F4D">
        <w:rPr>
          <w:rFonts w:asciiTheme="minorHAnsi" w:eastAsiaTheme="minorEastAsia" w:hAnsiTheme="minorHAnsi" w:cstheme="minorHAnsi"/>
          <w:lang w:eastAsia="zh-CN"/>
        </w:rPr>
        <w:t>SME</w:t>
      </w:r>
      <w:r w:rsidR="002D23B1" w:rsidRPr="009A3F4D">
        <w:rPr>
          <w:rFonts w:asciiTheme="minorHAnsi" w:eastAsiaTheme="minorEastAsia" w:hAnsiTheme="minorHAnsi" w:cstheme="minorHAnsi"/>
          <w:lang w:eastAsia="zh-CN"/>
        </w:rPr>
        <w:t>参与进来。在以往经验和反馈的基础上，可强化并拓展这些活动。</w:t>
      </w:r>
      <w:r w:rsidR="00237FDE" w:rsidRPr="009A3F4D">
        <w:rPr>
          <w:rFonts w:asciiTheme="minorHAnsi" w:eastAsiaTheme="minorEastAsia" w:hAnsiTheme="minorHAnsi" w:cstheme="minorHAnsi"/>
          <w:lang w:eastAsia="zh-CN"/>
        </w:rPr>
        <w:t>国际电联当前正准备启动</w:t>
      </w:r>
      <w:r w:rsidR="00237FDE" w:rsidRPr="009A3F4D">
        <w:rPr>
          <w:rFonts w:asciiTheme="minorHAnsi" w:eastAsiaTheme="minorEastAsia" w:hAnsiTheme="minorHAnsi" w:cstheme="minorHAnsi"/>
          <w:b/>
          <w:u w:val="single"/>
          <w:lang w:eastAsia="zh-CN"/>
        </w:rPr>
        <w:t>名为</w:t>
      </w:r>
      <w:r w:rsidR="00BC047D" w:rsidRPr="00BC047D">
        <w:rPr>
          <w:rFonts w:ascii="SimSun" w:hAnsi="SimSun" w:cstheme="minorHAnsi"/>
          <w:b/>
          <w:u w:val="single"/>
          <w:lang w:eastAsia="zh-CN"/>
        </w:rPr>
        <w:t>“</w:t>
      </w:r>
      <w:proofErr w:type="spellStart"/>
      <w:r w:rsidRPr="009A3F4D">
        <w:rPr>
          <w:rFonts w:asciiTheme="minorHAnsi" w:eastAsiaTheme="minorEastAsia" w:hAnsiTheme="minorHAnsi" w:cstheme="minorHAnsi"/>
          <w:b/>
          <w:u w:val="single"/>
          <w:lang w:eastAsia="zh-CN"/>
        </w:rPr>
        <w:t>MyITU</w:t>
      </w:r>
      <w:proofErr w:type="spellEnd"/>
      <w:r w:rsidR="00BC047D" w:rsidRPr="00BC047D">
        <w:rPr>
          <w:rFonts w:ascii="SimSun" w:hAnsi="SimSun" w:cstheme="minorHAnsi"/>
          <w:b/>
          <w:u w:val="single"/>
          <w:lang w:eastAsia="zh-CN"/>
        </w:rPr>
        <w:t>”</w:t>
      </w:r>
      <w:r w:rsidR="00237FDE" w:rsidRPr="009A3F4D">
        <w:rPr>
          <w:rFonts w:asciiTheme="minorHAnsi" w:eastAsiaTheme="minorEastAsia" w:hAnsiTheme="minorHAnsi" w:cstheme="minorHAnsi"/>
          <w:b/>
          <w:u w:val="single"/>
          <w:lang w:eastAsia="zh-CN"/>
        </w:rPr>
        <w:t>的新在线平台</w:t>
      </w:r>
      <w:r w:rsidR="00237FDE" w:rsidRPr="009A3F4D">
        <w:rPr>
          <w:rFonts w:asciiTheme="minorHAnsi" w:eastAsiaTheme="minorEastAsia" w:hAnsiTheme="minorHAnsi" w:cstheme="minorHAnsi"/>
          <w:lang w:eastAsia="zh-CN"/>
        </w:rPr>
        <w:t>，帮助秘书处更加有效地与</w:t>
      </w:r>
      <w:r w:rsidR="00237FDE" w:rsidRPr="009A3F4D">
        <w:rPr>
          <w:rFonts w:asciiTheme="minorHAnsi" w:eastAsiaTheme="minorEastAsia" w:hAnsiTheme="minorHAnsi" w:cstheme="minorHAnsi"/>
          <w:lang w:eastAsia="zh-CN"/>
        </w:rPr>
        <w:t>SME</w:t>
      </w:r>
      <w:r w:rsidR="00237FDE" w:rsidRPr="009A3F4D">
        <w:rPr>
          <w:rFonts w:asciiTheme="minorHAnsi" w:eastAsiaTheme="minorEastAsia" w:hAnsiTheme="minorHAnsi" w:cstheme="minorHAnsi"/>
          <w:lang w:eastAsia="zh-CN"/>
        </w:rPr>
        <w:t>沟通并让他们参与国际电联的工作。此平台将为用户提供量身定制且方便通过手机访问，</w:t>
      </w:r>
      <w:r w:rsidR="008D7F98" w:rsidRPr="009A3F4D">
        <w:rPr>
          <w:rFonts w:asciiTheme="minorHAnsi" w:eastAsiaTheme="minorEastAsia" w:hAnsiTheme="minorHAnsi" w:cstheme="minorHAnsi"/>
          <w:lang w:eastAsia="zh-CN"/>
        </w:rPr>
        <w:t>从而将这些内容</w:t>
      </w:r>
      <w:r w:rsidR="00237FDE" w:rsidRPr="009A3F4D">
        <w:rPr>
          <w:rFonts w:asciiTheme="minorHAnsi" w:eastAsiaTheme="minorEastAsia" w:hAnsiTheme="minorHAnsi" w:cstheme="minorHAnsi"/>
          <w:lang w:eastAsia="zh-CN"/>
        </w:rPr>
        <w:t>推广到新的社团。</w:t>
      </w:r>
    </w:p>
    <w:p w:rsidR="009A0A59" w:rsidRPr="009A3F4D" w:rsidRDefault="009A0A59"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4.7</w:t>
      </w:r>
      <w:r w:rsidRPr="009A3F4D">
        <w:rPr>
          <w:rFonts w:asciiTheme="minorHAnsi" w:eastAsiaTheme="minorEastAsia" w:hAnsiTheme="minorHAnsi" w:cstheme="minorHAnsi"/>
          <w:lang w:eastAsia="zh-CN"/>
        </w:rPr>
        <w:tab/>
      </w:r>
      <w:r w:rsidR="00237FDE" w:rsidRPr="009A3F4D">
        <w:rPr>
          <w:rFonts w:asciiTheme="minorHAnsi" w:eastAsiaTheme="minorEastAsia" w:hAnsiTheme="minorHAnsi" w:cstheme="minorHAnsi"/>
          <w:b/>
          <w:u w:val="single"/>
          <w:lang w:eastAsia="zh-CN"/>
        </w:rPr>
        <w:t>强化与中小企业协会的协作</w:t>
      </w:r>
      <w:r w:rsidR="00237FDE" w:rsidRPr="009A3F4D">
        <w:rPr>
          <w:rFonts w:asciiTheme="minorHAnsi" w:eastAsiaTheme="minorEastAsia" w:hAnsiTheme="minorHAnsi" w:cstheme="minorHAnsi"/>
          <w:lang w:eastAsia="zh-CN"/>
        </w:rPr>
        <w:t>。协作不仅涉及培训、讲习班，亦将邀请中小企业参与国际电联研究组和大会（作为观察员）以及各类开</w:t>
      </w:r>
      <w:r w:rsidR="000C4C2A" w:rsidRPr="009A3F4D">
        <w:rPr>
          <w:rFonts w:asciiTheme="minorHAnsi" w:eastAsiaTheme="minorEastAsia" w:hAnsiTheme="minorHAnsi" w:cstheme="minorHAnsi"/>
          <w:lang w:eastAsia="zh-CN"/>
        </w:rPr>
        <w:t>放</w:t>
      </w:r>
      <w:r w:rsidR="00237FDE" w:rsidRPr="009A3F4D">
        <w:rPr>
          <w:rFonts w:asciiTheme="minorHAnsi" w:eastAsiaTheme="minorEastAsia" w:hAnsiTheme="minorHAnsi" w:cstheme="minorHAnsi"/>
          <w:lang w:eastAsia="zh-CN"/>
        </w:rPr>
        <w:t>的国际电联活动。与这些协会协作，为国际电联与世界各地的</w:t>
      </w:r>
      <w:r w:rsidR="00237FDE" w:rsidRPr="009A3F4D">
        <w:rPr>
          <w:rFonts w:asciiTheme="minorHAnsi" w:eastAsiaTheme="minorEastAsia" w:hAnsiTheme="minorHAnsi" w:cstheme="minorHAnsi"/>
          <w:lang w:eastAsia="zh-CN"/>
        </w:rPr>
        <w:t>SME</w:t>
      </w:r>
      <w:r w:rsidR="00237FDE" w:rsidRPr="009A3F4D">
        <w:rPr>
          <w:rFonts w:asciiTheme="minorHAnsi" w:eastAsiaTheme="minorEastAsia" w:hAnsiTheme="minorHAnsi" w:cstheme="minorHAnsi"/>
          <w:lang w:eastAsia="zh-CN"/>
        </w:rPr>
        <w:t>接触提供了一种有效的方</w:t>
      </w:r>
      <w:r w:rsidR="00680A8F" w:rsidRPr="009A3F4D">
        <w:rPr>
          <w:rFonts w:asciiTheme="minorHAnsi" w:eastAsiaTheme="minorEastAsia" w:hAnsiTheme="minorHAnsi" w:cstheme="minorHAnsi"/>
          <w:lang w:eastAsia="zh-CN"/>
        </w:rPr>
        <w:t>法</w:t>
      </w:r>
      <w:r w:rsidR="00237FDE" w:rsidRPr="009A3F4D">
        <w:rPr>
          <w:rFonts w:asciiTheme="minorHAnsi" w:eastAsiaTheme="minorEastAsia" w:hAnsiTheme="minorHAnsi" w:cstheme="minorHAnsi"/>
          <w:lang w:eastAsia="zh-CN"/>
        </w:rPr>
        <w:t>。</w:t>
      </w:r>
    </w:p>
    <w:p w:rsidR="009A0A59" w:rsidRPr="009A3F4D" w:rsidRDefault="00356E04" w:rsidP="00BC047D">
      <w:pPr>
        <w:pStyle w:val="Heading1"/>
        <w:rPr>
          <w:lang w:eastAsia="zh-CN"/>
        </w:rPr>
      </w:pPr>
      <w:r w:rsidRPr="009A3F4D">
        <w:rPr>
          <w:lang w:eastAsia="zh-CN"/>
        </w:rPr>
        <w:t>5</w:t>
      </w:r>
      <w:r w:rsidR="009A0A59" w:rsidRPr="009A3F4D">
        <w:rPr>
          <w:lang w:eastAsia="zh-CN"/>
        </w:rPr>
        <w:tab/>
      </w:r>
      <w:r w:rsidR="00680A8F" w:rsidRPr="009A3F4D">
        <w:rPr>
          <w:lang w:eastAsia="zh-CN"/>
        </w:rPr>
        <w:t>未来可能采取的步骤</w:t>
      </w:r>
    </w:p>
    <w:p w:rsidR="009A0A59" w:rsidRPr="009A3F4D" w:rsidRDefault="009A0A59" w:rsidP="009A3F4D">
      <w:pPr>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5.1</w:t>
      </w:r>
      <w:r w:rsidRPr="009A3F4D">
        <w:rPr>
          <w:rFonts w:asciiTheme="minorHAnsi" w:eastAsiaTheme="minorEastAsia" w:hAnsiTheme="minorHAnsi" w:cstheme="minorHAnsi"/>
          <w:lang w:eastAsia="zh-CN"/>
        </w:rPr>
        <w:tab/>
      </w:r>
      <w:r w:rsidR="00680A8F" w:rsidRPr="009A3F4D">
        <w:rPr>
          <w:rFonts w:asciiTheme="minorHAnsi" w:eastAsiaTheme="minorEastAsia" w:hAnsiTheme="minorHAnsi" w:cstheme="minorHAnsi"/>
          <w:lang w:eastAsia="zh-CN"/>
        </w:rPr>
        <w:t>基于迄今为止试点项目取得的成果以及上述分析，现就未来可能采取的步骤提交如下可选方案供</w:t>
      </w:r>
      <w:r w:rsidRPr="009A3F4D">
        <w:rPr>
          <w:rFonts w:asciiTheme="minorHAnsi" w:eastAsiaTheme="minorEastAsia" w:hAnsiTheme="minorHAnsi" w:cstheme="minorHAnsi"/>
          <w:lang w:eastAsia="zh-CN"/>
        </w:rPr>
        <w:t>PP-18</w:t>
      </w:r>
      <w:r w:rsidR="00680A8F" w:rsidRPr="009A3F4D">
        <w:rPr>
          <w:rFonts w:asciiTheme="minorHAnsi" w:eastAsiaTheme="minorEastAsia" w:hAnsiTheme="minorHAnsi" w:cstheme="minorHAnsi"/>
          <w:lang w:eastAsia="zh-CN"/>
        </w:rPr>
        <w:t>审议：</w:t>
      </w:r>
    </w:p>
    <w:p w:rsidR="009A0A59" w:rsidRPr="009A3F4D" w:rsidRDefault="00BC047D" w:rsidP="00BC047D">
      <w:pPr>
        <w:pStyle w:val="enumlev1"/>
        <w:rPr>
          <w:lang w:eastAsia="zh-CN"/>
        </w:rPr>
      </w:pPr>
      <w:r w:rsidRPr="00BC047D">
        <w:rPr>
          <w:rFonts w:hint="eastAsia"/>
          <w:lang w:eastAsia="zh-CN"/>
        </w:rPr>
        <w:t>1</w:t>
      </w:r>
      <w:r w:rsidRPr="00BC047D">
        <w:rPr>
          <w:lang w:eastAsia="zh-CN"/>
        </w:rPr>
        <w:t>)</w:t>
      </w:r>
      <w:r>
        <w:rPr>
          <w:b/>
          <w:lang w:eastAsia="zh-CN"/>
        </w:rPr>
        <w:tab/>
      </w:r>
      <w:r w:rsidR="00680A8F" w:rsidRPr="009A3F4D">
        <w:rPr>
          <w:lang w:eastAsia="zh-CN"/>
        </w:rPr>
        <w:t>尝试为初创企业和中小企业</w:t>
      </w:r>
      <w:r w:rsidR="00680A8F" w:rsidRPr="009A3F4D">
        <w:rPr>
          <w:b/>
          <w:u w:val="single"/>
          <w:lang w:eastAsia="zh-CN"/>
        </w:rPr>
        <w:t>建立一个新的参与类别</w:t>
      </w:r>
      <w:r w:rsidR="00680A8F" w:rsidRPr="009A3F4D">
        <w:rPr>
          <w:lang w:eastAsia="zh-CN"/>
        </w:rPr>
        <w:t>，并制定相关接纳程序、确定参与的费用和规则；</w:t>
      </w:r>
      <w:r w:rsidR="009A0A59" w:rsidRPr="009A3F4D">
        <w:rPr>
          <w:lang w:eastAsia="zh-CN"/>
        </w:rPr>
        <w:t xml:space="preserve"> </w:t>
      </w:r>
    </w:p>
    <w:p w:rsidR="009A0A59" w:rsidRPr="009A3F4D" w:rsidRDefault="00BC047D" w:rsidP="00BC047D">
      <w:pPr>
        <w:pStyle w:val="enumlev1"/>
        <w:rPr>
          <w:lang w:eastAsia="zh-CN"/>
        </w:rPr>
      </w:pPr>
      <w:r w:rsidRPr="00BC047D">
        <w:rPr>
          <w:lang w:eastAsia="zh-CN"/>
        </w:rPr>
        <w:t>2)</w:t>
      </w:r>
      <w:r>
        <w:rPr>
          <w:b/>
          <w:lang w:eastAsia="zh-CN"/>
        </w:rPr>
        <w:tab/>
      </w:r>
      <w:r w:rsidR="00680A8F" w:rsidRPr="009A3F4D">
        <w:rPr>
          <w:b/>
          <w:u w:val="single"/>
          <w:lang w:eastAsia="zh-CN"/>
        </w:rPr>
        <w:t>延长试点项目的时长</w:t>
      </w:r>
      <w:r w:rsidR="00265DBB" w:rsidRPr="009A3F4D">
        <w:rPr>
          <w:lang w:eastAsia="zh-CN"/>
        </w:rPr>
        <w:t>，</w:t>
      </w:r>
      <w:r w:rsidR="00680A8F" w:rsidRPr="009A3F4D">
        <w:rPr>
          <w:lang w:eastAsia="zh-CN"/>
        </w:rPr>
        <w:t>按需审查</w:t>
      </w:r>
      <w:r w:rsidR="00265DBB" w:rsidRPr="009A3F4D">
        <w:rPr>
          <w:lang w:eastAsia="zh-CN"/>
        </w:rPr>
        <w:t>并</w:t>
      </w:r>
      <w:r w:rsidR="00680A8F" w:rsidRPr="009A3F4D">
        <w:rPr>
          <w:lang w:eastAsia="zh-CN"/>
        </w:rPr>
        <w:t>修订工作方法；</w:t>
      </w:r>
    </w:p>
    <w:p w:rsidR="009A0A59" w:rsidRPr="009A3F4D" w:rsidRDefault="00BC047D" w:rsidP="00BC047D">
      <w:pPr>
        <w:pStyle w:val="enumlev1"/>
        <w:rPr>
          <w:lang w:eastAsia="zh-CN"/>
        </w:rPr>
      </w:pPr>
      <w:r w:rsidRPr="00BC047D">
        <w:rPr>
          <w:lang w:eastAsia="zh-CN"/>
        </w:rPr>
        <w:t>3)</w:t>
      </w:r>
      <w:r>
        <w:rPr>
          <w:b/>
          <w:lang w:eastAsia="zh-CN"/>
        </w:rPr>
        <w:tab/>
      </w:r>
      <w:r w:rsidR="00680A8F" w:rsidRPr="009A3F4D">
        <w:rPr>
          <w:b/>
          <w:u w:val="single"/>
          <w:lang w:eastAsia="zh-CN"/>
        </w:rPr>
        <w:t>审查国际电联邀请</w:t>
      </w:r>
      <w:r w:rsidR="00680A8F" w:rsidRPr="009A3F4D">
        <w:rPr>
          <w:b/>
          <w:u w:val="single"/>
          <w:lang w:eastAsia="zh-CN"/>
        </w:rPr>
        <w:t>SME</w:t>
      </w:r>
      <w:r w:rsidR="00680A8F" w:rsidRPr="009A3F4D">
        <w:rPr>
          <w:b/>
          <w:u w:val="single"/>
          <w:lang w:eastAsia="zh-CN"/>
        </w:rPr>
        <w:t>加盟的可选方案，</w:t>
      </w:r>
      <w:r w:rsidR="00680A8F" w:rsidRPr="009A3F4D">
        <w:rPr>
          <w:lang w:eastAsia="zh-CN"/>
        </w:rPr>
        <w:t>包括与成员和非成员相关的方法；或</w:t>
      </w:r>
    </w:p>
    <w:p w:rsidR="009A0A59" w:rsidRPr="009A3F4D" w:rsidRDefault="00BC047D" w:rsidP="00BC047D">
      <w:pPr>
        <w:pStyle w:val="enumlev1"/>
        <w:rPr>
          <w:lang w:eastAsia="zh-CN"/>
        </w:rPr>
      </w:pPr>
      <w:r w:rsidRPr="00BC047D">
        <w:rPr>
          <w:lang w:eastAsia="zh-CN"/>
        </w:rPr>
        <w:t>4)</w:t>
      </w:r>
      <w:r>
        <w:rPr>
          <w:b/>
          <w:lang w:eastAsia="zh-CN"/>
        </w:rPr>
        <w:tab/>
      </w:r>
      <w:r w:rsidR="00680A8F" w:rsidRPr="009A3F4D">
        <w:rPr>
          <w:b/>
          <w:u w:val="single"/>
          <w:lang w:eastAsia="zh-CN"/>
        </w:rPr>
        <w:t>终止试点项目</w:t>
      </w:r>
      <w:r w:rsidR="00680A8F" w:rsidRPr="009A3F4D">
        <w:rPr>
          <w:lang w:eastAsia="zh-CN"/>
        </w:rPr>
        <w:t>并继续采用当前的做法。</w:t>
      </w:r>
    </w:p>
    <w:p w:rsidR="009A0A59" w:rsidRPr="009A3F4D" w:rsidRDefault="009A0A59" w:rsidP="009A3F4D">
      <w:pPr>
        <w:rPr>
          <w:rFonts w:asciiTheme="minorHAnsi" w:eastAsiaTheme="minorEastAsia" w:hAnsiTheme="minorHAnsi" w:cstheme="minorHAnsi"/>
          <w:b/>
          <w:lang w:eastAsia="zh-CN"/>
        </w:rPr>
      </w:pPr>
      <w:r w:rsidRPr="009A3F4D">
        <w:rPr>
          <w:rFonts w:asciiTheme="minorHAnsi" w:eastAsiaTheme="minorEastAsia" w:hAnsiTheme="minorHAnsi" w:cstheme="minorHAnsi"/>
          <w:b/>
          <w:lang w:eastAsia="zh-CN"/>
        </w:rPr>
        <w:br w:type="page"/>
      </w:r>
    </w:p>
    <w:p w:rsidR="009A0A59" w:rsidRPr="009A3F4D" w:rsidRDefault="003B43D8" w:rsidP="009A3F4D">
      <w:pPr>
        <w:pStyle w:val="AnnexNo"/>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lastRenderedPageBreak/>
        <w:t>附件</w:t>
      </w:r>
    </w:p>
    <w:p w:rsidR="009A0A59" w:rsidRPr="009A3F4D" w:rsidRDefault="003B43D8" w:rsidP="009A3F4D">
      <w:pPr>
        <w:pStyle w:val="Annextitle"/>
        <w:rPr>
          <w:rFonts w:asciiTheme="minorHAnsi" w:eastAsiaTheme="minorEastAsia" w:hAnsiTheme="minorHAnsi" w:cstheme="minorHAnsi"/>
          <w:lang w:eastAsia="zh-CN"/>
        </w:rPr>
      </w:pPr>
      <w:r w:rsidRPr="009A3F4D">
        <w:rPr>
          <w:rFonts w:asciiTheme="minorHAnsi" w:eastAsiaTheme="minorEastAsia" w:hAnsiTheme="minorHAnsi" w:cstheme="minorHAnsi"/>
          <w:lang w:eastAsia="zh-CN"/>
        </w:rPr>
        <w:t>参与</w:t>
      </w:r>
      <w:r w:rsidRPr="009A3F4D">
        <w:rPr>
          <w:rFonts w:asciiTheme="minorHAnsi" w:eastAsiaTheme="minorEastAsia" w:hAnsiTheme="minorHAnsi" w:cstheme="minorHAnsi"/>
          <w:lang w:eastAsia="zh-CN"/>
        </w:rPr>
        <w:t>SME</w:t>
      </w:r>
      <w:r w:rsidRPr="009A3F4D">
        <w:rPr>
          <w:rFonts w:asciiTheme="minorHAnsi" w:eastAsiaTheme="minorEastAsia" w:hAnsiTheme="minorHAnsi" w:cstheme="minorHAnsi"/>
          <w:lang w:eastAsia="zh-CN"/>
        </w:rPr>
        <w:t>试点项目的实体</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3"/>
        <w:gridCol w:w="3903"/>
        <w:gridCol w:w="2020"/>
        <w:gridCol w:w="1291"/>
        <w:gridCol w:w="1732"/>
      </w:tblGrid>
      <w:tr w:rsidR="009A0A59" w:rsidRPr="009A3F4D" w:rsidTr="003B43D8">
        <w:trPr>
          <w:tblHeader/>
          <w:jc w:val="center"/>
        </w:trPr>
        <w:tc>
          <w:tcPr>
            <w:tcW w:w="663" w:type="dxa"/>
            <w:tcBorders>
              <w:top w:val="single" w:sz="12" w:space="0" w:color="auto"/>
              <w:bottom w:val="single" w:sz="12" w:space="0" w:color="auto"/>
            </w:tcBorders>
            <w:shd w:val="clear" w:color="auto" w:fill="auto"/>
          </w:tcPr>
          <w:p w:rsidR="009A0A59" w:rsidRPr="009A3F4D" w:rsidRDefault="009A0A59" w:rsidP="009A3F4D">
            <w:pPr>
              <w:pStyle w:val="Tablehead"/>
              <w:rPr>
                <w:rFonts w:asciiTheme="minorHAnsi" w:eastAsiaTheme="minorEastAsia" w:hAnsiTheme="minorHAnsi" w:cstheme="minorHAnsi"/>
                <w:lang w:eastAsia="zh-CN"/>
              </w:rPr>
            </w:pPr>
          </w:p>
        </w:tc>
        <w:tc>
          <w:tcPr>
            <w:tcW w:w="3903" w:type="dxa"/>
            <w:tcBorders>
              <w:top w:val="single" w:sz="12" w:space="0" w:color="auto"/>
              <w:bottom w:val="single" w:sz="12" w:space="0" w:color="auto"/>
            </w:tcBorders>
            <w:shd w:val="clear" w:color="auto" w:fill="auto"/>
          </w:tcPr>
          <w:p w:rsidR="009A0A59" w:rsidRPr="009A3F4D" w:rsidRDefault="003B43D8" w:rsidP="009A3F4D">
            <w:pPr>
              <w:pStyle w:val="Tablehead"/>
              <w:rPr>
                <w:rFonts w:asciiTheme="minorHAnsi" w:eastAsiaTheme="minorEastAsia" w:hAnsiTheme="minorHAnsi" w:cstheme="minorHAnsi"/>
              </w:rPr>
            </w:pPr>
            <w:r w:rsidRPr="009A3F4D">
              <w:rPr>
                <w:rFonts w:asciiTheme="minorHAnsi" w:eastAsiaTheme="minorEastAsia" w:hAnsiTheme="minorHAnsi" w:cstheme="minorHAnsi"/>
                <w:lang w:eastAsia="zh-CN"/>
              </w:rPr>
              <w:t>实体名称</w:t>
            </w:r>
          </w:p>
        </w:tc>
        <w:tc>
          <w:tcPr>
            <w:tcW w:w="2020" w:type="dxa"/>
            <w:tcBorders>
              <w:top w:val="single" w:sz="12" w:space="0" w:color="auto"/>
              <w:bottom w:val="single" w:sz="12" w:space="0" w:color="auto"/>
            </w:tcBorders>
            <w:shd w:val="clear" w:color="auto" w:fill="auto"/>
          </w:tcPr>
          <w:p w:rsidR="009A0A59" w:rsidRPr="009A3F4D" w:rsidRDefault="003B43D8" w:rsidP="009A3F4D">
            <w:pPr>
              <w:pStyle w:val="Tablehead"/>
              <w:rPr>
                <w:rFonts w:asciiTheme="minorHAnsi" w:eastAsiaTheme="minorEastAsia" w:hAnsiTheme="minorHAnsi" w:cstheme="minorHAnsi"/>
              </w:rPr>
            </w:pPr>
            <w:r w:rsidRPr="009A3F4D">
              <w:rPr>
                <w:rFonts w:asciiTheme="minorHAnsi" w:eastAsiaTheme="minorEastAsia" w:hAnsiTheme="minorHAnsi" w:cstheme="minorHAnsi"/>
                <w:lang w:eastAsia="zh-CN"/>
              </w:rPr>
              <w:t>批准的成员国</w:t>
            </w:r>
          </w:p>
        </w:tc>
        <w:tc>
          <w:tcPr>
            <w:tcW w:w="1291" w:type="dxa"/>
            <w:tcBorders>
              <w:top w:val="single" w:sz="12" w:space="0" w:color="auto"/>
              <w:bottom w:val="single" w:sz="12" w:space="0" w:color="auto"/>
            </w:tcBorders>
            <w:shd w:val="clear" w:color="auto" w:fill="auto"/>
          </w:tcPr>
          <w:p w:rsidR="009A0A59" w:rsidRPr="009A3F4D" w:rsidRDefault="003B43D8" w:rsidP="009A3F4D">
            <w:pPr>
              <w:pStyle w:val="Tablehead"/>
              <w:rPr>
                <w:rFonts w:asciiTheme="minorHAnsi" w:eastAsiaTheme="minorEastAsia" w:hAnsiTheme="minorHAnsi" w:cstheme="minorHAnsi"/>
              </w:rPr>
            </w:pPr>
            <w:r w:rsidRPr="009A3F4D">
              <w:rPr>
                <w:rFonts w:asciiTheme="minorHAnsi" w:eastAsiaTheme="minorEastAsia" w:hAnsiTheme="minorHAnsi" w:cstheme="minorHAnsi"/>
                <w:lang w:eastAsia="zh-CN"/>
              </w:rPr>
              <w:t>部门</w:t>
            </w:r>
          </w:p>
        </w:tc>
        <w:tc>
          <w:tcPr>
            <w:tcW w:w="1732" w:type="dxa"/>
            <w:tcBorders>
              <w:top w:val="single" w:sz="12" w:space="0" w:color="auto"/>
              <w:bottom w:val="single" w:sz="12" w:space="0" w:color="auto"/>
            </w:tcBorders>
            <w:shd w:val="clear" w:color="auto" w:fill="auto"/>
          </w:tcPr>
          <w:p w:rsidR="009A0A59" w:rsidRPr="009A3F4D" w:rsidRDefault="003B43D8" w:rsidP="009A3F4D">
            <w:pPr>
              <w:pStyle w:val="Tablehead"/>
              <w:rPr>
                <w:rFonts w:asciiTheme="minorHAnsi" w:eastAsiaTheme="minorEastAsia" w:hAnsiTheme="minorHAnsi" w:cstheme="minorHAnsi"/>
              </w:rPr>
            </w:pPr>
            <w:r w:rsidRPr="009A3F4D">
              <w:rPr>
                <w:rFonts w:asciiTheme="minorHAnsi" w:eastAsiaTheme="minorEastAsia" w:hAnsiTheme="minorHAnsi" w:cstheme="minorHAnsi"/>
                <w:lang w:eastAsia="zh-CN"/>
              </w:rPr>
              <w:t>研究组</w:t>
            </w:r>
          </w:p>
        </w:tc>
      </w:tr>
      <w:tr w:rsidR="009A0A59" w:rsidRPr="009A3F4D" w:rsidTr="003B43D8">
        <w:trPr>
          <w:jc w:val="center"/>
        </w:trPr>
        <w:tc>
          <w:tcPr>
            <w:tcW w:w="663" w:type="dxa"/>
            <w:tcBorders>
              <w:top w:val="single" w:sz="12" w:space="0" w:color="auto"/>
            </w:tcBorders>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1</w:t>
            </w:r>
          </w:p>
        </w:tc>
        <w:tc>
          <w:tcPr>
            <w:tcW w:w="3903" w:type="dxa"/>
            <w:tcBorders>
              <w:top w:val="single" w:sz="12" w:space="0" w:color="auto"/>
            </w:tcBorders>
            <w:shd w:val="clear" w:color="auto" w:fill="auto"/>
          </w:tcPr>
          <w:p w:rsidR="009A0A59" w:rsidRPr="009A3F4D" w:rsidRDefault="009A0A59" w:rsidP="009A3F4D">
            <w:pPr>
              <w:pStyle w:val="Tabletext"/>
              <w:rPr>
                <w:rFonts w:asciiTheme="minorHAnsi" w:eastAsiaTheme="minorEastAsia" w:hAnsiTheme="minorHAnsi" w:cstheme="minorHAnsi"/>
              </w:rPr>
            </w:pPr>
            <w:proofErr w:type="spellStart"/>
            <w:r w:rsidRPr="009A3F4D">
              <w:rPr>
                <w:rFonts w:asciiTheme="minorHAnsi" w:eastAsiaTheme="minorEastAsia" w:hAnsiTheme="minorHAnsi" w:cstheme="minorHAnsi"/>
              </w:rPr>
              <w:t>Proge</w:t>
            </w:r>
            <w:proofErr w:type="spellEnd"/>
            <w:r w:rsidRPr="009A3F4D">
              <w:rPr>
                <w:rFonts w:asciiTheme="minorHAnsi" w:eastAsiaTheme="minorEastAsia" w:hAnsiTheme="minorHAnsi" w:cstheme="minorHAnsi"/>
              </w:rPr>
              <w:t>-Software</w:t>
            </w:r>
          </w:p>
        </w:tc>
        <w:tc>
          <w:tcPr>
            <w:tcW w:w="2020" w:type="dxa"/>
            <w:tcBorders>
              <w:top w:val="single" w:sz="12" w:space="0" w:color="auto"/>
            </w:tcBorders>
            <w:shd w:val="clear" w:color="auto" w:fill="auto"/>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意大利</w:t>
            </w:r>
          </w:p>
        </w:tc>
        <w:tc>
          <w:tcPr>
            <w:tcW w:w="1291" w:type="dxa"/>
            <w:tcBorders>
              <w:top w:val="single" w:sz="12" w:space="0" w:color="auto"/>
            </w:tcBorders>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ITU-D</w:t>
            </w:r>
          </w:p>
        </w:tc>
        <w:tc>
          <w:tcPr>
            <w:tcW w:w="1732" w:type="dxa"/>
            <w:tcBorders>
              <w:top w:val="single" w:sz="12" w:space="0" w:color="auto"/>
            </w:tcBorders>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SG1/2</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2</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Forum Europe</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proofErr w:type="spellStart"/>
            <w:r w:rsidRPr="009A3F4D">
              <w:rPr>
                <w:rFonts w:asciiTheme="minorHAnsi" w:eastAsiaTheme="minorEastAsia" w:hAnsiTheme="minorHAnsi" w:cstheme="minorHAnsi"/>
              </w:rPr>
              <w:t>英国</w:t>
            </w:r>
            <w:proofErr w:type="spellEnd"/>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ITU-D</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SG1/2</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3</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DAIWA Computer Co. Ltd.</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proofErr w:type="spellStart"/>
            <w:r w:rsidRPr="009A3F4D">
              <w:rPr>
                <w:rFonts w:asciiTheme="minorHAnsi" w:eastAsiaTheme="minorEastAsia" w:hAnsiTheme="minorHAnsi" w:cstheme="minorHAnsi"/>
              </w:rPr>
              <w:t>日本</w:t>
            </w:r>
            <w:proofErr w:type="spellEnd"/>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ITU-D</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SG1/2</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4</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Guardtime</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爱沙尼亚</w:t>
            </w:r>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ITU-D</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SG2</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5</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Melody International Ltd.</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proofErr w:type="spellStart"/>
            <w:r w:rsidRPr="009A3F4D">
              <w:rPr>
                <w:rFonts w:asciiTheme="minorHAnsi" w:eastAsiaTheme="minorEastAsia" w:hAnsiTheme="minorHAnsi" w:cstheme="minorHAnsi"/>
              </w:rPr>
              <w:t>日本</w:t>
            </w:r>
            <w:proofErr w:type="spellEnd"/>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ITU-D</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SG2</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6</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OrangeTechLab Inc.</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日本</w:t>
            </w:r>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ITU-D</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SG2</w:t>
            </w:r>
          </w:p>
        </w:tc>
      </w:tr>
      <w:tr w:rsidR="009A0A59" w:rsidRPr="009A3F4D" w:rsidTr="003B43D8">
        <w:trPr>
          <w:jc w:val="center"/>
        </w:trPr>
        <w:tc>
          <w:tcPr>
            <w:tcW w:w="663" w:type="dxa"/>
            <w:tcBorders>
              <w:bottom w:val="single" w:sz="4" w:space="0" w:color="auto"/>
              <w:right w:val="single" w:sz="4" w:space="0" w:color="auto"/>
            </w:tcBorders>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7</w:t>
            </w:r>
          </w:p>
        </w:tc>
        <w:tc>
          <w:tcPr>
            <w:tcW w:w="3903" w:type="dxa"/>
            <w:tcBorders>
              <w:top w:val="nil"/>
              <w:left w:val="single" w:sz="4" w:space="0" w:color="auto"/>
              <w:bottom w:val="single" w:sz="4" w:space="0" w:color="auto"/>
              <w:right w:val="single" w:sz="4" w:space="0" w:color="auto"/>
            </w:tcBorders>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SatRevolution S.A.</w:t>
            </w:r>
          </w:p>
        </w:tc>
        <w:tc>
          <w:tcPr>
            <w:tcW w:w="2020" w:type="dxa"/>
            <w:tcBorders>
              <w:top w:val="nil"/>
              <w:left w:val="single" w:sz="4" w:space="0" w:color="auto"/>
              <w:bottom w:val="single" w:sz="4" w:space="0" w:color="auto"/>
              <w:right w:val="single" w:sz="4" w:space="0" w:color="auto"/>
            </w:tcBorders>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lang w:eastAsia="zh-CN"/>
              </w:rPr>
              <w:t>波兰</w:t>
            </w:r>
          </w:p>
        </w:tc>
        <w:tc>
          <w:tcPr>
            <w:tcW w:w="1291" w:type="dxa"/>
            <w:tcBorders>
              <w:top w:val="nil"/>
              <w:left w:val="single" w:sz="4" w:space="0" w:color="auto"/>
              <w:bottom w:val="single" w:sz="4" w:space="0" w:color="auto"/>
              <w:right w:val="single" w:sz="4" w:space="0" w:color="auto"/>
            </w:tcBorders>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ITU-D</w:t>
            </w:r>
          </w:p>
        </w:tc>
        <w:tc>
          <w:tcPr>
            <w:tcW w:w="1732" w:type="dxa"/>
            <w:tcBorders>
              <w:top w:val="nil"/>
              <w:left w:val="single" w:sz="4" w:space="0" w:color="auto"/>
              <w:bottom w:val="single" w:sz="4" w:space="0" w:color="auto"/>
              <w:right w:val="single" w:sz="12" w:space="0" w:color="auto"/>
            </w:tcBorders>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SG2</w:t>
            </w:r>
          </w:p>
        </w:tc>
      </w:tr>
      <w:tr w:rsidR="009A0A59" w:rsidRPr="009A3F4D" w:rsidTr="003B43D8">
        <w:trPr>
          <w:trHeight w:val="596"/>
          <w:jc w:val="center"/>
        </w:trPr>
        <w:tc>
          <w:tcPr>
            <w:tcW w:w="663" w:type="dxa"/>
            <w:tcBorders>
              <w:top w:val="single" w:sz="4" w:space="0" w:color="auto"/>
              <w:bottom w:val="single" w:sz="4" w:space="0" w:color="auto"/>
            </w:tcBorders>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8</w:t>
            </w:r>
          </w:p>
        </w:tc>
        <w:tc>
          <w:tcPr>
            <w:tcW w:w="3903" w:type="dxa"/>
            <w:tcBorders>
              <w:top w:val="single" w:sz="4" w:space="0" w:color="auto"/>
            </w:tcBorders>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ASTEM Co. Ltd.</w:t>
            </w:r>
          </w:p>
        </w:tc>
        <w:tc>
          <w:tcPr>
            <w:tcW w:w="2020" w:type="dxa"/>
            <w:tcBorders>
              <w:top w:val="single" w:sz="4" w:space="0" w:color="auto"/>
            </w:tcBorders>
            <w:shd w:val="clear" w:color="auto" w:fill="auto"/>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日本</w:t>
            </w:r>
          </w:p>
        </w:tc>
        <w:tc>
          <w:tcPr>
            <w:tcW w:w="1291" w:type="dxa"/>
            <w:tcBorders>
              <w:top w:val="single" w:sz="4" w:space="0" w:color="auto"/>
            </w:tcBorders>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 xml:space="preserve">ITU-D </w:t>
            </w:r>
          </w:p>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 xml:space="preserve">ITU-T </w:t>
            </w:r>
          </w:p>
        </w:tc>
        <w:tc>
          <w:tcPr>
            <w:tcW w:w="1732" w:type="dxa"/>
            <w:tcBorders>
              <w:top w:val="single" w:sz="4" w:space="0" w:color="auto"/>
            </w:tcBorders>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SG2</w:t>
            </w:r>
          </w:p>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 xml:space="preserve">SG16 </w:t>
            </w:r>
          </w:p>
        </w:tc>
      </w:tr>
      <w:tr w:rsidR="009A0A59" w:rsidRPr="009A3F4D" w:rsidTr="003B43D8">
        <w:trPr>
          <w:jc w:val="center"/>
        </w:trPr>
        <w:tc>
          <w:tcPr>
            <w:tcW w:w="663" w:type="dxa"/>
            <w:tcBorders>
              <w:top w:val="single" w:sz="4" w:space="0" w:color="auto"/>
            </w:tcBorders>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9</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 xml:space="preserve">Hellenic Electronic Equipment Quality Assurance </w:t>
            </w:r>
            <w:proofErr w:type="spellStart"/>
            <w:r w:rsidRPr="009A3F4D">
              <w:rPr>
                <w:rFonts w:asciiTheme="minorHAnsi" w:eastAsiaTheme="minorEastAsia" w:hAnsiTheme="minorHAnsi" w:cstheme="minorHAnsi"/>
              </w:rPr>
              <w:t>Center</w:t>
            </w:r>
            <w:proofErr w:type="spellEnd"/>
            <w:r w:rsidRPr="009A3F4D">
              <w:rPr>
                <w:rFonts w:asciiTheme="minorHAnsi" w:eastAsiaTheme="minorEastAsia" w:hAnsiTheme="minorHAnsi" w:cstheme="minorHAnsi"/>
              </w:rPr>
              <w:t xml:space="preserve"> </w:t>
            </w:r>
            <w:proofErr w:type="spellStart"/>
            <w:r w:rsidRPr="009A3F4D">
              <w:rPr>
                <w:rFonts w:asciiTheme="minorHAnsi" w:eastAsiaTheme="minorEastAsia" w:hAnsiTheme="minorHAnsi" w:cstheme="minorHAnsi"/>
              </w:rPr>
              <w:t>s.a.</w:t>
            </w:r>
            <w:proofErr w:type="spellEnd"/>
            <w:r w:rsidRPr="009A3F4D">
              <w:rPr>
                <w:rFonts w:asciiTheme="minorHAnsi" w:eastAsiaTheme="minorEastAsia" w:hAnsiTheme="minorHAnsi" w:cstheme="minorHAnsi"/>
              </w:rPr>
              <w:t xml:space="preserve"> (HEEQAC S.A.)</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lang w:eastAsia="zh-CN"/>
              </w:rPr>
              <w:t>希腊</w:t>
            </w:r>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ITU-T</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SG5</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10</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Wave Control</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lang w:eastAsia="zh-CN"/>
              </w:rPr>
              <w:t>西班牙</w:t>
            </w:r>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ITU-T</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SG5</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11</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 xml:space="preserve">MJRD Assessment </w:t>
            </w:r>
            <w:proofErr w:type="spellStart"/>
            <w:r w:rsidRPr="009A3F4D">
              <w:rPr>
                <w:rFonts w:asciiTheme="minorHAnsi" w:eastAsiaTheme="minorEastAsia" w:hAnsiTheme="minorHAnsi" w:cstheme="minorHAnsi"/>
              </w:rPr>
              <w:t>Inc</w:t>
            </w:r>
            <w:proofErr w:type="spellEnd"/>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lang w:eastAsia="zh-CN"/>
              </w:rPr>
              <w:t>加拿大</w:t>
            </w:r>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ITU-T</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SG5</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12</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Closing the Loop</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lang w:eastAsia="zh-CN"/>
              </w:rPr>
              <w:t>荷兰</w:t>
            </w:r>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ITU-T</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SG5</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13</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proofErr w:type="spellStart"/>
            <w:r w:rsidRPr="009A3F4D">
              <w:rPr>
                <w:rFonts w:asciiTheme="minorHAnsi" w:eastAsiaTheme="minorEastAsia" w:hAnsiTheme="minorHAnsi" w:cstheme="minorHAnsi"/>
              </w:rPr>
              <w:t>Vaulto</w:t>
            </w:r>
            <w:proofErr w:type="spellEnd"/>
            <w:r w:rsidRPr="009A3F4D">
              <w:rPr>
                <w:rFonts w:asciiTheme="minorHAnsi" w:eastAsiaTheme="minorEastAsia" w:hAnsiTheme="minorHAnsi" w:cstheme="minorHAnsi"/>
              </w:rPr>
              <w:t xml:space="preserve"> Technologies Ltd</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lang w:eastAsia="zh-CN"/>
              </w:rPr>
              <w:t>以色列</w:t>
            </w:r>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ITU-T</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SG11</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14</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proofErr w:type="spellStart"/>
            <w:r w:rsidRPr="009A3F4D">
              <w:rPr>
                <w:rFonts w:asciiTheme="minorHAnsi" w:eastAsiaTheme="minorEastAsia" w:hAnsiTheme="minorHAnsi" w:cstheme="minorHAnsi"/>
              </w:rPr>
              <w:t>Wayfindr</w:t>
            </w:r>
            <w:proofErr w:type="spellEnd"/>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英国</w:t>
            </w:r>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ITU-T</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SG16</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15</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Alkira Technologies</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lang w:eastAsia="zh-CN"/>
              </w:rPr>
              <w:t>澳大利亚</w:t>
            </w:r>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ITU-T</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SG16</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16</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Alfa Electronics</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埃及</w:t>
            </w:r>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ITU-T</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SG20</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17</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SpimeSense Labs</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埃及</w:t>
            </w:r>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ITU-T</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SG20</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18</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Root Technologies</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proofErr w:type="spellStart"/>
            <w:r w:rsidRPr="009A3F4D">
              <w:rPr>
                <w:rFonts w:asciiTheme="minorHAnsi" w:eastAsiaTheme="minorEastAsia" w:hAnsiTheme="minorHAnsi" w:cstheme="minorHAnsi"/>
              </w:rPr>
              <w:t>埃及</w:t>
            </w:r>
            <w:proofErr w:type="spellEnd"/>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ITU-T</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SG20</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19</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Innov-Alliance-Tech</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lang w:eastAsia="zh-CN"/>
              </w:rPr>
              <w:t>突尼斯</w:t>
            </w:r>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ITU-T</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SG20</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20</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Device Gateway SA</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瑞士</w:t>
            </w:r>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ITU-T</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rPr>
            </w:pPr>
            <w:r w:rsidRPr="009A3F4D">
              <w:rPr>
                <w:rFonts w:asciiTheme="minorHAnsi" w:eastAsiaTheme="minorEastAsia" w:hAnsiTheme="minorHAnsi" w:cstheme="minorHAnsi"/>
              </w:rPr>
              <w:t>SG20</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21</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rPr>
            </w:pPr>
            <w:r w:rsidRPr="009A3F4D">
              <w:rPr>
                <w:rFonts w:asciiTheme="minorHAnsi" w:eastAsiaTheme="minorEastAsia" w:hAnsiTheme="minorHAnsi" w:cstheme="minorHAnsi"/>
              </w:rPr>
              <w:t>Arianous ICT Development Co.</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lang w:val="fr-CH" w:eastAsia="zh-CN"/>
              </w:rPr>
            </w:pPr>
            <w:r w:rsidRPr="009A3F4D">
              <w:rPr>
                <w:rFonts w:asciiTheme="minorHAnsi" w:eastAsiaTheme="minorEastAsia" w:hAnsiTheme="minorHAnsi" w:cstheme="minorHAnsi"/>
                <w:lang w:val="fr-CH" w:eastAsia="zh-CN"/>
              </w:rPr>
              <w:t>伊朗（伊斯兰</w:t>
            </w:r>
            <w:r w:rsidR="00BC047D">
              <w:rPr>
                <w:rFonts w:asciiTheme="minorHAnsi" w:eastAsiaTheme="minorEastAsia" w:hAnsiTheme="minorHAnsi" w:cstheme="minorHAnsi"/>
                <w:lang w:val="fr-CH" w:eastAsia="zh-CN"/>
              </w:rPr>
              <w:br/>
            </w:r>
            <w:r w:rsidRPr="009A3F4D">
              <w:rPr>
                <w:rFonts w:asciiTheme="minorHAnsi" w:eastAsiaTheme="minorEastAsia" w:hAnsiTheme="minorHAnsi" w:cstheme="minorHAnsi"/>
                <w:lang w:val="fr-CH" w:eastAsia="zh-CN"/>
              </w:rPr>
              <w:t>共和国）</w:t>
            </w:r>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lang w:val="fr-CH"/>
              </w:rPr>
            </w:pPr>
            <w:r w:rsidRPr="009A3F4D">
              <w:rPr>
                <w:rFonts w:asciiTheme="minorHAnsi" w:eastAsiaTheme="minorEastAsia" w:hAnsiTheme="minorHAnsi" w:cstheme="minorHAnsi"/>
                <w:lang w:val="fr-CH"/>
              </w:rPr>
              <w:t>ITU-T</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lang w:val="fr-CH"/>
              </w:rPr>
            </w:pPr>
            <w:r w:rsidRPr="009A3F4D">
              <w:rPr>
                <w:rFonts w:asciiTheme="minorHAnsi" w:eastAsiaTheme="minorEastAsia" w:hAnsiTheme="minorHAnsi" w:cstheme="minorHAnsi"/>
                <w:lang w:val="fr-CH"/>
              </w:rPr>
              <w:t>SG20</w:t>
            </w:r>
          </w:p>
        </w:tc>
      </w:tr>
      <w:tr w:rsidR="009A0A59" w:rsidRPr="009A3F4D" w:rsidTr="003B43D8">
        <w:trPr>
          <w:jc w:val="center"/>
        </w:trPr>
        <w:tc>
          <w:tcPr>
            <w:tcW w:w="663" w:type="dxa"/>
            <w:shd w:val="clear" w:color="auto" w:fill="auto"/>
          </w:tcPr>
          <w:p w:rsidR="009A0A59" w:rsidRPr="009A3F4D" w:rsidRDefault="009A0A59" w:rsidP="009A3F4D">
            <w:pPr>
              <w:pStyle w:val="Tabletext"/>
              <w:rPr>
                <w:rFonts w:asciiTheme="minorHAnsi" w:eastAsiaTheme="minorEastAsia" w:hAnsiTheme="minorHAnsi" w:cstheme="minorHAnsi"/>
                <w:lang w:val="fr-CH"/>
              </w:rPr>
            </w:pPr>
            <w:r w:rsidRPr="009A3F4D">
              <w:rPr>
                <w:rFonts w:asciiTheme="minorHAnsi" w:eastAsiaTheme="minorEastAsia" w:hAnsiTheme="minorHAnsi" w:cstheme="minorHAnsi"/>
                <w:lang w:val="fr-CH"/>
              </w:rPr>
              <w:t>22</w:t>
            </w:r>
          </w:p>
        </w:tc>
        <w:tc>
          <w:tcPr>
            <w:tcW w:w="3903" w:type="dxa"/>
            <w:shd w:val="clear" w:color="auto" w:fill="auto"/>
          </w:tcPr>
          <w:p w:rsidR="009A0A59" w:rsidRPr="009A3F4D" w:rsidRDefault="009A0A59" w:rsidP="009A3F4D">
            <w:pPr>
              <w:pStyle w:val="Tabletext"/>
              <w:rPr>
                <w:rFonts w:asciiTheme="minorHAnsi" w:eastAsiaTheme="minorEastAsia" w:hAnsiTheme="minorHAnsi" w:cstheme="minorHAnsi"/>
                <w:lang w:val="fr-CH"/>
              </w:rPr>
            </w:pPr>
            <w:r w:rsidRPr="009A3F4D">
              <w:rPr>
                <w:rFonts w:asciiTheme="minorHAnsi" w:eastAsiaTheme="minorEastAsia" w:hAnsiTheme="minorHAnsi" w:cstheme="minorHAnsi"/>
                <w:lang w:val="fr-CH"/>
              </w:rPr>
              <w:t>Archimède Solutions SARL</w:t>
            </w:r>
          </w:p>
        </w:tc>
        <w:tc>
          <w:tcPr>
            <w:tcW w:w="2020" w:type="dxa"/>
            <w:shd w:val="clear" w:color="auto" w:fill="auto"/>
          </w:tcPr>
          <w:p w:rsidR="009A0A59" w:rsidRPr="009A3F4D" w:rsidRDefault="003B43D8" w:rsidP="009A3F4D">
            <w:pPr>
              <w:pStyle w:val="Tabletext"/>
              <w:jc w:val="center"/>
              <w:rPr>
                <w:rFonts w:asciiTheme="minorHAnsi" w:eastAsiaTheme="minorEastAsia" w:hAnsiTheme="minorHAnsi" w:cstheme="minorHAnsi"/>
                <w:lang w:val="fr-CH"/>
              </w:rPr>
            </w:pPr>
            <w:r w:rsidRPr="009A3F4D">
              <w:rPr>
                <w:rFonts w:asciiTheme="minorHAnsi" w:eastAsiaTheme="minorEastAsia" w:hAnsiTheme="minorHAnsi" w:cstheme="minorHAnsi"/>
                <w:lang w:val="fr-CH"/>
              </w:rPr>
              <w:t>瑞士</w:t>
            </w:r>
          </w:p>
        </w:tc>
        <w:tc>
          <w:tcPr>
            <w:tcW w:w="1291" w:type="dxa"/>
            <w:shd w:val="clear" w:color="auto" w:fill="auto"/>
          </w:tcPr>
          <w:p w:rsidR="009A0A59" w:rsidRPr="009A3F4D" w:rsidRDefault="009A0A59" w:rsidP="009A3F4D">
            <w:pPr>
              <w:pStyle w:val="Tabletext"/>
              <w:jc w:val="center"/>
              <w:rPr>
                <w:rFonts w:asciiTheme="minorHAnsi" w:eastAsiaTheme="minorEastAsia" w:hAnsiTheme="minorHAnsi" w:cstheme="minorHAnsi"/>
                <w:lang w:val="fr-CH"/>
              </w:rPr>
            </w:pPr>
            <w:r w:rsidRPr="009A3F4D">
              <w:rPr>
                <w:rFonts w:asciiTheme="minorHAnsi" w:eastAsiaTheme="minorEastAsia" w:hAnsiTheme="minorHAnsi" w:cstheme="minorHAnsi"/>
                <w:lang w:val="fr-CH"/>
              </w:rPr>
              <w:t>ITU-T</w:t>
            </w:r>
          </w:p>
        </w:tc>
        <w:tc>
          <w:tcPr>
            <w:tcW w:w="1732" w:type="dxa"/>
            <w:shd w:val="clear" w:color="auto" w:fill="auto"/>
          </w:tcPr>
          <w:p w:rsidR="009A0A59" w:rsidRPr="009A3F4D" w:rsidRDefault="009A0A59" w:rsidP="009A3F4D">
            <w:pPr>
              <w:pStyle w:val="Tabletext"/>
              <w:jc w:val="center"/>
              <w:rPr>
                <w:rFonts w:asciiTheme="minorHAnsi" w:eastAsiaTheme="minorEastAsia" w:hAnsiTheme="minorHAnsi" w:cstheme="minorHAnsi"/>
                <w:lang w:val="fr-CH"/>
              </w:rPr>
            </w:pPr>
            <w:r w:rsidRPr="009A3F4D">
              <w:rPr>
                <w:rFonts w:asciiTheme="minorHAnsi" w:eastAsiaTheme="minorEastAsia" w:hAnsiTheme="minorHAnsi" w:cstheme="minorHAnsi"/>
                <w:lang w:val="fr-CH"/>
              </w:rPr>
              <w:t>SG20</w:t>
            </w:r>
          </w:p>
        </w:tc>
      </w:tr>
    </w:tbl>
    <w:p w:rsidR="00701477" w:rsidRDefault="00701477" w:rsidP="0032202E">
      <w:pPr>
        <w:pStyle w:val="Reasons"/>
      </w:pPr>
    </w:p>
    <w:p w:rsidR="00701477" w:rsidRDefault="00701477">
      <w:pPr>
        <w:jc w:val="center"/>
      </w:pPr>
      <w:r>
        <w:t>______________</w:t>
      </w:r>
    </w:p>
    <w:p w:rsidR="00476923" w:rsidRPr="009A3F4D" w:rsidRDefault="00476923" w:rsidP="009A3F4D">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lang w:val="en-US" w:eastAsia="zh-CN"/>
        </w:rPr>
      </w:pPr>
    </w:p>
    <w:sectPr w:rsidR="00476923" w:rsidRPr="009A3F4D" w:rsidSect="00BA20B6">
      <w:headerReference w:type="default" r:id="rId17"/>
      <w:footerReference w:type="first" r:id="rId18"/>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A9E" w:rsidRDefault="00D91A9E">
      <w:r>
        <w:separator/>
      </w:r>
    </w:p>
  </w:endnote>
  <w:endnote w:type="continuationSeparator" w:id="0">
    <w:p w:rsidR="00D91A9E" w:rsidRDefault="00D9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TKaiti">
    <w:altName w:val="Arial Unicode MS"/>
    <w:charset w:val="86"/>
    <w:family w:val="auto"/>
    <w:pitch w:val="variable"/>
    <w:sig w:usb0="00000000"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9E" w:rsidRDefault="00D91A9E" w:rsidP="003907C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D91A9E" w:rsidRDefault="00D91A9E" w:rsidP="002155B0">
    <w:pPr>
      <w:pStyle w:val="First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A9E" w:rsidRDefault="00D91A9E">
      <w:r>
        <w:t>____________________</w:t>
      </w:r>
    </w:p>
  </w:footnote>
  <w:footnote w:type="continuationSeparator" w:id="0">
    <w:p w:rsidR="00D91A9E" w:rsidRDefault="00D91A9E">
      <w:r>
        <w:continuationSeparator/>
      </w:r>
    </w:p>
  </w:footnote>
  <w:footnote w:id="1">
    <w:p w:rsidR="00D91A9E" w:rsidRPr="00D9633B" w:rsidRDefault="00D91A9E" w:rsidP="009A0A59">
      <w:pPr>
        <w:pStyle w:val="FootnoteText"/>
        <w:rPr>
          <w:lang w:eastAsia="zh-CN"/>
        </w:rPr>
      </w:pPr>
      <w:r>
        <w:rPr>
          <w:rStyle w:val="FootnoteReference"/>
        </w:rPr>
        <w:footnoteRef/>
      </w:r>
      <w:r>
        <w:rPr>
          <w:lang w:eastAsia="zh-CN"/>
        </w:rPr>
        <w:t xml:space="preserve"> </w:t>
      </w:r>
      <w:r w:rsidRPr="009A3F4D">
        <w:rPr>
          <w:rFonts w:ascii="Segoe UI" w:hAnsi="Segoe UI" w:cs="Segoe UI"/>
          <w:color w:val="000000"/>
          <w:szCs w:val="24"/>
          <w:lang w:eastAsia="zh-CN"/>
        </w:rPr>
        <w:t>CWG-FHR</w:t>
      </w:r>
      <w:r w:rsidRPr="009A3F4D">
        <w:rPr>
          <w:rFonts w:ascii="Segoe UI" w:hAnsi="Segoe UI" w:cs="Segoe UI" w:hint="eastAsia"/>
          <w:color w:val="000000"/>
          <w:szCs w:val="24"/>
          <w:lang w:eastAsia="zh-CN"/>
        </w:rPr>
        <w:t>主席提交理事会</w:t>
      </w:r>
      <w:r w:rsidRPr="009A3F4D">
        <w:rPr>
          <w:rFonts w:ascii="Segoe UI" w:hAnsi="Segoe UI" w:cs="Segoe UI" w:hint="eastAsia"/>
          <w:color w:val="000000"/>
          <w:szCs w:val="24"/>
          <w:lang w:eastAsia="zh-CN"/>
        </w:rPr>
        <w:t>2017</w:t>
      </w:r>
      <w:r w:rsidRPr="009A3F4D">
        <w:rPr>
          <w:rFonts w:ascii="Segoe UI" w:hAnsi="Segoe UI" w:cs="Segoe UI" w:hint="eastAsia"/>
          <w:color w:val="000000"/>
          <w:szCs w:val="24"/>
          <w:lang w:eastAsia="zh-CN"/>
        </w:rPr>
        <w:t>年会议的报告，第</w:t>
      </w:r>
      <w:r w:rsidRPr="009A3F4D">
        <w:rPr>
          <w:rFonts w:ascii="Segoe UI" w:hAnsi="Segoe UI" w:cs="Segoe UI" w:hint="eastAsia"/>
          <w:color w:val="000000"/>
          <w:szCs w:val="24"/>
          <w:lang w:eastAsia="zh-CN"/>
        </w:rPr>
        <w:t>48</w:t>
      </w:r>
      <w:r w:rsidRPr="009A3F4D">
        <w:rPr>
          <w:rFonts w:ascii="Segoe UI" w:hAnsi="Segoe UI" w:cs="Segoe UI" w:hint="eastAsia"/>
          <w:color w:val="000000"/>
          <w:szCs w:val="24"/>
          <w:lang w:eastAsia="zh-CN"/>
        </w:rPr>
        <w:t>项（第</w:t>
      </w:r>
      <w:r w:rsidRPr="009A3F4D">
        <w:rPr>
          <w:rFonts w:ascii="Segoe UI" w:hAnsi="Segoe UI" w:cs="Segoe UI" w:hint="eastAsia"/>
          <w:color w:val="000000"/>
          <w:szCs w:val="24"/>
          <w:lang w:eastAsia="zh-CN"/>
        </w:rPr>
        <w:t>53</w:t>
      </w:r>
      <w:r w:rsidRPr="009A3F4D">
        <w:rPr>
          <w:rFonts w:ascii="Segoe UI" w:hAnsi="Segoe UI" w:cs="Segoe UI" w:hint="eastAsia"/>
          <w:color w:val="000000"/>
          <w:szCs w:val="24"/>
          <w:lang w:eastAsia="zh-CN"/>
        </w:rPr>
        <w:t>页）；职责范围（</w:t>
      </w:r>
      <w:r w:rsidRPr="009A3F4D">
        <w:rPr>
          <w:rFonts w:ascii="Segoe UI" w:hAnsi="Segoe UI" w:cs="Segoe UI"/>
          <w:color w:val="000000"/>
          <w:szCs w:val="24"/>
          <w:lang w:eastAsia="zh-CN"/>
        </w:rPr>
        <w:t>TOR</w:t>
      </w:r>
      <w:r w:rsidRPr="009A3F4D">
        <w:rPr>
          <w:rFonts w:ascii="Segoe UI" w:hAnsi="Segoe UI" w:cs="Segoe UI" w:hint="eastAsia"/>
          <w:color w:val="000000"/>
          <w:szCs w:val="24"/>
          <w:lang w:eastAsia="zh-CN"/>
        </w:rPr>
        <w:t>）见附件</w:t>
      </w:r>
      <w:r w:rsidRPr="009A3F4D">
        <w:rPr>
          <w:rFonts w:ascii="Segoe UI" w:hAnsi="Segoe UI" w:cs="Segoe UI" w:hint="eastAsia"/>
          <w:color w:val="000000"/>
          <w:szCs w:val="24"/>
          <w:lang w:eastAsia="zh-CN"/>
        </w:rPr>
        <w:t>K</w:t>
      </w:r>
      <w:r w:rsidRPr="009A3F4D">
        <w:rPr>
          <w:rFonts w:ascii="Segoe UI" w:hAnsi="Segoe UI" w:cs="Segoe UI" w:hint="eastAsia"/>
          <w:color w:val="000000"/>
          <w:szCs w:val="24"/>
          <w:lang w:eastAsia="zh-CN"/>
        </w:rPr>
        <w:t>第</w:t>
      </w:r>
      <w:r w:rsidRPr="009A3F4D">
        <w:rPr>
          <w:rFonts w:ascii="Segoe UI" w:hAnsi="Segoe UI" w:cs="Segoe UI" w:hint="eastAsia"/>
          <w:color w:val="000000"/>
          <w:szCs w:val="24"/>
          <w:lang w:eastAsia="zh-CN"/>
        </w:rPr>
        <w:t>93</w:t>
      </w:r>
      <w:r w:rsidRPr="009A3F4D">
        <w:rPr>
          <w:rFonts w:ascii="Segoe UI" w:hAnsi="Segoe UI" w:cs="Segoe UI" w:hint="eastAsia"/>
          <w:color w:val="000000"/>
          <w:szCs w:val="24"/>
          <w:lang w:eastAsia="zh-CN"/>
        </w:rPr>
        <w:t>页。</w:t>
      </w:r>
    </w:p>
  </w:footnote>
  <w:footnote w:id="2">
    <w:p w:rsidR="00D91A9E" w:rsidRDefault="00D91A9E" w:rsidP="009A0A59">
      <w:pPr>
        <w:pStyle w:val="FootnoteText"/>
        <w:rPr>
          <w:lang w:eastAsia="zh-CN"/>
        </w:rPr>
      </w:pPr>
      <w:r w:rsidRPr="003B4F68">
        <w:rPr>
          <w:rStyle w:val="FootnoteReference"/>
          <w:sz w:val="14"/>
        </w:rPr>
        <w:footnoteRef/>
      </w:r>
      <w:r w:rsidRPr="003B4F68">
        <w:rPr>
          <w:sz w:val="20"/>
          <w:lang w:eastAsia="zh-CN"/>
        </w:rPr>
        <w:t xml:space="preserve"> </w:t>
      </w:r>
      <w:r w:rsidRPr="00BC047D">
        <w:rPr>
          <w:szCs w:val="24"/>
          <w:lang w:eastAsia="zh-CN"/>
        </w:rPr>
        <w:t>SME</w:t>
      </w:r>
      <w:r w:rsidRPr="00BC047D">
        <w:rPr>
          <w:rFonts w:hint="eastAsia"/>
          <w:szCs w:val="24"/>
          <w:lang w:eastAsia="zh-CN"/>
        </w:rPr>
        <w:t>尚无得到国际认可的定义。</w:t>
      </w:r>
      <w:r w:rsidR="008D7F98" w:rsidRPr="00BC047D">
        <w:rPr>
          <w:rFonts w:hint="eastAsia"/>
          <w:szCs w:val="24"/>
          <w:lang w:eastAsia="zh-CN"/>
        </w:rPr>
        <w:t>做出</w:t>
      </w:r>
      <w:r w:rsidRPr="00BC047D">
        <w:rPr>
          <w:rFonts w:hint="eastAsia"/>
          <w:szCs w:val="24"/>
          <w:lang w:eastAsia="zh-CN"/>
        </w:rPr>
        <w:t>有</w:t>
      </w:r>
      <w:r w:rsidRPr="00BC047D">
        <w:rPr>
          <w:rFonts w:hint="eastAsia"/>
          <w:szCs w:val="24"/>
          <w:lang w:eastAsia="zh-CN"/>
        </w:rPr>
        <w:t>60</w:t>
      </w:r>
      <w:r w:rsidRPr="00BC047D">
        <w:rPr>
          <w:rFonts w:hint="eastAsia"/>
          <w:szCs w:val="24"/>
          <w:lang w:eastAsia="zh-CN"/>
        </w:rPr>
        <w:t>家</w:t>
      </w:r>
      <w:r w:rsidRPr="00BC047D">
        <w:rPr>
          <w:rFonts w:hint="eastAsia"/>
          <w:szCs w:val="24"/>
          <w:lang w:eastAsia="zh-CN"/>
        </w:rPr>
        <w:t>S</w:t>
      </w:r>
      <w:r w:rsidRPr="00BC047D">
        <w:rPr>
          <w:szCs w:val="24"/>
          <w:lang w:eastAsia="zh-CN"/>
        </w:rPr>
        <w:t>ME</w:t>
      </w:r>
      <w:r w:rsidRPr="00BC047D">
        <w:rPr>
          <w:rFonts w:hint="eastAsia"/>
          <w:szCs w:val="24"/>
          <w:lang w:eastAsia="zh-CN"/>
        </w:rPr>
        <w:t>成为国际电联部门成员和部门准成员的估计是基于欧洲联盟的定义，该定义将少于</w:t>
      </w:r>
      <w:r w:rsidRPr="00BC047D">
        <w:rPr>
          <w:rFonts w:hint="eastAsia"/>
          <w:szCs w:val="24"/>
          <w:lang w:eastAsia="zh-CN"/>
        </w:rPr>
        <w:t>300</w:t>
      </w:r>
      <w:r w:rsidRPr="00BC047D">
        <w:rPr>
          <w:rFonts w:hint="eastAsia"/>
          <w:szCs w:val="24"/>
          <w:lang w:eastAsia="zh-CN"/>
        </w:rPr>
        <w:t>人的公司</w:t>
      </w:r>
      <w:r w:rsidR="006652E1" w:rsidRPr="00BC047D">
        <w:rPr>
          <w:rFonts w:hint="eastAsia"/>
          <w:szCs w:val="24"/>
          <w:lang w:eastAsia="zh-CN"/>
        </w:rPr>
        <w:t>归</w:t>
      </w:r>
      <w:r w:rsidRPr="00BC047D">
        <w:rPr>
          <w:rFonts w:hint="eastAsia"/>
          <w:szCs w:val="24"/>
          <w:lang w:eastAsia="zh-CN"/>
        </w:rPr>
        <w:t>为中小企业。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9E" w:rsidRDefault="00D91A9E" w:rsidP="00C710E5">
    <w:pPr>
      <w:pStyle w:val="Header"/>
    </w:pPr>
    <w:r>
      <w:fldChar w:fldCharType="begin"/>
    </w:r>
    <w:r>
      <w:instrText xml:space="preserve"> PAGE </w:instrText>
    </w:r>
    <w:r>
      <w:fldChar w:fldCharType="separate"/>
    </w:r>
    <w:r w:rsidR="003850F9">
      <w:rPr>
        <w:noProof/>
      </w:rPr>
      <w:t>4</w:t>
    </w:r>
    <w:r>
      <w:fldChar w:fldCharType="end"/>
    </w:r>
  </w:p>
  <w:p w:rsidR="00D91A9E" w:rsidRPr="00C710E5" w:rsidRDefault="00D91A9E" w:rsidP="002460E3">
    <w:pPr>
      <w:pStyle w:val="Header"/>
    </w:pPr>
    <w:r>
      <w:t>PP18/52-C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74115"/>
    <w:multiLevelType w:val="hybridMultilevel"/>
    <w:tmpl w:val="2DCC71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645F56"/>
    <w:multiLevelType w:val="hybridMultilevel"/>
    <w:tmpl w:val="7C6A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D9"/>
    <w:rsid w:val="000105A6"/>
    <w:rsid w:val="000134DB"/>
    <w:rsid w:val="00014808"/>
    <w:rsid w:val="00040A47"/>
    <w:rsid w:val="00057B6E"/>
    <w:rsid w:val="00063E0D"/>
    <w:rsid w:val="00073B99"/>
    <w:rsid w:val="00076062"/>
    <w:rsid w:val="0009673E"/>
    <w:rsid w:val="000C0900"/>
    <w:rsid w:val="000C2D61"/>
    <w:rsid w:val="000C4701"/>
    <w:rsid w:val="000C4C2A"/>
    <w:rsid w:val="000E4C7A"/>
    <w:rsid w:val="000F68C6"/>
    <w:rsid w:val="00111034"/>
    <w:rsid w:val="00124C8F"/>
    <w:rsid w:val="00125484"/>
    <w:rsid w:val="00126FE1"/>
    <w:rsid w:val="0013327E"/>
    <w:rsid w:val="00137909"/>
    <w:rsid w:val="0014254A"/>
    <w:rsid w:val="00156641"/>
    <w:rsid w:val="00167FD3"/>
    <w:rsid w:val="00171990"/>
    <w:rsid w:val="00171B68"/>
    <w:rsid w:val="0018210B"/>
    <w:rsid w:val="001A0EEB"/>
    <w:rsid w:val="001A4A66"/>
    <w:rsid w:val="001B25D1"/>
    <w:rsid w:val="001D1EC0"/>
    <w:rsid w:val="001F2AED"/>
    <w:rsid w:val="002043DD"/>
    <w:rsid w:val="00213A54"/>
    <w:rsid w:val="002155B0"/>
    <w:rsid w:val="00226B70"/>
    <w:rsid w:val="00231ABC"/>
    <w:rsid w:val="00237FDE"/>
    <w:rsid w:val="00241DDB"/>
    <w:rsid w:val="002460E3"/>
    <w:rsid w:val="002578B4"/>
    <w:rsid w:val="00262453"/>
    <w:rsid w:val="00265DBB"/>
    <w:rsid w:val="002818FA"/>
    <w:rsid w:val="002A0F5C"/>
    <w:rsid w:val="002A2125"/>
    <w:rsid w:val="002B39F5"/>
    <w:rsid w:val="002D23B1"/>
    <w:rsid w:val="002E37AF"/>
    <w:rsid w:val="00307225"/>
    <w:rsid w:val="00315438"/>
    <w:rsid w:val="003220B2"/>
    <w:rsid w:val="00332BCD"/>
    <w:rsid w:val="00345493"/>
    <w:rsid w:val="003477D4"/>
    <w:rsid w:val="00356E04"/>
    <w:rsid w:val="003614CE"/>
    <w:rsid w:val="003717AB"/>
    <w:rsid w:val="00371CB0"/>
    <w:rsid w:val="00375BBA"/>
    <w:rsid w:val="003760D8"/>
    <w:rsid w:val="00383A29"/>
    <w:rsid w:val="0038484C"/>
    <w:rsid w:val="00384AD9"/>
    <w:rsid w:val="003850F9"/>
    <w:rsid w:val="0038575F"/>
    <w:rsid w:val="00387EA2"/>
    <w:rsid w:val="003907C4"/>
    <w:rsid w:val="00395CE4"/>
    <w:rsid w:val="003B43D8"/>
    <w:rsid w:val="003B5D80"/>
    <w:rsid w:val="003B74F0"/>
    <w:rsid w:val="004014B0"/>
    <w:rsid w:val="00414872"/>
    <w:rsid w:val="00415EFC"/>
    <w:rsid w:val="00426AC1"/>
    <w:rsid w:val="0045019C"/>
    <w:rsid w:val="004676C0"/>
    <w:rsid w:val="00476923"/>
    <w:rsid w:val="00476CAF"/>
    <w:rsid w:val="00485E71"/>
    <w:rsid w:val="004A58F0"/>
    <w:rsid w:val="004C2CF2"/>
    <w:rsid w:val="004D3182"/>
    <w:rsid w:val="005061F9"/>
    <w:rsid w:val="00517E65"/>
    <w:rsid w:val="00520CA5"/>
    <w:rsid w:val="00525EF5"/>
    <w:rsid w:val="005356FD"/>
    <w:rsid w:val="00542073"/>
    <w:rsid w:val="00544F14"/>
    <w:rsid w:val="00552BA5"/>
    <w:rsid w:val="00554E24"/>
    <w:rsid w:val="00561335"/>
    <w:rsid w:val="00564B8D"/>
    <w:rsid w:val="00567130"/>
    <w:rsid w:val="00596A53"/>
    <w:rsid w:val="005A6A1D"/>
    <w:rsid w:val="005C1E39"/>
    <w:rsid w:val="005E4794"/>
    <w:rsid w:val="005F67CE"/>
    <w:rsid w:val="00617BE4"/>
    <w:rsid w:val="00622189"/>
    <w:rsid w:val="006652E1"/>
    <w:rsid w:val="0067125A"/>
    <w:rsid w:val="00680265"/>
    <w:rsid w:val="00680A8F"/>
    <w:rsid w:val="006979D9"/>
    <w:rsid w:val="006A0092"/>
    <w:rsid w:val="006E57C8"/>
    <w:rsid w:val="006E6BA4"/>
    <w:rsid w:val="006F0211"/>
    <w:rsid w:val="00701477"/>
    <w:rsid w:val="007052A4"/>
    <w:rsid w:val="00722343"/>
    <w:rsid w:val="007235A4"/>
    <w:rsid w:val="0073319E"/>
    <w:rsid w:val="00744797"/>
    <w:rsid w:val="00750829"/>
    <w:rsid w:val="00767CB9"/>
    <w:rsid w:val="00770CF8"/>
    <w:rsid w:val="007917DE"/>
    <w:rsid w:val="007A5031"/>
    <w:rsid w:val="007B558F"/>
    <w:rsid w:val="007C4DC3"/>
    <w:rsid w:val="00814482"/>
    <w:rsid w:val="008160BF"/>
    <w:rsid w:val="008433E4"/>
    <w:rsid w:val="00850AEF"/>
    <w:rsid w:val="008652E7"/>
    <w:rsid w:val="008726C7"/>
    <w:rsid w:val="00873D04"/>
    <w:rsid w:val="008848E6"/>
    <w:rsid w:val="008B44F5"/>
    <w:rsid w:val="008D3BE2"/>
    <w:rsid w:val="008D7300"/>
    <w:rsid w:val="008D7F98"/>
    <w:rsid w:val="008E2996"/>
    <w:rsid w:val="008E4324"/>
    <w:rsid w:val="008E45D4"/>
    <w:rsid w:val="008E6AE7"/>
    <w:rsid w:val="008E6BC6"/>
    <w:rsid w:val="00904E65"/>
    <w:rsid w:val="00905B6A"/>
    <w:rsid w:val="0092338B"/>
    <w:rsid w:val="009361C2"/>
    <w:rsid w:val="00950E0F"/>
    <w:rsid w:val="009575E2"/>
    <w:rsid w:val="00966EBB"/>
    <w:rsid w:val="0099173A"/>
    <w:rsid w:val="009A0A59"/>
    <w:rsid w:val="009A3F4D"/>
    <w:rsid w:val="009A47A2"/>
    <w:rsid w:val="009C4B97"/>
    <w:rsid w:val="009D1E93"/>
    <w:rsid w:val="009D6EA5"/>
    <w:rsid w:val="009E3AA3"/>
    <w:rsid w:val="00A03693"/>
    <w:rsid w:val="00A23536"/>
    <w:rsid w:val="00A52FFF"/>
    <w:rsid w:val="00A6085C"/>
    <w:rsid w:val="00A62DA7"/>
    <w:rsid w:val="00A865E4"/>
    <w:rsid w:val="00AB5091"/>
    <w:rsid w:val="00AC07C0"/>
    <w:rsid w:val="00AC79BA"/>
    <w:rsid w:val="00AD1198"/>
    <w:rsid w:val="00AD2C62"/>
    <w:rsid w:val="00AE49B9"/>
    <w:rsid w:val="00AF45E1"/>
    <w:rsid w:val="00B04E59"/>
    <w:rsid w:val="00B05785"/>
    <w:rsid w:val="00B11373"/>
    <w:rsid w:val="00B132B7"/>
    <w:rsid w:val="00B15AF8"/>
    <w:rsid w:val="00B1733E"/>
    <w:rsid w:val="00B23943"/>
    <w:rsid w:val="00B60A63"/>
    <w:rsid w:val="00B650EC"/>
    <w:rsid w:val="00B96F78"/>
    <w:rsid w:val="00BA154E"/>
    <w:rsid w:val="00BA20B6"/>
    <w:rsid w:val="00BC047D"/>
    <w:rsid w:val="00BD43B3"/>
    <w:rsid w:val="00BF720B"/>
    <w:rsid w:val="00C02B7F"/>
    <w:rsid w:val="00C04511"/>
    <w:rsid w:val="00C101EE"/>
    <w:rsid w:val="00C16846"/>
    <w:rsid w:val="00C16AC0"/>
    <w:rsid w:val="00C40FEE"/>
    <w:rsid w:val="00C47D1C"/>
    <w:rsid w:val="00C561F1"/>
    <w:rsid w:val="00C6312C"/>
    <w:rsid w:val="00C710E5"/>
    <w:rsid w:val="00C73FA3"/>
    <w:rsid w:val="00C74FED"/>
    <w:rsid w:val="00C821CE"/>
    <w:rsid w:val="00C925D8"/>
    <w:rsid w:val="00C948C8"/>
    <w:rsid w:val="00CA38C9"/>
    <w:rsid w:val="00CA401B"/>
    <w:rsid w:val="00CB1CAA"/>
    <w:rsid w:val="00CB57E1"/>
    <w:rsid w:val="00CB66EF"/>
    <w:rsid w:val="00CE40BB"/>
    <w:rsid w:val="00CF05C0"/>
    <w:rsid w:val="00D2057D"/>
    <w:rsid w:val="00D215E8"/>
    <w:rsid w:val="00D57C64"/>
    <w:rsid w:val="00D65220"/>
    <w:rsid w:val="00D70FF1"/>
    <w:rsid w:val="00D82A9F"/>
    <w:rsid w:val="00D91A9E"/>
    <w:rsid w:val="00D938CF"/>
    <w:rsid w:val="00D97614"/>
    <w:rsid w:val="00DD0A6F"/>
    <w:rsid w:val="00DD0F42"/>
    <w:rsid w:val="00DD26B1"/>
    <w:rsid w:val="00DF23FC"/>
    <w:rsid w:val="00DF39CD"/>
    <w:rsid w:val="00DF51DD"/>
    <w:rsid w:val="00DF7548"/>
    <w:rsid w:val="00E121F2"/>
    <w:rsid w:val="00E12CDA"/>
    <w:rsid w:val="00E26F09"/>
    <w:rsid w:val="00E56E57"/>
    <w:rsid w:val="00E67717"/>
    <w:rsid w:val="00E749DA"/>
    <w:rsid w:val="00EA50B4"/>
    <w:rsid w:val="00EC49FC"/>
    <w:rsid w:val="00EF2642"/>
    <w:rsid w:val="00EF3681"/>
    <w:rsid w:val="00EF5523"/>
    <w:rsid w:val="00F00FD0"/>
    <w:rsid w:val="00F015B4"/>
    <w:rsid w:val="00F02A26"/>
    <w:rsid w:val="00F20BC2"/>
    <w:rsid w:val="00F24F0A"/>
    <w:rsid w:val="00F342E4"/>
    <w:rsid w:val="00F40213"/>
    <w:rsid w:val="00F44613"/>
    <w:rsid w:val="00F574D8"/>
    <w:rsid w:val="00FC53DB"/>
    <w:rsid w:val="00FC63DE"/>
    <w:rsid w:val="00FD279B"/>
    <w:rsid w:val="00FD7B1D"/>
    <w:rsid w:val="00FE6B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ECBB64F-D308-47BF-9364-9043F532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FC53DB"/>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FC53DB"/>
    <w:rPr>
      <w:rFonts w:cs="Times New Roman Bold"/>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E12CDA"/>
    <w:pPr>
      <w:keepNext/>
      <w:tabs>
        <w:tab w:val="clear" w:pos="567"/>
        <w:tab w:val="clear" w:pos="1701"/>
        <w:tab w:val="clear" w:pos="2268"/>
        <w:tab w:val="clear" w:pos="2835"/>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paragraph" w:customStyle="1" w:styleId="OP">
    <w:name w:val="OP"/>
    <w:basedOn w:val="Normal"/>
    <w:next w:val="Normal"/>
    <w:qFormat/>
    <w:rsid w:val="00A865E4"/>
    <w:pPr>
      <w:jc w:val="center"/>
    </w:pPr>
    <w:rPr>
      <w:rFonts w:eastAsiaTheme="minorEastAsia"/>
      <w:b/>
      <w:sz w:val="32"/>
    </w:rPr>
  </w:style>
  <w:style w:type="paragraph" w:customStyle="1" w:styleId="OPtitle">
    <w:name w:val="OP_title"/>
    <w:basedOn w:val="Normal"/>
    <w:next w:val="Normalaftertitle"/>
    <w:qFormat/>
    <w:rsid w:val="00A865E4"/>
    <w:pPr>
      <w:jc w:val="center"/>
    </w:pPr>
    <w:rPr>
      <w:rFonts w:eastAsiaTheme="minorEastAsia"/>
      <w:b/>
    </w:rPr>
  </w:style>
  <w:style w:type="paragraph" w:customStyle="1" w:styleId="VolumeTitle">
    <w:name w:val="VolumeTitle"/>
    <w:basedOn w:val="Normal"/>
    <w:next w:val="Normal"/>
    <w:rsid w:val="002043DD"/>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sz w:val="32"/>
      <w:szCs w:val="32"/>
      <w:lang w:val="en-US" w:eastAsia="zh-CN"/>
    </w:rPr>
  </w:style>
  <w:style w:type="paragraph" w:customStyle="1" w:styleId="Table">
    <w:name w:val="Table_#"/>
    <w:basedOn w:val="Normal"/>
    <w:next w:val="Normal"/>
    <w:rsid w:val="009A0A59"/>
    <w:pPr>
      <w:keepNext/>
      <w:tabs>
        <w:tab w:val="left" w:pos="794"/>
        <w:tab w:val="left" w:pos="1191"/>
        <w:tab w:val="left" w:pos="1588"/>
        <w:tab w:val="left" w:pos="1985"/>
      </w:tabs>
      <w:spacing w:before="560" w:after="120"/>
      <w:jc w:val="center"/>
    </w:pPr>
    <w:rPr>
      <w:rFonts w:eastAsia="Times New Roman"/>
      <w:caps/>
    </w:rPr>
  </w:style>
  <w:style w:type="paragraph" w:styleId="ListParagraph">
    <w:name w:val="List Paragraph"/>
    <w:basedOn w:val="Normal"/>
    <w:uiPriority w:val="34"/>
    <w:qFormat/>
    <w:rsid w:val="009A0A59"/>
    <w:pPr>
      <w:ind w:left="720"/>
      <w:contextualSpacing/>
    </w:pPr>
    <w:rPr>
      <w:rFonts w:eastAsia="Times New Roman"/>
    </w:rPr>
  </w:style>
  <w:style w:type="table" w:styleId="TableGrid">
    <w:name w:val="Table Grid"/>
    <w:basedOn w:val="TableNormal"/>
    <w:rsid w:val="009A0A5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A0A59"/>
  </w:style>
  <w:style w:type="character" w:styleId="Strong">
    <w:name w:val="Strong"/>
    <w:basedOn w:val="DefaultParagraphFont"/>
    <w:uiPriority w:val="22"/>
    <w:qFormat/>
    <w:rsid w:val="003220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7-CL-C-0120/en" TargetMode="External"/><Relationship Id="rId13" Type="http://schemas.openxmlformats.org/officeDocument/2006/relationships/hyperlink" Target="https://www.itu.int/net4/ITU-D/CDS/sg/index.asp?lg=1&amp;sp=2018&amp;stg=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tu.int/en/ITU-T/studygroups/2017-2020/20/Pages/default.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telecomworld.itu.int/Documents/WT18/WT18_Flyer-SME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ITU-T/studygroups/2017-2020/16/Pages/default.aspx" TargetMode="External"/><Relationship Id="rId5" Type="http://schemas.openxmlformats.org/officeDocument/2006/relationships/footnotes" Target="footnotes.xml"/><Relationship Id="rId15" Type="http://schemas.openxmlformats.org/officeDocument/2006/relationships/hyperlink" Target="http://www.cabase.org.ar/?lang=en" TargetMode="External"/><Relationship Id="rId10" Type="http://schemas.openxmlformats.org/officeDocument/2006/relationships/hyperlink" Target="https://www.itu.int/en/ITU-T/about/groups/Pages/sg11.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en/ITU-T/studygroups/2017-2020/05/Pages/default.aspx" TargetMode="External"/><Relationship Id="rId14" Type="http://schemas.openxmlformats.org/officeDocument/2006/relationships/hyperlink" Target="https://www.itu.int/net4/ITU-D/CDS/sg/index.asp?lg=1&amp;sp=2018&amp;stg=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AppData\Roaming\Microsoft\Templates\POOL%20C%20-%20ITU\PC_PP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PC_PP18.dotx</Template>
  <TotalTime>94</TotalTime>
  <Pages>5</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5915</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implementation of an SME pilot project and current participation of SMEs in ITU</dc:title>
  <dc:subject>Plenipotentiary Conference (PP-18)</dc:subject>
  <dc:creator>Yuan, Tianxiang</dc:creator>
  <cp:keywords>PP-18, Plenipotentiary</cp:keywords>
  <cp:lastModifiedBy>Mestrallet, Francoise</cp:lastModifiedBy>
  <cp:revision>7</cp:revision>
  <dcterms:created xsi:type="dcterms:W3CDTF">2018-10-12T13:38:00Z</dcterms:created>
  <dcterms:modified xsi:type="dcterms:W3CDTF">2018-10-18T11:03:00Z</dcterms:modified>
  <cp:category>Conference document</cp:category>
</cp:coreProperties>
</file>