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376668" w:rsidRPr="001100B7" w:rsidTr="003132DF">
        <w:trPr>
          <w:cantSplit/>
          <w:jc w:val="center"/>
        </w:trPr>
        <w:tc>
          <w:tcPr>
            <w:tcW w:w="3308" w:type="pct"/>
          </w:tcPr>
          <w:p w:rsidR="00376668" w:rsidRPr="003D7CBF" w:rsidRDefault="00376668" w:rsidP="00376668">
            <w:pPr>
              <w:spacing w:before="20" w:after="20" w:line="300" w:lineRule="exact"/>
              <w:rPr>
                <w:rFonts w:ascii="Verdana Bold" w:hAnsi="Verdana Bold" w:hint="eastAsia"/>
                <w:b/>
                <w:bCs/>
                <w:rtl/>
                <w:lang w:bidi="ar-EG"/>
              </w:rPr>
            </w:pPr>
            <w:r w:rsidRPr="003D7CBF">
              <w:rPr>
                <w:rFonts w:ascii="Verdana Bold" w:hAnsi="Verdana Bold"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376668" w:rsidRPr="003D7CBF" w:rsidRDefault="00376668" w:rsidP="0037666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D7CBF"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3</w:t>
            </w:r>
            <w:r w:rsidRPr="003D7CBF">
              <w:rPr>
                <w:b/>
                <w:bCs/>
                <w:rtl/>
              </w:rPr>
              <w:br/>
            </w:r>
            <w:r w:rsidRPr="003D7CBF">
              <w:rPr>
                <w:rFonts w:hint="cs"/>
                <w:b/>
                <w:bCs/>
                <w:rtl/>
                <w:lang w:bidi="ar-EG"/>
              </w:rPr>
              <w:t>ل</w:t>
            </w:r>
            <w:r w:rsidRPr="003D7CBF">
              <w:rPr>
                <w:b/>
                <w:bCs/>
                <w:rtl/>
                <w:lang w:bidi="ar-EG"/>
              </w:rPr>
              <w:t>لوثيقة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D7CBF">
              <w:rPr>
                <w:b/>
                <w:bCs/>
                <w:lang w:val="en-GB" w:bidi="ar-SY"/>
              </w:rPr>
              <w:t>50-A</w:t>
            </w:r>
          </w:p>
        </w:tc>
      </w:tr>
      <w:tr w:rsidR="00376668" w:rsidRPr="001100B7" w:rsidTr="003132DF">
        <w:trPr>
          <w:cantSplit/>
          <w:jc w:val="center"/>
        </w:trPr>
        <w:tc>
          <w:tcPr>
            <w:tcW w:w="3308" w:type="pct"/>
          </w:tcPr>
          <w:p w:rsidR="00376668" w:rsidRPr="003D7CBF" w:rsidRDefault="00376668" w:rsidP="00376668">
            <w:pPr>
              <w:spacing w:before="20" w:after="20" w:line="300" w:lineRule="exact"/>
              <w:rPr>
                <w:rFonts w:ascii="Verdana Bold" w:hAnsi="Verdana Bold" w:hint="eastAsia"/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376668" w:rsidRPr="003D7CBF" w:rsidRDefault="00376668" w:rsidP="0037666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Pr="003D7CBF">
              <w:rPr>
                <w:rFonts w:hint="cs"/>
                <w:b/>
                <w:bCs/>
                <w:rtl/>
                <w:lang w:bidi="ar-SY"/>
              </w:rPr>
              <w:t xml:space="preserve"> أكتوبر </w:t>
            </w:r>
            <w:r w:rsidRPr="003D7CBF">
              <w:rPr>
                <w:b/>
                <w:bCs/>
                <w:lang w:val="en-GB" w:bidi="ar-SY"/>
              </w:rPr>
              <w:t>2018</w:t>
            </w:r>
          </w:p>
        </w:tc>
      </w:tr>
      <w:tr w:rsidR="00376668" w:rsidRPr="001100B7" w:rsidTr="003132DF">
        <w:trPr>
          <w:cantSplit/>
          <w:jc w:val="center"/>
        </w:trPr>
        <w:tc>
          <w:tcPr>
            <w:tcW w:w="3308" w:type="pct"/>
          </w:tcPr>
          <w:p w:rsidR="00376668" w:rsidRPr="003D7CBF" w:rsidRDefault="00376668" w:rsidP="00376668">
            <w:pPr>
              <w:spacing w:before="20" w:after="20" w:line="300" w:lineRule="exact"/>
              <w:rPr>
                <w:rFonts w:ascii="Verdana Bold" w:hAnsi="Verdana Bold" w:hint="eastAsia"/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376668" w:rsidRPr="003D7CBF" w:rsidRDefault="00376668" w:rsidP="0037666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D7CBF">
              <w:rPr>
                <w:b/>
                <w:bCs/>
                <w:rtl/>
                <w:lang w:bidi="ar-EG"/>
              </w:rPr>
              <w:t xml:space="preserve">الأصل: </w:t>
            </w:r>
            <w:r w:rsidRPr="003D7CB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376668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376668" w:rsidP="003132D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 xml:space="preserve">(الوضع في </w:t>
            </w:r>
            <w:r>
              <w:rPr>
                <w:w w:val="100"/>
                <w:sz w:val="22"/>
                <w:szCs w:val="30"/>
              </w:rPr>
              <w:t>22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rFonts w:hint="cs"/>
                <w:w w:val="100"/>
                <w:sz w:val="22"/>
                <w:szCs w:val="30"/>
                <w:rtl/>
                <w:lang w:bidi="ar-SY"/>
              </w:rPr>
              <w:t>أكتوبر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376668" w:rsidRPr="00D83B15" w:rsidRDefault="00376668" w:rsidP="00376668">
      <w:pPr>
        <w:pStyle w:val="Headingb"/>
        <w:rPr>
          <w:rtl/>
        </w:rPr>
      </w:pPr>
      <w:r w:rsidRPr="00D83B15">
        <w:rPr>
          <w:rFonts w:hint="cs"/>
          <w:rtl/>
        </w:rPr>
        <w:t>مقدمة</w:t>
      </w:r>
    </w:p>
    <w:p w:rsidR="00376668" w:rsidRPr="00256500" w:rsidRDefault="00376668" w:rsidP="00376668">
      <w:pPr>
        <w:rPr>
          <w:rtl/>
        </w:rPr>
      </w:pPr>
      <w:r w:rsidRPr="00256500">
        <w:rPr>
          <w:rFonts w:hint="cs"/>
          <w:rtl/>
        </w:rPr>
        <w:t xml:space="preserve">ينص </w:t>
      </w:r>
      <w:r>
        <w:rPr>
          <w:rFonts w:hint="cs"/>
          <w:rtl/>
        </w:rPr>
        <w:t>ال</w:t>
      </w:r>
      <w:r w:rsidRPr="00256500">
        <w:rPr>
          <w:rFonts w:hint="cs"/>
          <w:rtl/>
        </w:rPr>
        <w:t xml:space="preserve">دستور (جنيف، </w:t>
      </w:r>
      <w:r w:rsidRPr="00256500">
        <w:t>1992</w:t>
      </w:r>
      <w:r w:rsidRPr="00256500">
        <w:rPr>
          <w:rFonts w:hint="cs"/>
          <w:rtl/>
        </w:rPr>
        <w:t xml:space="preserve">) على أن تفقد الدولة العضو في </w:t>
      </w:r>
      <w:r w:rsidRPr="00F01E2B">
        <w:rPr>
          <w:rFonts w:hint="cs"/>
          <w:rtl/>
        </w:rPr>
        <w:t>الاتحاد</w:t>
      </w:r>
      <w:r w:rsidRPr="00256500">
        <w:rPr>
          <w:rFonts w:hint="cs"/>
          <w:rtl/>
        </w:rPr>
        <w:t xml:space="preserve"> حقها في التصويت في الحالات التالية:</w:t>
      </w:r>
    </w:p>
    <w:p w:rsidR="00376668" w:rsidRPr="00256500" w:rsidRDefault="00376668" w:rsidP="00376668">
      <w:pPr>
        <w:pStyle w:val="enumlev10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376668" w:rsidRPr="00256500" w:rsidRDefault="00376668" w:rsidP="00376668">
      <w:pPr>
        <w:pStyle w:val="enumlev10"/>
        <w:rPr>
          <w:rtl/>
        </w:rPr>
      </w:pPr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376668" w:rsidRPr="00256500" w:rsidRDefault="00376668" w:rsidP="00376668">
      <w:pPr>
        <w:pStyle w:val="enumlev10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hint="cs"/>
          <w:rtl/>
          <w:lang w:val="en-US"/>
        </w:rPr>
        <w:t>، ما دامت</w:t>
      </w:r>
      <w:r w:rsidRPr="00256500">
        <w:rPr>
          <w:rFonts w:hint="cs"/>
          <w:rtl/>
        </w:rPr>
        <w:t xml:space="preserve"> متأخراتها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</w:t>
      </w:r>
      <w:r>
        <w:rPr>
          <w:rFonts w:hint="cs"/>
          <w:rtl/>
        </w:rPr>
        <w:t>بوسان</w:t>
      </w:r>
      <w:r w:rsidRPr="00256500">
        <w:rPr>
          <w:rFonts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376668" w:rsidRPr="00256500" w:rsidRDefault="00376668" w:rsidP="00376668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>
        <w:rPr>
          <w:b/>
          <w:bCs/>
        </w:rPr>
        <w:t>8</w:t>
      </w:r>
      <w:r>
        <w:rPr>
          <w:rFonts w:hint="cs"/>
          <w:b/>
          <w:bCs/>
          <w:rtl/>
        </w:rPr>
        <w:t xml:space="preserve"> دول</w:t>
      </w:r>
      <w:r w:rsidRPr="0025650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أعضاء</w:t>
      </w:r>
      <w:r w:rsidRPr="00256500">
        <w:rPr>
          <w:rFonts w:hint="cs"/>
          <w:b/>
          <w:bCs/>
          <w:rtl/>
        </w:rPr>
        <w:t>)،</w:t>
      </w:r>
      <w:r w:rsidRPr="001D083F">
        <w:rPr>
          <w:rFonts w:hint="cs"/>
          <w:rtl/>
        </w:rPr>
        <w:t xml:space="preserve"> </w:t>
      </w:r>
      <w:r w:rsidRPr="00256500">
        <w:rPr>
          <w:rFonts w:hint="cs"/>
          <w:rtl/>
        </w:rPr>
        <w:t>الحق في التصويت:</w:t>
      </w:r>
    </w:p>
    <w:p w:rsidR="00376668" w:rsidRDefault="00376668" w:rsidP="0037666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376668" w:rsidRPr="002A762A" w:rsidTr="00A206AD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68" w:rsidRPr="002A762A" w:rsidRDefault="00376668" w:rsidP="00376668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68" w:rsidRPr="002A762A" w:rsidRDefault="00376668" w:rsidP="00376668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68" w:rsidRPr="002A762A" w:rsidRDefault="00376668" w:rsidP="00376668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عليها متأخرات 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hint="cs"/>
                <w:b/>
                <w:bCs/>
                <w:rtl/>
              </w:rPr>
              <w:t>في مدفوعاتها للاتحاد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F4F8D" w:rsidP="00376668">
            <w:pPr>
              <w:spacing w:before="60" w:after="60" w:line="300" w:lineRule="exact"/>
            </w:pPr>
            <w:r>
              <w:rPr>
                <w:rFonts w:hint="cs"/>
                <w:rtl/>
              </w:rPr>
              <w:t>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غابون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  <w:rPr>
                <w:lang w:val="fr-FR"/>
              </w:rPr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  <w:rPr>
                <w:lang w:bidi="ar-EG"/>
              </w:rPr>
            </w:pPr>
            <w:r w:rsidRPr="001069D2">
              <w:rPr>
                <w:rFonts w:hint="cs"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376668" w:rsidRPr="002A762A" w:rsidTr="00A206AD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668" w:rsidRPr="001069D2" w:rsidRDefault="00376668" w:rsidP="00376668">
            <w:pPr>
              <w:spacing w:before="60" w:after="60" w:line="300" w:lineRule="exact"/>
              <w:rPr>
                <w:rtl/>
                <w:lang w:bidi="ar-EG"/>
              </w:rPr>
            </w:pPr>
            <w:r w:rsidRPr="001069D2">
              <w:rPr>
                <w:rFonts w:hint="cs"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668" w:rsidRPr="002A762A" w:rsidRDefault="00376668" w:rsidP="00376668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376668" w:rsidRPr="00706D7A" w:rsidRDefault="00376668" w:rsidP="00376668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  <w:bookmarkStart w:id="1" w:name="_GoBack"/>
      <w:bookmarkEnd w:id="1"/>
    </w:p>
    <w:sectPr w:rsidR="00376668" w:rsidRPr="00706D7A" w:rsidSect="001100B7">
      <w:head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68" w:rsidRDefault="00376668" w:rsidP="001100B7">
      <w:pPr>
        <w:spacing w:before="0" w:line="240" w:lineRule="auto"/>
      </w:pPr>
      <w:r>
        <w:separator/>
      </w:r>
    </w:p>
  </w:endnote>
  <w:endnote w:type="continuationSeparator" w:id="0">
    <w:p w:rsidR="00376668" w:rsidRDefault="00376668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68" w:rsidRDefault="00376668" w:rsidP="001100B7">
      <w:pPr>
        <w:spacing w:before="0" w:line="240" w:lineRule="auto"/>
      </w:pPr>
      <w:r>
        <w:separator/>
      </w:r>
    </w:p>
  </w:footnote>
  <w:footnote w:type="continuationSeparator" w:id="0">
    <w:p w:rsidR="00376668" w:rsidRDefault="00376668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376668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55A68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376668">
      <w:rPr>
        <w:rFonts w:cs="Calibri" w:hint="cs"/>
        <w:sz w:val="20"/>
        <w:szCs w:val="20"/>
        <w:rtl/>
        <w:lang w:val="en-GB"/>
      </w:rPr>
      <w:t>50</w:t>
    </w:r>
    <w:r w:rsidR="00376668">
      <w:rPr>
        <w:rFonts w:cstheme="minorBidi"/>
        <w:sz w:val="20"/>
        <w:szCs w:val="20"/>
      </w:rPr>
      <w:t>(Rev.3)</w:t>
    </w:r>
    <w:r w:rsidR="00376668"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68"/>
    <w:rsid w:val="00002571"/>
    <w:rsid w:val="00090574"/>
    <w:rsid w:val="000A0A0E"/>
    <w:rsid w:val="001100B7"/>
    <w:rsid w:val="0023283D"/>
    <w:rsid w:val="002978F4"/>
    <w:rsid w:val="002B028D"/>
    <w:rsid w:val="002E6541"/>
    <w:rsid w:val="003132DF"/>
    <w:rsid w:val="00357185"/>
    <w:rsid w:val="00376668"/>
    <w:rsid w:val="00377EAE"/>
    <w:rsid w:val="003F4F8D"/>
    <w:rsid w:val="003F678F"/>
    <w:rsid w:val="00401C69"/>
    <w:rsid w:val="0042686F"/>
    <w:rsid w:val="00443869"/>
    <w:rsid w:val="00472EDC"/>
    <w:rsid w:val="004813D9"/>
    <w:rsid w:val="004F6A10"/>
    <w:rsid w:val="00501E0E"/>
    <w:rsid w:val="0055516A"/>
    <w:rsid w:val="00561A38"/>
    <w:rsid w:val="005855A4"/>
    <w:rsid w:val="006F63F7"/>
    <w:rsid w:val="00706D7A"/>
    <w:rsid w:val="007304F9"/>
    <w:rsid w:val="00755A68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A97F94"/>
    <w:rsid w:val="00B024F3"/>
    <w:rsid w:val="00B86CA4"/>
    <w:rsid w:val="00BC4430"/>
    <w:rsid w:val="00BE5A22"/>
    <w:rsid w:val="00BF2CE4"/>
    <w:rsid w:val="00C674FE"/>
    <w:rsid w:val="00C75633"/>
    <w:rsid w:val="00CE1FB4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1B53E2-6114-4BF2-930B-FFBA043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37666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376668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87E9-3D6A-4CBB-BB85-DAEACE07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25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/>
  <dc:creator>Tahawi, Hiba</dc:creator>
  <cp:keywords>PP-18, Plenipotentiary</cp:keywords>
  <dc:description/>
  <cp:lastModifiedBy>Botalla, Sabine</cp:lastModifiedBy>
  <cp:revision>5</cp:revision>
  <cp:lastPrinted>2018-10-23T14:35:00Z</cp:lastPrinted>
  <dcterms:created xsi:type="dcterms:W3CDTF">2018-10-23T14:26:00Z</dcterms:created>
  <dcterms:modified xsi:type="dcterms:W3CDTF">2018-10-24T12:42:00Z</dcterms:modified>
</cp:coreProperties>
</file>