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B452D" w:rsidTr="00682B62">
        <w:trPr>
          <w:cantSplit/>
        </w:trPr>
        <w:tc>
          <w:tcPr>
            <w:tcW w:w="6911" w:type="dxa"/>
          </w:tcPr>
          <w:p w:rsidR="00255FA1" w:rsidRPr="006B452D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6B452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6B452D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6B452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6B452D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6B452D">
              <w:rPr>
                <w:rStyle w:val="PageNumber"/>
                <w:b/>
                <w:bCs/>
                <w:szCs w:val="24"/>
              </w:rPr>
              <w:t>Dub</w:t>
            </w:r>
            <w:r w:rsidR="006375E0" w:rsidRPr="006B452D">
              <w:rPr>
                <w:rStyle w:val="PageNumber"/>
                <w:b/>
                <w:bCs/>
                <w:szCs w:val="24"/>
              </w:rPr>
              <w:t>á</w:t>
            </w:r>
            <w:r w:rsidR="00C43474" w:rsidRPr="006B452D">
              <w:rPr>
                <w:rStyle w:val="PageNumber"/>
                <w:b/>
                <w:bCs/>
                <w:szCs w:val="24"/>
              </w:rPr>
              <w:t>i</w:t>
            </w:r>
            <w:r w:rsidRPr="006B452D">
              <w:rPr>
                <w:rStyle w:val="PageNumber"/>
                <w:b/>
                <w:bCs/>
                <w:szCs w:val="24"/>
              </w:rPr>
              <w:t>,</w:t>
            </w:r>
            <w:r w:rsidRPr="006B452D">
              <w:rPr>
                <w:rStyle w:val="PageNumber"/>
                <w:b/>
                <w:szCs w:val="24"/>
              </w:rPr>
              <w:t xml:space="preserve"> 2</w:t>
            </w:r>
            <w:r w:rsidR="00C43474" w:rsidRPr="006B452D">
              <w:rPr>
                <w:rStyle w:val="PageNumber"/>
                <w:b/>
                <w:szCs w:val="24"/>
              </w:rPr>
              <w:t>9</w:t>
            </w:r>
            <w:r w:rsidRPr="006B452D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6B452D">
              <w:rPr>
                <w:rStyle w:val="PageNumber"/>
                <w:b/>
                <w:szCs w:val="24"/>
              </w:rPr>
              <w:t>–</w:t>
            </w:r>
            <w:r w:rsidRPr="006B452D">
              <w:rPr>
                <w:rStyle w:val="PageNumber"/>
                <w:b/>
                <w:szCs w:val="24"/>
              </w:rPr>
              <w:t xml:space="preserve"> </w:t>
            </w:r>
            <w:r w:rsidR="00C43474" w:rsidRPr="006B452D">
              <w:rPr>
                <w:rStyle w:val="PageNumber"/>
                <w:b/>
                <w:szCs w:val="24"/>
              </w:rPr>
              <w:t>16</w:t>
            </w:r>
            <w:r w:rsidRPr="006B452D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6B452D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6B452D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B452D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B452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6B452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6B452D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6B452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6B452D" w:rsidRDefault="00255FA1" w:rsidP="009B275B">
            <w:pPr>
              <w:spacing w:before="0"/>
              <w:jc w:val="both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6B452D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6B452D" w:rsidTr="00682B62">
        <w:trPr>
          <w:cantSplit/>
        </w:trPr>
        <w:tc>
          <w:tcPr>
            <w:tcW w:w="6911" w:type="dxa"/>
          </w:tcPr>
          <w:p w:rsidR="00255FA1" w:rsidRPr="006B452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6B452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6B452D" w:rsidRDefault="00006EAE" w:rsidP="00C30512">
            <w:pPr>
              <w:spacing w:before="0"/>
              <w:rPr>
                <w:rFonts w:cstheme="minorHAnsi"/>
                <w:szCs w:val="24"/>
              </w:rPr>
            </w:pPr>
            <w:r w:rsidRPr="006B452D">
              <w:rPr>
                <w:rFonts w:cstheme="minorHAnsi"/>
                <w:b/>
                <w:szCs w:val="24"/>
              </w:rPr>
              <w:t xml:space="preserve">Documento </w:t>
            </w:r>
            <w:r w:rsidR="00C30512" w:rsidRPr="006B452D">
              <w:rPr>
                <w:rFonts w:cstheme="minorHAnsi"/>
                <w:b/>
                <w:szCs w:val="24"/>
              </w:rPr>
              <w:t>49</w:t>
            </w:r>
            <w:r w:rsidRPr="006B452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6B452D" w:rsidTr="00682B62">
        <w:trPr>
          <w:cantSplit/>
        </w:trPr>
        <w:tc>
          <w:tcPr>
            <w:tcW w:w="6911" w:type="dxa"/>
          </w:tcPr>
          <w:p w:rsidR="00255FA1" w:rsidRPr="006B452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6B452D" w:rsidRDefault="00C30512" w:rsidP="00C30512">
            <w:pPr>
              <w:spacing w:before="0"/>
              <w:rPr>
                <w:rFonts w:cstheme="minorHAnsi"/>
                <w:b/>
                <w:szCs w:val="24"/>
              </w:rPr>
            </w:pPr>
            <w:r w:rsidRPr="006B452D">
              <w:rPr>
                <w:rStyle w:val="PageNumber"/>
                <w:b/>
                <w:szCs w:val="24"/>
              </w:rPr>
              <w:t>24 de agosto de</w:t>
            </w:r>
            <w:r w:rsidR="00006EAE" w:rsidRPr="006B452D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255FA1" w:rsidRPr="006B452D" w:rsidTr="00682B62">
        <w:trPr>
          <w:cantSplit/>
        </w:trPr>
        <w:tc>
          <w:tcPr>
            <w:tcW w:w="6911" w:type="dxa"/>
          </w:tcPr>
          <w:p w:rsidR="00255FA1" w:rsidRPr="006B452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6B452D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6B452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6B452D" w:rsidTr="00682B62">
        <w:trPr>
          <w:cantSplit/>
        </w:trPr>
        <w:tc>
          <w:tcPr>
            <w:tcW w:w="10031" w:type="dxa"/>
            <w:gridSpan w:val="2"/>
          </w:tcPr>
          <w:p w:rsidR="00255FA1" w:rsidRPr="006B452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6B452D" w:rsidTr="00682B62">
        <w:trPr>
          <w:cantSplit/>
        </w:trPr>
        <w:tc>
          <w:tcPr>
            <w:tcW w:w="10031" w:type="dxa"/>
            <w:gridSpan w:val="2"/>
          </w:tcPr>
          <w:p w:rsidR="00255FA1" w:rsidRPr="006B452D" w:rsidRDefault="00C30512" w:rsidP="00E257FB">
            <w:pPr>
              <w:pStyle w:val="Source"/>
            </w:pPr>
            <w:bookmarkStart w:id="4" w:name="dsource" w:colFirst="0" w:colLast="0"/>
            <w:bookmarkEnd w:id="3"/>
            <w:r w:rsidRPr="006B452D">
              <w:t>Not</w:t>
            </w:r>
            <w:r w:rsidR="00E257FB" w:rsidRPr="006B452D">
              <w:t>a</w:t>
            </w:r>
            <w:r w:rsidRPr="006B452D">
              <w:t xml:space="preserve"> </w:t>
            </w:r>
            <w:r w:rsidR="00E257FB" w:rsidRPr="006B452D">
              <w:t>del Secretario General</w:t>
            </w:r>
          </w:p>
        </w:tc>
      </w:tr>
      <w:tr w:rsidR="00255FA1" w:rsidRPr="006B452D" w:rsidTr="00682B62">
        <w:trPr>
          <w:cantSplit/>
        </w:trPr>
        <w:tc>
          <w:tcPr>
            <w:tcW w:w="10031" w:type="dxa"/>
            <w:gridSpan w:val="2"/>
          </w:tcPr>
          <w:p w:rsidR="00255FA1" w:rsidRPr="006B452D" w:rsidRDefault="00E257FB" w:rsidP="00C272BD">
            <w:pPr>
              <w:pStyle w:val="Title1"/>
              <w:spacing w:after="360"/>
            </w:pPr>
            <w:bookmarkStart w:id="5" w:name="dtitle1" w:colFirst="0" w:colLast="0"/>
            <w:bookmarkEnd w:id="4"/>
            <w:r w:rsidRPr="006B452D">
              <w:t>informe sobre los progresos realizados en la aplicación</w:t>
            </w:r>
            <w:r w:rsidR="00C272BD">
              <w:br/>
            </w:r>
            <w:r w:rsidRPr="006B452D">
              <w:t xml:space="preserve">de la resolución </w:t>
            </w:r>
            <w:r w:rsidR="006638EE">
              <w:t xml:space="preserve">131 </w:t>
            </w:r>
            <w:r w:rsidRPr="006B452D">
              <w:t>(REV. BUSáN, 2014) de la pp</w:t>
            </w:r>
            <w:r w:rsidR="00C30512" w:rsidRPr="006B452D">
              <w:t>-14</w:t>
            </w:r>
          </w:p>
        </w:tc>
      </w:tr>
      <w:bookmarkEnd w:id="5"/>
    </w:tbl>
    <w:p w:rsidR="00372E3B" w:rsidRDefault="00372E3B" w:rsidP="008C00C9">
      <w:pPr>
        <w:spacing w:before="0"/>
        <w:rPr>
          <w:b/>
        </w:rPr>
      </w:pPr>
    </w:p>
    <w:tbl>
      <w:tblPr>
        <w:tblStyle w:val="TableGrid"/>
        <w:tblW w:w="8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C30512" w:rsidRPr="006B452D" w:rsidTr="004F1668">
        <w:trPr>
          <w:jc w:val="center"/>
        </w:trPr>
        <w:tc>
          <w:tcPr>
            <w:tcW w:w="8353" w:type="dxa"/>
            <w:vAlign w:val="center"/>
          </w:tcPr>
          <w:p w:rsidR="00C30512" w:rsidRPr="006B452D" w:rsidRDefault="005F5E16" w:rsidP="004F1668">
            <w:pPr>
              <w:pStyle w:val="Headingb"/>
            </w:pPr>
            <w:r w:rsidRPr="006B452D">
              <w:t>Resumen</w:t>
            </w:r>
          </w:p>
          <w:p w:rsidR="00C30512" w:rsidRPr="006B452D" w:rsidRDefault="00C30512" w:rsidP="006638EE">
            <w:r w:rsidRPr="006B452D">
              <w:t xml:space="preserve">La UIT </w:t>
            </w:r>
            <w:r w:rsidR="005F5E16" w:rsidRPr="006B452D">
              <w:t>elabora</w:t>
            </w:r>
            <w:r w:rsidRPr="006B452D">
              <w:t xml:space="preserve"> </w:t>
            </w:r>
            <w:r w:rsidR="007C14D3" w:rsidRPr="006B452D">
              <w:t xml:space="preserve">definiciones, normas y metodologías internacionales para medir la sociedad y la economía de la información en estrecha </w:t>
            </w:r>
            <w:r w:rsidR="006638EE">
              <w:t>colaboración</w:t>
            </w:r>
            <w:r w:rsidR="007C14D3" w:rsidRPr="006B452D">
              <w:t xml:space="preserve"> con otras organizaciones regionales e internacionales y por conducto de sus grupos temáticos de expertos. El presente documento contiene información sobre la aplicación de la Resolución 131 (Rev. Busán, 2014) de la PP-14 sobre </w:t>
            </w:r>
            <w:r w:rsidR="007C14D3" w:rsidRPr="006B452D">
              <w:rPr>
                <w:i/>
                <w:iCs/>
              </w:rPr>
              <w:t>Medición de las tecnologías de la información y la comunicación para la construcción de una sociedad de la información integradora e inclusiva</w:t>
            </w:r>
            <w:r w:rsidR="007C14D3" w:rsidRPr="006B452D">
              <w:t>.</w:t>
            </w:r>
          </w:p>
          <w:p w:rsidR="005F5E16" w:rsidRPr="006B452D" w:rsidRDefault="005F5E16" w:rsidP="005F5E16">
            <w:pPr>
              <w:pStyle w:val="Headingb"/>
            </w:pPr>
            <w:r w:rsidRPr="006B452D">
              <w:t>Acción solicitada</w:t>
            </w:r>
          </w:p>
          <w:p w:rsidR="00C30512" w:rsidRPr="006B452D" w:rsidRDefault="005F5E16" w:rsidP="005F5E16">
            <w:r w:rsidRPr="006B452D">
              <w:rPr>
                <w:rFonts w:asciiTheme="minorHAnsi" w:hAnsiTheme="minorHAnsi"/>
                <w:szCs w:val="24"/>
              </w:rPr>
              <w:t xml:space="preserve">Se invita a la Conferencia de Plenipotenciarios a </w:t>
            </w:r>
            <w:r w:rsidRPr="006B452D">
              <w:t>tomar nota del presente informe.</w:t>
            </w:r>
          </w:p>
          <w:p w:rsidR="00C30512" w:rsidRPr="006B452D" w:rsidRDefault="00C30512" w:rsidP="004F1668">
            <w:pPr>
              <w:pStyle w:val="Table"/>
              <w:keepNext w:val="0"/>
              <w:snapToGrid w:val="0"/>
              <w:spacing w:before="120"/>
              <w:rPr>
                <w:rFonts w:ascii="Calibri" w:hAnsi="Calibri"/>
                <w:caps w:val="0"/>
                <w:sz w:val="22"/>
                <w:lang w:val="es-ES_tradnl"/>
              </w:rPr>
            </w:pPr>
            <w:r w:rsidRPr="006B452D">
              <w:rPr>
                <w:rFonts w:ascii="Calibri" w:hAnsi="Calibri"/>
                <w:caps w:val="0"/>
                <w:sz w:val="22"/>
                <w:lang w:val="es-ES_tradnl"/>
              </w:rPr>
              <w:t>____________</w:t>
            </w:r>
          </w:p>
          <w:p w:rsidR="00C30512" w:rsidRPr="006B452D" w:rsidRDefault="00C30512" w:rsidP="005F5E16">
            <w:pPr>
              <w:pStyle w:val="Headingb"/>
            </w:pPr>
            <w:r w:rsidRPr="006B452D">
              <w:t>Referenc</w:t>
            </w:r>
            <w:r w:rsidR="005F5E16" w:rsidRPr="006B452D">
              <w:t>ia</w:t>
            </w:r>
            <w:r w:rsidRPr="006B452D">
              <w:t>s</w:t>
            </w:r>
          </w:p>
          <w:p w:rsidR="00C30512" w:rsidRPr="006B452D" w:rsidRDefault="00F41C3D" w:rsidP="005F5E16">
            <w:pPr>
              <w:spacing w:after="40"/>
            </w:pPr>
            <w:hyperlink r:id="rId7" w:history="1">
              <w:r w:rsidR="00C30512" w:rsidRPr="006B452D">
                <w:rPr>
                  <w:rStyle w:val="Hyperlink"/>
                </w:rPr>
                <w:t>Resolu</w:t>
              </w:r>
              <w:r w:rsidR="005F5E16" w:rsidRPr="006B452D">
                <w:rPr>
                  <w:rStyle w:val="Hyperlink"/>
                </w:rPr>
                <w:t>ció</w:t>
              </w:r>
              <w:r w:rsidR="00C30512" w:rsidRPr="006B452D">
                <w:rPr>
                  <w:rStyle w:val="Hyperlink"/>
                </w:rPr>
                <w:t>n 131</w:t>
              </w:r>
            </w:hyperlink>
            <w:r w:rsidR="00C30512" w:rsidRPr="006B452D">
              <w:t xml:space="preserve"> (Rev. Bus</w:t>
            </w:r>
            <w:r w:rsidR="005F5E16" w:rsidRPr="006B452D">
              <w:t>á</w:t>
            </w:r>
            <w:r w:rsidR="00C30512" w:rsidRPr="006B452D">
              <w:t xml:space="preserve">n, 2014); </w:t>
            </w:r>
            <w:r w:rsidR="005F5E16" w:rsidRPr="006B452D">
              <w:t>D</w:t>
            </w:r>
            <w:r w:rsidR="00C30512" w:rsidRPr="006B452D">
              <w:t>ocument</w:t>
            </w:r>
            <w:r w:rsidR="005F5E16" w:rsidRPr="006B452D">
              <w:t>o</w:t>
            </w:r>
            <w:r w:rsidR="00C30512" w:rsidRPr="006B452D">
              <w:t xml:space="preserve">s </w:t>
            </w:r>
            <w:hyperlink r:id="rId8" w:history="1">
              <w:r w:rsidR="00C30512" w:rsidRPr="006B452D">
                <w:rPr>
                  <w:rStyle w:val="Hyperlink"/>
                </w:rPr>
                <w:t>C18/96</w:t>
              </w:r>
            </w:hyperlink>
            <w:r w:rsidR="005F5E16" w:rsidRPr="006B452D">
              <w:t xml:space="preserve"> y</w:t>
            </w:r>
            <w:r w:rsidR="00C30512" w:rsidRPr="006B452D">
              <w:t xml:space="preserve"> </w:t>
            </w:r>
            <w:hyperlink r:id="rId9" w:history="1">
              <w:r w:rsidR="00C30512" w:rsidRPr="006B452D">
                <w:rPr>
                  <w:rStyle w:val="Hyperlink"/>
                </w:rPr>
                <w:t>C18/105</w:t>
              </w:r>
            </w:hyperlink>
            <w:r w:rsidR="005F5E16" w:rsidRPr="006B452D">
              <w:rPr>
                <w:rStyle w:val="Hyperlink"/>
                <w:color w:val="auto"/>
                <w:u w:val="none"/>
              </w:rPr>
              <w:t xml:space="preserve"> del Consejo</w:t>
            </w:r>
          </w:p>
        </w:tc>
      </w:tr>
    </w:tbl>
    <w:p w:rsidR="00255FA1" w:rsidRPr="006638EE" w:rsidRDefault="007C14D3" w:rsidP="008C00C9">
      <w:pPr>
        <w:pStyle w:val="Normalaftertitle"/>
      </w:pPr>
      <w:r w:rsidRPr="006638EE">
        <w:t>En el presente informe se detallan las actividades realizadas de conformidad con la Resolución 131 (Rev. Busán, 2014) de la PP-14 durante el pe</w:t>
      </w:r>
      <w:r w:rsidR="008C00C9">
        <w:t>ri</w:t>
      </w:r>
      <w:r w:rsidRPr="006638EE">
        <w:t>odo comprendido entre 2014 y 2018.</w:t>
      </w:r>
    </w:p>
    <w:p w:rsidR="00C30512" w:rsidRPr="009B275B" w:rsidRDefault="005A77DD" w:rsidP="009B275B">
      <w:pPr>
        <w:pStyle w:val="Heading1"/>
        <w:rPr>
          <w:rStyle w:val="PageNumber"/>
        </w:rPr>
      </w:pPr>
      <w:r w:rsidRPr="009B275B">
        <w:rPr>
          <w:rStyle w:val="PageNumber"/>
        </w:rPr>
        <w:t>1</w:t>
      </w:r>
      <w:r w:rsidRPr="009B275B">
        <w:rPr>
          <w:rStyle w:val="PageNumber"/>
        </w:rPr>
        <w:tab/>
        <w:t>Simposio Mundial sobre Indicadores de Telecomunicaciones/TIC</w:t>
      </w:r>
    </w:p>
    <w:p w:rsidR="005A77DD" w:rsidRPr="006638EE" w:rsidRDefault="005A77DD" w:rsidP="00372E3B">
      <w:pPr>
        <w:keepLines/>
        <w:rPr>
          <w:szCs w:val="24"/>
        </w:rPr>
      </w:pPr>
      <w:r w:rsidRPr="006638EE">
        <w:rPr>
          <w:szCs w:val="24"/>
        </w:rPr>
        <w:t xml:space="preserve">El </w:t>
      </w:r>
      <w:r w:rsidR="007C14D3" w:rsidRPr="006638EE">
        <w:rPr>
          <w:szCs w:val="24"/>
        </w:rPr>
        <w:t>Simposio Mundial sobre Indicadores de Telecomunicaciones/TIC (SMIT), principal foro mundial para la medición de las telecomunicaciones y la soci</w:t>
      </w:r>
      <w:r w:rsidR="00190BE0">
        <w:rPr>
          <w:szCs w:val="24"/>
        </w:rPr>
        <w:t>edad de la información, congrega</w:t>
      </w:r>
      <w:r w:rsidR="007C14D3" w:rsidRPr="006638EE">
        <w:rPr>
          <w:szCs w:val="24"/>
        </w:rPr>
        <w:t xml:space="preserve"> a</w:t>
      </w:r>
      <w:r w:rsidRPr="006638EE">
        <w:rPr>
          <w:szCs w:val="24"/>
        </w:rPr>
        <w:t xml:space="preserve"> ministros gubernamentales, dirigentes empresariales, </w:t>
      </w:r>
      <w:r w:rsidR="007C14D3" w:rsidRPr="006638EE">
        <w:rPr>
          <w:szCs w:val="24"/>
        </w:rPr>
        <w:t xml:space="preserve">jefes de organismos </w:t>
      </w:r>
      <w:r w:rsidRPr="006638EE">
        <w:rPr>
          <w:szCs w:val="24"/>
        </w:rPr>
        <w:t xml:space="preserve">reguladores, </w:t>
      </w:r>
      <w:r w:rsidR="007C14D3" w:rsidRPr="006638EE">
        <w:rPr>
          <w:szCs w:val="24"/>
        </w:rPr>
        <w:t>estadistas</w:t>
      </w:r>
      <w:r w:rsidRPr="006638EE">
        <w:rPr>
          <w:szCs w:val="24"/>
        </w:rPr>
        <w:t xml:space="preserve"> nacionales, académicos y productores y analistas de datos sobre TIC de todo el mundo, a fin de examinar cuestiones relacionadas con las tendencias de la sociedad de la información y su medición. </w:t>
      </w:r>
      <w:r w:rsidR="00020E9F" w:rsidRPr="006638EE">
        <w:rPr>
          <w:szCs w:val="24"/>
        </w:rPr>
        <w:t>El SMIT se ha celebrado en las siguientes ocasiones</w:t>
      </w:r>
      <w:r w:rsidRPr="006638EE">
        <w:rPr>
          <w:szCs w:val="24"/>
        </w:rPr>
        <w:t>:</w:t>
      </w:r>
    </w:p>
    <w:p w:rsidR="005A77DD" w:rsidRPr="006638EE" w:rsidRDefault="005A77DD" w:rsidP="008C00C9">
      <w:pPr>
        <w:pStyle w:val="enumlev1"/>
        <w:keepNext/>
        <w:keepLines/>
      </w:pPr>
      <w:r w:rsidRPr="006638EE">
        <w:lastRenderedPageBreak/>
        <w:t>•</w:t>
      </w:r>
      <w:r w:rsidRPr="006638EE">
        <w:tab/>
        <w:t xml:space="preserve">Tbilisi, Georgia, 24-26 </w:t>
      </w:r>
      <w:r w:rsidR="00020E9F" w:rsidRPr="006638EE">
        <w:t>de noviembre de</w:t>
      </w:r>
      <w:r w:rsidRPr="006638EE">
        <w:t xml:space="preserve"> 2014</w:t>
      </w:r>
    </w:p>
    <w:p w:rsidR="005A77DD" w:rsidRPr="006638EE" w:rsidRDefault="00020E9F" w:rsidP="001B6590">
      <w:pPr>
        <w:pStyle w:val="enumlev1"/>
        <w:rPr>
          <w:szCs w:val="24"/>
        </w:rPr>
      </w:pPr>
      <w:r w:rsidRPr="006638EE">
        <w:rPr>
          <w:szCs w:val="24"/>
        </w:rPr>
        <w:t>•</w:t>
      </w:r>
      <w:r w:rsidRPr="006638EE">
        <w:rPr>
          <w:szCs w:val="24"/>
        </w:rPr>
        <w:tab/>
        <w:t>Hiroshima, Japó</w:t>
      </w:r>
      <w:r w:rsidR="005A77DD" w:rsidRPr="006638EE">
        <w:rPr>
          <w:szCs w:val="24"/>
        </w:rPr>
        <w:t xml:space="preserve">n, 30 </w:t>
      </w:r>
      <w:r w:rsidRPr="006638EE">
        <w:rPr>
          <w:szCs w:val="24"/>
        </w:rPr>
        <w:t>de noviembre</w:t>
      </w:r>
      <w:r w:rsidR="00CA44D9">
        <w:rPr>
          <w:szCs w:val="24"/>
        </w:rPr>
        <w:t xml:space="preserve"> </w:t>
      </w:r>
      <w:r w:rsidR="001B6590" w:rsidRPr="001B6590">
        <w:rPr>
          <w:szCs w:val="24"/>
        </w:rPr>
        <w:t>–</w:t>
      </w:r>
      <w:r w:rsidR="00CA44D9">
        <w:rPr>
          <w:szCs w:val="24"/>
        </w:rPr>
        <w:t xml:space="preserve"> </w:t>
      </w:r>
      <w:r w:rsidR="005A77DD" w:rsidRPr="006638EE">
        <w:rPr>
          <w:szCs w:val="24"/>
        </w:rPr>
        <w:t xml:space="preserve">2 </w:t>
      </w:r>
      <w:r w:rsidRPr="006638EE">
        <w:rPr>
          <w:szCs w:val="24"/>
        </w:rPr>
        <w:t>de diciembre de</w:t>
      </w:r>
      <w:r w:rsidR="005A77DD" w:rsidRPr="006638EE">
        <w:rPr>
          <w:szCs w:val="24"/>
        </w:rPr>
        <w:t xml:space="preserve"> 2015</w:t>
      </w:r>
    </w:p>
    <w:p w:rsidR="005A77DD" w:rsidRPr="006638EE" w:rsidRDefault="005A77DD" w:rsidP="00020E9F">
      <w:pPr>
        <w:pStyle w:val="enumlev1"/>
        <w:rPr>
          <w:szCs w:val="24"/>
        </w:rPr>
      </w:pPr>
      <w:r w:rsidRPr="006638EE">
        <w:rPr>
          <w:szCs w:val="24"/>
        </w:rPr>
        <w:t>•</w:t>
      </w:r>
      <w:r w:rsidRPr="006638EE">
        <w:rPr>
          <w:szCs w:val="24"/>
        </w:rPr>
        <w:tab/>
        <w:t xml:space="preserve">Gaborone, Botswana, 21-23 </w:t>
      </w:r>
      <w:r w:rsidR="00020E9F" w:rsidRPr="006638EE">
        <w:rPr>
          <w:szCs w:val="24"/>
        </w:rPr>
        <w:t>de noviembre de</w:t>
      </w:r>
      <w:r w:rsidRPr="006638EE">
        <w:rPr>
          <w:szCs w:val="24"/>
        </w:rPr>
        <w:t xml:space="preserve"> 2016</w:t>
      </w:r>
    </w:p>
    <w:p w:rsidR="005A77DD" w:rsidRPr="006638EE" w:rsidRDefault="005A77DD" w:rsidP="00020E9F">
      <w:pPr>
        <w:pStyle w:val="enumlev1"/>
        <w:rPr>
          <w:szCs w:val="24"/>
        </w:rPr>
      </w:pPr>
      <w:r w:rsidRPr="006638EE">
        <w:rPr>
          <w:szCs w:val="24"/>
        </w:rPr>
        <w:t>•</w:t>
      </w:r>
      <w:r w:rsidRPr="006638EE">
        <w:rPr>
          <w:szCs w:val="24"/>
        </w:rPr>
        <w:tab/>
        <w:t xml:space="preserve">Hammamet, </w:t>
      </w:r>
      <w:r w:rsidR="00020E9F" w:rsidRPr="006638EE">
        <w:rPr>
          <w:szCs w:val="24"/>
        </w:rPr>
        <w:t>Túnez</w:t>
      </w:r>
      <w:r w:rsidRPr="006638EE">
        <w:rPr>
          <w:szCs w:val="24"/>
        </w:rPr>
        <w:t xml:space="preserve">, 14-16 </w:t>
      </w:r>
      <w:r w:rsidR="00020E9F" w:rsidRPr="006638EE">
        <w:rPr>
          <w:szCs w:val="24"/>
        </w:rPr>
        <w:t xml:space="preserve">de noviembre de </w:t>
      </w:r>
      <w:r w:rsidRPr="006638EE">
        <w:rPr>
          <w:szCs w:val="24"/>
        </w:rPr>
        <w:t>2017</w:t>
      </w:r>
      <w:r w:rsidR="009B275B">
        <w:rPr>
          <w:szCs w:val="24"/>
        </w:rPr>
        <w:t>.</w:t>
      </w:r>
    </w:p>
    <w:p w:rsidR="005A77DD" w:rsidRPr="006638EE" w:rsidRDefault="00020E9F" w:rsidP="00020E9F">
      <w:pPr>
        <w:rPr>
          <w:szCs w:val="24"/>
        </w:rPr>
      </w:pPr>
      <w:r w:rsidRPr="006638EE">
        <w:rPr>
          <w:szCs w:val="24"/>
        </w:rPr>
        <w:t>La edición de</w:t>
      </w:r>
      <w:r w:rsidR="005A77DD" w:rsidRPr="006638EE">
        <w:rPr>
          <w:szCs w:val="24"/>
        </w:rPr>
        <w:t xml:space="preserve"> 2018</w:t>
      </w:r>
      <w:r w:rsidRPr="006638EE">
        <w:rPr>
          <w:szCs w:val="24"/>
        </w:rPr>
        <w:t xml:space="preserve"> del SMIT tendrá lugar en Ginebra (Suiza) del </w:t>
      </w:r>
      <w:r w:rsidR="005A77DD" w:rsidRPr="006638EE">
        <w:rPr>
          <w:szCs w:val="24"/>
        </w:rPr>
        <w:t>10</w:t>
      </w:r>
      <w:r w:rsidRPr="006638EE">
        <w:rPr>
          <w:szCs w:val="24"/>
        </w:rPr>
        <w:t xml:space="preserve"> al </w:t>
      </w:r>
      <w:r w:rsidR="005A77DD" w:rsidRPr="006638EE">
        <w:rPr>
          <w:szCs w:val="24"/>
        </w:rPr>
        <w:t xml:space="preserve">12 </w:t>
      </w:r>
      <w:r w:rsidRPr="006638EE">
        <w:rPr>
          <w:szCs w:val="24"/>
        </w:rPr>
        <w:t>de diciembre de</w:t>
      </w:r>
      <w:r w:rsidR="005A77DD" w:rsidRPr="006638EE">
        <w:rPr>
          <w:szCs w:val="24"/>
        </w:rPr>
        <w:t xml:space="preserve"> 2018.</w:t>
      </w:r>
    </w:p>
    <w:p w:rsidR="00C9425F" w:rsidRPr="009F3100" w:rsidRDefault="00C9425F" w:rsidP="009F3100">
      <w:pPr>
        <w:pStyle w:val="Heading1"/>
      </w:pPr>
      <w:r w:rsidRPr="009F3100">
        <w:t>2</w:t>
      </w:r>
      <w:r w:rsidRPr="009F3100">
        <w:tab/>
        <w:t>Grupo</w:t>
      </w:r>
      <w:r w:rsidR="00B714B1" w:rsidRPr="009F3100">
        <w:t>s</w:t>
      </w:r>
      <w:r w:rsidRPr="009F3100">
        <w:t xml:space="preserve"> de Expertos en </w:t>
      </w:r>
      <w:r w:rsidR="006638EE" w:rsidRPr="009F3100">
        <w:t>I</w:t>
      </w:r>
      <w:r w:rsidRPr="009F3100">
        <w:t xml:space="preserve">ndicadores de </w:t>
      </w:r>
      <w:r w:rsidR="006638EE" w:rsidRPr="009F3100">
        <w:t>T</w:t>
      </w:r>
      <w:r w:rsidRPr="009F3100">
        <w:t xml:space="preserve">elecomunicaciones/TIC y en </w:t>
      </w:r>
      <w:r w:rsidR="006638EE" w:rsidRPr="009F3100">
        <w:t>I</w:t>
      </w:r>
      <w:r w:rsidRPr="009F3100">
        <w:t>ndicadores</w:t>
      </w:r>
      <w:r w:rsidR="00485B39" w:rsidRPr="009F3100">
        <w:t xml:space="preserve"> de</w:t>
      </w:r>
      <w:r w:rsidRPr="009F3100">
        <w:t xml:space="preserve"> TIC en el </w:t>
      </w:r>
      <w:r w:rsidR="006638EE" w:rsidRPr="009F3100">
        <w:t>H</w:t>
      </w:r>
      <w:r w:rsidR="009E1020">
        <w:t>ogar</w:t>
      </w:r>
    </w:p>
    <w:p w:rsidR="00C9425F" w:rsidRPr="006638EE" w:rsidRDefault="008448A4" w:rsidP="00485B39">
      <w:pPr>
        <w:rPr>
          <w:szCs w:val="24"/>
        </w:rPr>
      </w:pPr>
      <w:r w:rsidRPr="006638EE">
        <w:rPr>
          <w:szCs w:val="24"/>
        </w:rPr>
        <w:t xml:space="preserve">Los </w:t>
      </w:r>
      <w:r w:rsidR="00B714B1" w:rsidRPr="006638EE">
        <w:rPr>
          <w:szCs w:val="24"/>
        </w:rPr>
        <w:t>G</w:t>
      </w:r>
      <w:r w:rsidRPr="006638EE">
        <w:rPr>
          <w:szCs w:val="24"/>
        </w:rPr>
        <w:t xml:space="preserve">rupos de </w:t>
      </w:r>
      <w:r w:rsidR="00B714B1" w:rsidRPr="006638EE">
        <w:rPr>
          <w:szCs w:val="24"/>
        </w:rPr>
        <w:t>E</w:t>
      </w:r>
      <w:r w:rsidRPr="006638EE">
        <w:rPr>
          <w:szCs w:val="24"/>
        </w:rPr>
        <w:t xml:space="preserve">xpertos </w:t>
      </w:r>
      <w:r w:rsidR="00B714B1" w:rsidRPr="006638EE">
        <w:rPr>
          <w:szCs w:val="24"/>
        </w:rPr>
        <w:t xml:space="preserve">en </w:t>
      </w:r>
      <w:r w:rsidR="006638EE" w:rsidRPr="006638EE">
        <w:rPr>
          <w:szCs w:val="24"/>
        </w:rPr>
        <w:t>I</w:t>
      </w:r>
      <w:r w:rsidR="00B714B1" w:rsidRPr="006638EE">
        <w:rPr>
          <w:szCs w:val="24"/>
        </w:rPr>
        <w:t xml:space="preserve">ndicadores de </w:t>
      </w:r>
      <w:r w:rsidR="006638EE" w:rsidRPr="006638EE">
        <w:rPr>
          <w:szCs w:val="24"/>
        </w:rPr>
        <w:t>T</w:t>
      </w:r>
      <w:r w:rsidR="00B714B1" w:rsidRPr="006638EE">
        <w:rPr>
          <w:szCs w:val="24"/>
        </w:rPr>
        <w:t xml:space="preserve">elecomunicaciones/TIC (GEIT) y en </w:t>
      </w:r>
      <w:r w:rsidR="006638EE" w:rsidRPr="006638EE">
        <w:rPr>
          <w:szCs w:val="24"/>
        </w:rPr>
        <w:t>I</w:t>
      </w:r>
      <w:r w:rsidR="00B714B1" w:rsidRPr="006638EE">
        <w:rPr>
          <w:szCs w:val="24"/>
        </w:rPr>
        <w:t xml:space="preserve">ndicadores </w:t>
      </w:r>
      <w:r w:rsidR="00485B39">
        <w:rPr>
          <w:szCs w:val="24"/>
        </w:rPr>
        <w:t xml:space="preserve">de </w:t>
      </w:r>
      <w:r w:rsidR="00B714B1" w:rsidRPr="006638EE">
        <w:rPr>
          <w:szCs w:val="24"/>
        </w:rPr>
        <w:t xml:space="preserve">TIC en el </w:t>
      </w:r>
      <w:r w:rsidR="006638EE" w:rsidRPr="006638EE">
        <w:rPr>
          <w:szCs w:val="24"/>
        </w:rPr>
        <w:t>H</w:t>
      </w:r>
      <w:r w:rsidR="00B714B1" w:rsidRPr="006638EE">
        <w:rPr>
          <w:szCs w:val="24"/>
        </w:rPr>
        <w:t xml:space="preserve">ogar (GEH) desempeñaron sus funciones </w:t>
      </w:r>
      <w:r w:rsidRPr="006638EE">
        <w:rPr>
          <w:szCs w:val="24"/>
        </w:rPr>
        <w:t xml:space="preserve">a través del foro en línea y </w:t>
      </w:r>
      <w:r w:rsidR="00B714B1" w:rsidRPr="006638EE">
        <w:rPr>
          <w:szCs w:val="24"/>
        </w:rPr>
        <w:t>celebraron reuni</w:t>
      </w:r>
      <w:r w:rsidR="006638EE" w:rsidRPr="006638EE">
        <w:rPr>
          <w:szCs w:val="24"/>
        </w:rPr>
        <w:t>ones</w:t>
      </w:r>
      <w:r w:rsidR="00B714B1" w:rsidRPr="006638EE">
        <w:rPr>
          <w:szCs w:val="24"/>
        </w:rPr>
        <w:t xml:space="preserve"> presencial</w:t>
      </w:r>
      <w:r w:rsidR="006638EE" w:rsidRPr="006638EE">
        <w:rPr>
          <w:szCs w:val="24"/>
        </w:rPr>
        <w:t>es</w:t>
      </w:r>
      <w:r w:rsidR="00B714B1" w:rsidRPr="006638EE">
        <w:rPr>
          <w:szCs w:val="24"/>
        </w:rPr>
        <w:t xml:space="preserve"> </w:t>
      </w:r>
      <w:r w:rsidRPr="006638EE">
        <w:rPr>
          <w:szCs w:val="24"/>
        </w:rPr>
        <w:t>anual</w:t>
      </w:r>
      <w:r w:rsidR="006638EE" w:rsidRPr="006638EE">
        <w:rPr>
          <w:szCs w:val="24"/>
        </w:rPr>
        <w:t>es,</w:t>
      </w:r>
      <w:r w:rsidR="00B714B1" w:rsidRPr="006638EE">
        <w:rPr>
          <w:szCs w:val="24"/>
        </w:rPr>
        <w:t xml:space="preserve"> con objeto de examinar </w:t>
      </w:r>
      <w:r w:rsidRPr="006638EE">
        <w:rPr>
          <w:szCs w:val="24"/>
        </w:rPr>
        <w:t xml:space="preserve">las metodologías y definiciones </w:t>
      </w:r>
      <w:r w:rsidR="00B714B1" w:rsidRPr="006638EE">
        <w:rPr>
          <w:szCs w:val="24"/>
        </w:rPr>
        <w:t>relacionadas con</w:t>
      </w:r>
      <w:r w:rsidRPr="006638EE">
        <w:rPr>
          <w:szCs w:val="24"/>
        </w:rPr>
        <w:t xml:space="preserve"> los indicadores existentes. Los </w:t>
      </w:r>
      <w:r w:rsidR="00B714B1" w:rsidRPr="006638EE">
        <w:rPr>
          <w:szCs w:val="24"/>
        </w:rPr>
        <w:t xml:space="preserve">Grupos de Expertos </w:t>
      </w:r>
      <w:r w:rsidRPr="006638EE">
        <w:rPr>
          <w:szCs w:val="24"/>
        </w:rPr>
        <w:t>introdujeron 14 nuevos indicadores</w:t>
      </w:r>
      <w:r w:rsidR="0012656F">
        <w:rPr>
          <w:szCs w:val="24"/>
        </w:rPr>
        <w:t xml:space="preserve"> de</w:t>
      </w:r>
      <w:r w:rsidRPr="006638EE">
        <w:rPr>
          <w:szCs w:val="24"/>
        </w:rPr>
        <w:t xml:space="preserve"> TIC</w:t>
      </w:r>
      <w:r w:rsidR="006638EE" w:rsidRPr="006638EE">
        <w:rPr>
          <w:szCs w:val="24"/>
        </w:rPr>
        <w:t xml:space="preserve"> en sustitución de</w:t>
      </w:r>
      <w:r w:rsidR="00B714B1" w:rsidRPr="006638EE">
        <w:rPr>
          <w:szCs w:val="24"/>
        </w:rPr>
        <w:t xml:space="preserve"> </w:t>
      </w:r>
      <w:r w:rsidRPr="006638EE">
        <w:rPr>
          <w:szCs w:val="24"/>
        </w:rPr>
        <w:t xml:space="preserve">los 11 indicadores </w:t>
      </w:r>
      <w:r w:rsidR="00B714B1" w:rsidRPr="006638EE">
        <w:rPr>
          <w:szCs w:val="24"/>
        </w:rPr>
        <w:t>utilizados hasta ese momento</w:t>
      </w:r>
      <w:r w:rsidR="006638EE" w:rsidRPr="006638EE">
        <w:rPr>
          <w:szCs w:val="24"/>
        </w:rPr>
        <w:t xml:space="preserve">, </w:t>
      </w:r>
      <w:r w:rsidR="00485B39">
        <w:rPr>
          <w:szCs w:val="24"/>
        </w:rPr>
        <w:t>con miras a</w:t>
      </w:r>
      <w:r w:rsidR="006638EE" w:rsidRPr="006638EE">
        <w:rPr>
          <w:szCs w:val="24"/>
        </w:rPr>
        <w:t xml:space="preserve"> integrar</w:t>
      </w:r>
      <w:r w:rsidR="00B714B1" w:rsidRPr="006638EE">
        <w:rPr>
          <w:szCs w:val="24"/>
        </w:rPr>
        <w:t xml:space="preserve"> las nuevas tendencias tecnológicas.</w:t>
      </w:r>
    </w:p>
    <w:p w:rsidR="00C9425F" w:rsidRPr="009E1020" w:rsidRDefault="00C9425F" w:rsidP="009E1020">
      <w:pPr>
        <w:pStyle w:val="Heading1"/>
      </w:pPr>
      <w:r w:rsidRPr="009E1020">
        <w:t>3</w:t>
      </w:r>
      <w:r w:rsidRPr="009E1020">
        <w:tab/>
      </w:r>
      <w:r w:rsidR="00B22901" w:rsidRPr="009E1020">
        <w:t>Índice de Desarrollo de las TIC</w:t>
      </w:r>
    </w:p>
    <w:p w:rsidR="00B714B1" w:rsidRPr="006638EE" w:rsidRDefault="00B714B1" w:rsidP="00C91E20">
      <w:pPr>
        <w:rPr>
          <w:szCs w:val="24"/>
        </w:rPr>
      </w:pPr>
      <w:r w:rsidRPr="006638EE">
        <w:rPr>
          <w:szCs w:val="24"/>
        </w:rPr>
        <w:t>En la reunión extraordinaria del GEIT/GEH, celebrada del 1 al 3 de marzo de 2017, los expertos revisaron la composición del Índice de Desarrollo de las TIC</w:t>
      </w:r>
      <w:r w:rsidR="00B22901" w:rsidRPr="006638EE">
        <w:rPr>
          <w:szCs w:val="24"/>
        </w:rPr>
        <w:t xml:space="preserve"> (IDT)</w:t>
      </w:r>
      <w:r w:rsidRPr="006638EE">
        <w:rPr>
          <w:szCs w:val="24"/>
        </w:rPr>
        <w:t>, a fin de que las últimas novedades del sector de las TIC quedasen mejor reflejadas. La reunión adoptó una lista revisada de</w:t>
      </w:r>
      <w:r w:rsidR="00C91E20">
        <w:rPr>
          <w:szCs w:val="24"/>
        </w:rPr>
        <w:t> </w:t>
      </w:r>
      <w:r w:rsidRPr="006638EE">
        <w:rPr>
          <w:szCs w:val="24"/>
        </w:rPr>
        <w:t>14 indicadores para s</w:t>
      </w:r>
      <w:r w:rsidR="00B22901" w:rsidRPr="006638EE">
        <w:rPr>
          <w:szCs w:val="24"/>
        </w:rPr>
        <w:t>u inclusión en el IDT,</w:t>
      </w:r>
      <w:r w:rsidRPr="006638EE">
        <w:rPr>
          <w:szCs w:val="24"/>
        </w:rPr>
        <w:t xml:space="preserve"> en </w:t>
      </w:r>
      <w:r w:rsidR="006638EE" w:rsidRPr="006638EE">
        <w:rPr>
          <w:szCs w:val="24"/>
        </w:rPr>
        <w:t>sustitución de</w:t>
      </w:r>
      <w:r w:rsidRPr="006638EE">
        <w:rPr>
          <w:szCs w:val="24"/>
        </w:rPr>
        <w:t xml:space="preserve"> la antigua lista de 11 indicadores.</w:t>
      </w:r>
      <w:r w:rsidR="00B22901" w:rsidRPr="006638EE">
        <w:rPr>
          <w:szCs w:val="24"/>
        </w:rPr>
        <w:t xml:space="preserve"> En ese sentido, se elabor</w:t>
      </w:r>
      <w:r w:rsidRPr="006638EE">
        <w:rPr>
          <w:szCs w:val="24"/>
        </w:rPr>
        <w:t>ó e introdujo una nueva metodología de</w:t>
      </w:r>
      <w:r w:rsidR="00D94CA8">
        <w:rPr>
          <w:szCs w:val="24"/>
        </w:rPr>
        <w:t>l</w:t>
      </w:r>
      <w:r w:rsidRPr="006638EE">
        <w:rPr>
          <w:szCs w:val="24"/>
        </w:rPr>
        <w:t xml:space="preserve"> ID</w:t>
      </w:r>
      <w:r w:rsidR="00B22901" w:rsidRPr="006638EE">
        <w:rPr>
          <w:szCs w:val="24"/>
        </w:rPr>
        <w:t>T</w:t>
      </w:r>
      <w:r w:rsidRPr="006638EE">
        <w:rPr>
          <w:szCs w:val="24"/>
        </w:rPr>
        <w:t xml:space="preserve"> basada en los 14 indicadores</w:t>
      </w:r>
      <w:r w:rsidR="00B22901" w:rsidRPr="006638EE">
        <w:rPr>
          <w:szCs w:val="24"/>
        </w:rPr>
        <w:t xml:space="preserve"> nuevos</w:t>
      </w:r>
      <w:r w:rsidRPr="006638EE">
        <w:rPr>
          <w:szCs w:val="24"/>
        </w:rPr>
        <w:t>.</w:t>
      </w:r>
    </w:p>
    <w:p w:rsidR="00C9425F" w:rsidRPr="009E1020" w:rsidRDefault="00C9425F" w:rsidP="009E1020">
      <w:pPr>
        <w:pStyle w:val="Heading1"/>
      </w:pPr>
      <w:r w:rsidRPr="009E1020">
        <w:t>4</w:t>
      </w:r>
      <w:r w:rsidRPr="009E1020">
        <w:tab/>
        <w:t>Informe</w:t>
      </w:r>
      <w:r w:rsidR="006638EE" w:rsidRPr="009E1020">
        <w:t xml:space="preserve"> sobre la</w:t>
      </w:r>
      <w:r w:rsidRPr="009E1020">
        <w:t xml:space="preserve"> Medición de la Sociedad de la Información</w:t>
      </w:r>
    </w:p>
    <w:p w:rsidR="00C9425F" w:rsidRPr="006638EE" w:rsidRDefault="00B22901" w:rsidP="008D5567">
      <w:r w:rsidRPr="006638EE">
        <w:t xml:space="preserve">La UIT </w:t>
      </w:r>
      <w:r w:rsidR="00D94CA8">
        <w:t>viene publicando</w:t>
      </w:r>
      <w:r w:rsidRPr="006638EE">
        <w:t xml:space="preserve"> e</w:t>
      </w:r>
      <w:r w:rsidR="008448A4" w:rsidRPr="006638EE">
        <w:t xml:space="preserve">l Informe sobre la </w:t>
      </w:r>
      <w:r w:rsidRPr="006638EE">
        <w:t>Medición de la Sociedad de la Información con carácter anual</w:t>
      </w:r>
      <w:r w:rsidR="008448A4" w:rsidRPr="006638EE">
        <w:t xml:space="preserve"> desde 200</w:t>
      </w:r>
      <w:r w:rsidR="006638EE" w:rsidRPr="006638EE">
        <w:t>9</w:t>
      </w:r>
      <w:r w:rsidRPr="006638EE">
        <w:t xml:space="preserve">. Dicha publicación </w:t>
      </w:r>
      <w:r w:rsidR="008448A4" w:rsidRPr="006638EE">
        <w:t>contiene datos clave sobre las TIC y herramientas de evaluación comparativa para medir la sociedad de la información, en</w:t>
      </w:r>
      <w:r w:rsidRPr="006638EE">
        <w:t>t</w:t>
      </w:r>
      <w:r w:rsidR="008D5567">
        <w:t>r</w:t>
      </w:r>
      <w:r w:rsidRPr="006638EE">
        <w:t xml:space="preserve">e las que cabe destacar </w:t>
      </w:r>
      <w:r w:rsidR="008448A4" w:rsidRPr="006638EE">
        <w:t>el</w:t>
      </w:r>
      <w:r w:rsidR="008D5567">
        <w:t> </w:t>
      </w:r>
      <w:r w:rsidR="008448A4" w:rsidRPr="006638EE">
        <w:t>ID</w:t>
      </w:r>
      <w:r w:rsidRPr="006638EE">
        <w:t>T</w:t>
      </w:r>
      <w:r w:rsidR="008448A4" w:rsidRPr="006638EE">
        <w:t xml:space="preserve">. </w:t>
      </w:r>
      <w:r w:rsidRPr="006638EE">
        <w:t xml:space="preserve">Además, comprende </w:t>
      </w:r>
      <w:r w:rsidR="008448A4" w:rsidRPr="006638EE">
        <w:t>un análisis cuantitativo de la sociedad de la información y destaca tendencias nuevas y emergentes y cuestiones</w:t>
      </w:r>
      <w:r w:rsidRPr="006638EE">
        <w:t xml:space="preserve"> relacionadas con la</w:t>
      </w:r>
      <w:r w:rsidR="008448A4" w:rsidRPr="006638EE">
        <w:t xml:space="preserve"> medición.</w:t>
      </w:r>
      <w:r w:rsidRPr="006638EE">
        <w:t xml:space="preserve"> En este </w:t>
      </w:r>
      <w:r w:rsidR="001045F5" w:rsidRPr="006638EE">
        <w:t>informe se incluyen las conclusiones del IDT a escala</w:t>
      </w:r>
      <w:r w:rsidR="008448A4" w:rsidRPr="006638EE">
        <w:t xml:space="preserve"> internacional y regional</w:t>
      </w:r>
      <w:r w:rsidR="001045F5" w:rsidRPr="006638EE">
        <w:t>, con arreglo a las cuales se analizan tendencias y novedades atinentes a la brecha digital.</w:t>
      </w:r>
    </w:p>
    <w:p w:rsidR="00242BD6" w:rsidRPr="006638EE" w:rsidRDefault="001045F5" w:rsidP="00372E3B">
      <w:pPr>
        <w:keepNext/>
        <w:keepLines/>
      </w:pPr>
      <w:r w:rsidRPr="006638EE">
        <w:t>En l</w:t>
      </w:r>
      <w:r w:rsidR="008448A4" w:rsidRPr="006638EE">
        <w:t>a</w:t>
      </w:r>
      <w:r w:rsidRPr="006638EE">
        <w:t xml:space="preserve"> edición de</w:t>
      </w:r>
      <w:r w:rsidR="008448A4" w:rsidRPr="006638EE">
        <w:t xml:space="preserve"> 2017</w:t>
      </w:r>
      <w:r w:rsidRPr="006638EE">
        <w:t xml:space="preserve"> de este informe se incluyeron </w:t>
      </w:r>
      <w:r w:rsidR="008448A4" w:rsidRPr="006638EE">
        <w:t xml:space="preserve">por primera vez perfiles </w:t>
      </w:r>
      <w:r w:rsidR="006638EE" w:rsidRPr="006638EE">
        <w:t xml:space="preserve">individuales </w:t>
      </w:r>
      <w:r w:rsidR="008448A4" w:rsidRPr="006638EE">
        <w:t>de países</w:t>
      </w:r>
      <w:r w:rsidR="006638EE" w:rsidRPr="006638EE">
        <w:t>,</w:t>
      </w:r>
      <w:r w:rsidR="008448A4" w:rsidRPr="006638EE">
        <w:t xml:space="preserve"> que ofrec</w:t>
      </w:r>
      <w:r w:rsidRPr="006638EE">
        <w:t>iero</w:t>
      </w:r>
      <w:r w:rsidR="008448A4" w:rsidRPr="006638EE">
        <w:t xml:space="preserve">n una instantánea del panorama </w:t>
      </w:r>
      <w:r w:rsidRPr="006638EE">
        <w:t xml:space="preserve">más reciente </w:t>
      </w:r>
      <w:r w:rsidR="008448A4" w:rsidRPr="006638EE">
        <w:t xml:space="preserve">de las TIC y de </w:t>
      </w:r>
      <w:r w:rsidRPr="006638EE">
        <w:t>las iniciativas emprendidas a fin de ampliar el acceso, la utilización</w:t>
      </w:r>
      <w:r w:rsidR="00D94CA8">
        <w:t xml:space="preserve"> y</w:t>
      </w:r>
      <w:r w:rsidRPr="006638EE">
        <w:t xml:space="preserve"> l</w:t>
      </w:r>
      <w:r w:rsidR="00D94CA8">
        <w:t>os</w:t>
      </w:r>
      <w:r w:rsidRPr="006638EE">
        <w:t xml:space="preserve"> conocimiento</w:t>
      </w:r>
      <w:r w:rsidR="00D94CA8">
        <w:t>s técnicos relacionados con</w:t>
      </w:r>
      <w:r w:rsidRPr="006638EE">
        <w:t xml:space="preserve"> </w:t>
      </w:r>
      <w:r w:rsidR="006638EE" w:rsidRPr="006638EE">
        <w:t>estas tecnologías</w:t>
      </w:r>
      <w:r w:rsidRPr="006638EE">
        <w:t xml:space="preserve"> en cada país.</w:t>
      </w:r>
    </w:p>
    <w:p w:rsidR="00242BD6" w:rsidRPr="009E1020" w:rsidRDefault="00242BD6" w:rsidP="009E1020">
      <w:pPr>
        <w:pStyle w:val="Heading1"/>
      </w:pPr>
      <w:r w:rsidRPr="009E1020">
        <w:t>5</w:t>
      </w:r>
      <w:r w:rsidRPr="009E1020">
        <w:tab/>
      </w:r>
      <w:r w:rsidR="001045F5" w:rsidRPr="009E1020">
        <w:t>Cooperación internacional</w:t>
      </w:r>
    </w:p>
    <w:p w:rsidR="00242BD6" w:rsidRPr="006638EE" w:rsidRDefault="001045F5" w:rsidP="006638EE">
      <w:pPr>
        <w:rPr>
          <w:szCs w:val="24"/>
        </w:rPr>
      </w:pPr>
      <w:r w:rsidRPr="006638EE">
        <w:rPr>
          <w:szCs w:val="24"/>
        </w:rPr>
        <w:t xml:space="preserve">La UIT ha cooperado activamente con organismos internacionales en cuestiones estadísticas, </w:t>
      </w:r>
      <w:r w:rsidR="006638EE" w:rsidRPr="006638EE">
        <w:rPr>
          <w:szCs w:val="24"/>
        </w:rPr>
        <w:t>especialmente</w:t>
      </w:r>
      <w:r w:rsidRPr="006638EE">
        <w:rPr>
          <w:szCs w:val="24"/>
        </w:rPr>
        <w:t xml:space="preserve"> con la </w:t>
      </w:r>
      <w:r w:rsidR="00025BC5" w:rsidRPr="006638EE">
        <w:rPr>
          <w:szCs w:val="24"/>
        </w:rPr>
        <w:t>Comisión de Estadística de las Naciones Unidas</w:t>
      </w:r>
      <w:r w:rsidRPr="006638EE">
        <w:rPr>
          <w:szCs w:val="24"/>
        </w:rPr>
        <w:t xml:space="preserve">, la </w:t>
      </w:r>
      <w:r w:rsidR="00025BC5" w:rsidRPr="006638EE">
        <w:rPr>
          <w:szCs w:val="24"/>
        </w:rPr>
        <w:t>Comisión sobre la Banda Ancha para el Desarrollo Sostenible</w:t>
      </w:r>
      <w:r w:rsidRPr="006638EE">
        <w:rPr>
          <w:szCs w:val="24"/>
        </w:rPr>
        <w:t xml:space="preserve">, el </w:t>
      </w:r>
      <w:r w:rsidR="00025BC5" w:rsidRPr="006638EE">
        <w:rPr>
          <w:szCs w:val="24"/>
        </w:rPr>
        <w:t>Grupo Interinstitucional y de Expertos sobre los Indicadores de los Objetivos de Desarrollo Sostenible</w:t>
      </w:r>
      <w:r w:rsidRPr="006638EE">
        <w:rPr>
          <w:szCs w:val="24"/>
        </w:rPr>
        <w:t xml:space="preserve">, el Grupo de Trabajo Mundial de las Naciones Unidas </w:t>
      </w:r>
      <w:r w:rsidRPr="006638EE">
        <w:rPr>
          <w:szCs w:val="24"/>
        </w:rPr>
        <w:lastRenderedPageBreak/>
        <w:t xml:space="preserve">sobre </w:t>
      </w:r>
      <w:r w:rsidR="00025BC5" w:rsidRPr="006638EE">
        <w:rPr>
          <w:szCs w:val="24"/>
        </w:rPr>
        <w:t>sobre los macrodatos en las estadísticas oficiales</w:t>
      </w:r>
      <w:r w:rsidRPr="006638EE">
        <w:rPr>
          <w:szCs w:val="24"/>
        </w:rPr>
        <w:t xml:space="preserve">, etc. La UIT mantuvo una función rectora </w:t>
      </w:r>
      <w:r w:rsidR="00025BC5" w:rsidRPr="006638EE">
        <w:rPr>
          <w:szCs w:val="24"/>
        </w:rPr>
        <w:t>en el marco de la Asociación</w:t>
      </w:r>
      <w:r w:rsidR="006638EE" w:rsidRPr="006638EE">
        <w:rPr>
          <w:szCs w:val="24"/>
        </w:rPr>
        <w:t xml:space="preserve"> mundial</w:t>
      </w:r>
      <w:r w:rsidR="00025BC5" w:rsidRPr="006638EE">
        <w:rPr>
          <w:szCs w:val="24"/>
        </w:rPr>
        <w:t xml:space="preserve"> para la Medición de las TIC para el Desarrollo</w:t>
      </w:r>
      <w:r w:rsidRPr="006638EE">
        <w:rPr>
          <w:szCs w:val="24"/>
        </w:rPr>
        <w:t xml:space="preserve"> y sus grupos de tareas pertinentes. </w:t>
      </w:r>
      <w:r w:rsidR="00025BC5" w:rsidRPr="006638EE">
        <w:rPr>
          <w:szCs w:val="24"/>
        </w:rPr>
        <w:t>Dicha</w:t>
      </w:r>
      <w:r w:rsidRPr="006638EE">
        <w:rPr>
          <w:szCs w:val="24"/>
        </w:rPr>
        <w:t xml:space="preserve"> Asociación está compuesta por organismos de las Naciones Unidas.</w:t>
      </w:r>
    </w:p>
    <w:p w:rsidR="00242BD6" w:rsidRPr="005B5ED0" w:rsidRDefault="00242BD6" w:rsidP="005B5ED0">
      <w:pPr>
        <w:pStyle w:val="Heading1"/>
      </w:pPr>
      <w:r w:rsidRPr="005B5ED0">
        <w:t>6</w:t>
      </w:r>
      <w:r w:rsidRPr="005B5ED0">
        <w:tab/>
      </w:r>
      <w:r w:rsidR="001045F5" w:rsidRPr="005B5ED0">
        <w:t>Creación de capacidad</w:t>
      </w:r>
    </w:p>
    <w:p w:rsidR="00242BD6" w:rsidRPr="006638EE" w:rsidRDefault="00025BC5" w:rsidP="006638EE">
      <w:pPr>
        <w:rPr>
          <w:szCs w:val="24"/>
        </w:rPr>
      </w:pPr>
      <w:r w:rsidRPr="006638EE">
        <w:rPr>
          <w:szCs w:val="24"/>
        </w:rPr>
        <w:t xml:space="preserve">La UIT </w:t>
      </w:r>
      <w:r w:rsidR="005C31A5" w:rsidRPr="006638EE">
        <w:rPr>
          <w:szCs w:val="24"/>
        </w:rPr>
        <w:t>ofreció cursos de capacitación</w:t>
      </w:r>
      <w:r w:rsidRPr="006638EE">
        <w:rPr>
          <w:szCs w:val="24"/>
        </w:rPr>
        <w:t xml:space="preserve"> y asistencia técnica a los Estados Miembros en</w:t>
      </w:r>
      <w:r w:rsidR="005C31A5" w:rsidRPr="006638EE">
        <w:rPr>
          <w:szCs w:val="24"/>
        </w:rPr>
        <w:t xml:space="preserve"> materia de </w:t>
      </w:r>
      <w:r w:rsidRPr="006638EE">
        <w:rPr>
          <w:szCs w:val="24"/>
        </w:rPr>
        <w:t>recopilación de estadísticas de telecomunicaciones/TIC</w:t>
      </w:r>
      <w:r w:rsidR="006638EE">
        <w:rPr>
          <w:szCs w:val="24"/>
        </w:rPr>
        <w:t xml:space="preserve"> a través</w:t>
      </w:r>
      <w:r w:rsidR="005C31A5" w:rsidRPr="006638EE">
        <w:rPr>
          <w:szCs w:val="24"/>
        </w:rPr>
        <w:t xml:space="preserve"> de talleres formativos</w:t>
      </w:r>
      <w:r w:rsidR="006638EE">
        <w:rPr>
          <w:szCs w:val="24"/>
        </w:rPr>
        <w:t>,</w:t>
      </w:r>
      <w:r w:rsidRPr="006638EE">
        <w:rPr>
          <w:szCs w:val="24"/>
        </w:rPr>
        <w:t xml:space="preserve"> </w:t>
      </w:r>
      <w:r w:rsidR="005C31A5" w:rsidRPr="006638EE">
        <w:rPr>
          <w:szCs w:val="24"/>
        </w:rPr>
        <w:t xml:space="preserve">guías y </w:t>
      </w:r>
      <w:r w:rsidRPr="006638EE">
        <w:rPr>
          <w:szCs w:val="24"/>
        </w:rPr>
        <w:t xml:space="preserve">manuales metodológicos. En el periodo </w:t>
      </w:r>
      <w:r w:rsidR="005C31A5" w:rsidRPr="006638EE">
        <w:rPr>
          <w:szCs w:val="24"/>
        </w:rPr>
        <w:t xml:space="preserve">comprendido entre </w:t>
      </w:r>
      <w:r w:rsidRPr="006638EE">
        <w:rPr>
          <w:szCs w:val="24"/>
        </w:rPr>
        <w:t>2014</w:t>
      </w:r>
      <w:r w:rsidR="005C31A5" w:rsidRPr="006638EE">
        <w:rPr>
          <w:szCs w:val="24"/>
        </w:rPr>
        <w:t xml:space="preserve"> y </w:t>
      </w:r>
      <w:r w:rsidRPr="006638EE">
        <w:rPr>
          <w:szCs w:val="24"/>
        </w:rPr>
        <w:t>2018, la UIT celebró 12 taller</w:t>
      </w:r>
      <w:r w:rsidR="005C31A5" w:rsidRPr="006638EE">
        <w:rPr>
          <w:szCs w:val="24"/>
        </w:rPr>
        <w:t xml:space="preserve">es </w:t>
      </w:r>
      <w:r w:rsidRPr="006638EE">
        <w:rPr>
          <w:szCs w:val="24"/>
        </w:rPr>
        <w:t xml:space="preserve">regionales y ocho </w:t>
      </w:r>
      <w:r w:rsidR="005C31A5" w:rsidRPr="006638EE">
        <w:rPr>
          <w:szCs w:val="24"/>
        </w:rPr>
        <w:t xml:space="preserve">talleres </w:t>
      </w:r>
      <w:r w:rsidRPr="006638EE">
        <w:rPr>
          <w:szCs w:val="24"/>
        </w:rPr>
        <w:t xml:space="preserve">nacionales. </w:t>
      </w:r>
    </w:p>
    <w:p w:rsidR="00242BD6" w:rsidRPr="005B5ED0" w:rsidRDefault="00242BD6" w:rsidP="005B5ED0">
      <w:pPr>
        <w:pStyle w:val="Heading1"/>
      </w:pPr>
      <w:r w:rsidRPr="005B5ED0">
        <w:t>7</w:t>
      </w:r>
      <w:r w:rsidRPr="005B5ED0">
        <w:tab/>
      </w:r>
      <w:r w:rsidR="00025BC5" w:rsidRPr="005B5ED0">
        <w:t>Recopilación y difusión de datos</w:t>
      </w:r>
    </w:p>
    <w:p w:rsidR="00242BD6" w:rsidRPr="006638EE" w:rsidRDefault="00025BC5" w:rsidP="006638EE">
      <w:pPr>
        <w:rPr>
          <w:szCs w:val="24"/>
        </w:rPr>
      </w:pPr>
      <w:r w:rsidRPr="006638EE">
        <w:rPr>
          <w:szCs w:val="24"/>
        </w:rPr>
        <w:t xml:space="preserve">La UIT recopiló, armonizó y difundió datos y estadísticas oficiales en el ámbito de las telecomunicaciones/TIC. </w:t>
      </w:r>
      <w:r w:rsidR="005C31A5" w:rsidRPr="006638EE">
        <w:rPr>
          <w:szCs w:val="24"/>
        </w:rPr>
        <w:t>A tal efecto</w:t>
      </w:r>
      <w:r w:rsidRPr="006638EE">
        <w:rPr>
          <w:szCs w:val="24"/>
        </w:rPr>
        <w:t xml:space="preserve">, utilizó diversas fuentes de datos y herramientas de difusión, </w:t>
      </w:r>
      <w:r w:rsidR="005C31A5" w:rsidRPr="006638EE">
        <w:rPr>
          <w:szCs w:val="24"/>
        </w:rPr>
        <w:t xml:space="preserve">entre ellas, </w:t>
      </w:r>
      <w:r w:rsidRPr="006638EE">
        <w:rPr>
          <w:szCs w:val="24"/>
        </w:rPr>
        <w:t xml:space="preserve">la base de datos de la UIT sobre </w:t>
      </w:r>
      <w:r w:rsidR="005C31A5" w:rsidRPr="006638EE">
        <w:rPr>
          <w:szCs w:val="24"/>
        </w:rPr>
        <w:t>indicadores mundiales de telecomunicaciones/TIC</w:t>
      </w:r>
      <w:r w:rsidRPr="006638EE">
        <w:rPr>
          <w:szCs w:val="24"/>
        </w:rPr>
        <w:t xml:space="preserve">, el portal en línea </w:t>
      </w:r>
      <w:r w:rsidRPr="006638EE">
        <w:rPr>
          <w:i/>
          <w:iCs/>
          <w:szCs w:val="24"/>
        </w:rPr>
        <w:t>ICT Eye</w:t>
      </w:r>
      <w:r w:rsidRPr="006638EE">
        <w:rPr>
          <w:szCs w:val="24"/>
        </w:rPr>
        <w:t xml:space="preserve"> de la UIT, el </w:t>
      </w:r>
      <w:r w:rsidR="005C31A5" w:rsidRPr="006638EE">
        <w:rPr>
          <w:szCs w:val="24"/>
        </w:rPr>
        <w:t>anuario estadístico</w:t>
      </w:r>
      <w:r w:rsidRPr="006638EE">
        <w:rPr>
          <w:szCs w:val="24"/>
        </w:rPr>
        <w:t>, la publicación conjunta de la U</w:t>
      </w:r>
      <w:r w:rsidR="005C31A5" w:rsidRPr="006638EE">
        <w:rPr>
          <w:szCs w:val="24"/>
        </w:rPr>
        <w:t xml:space="preserve">IT y el Banco Mundial </w:t>
      </w:r>
      <w:r w:rsidR="005C31A5" w:rsidRPr="006638EE">
        <w:rPr>
          <w:i/>
          <w:iCs/>
          <w:szCs w:val="24"/>
        </w:rPr>
        <w:t>The Little Data Book on Information and Communication Technology</w:t>
      </w:r>
      <w:r w:rsidR="005C31A5" w:rsidRPr="006638EE">
        <w:rPr>
          <w:szCs w:val="24"/>
        </w:rPr>
        <w:t xml:space="preserve"> </w:t>
      </w:r>
      <w:r w:rsidRPr="006638EE">
        <w:rPr>
          <w:szCs w:val="24"/>
        </w:rPr>
        <w:t>y la página web de estadísticas de la UIT.</w:t>
      </w:r>
    </w:p>
    <w:p w:rsidR="00242BD6" w:rsidRPr="00372E3B" w:rsidRDefault="00242BD6" w:rsidP="00372E3B">
      <w:pPr>
        <w:pStyle w:val="Heading1"/>
      </w:pPr>
      <w:r w:rsidRPr="00372E3B">
        <w:t>8</w:t>
      </w:r>
      <w:r w:rsidRPr="00372E3B">
        <w:tab/>
      </w:r>
      <w:r w:rsidR="00A123BC" w:rsidRPr="00372E3B">
        <w:t xml:space="preserve">Evaluación de los trabajos y recursos de la UIT </w:t>
      </w:r>
      <w:r w:rsidR="006638EE" w:rsidRPr="00372E3B">
        <w:t>en materia</w:t>
      </w:r>
      <w:r w:rsidR="00A123BC" w:rsidRPr="00372E3B">
        <w:t xml:space="preserve"> estadística</w:t>
      </w:r>
    </w:p>
    <w:p w:rsidR="00242BD6" w:rsidRPr="006638EE" w:rsidRDefault="00242BD6" w:rsidP="00AD27BB">
      <w:pPr>
        <w:rPr>
          <w:szCs w:val="24"/>
        </w:rPr>
      </w:pPr>
      <w:r w:rsidRPr="006638EE">
        <w:rPr>
          <w:szCs w:val="24"/>
        </w:rPr>
        <w:t>8.1</w:t>
      </w:r>
      <w:r w:rsidRPr="006638EE">
        <w:rPr>
          <w:szCs w:val="24"/>
        </w:rPr>
        <w:tab/>
      </w:r>
      <w:r w:rsidR="00981E4F" w:rsidRPr="006638EE">
        <w:rPr>
          <w:szCs w:val="24"/>
        </w:rPr>
        <w:t>En la reunión de 2018 del Consejo, la República Federativa del Brasil consideró que la Secretaría de la UIT "debería</w:t>
      </w:r>
      <w:r w:rsidRPr="006638EE">
        <w:rPr>
          <w:szCs w:val="24"/>
        </w:rPr>
        <w:t xml:space="preserve"> examinar qué recursos humanos y financieros se necesitan para mejorar las capacidades de la Unión en la recopilación, producción y publicación de datos, información, estadísticas e informes significativos y debería asesorar a la PP-18 sobre las enmiendas necesarias al Plan Financiero de la UIT para 2020-2023" (</w:t>
      </w:r>
      <w:r w:rsidR="00981E4F" w:rsidRPr="006638EE">
        <w:rPr>
          <w:szCs w:val="24"/>
        </w:rPr>
        <w:t>véase el</w:t>
      </w:r>
      <w:r w:rsidRPr="006638EE">
        <w:rPr>
          <w:szCs w:val="24"/>
        </w:rPr>
        <w:t xml:space="preserve"> </w:t>
      </w:r>
      <w:r w:rsidR="008D5567">
        <w:rPr>
          <w:szCs w:val="24"/>
        </w:rPr>
        <w:t>D</w:t>
      </w:r>
      <w:r w:rsidRPr="006638EE">
        <w:rPr>
          <w:szCs w:val="24"/>
        </w:rPr>
        <w:t>ocument</w:t>
      </w:r>
      <w:r w:rsidR="00981E4F" w:rsidRPr="006638EE">
        <w:rPr>
          <w:szCs w:val="24"/>
        </w:rPr>
        <w:t>o</w:t>
      </w:r>
      <w:r w:rsidR="00AD27BB">
        <w:rPr>
          <w:szCs w:val="24"/>
        </w:rPr>
        <w:t> </w:t>
      </w:r>
      <w:hyperlink r:id="rId10" w:history="1">
        <w:r w:rsidRPr="006638EE">
          <w:rPr>
            <w:rStyle w:val="Hyperlink"/>
            <w:szCs w:val="24"/>
          </w:rPr>
          <w:t>C18/96</w:t>
        </w:r>
      </w:hyperlink>
      <w:r w:rsidR="00981E4F" w:rsidRPr="006638EE">
        <w:rPr>
          <w:szCs w:val="24"/>
        </w:rPr>
        <w:t xml:space="preserve"> del Consejo)</w:t>
      </w:r>
      <w:r w:rsidRPr="006638EE">
        <w:rPr>
          <w:szCs w:val="24"/>
        </w:rPr>
        <w:t>.</w:t>
      </w:r>
    </w:p>
    <w:p w:rsidR="00242BD6" w:rsidRPr="006638EE" w:rsidRDefault="00242BD6" w:rsidP="00981E4F">
      <w:pPr>
        <w:rPr>
          <w:szCs w:val="24"/>
        </w:rPr>
      </w:pPr>
      <w:r w:rsidRPr="006638EE">
        <w:rPr>
          <w:szCs w:val="24"/>
        </w:rPr>
        <w:t>8.2</w:t>
      </w:r>
      <w:r w:rsidRPr="006638EE">
        <w:rPr>
          <w:szCs w:val="24"/>
        </w:rPr>
        <w:tab/>
      </w:r>
      <w:r w:rsidR="00981E4F" w:rsidRPr="006638EE">
        <w:rPr>
          <w:szCs w:val="24"/>
        </w:rPr>
        <w:t>El Consejo apoyó la propuesta en virtud de la cual</w:t>
      </w:r>
      <w:r w:rsidRPr="006638EE">
        <w:rPr>
          <w:szCs w:val="24"/>
        </w:rPr>
        <w:t xml:space="preserve"> la UIT debía, lo antes posible:</w:t>
      </w:r>
    </w:p>
    <w:p w:rsidR="00242BD6" w:rsidRPr="00372E3B" w:rsidRDefault="00242BD6" w:rsidP="00372E3B">
      <w:pPr>
        <w:pStyle w:val="enumlev1"/>
      </w:pPr>
      <w:r w:rsidRPr="006638EE">
        <w:t>•</w:t>
      </w:r>
      <w:r w:rsidRPr="006638EE">
        <w:tab/>
        <w:t xml:space="preserve">publicar todos los datos, clasificaciones, referencias y estudios sobre </w:t>
      </w:r>
      <w:r w:rsidR="00F76F14" w:rsidRPr="006638EE">
        <w:t>la Cesta de Precios de las TIC (</w:t>
      </w:r>
      <w:r w:rsidR="00F76F14" w:rsidRPr="00372E3B">
        <w:t xml:space="preserve">IPB) </w:t>
      </w:r>
      <w:r w:rsidRPr="00372E3B">
        <w:t xml:space="preserve">y </w:t>
      </w:r>
      <w:r w:rsidR="00F76F14" w:rsidRPr="00372E3B">
        <w:t xml:space="preserve">la </w:t>
      </w:r>
      <w:r w:rsidRPr="00372E3B">
        <w:t xml:space="preserve">asequibilidad para </w:t>
      </w:r>
      <w:r w:rsidR="00981E4F" w:rsidRPr="00372E3B">
        <w:t>la edición de 2017 del Informe sobre la Medición de la Sociedad de la Información,</w:t>
      </w:r>
      <w:r w:rsidRPr="00372E3B">
        <w:t xml:space="preserve"> </w:t>
      </w:r>
      <w:r w:rsidR="006638EE" w:rsidRPr="00372E3B">
        <w:t xml:space="preserve">tal </w:t>
      </w:r>
      <w:r w:rsidR="00D94CA8" w:rsidRPr="00372E3B">
        <w:t xml:space="preserve">y </w:t>
      </w:r>
      <w:r w:rsidRPr="00372E3B">
        <w:t xml:space="preserve">como hizo para </w:t>
      </w:r>
      <w:r w:rsidR="00981E4F" w:rsidRPr="00372E3B">
        <w:t>su edición de</w:t>
      </w:r>
      <w:r w:rsidRPr="00372E3B">
        <w:t xml:space="preserve"> 2016;</w:t>
      </w:r>
    </w:p>
    <w:p w:rsidR="00242BD6" w:rsidRPr="00372E3B" w:rsidRDefault="00242BD6" w:rsidP="00372E3B">
      <w:pPr>
        <w:pStyle w:val="enumlev1"/>
      </w:pPr>
      <w:r w:rsidRPr="00372E3B">
        <w:t>•</w:t>
      </w:r>
      <w:r w:rsidRPr="00372E3B">
        <w:tab/>
        <w:t xml:space="preserve">publicar una página web en la que se explique la metodología </w:t>
      </w:r>
      <w:r w:rsidR="00F76F14" w:rsidRPr="00372E3B">
        <w:t xml:space="preserve">de la </w:t>
      </w:r>
      <w:r w:rsidRPr="00372E3B">
        <w:t>IPB;</w:t>
      </w:r>
    </w:p>
    <w:p w:rsidR="00242BD6" w:rsidRPr="006638EE" w:rsidRDefault="00242BD6" w:rsidP="00372E3B">
      <w:pPr>
        <w:pStyle w:val="enumlev1"/>
      </w:pPr>
      <w:r w:rsidRPr="00372E3B">
        <w:t>•</w:t>
      </w:r>
      <w:r w:rsidRPr="00372E3B">
        <w:tab/>
        <w:t>mejorar la</w:t>
      </w:r>
      <w:r w:rsidRPr="006638EE">
        <w:t xml:space="preserve"> herramienta de visualización de datos, publicar todos los datos recopilados en cada </w:t>
      </w:r>
      <w:r w:rsidR="00A123BC" w:rsidRPr="006638EE">
        <w:t>info</w:t>
      </w:r>
      <w:r w:rsidR="00F76F14" w:rsidRPr="006638EE">
        <w:t>rme sobre la Medición de la Sociedad de la Información</w:t>
      </w:r>
      <w:r w:rsidR="00A123BC" w:rsidRPr="006638EE">
        <w:t xml:space="preserve"> </w:t>
      </w:r>
      <w:r w:rsidRPr="006638EE">
        <w:t>y permitir la comparación en el tiempo.</w:t>
      </w:r>
    </w:p>
    <w:p w:rsidR="00B710BB" w:rsidRDefault="00242BD6" w:rsidP="00D94CA8">
      <w:pPr>
        <w:spacing w:after="120"/>
        <w:rPr>
          <w:szCs w:val="24"/>
        </w:rPr>
      </w:pPr>
      <w:r w:rsidRPr="006638EE">
        <w:rPr>
          <w:szCs w:val="24"/>
        </w:rPr>
        <w:t>8.3</w:t>
      </w:r>
      <w:r w:rsidRPr="006638EE">
        <w:rPr>
          <w:szCs w:val="24"/>
        </w:rPr>
        <w:tab/>
      </w:r>
      <w:r w:rsidR="00F76F14" w:rsidRPr="006638EE">
        <w:rPr>
          <w:szCs w:val="24"/>
        </w:rPr>
        <w:t>La labor de la UIT en materia de estadísticas e indicadores de las TIC se compara a menudo con la de otras organizaciones internacionales</w:t>
      </w:r>
      <w:r w:rsidR="006638EE">
        <w:rPr>
          <w:szCs w:val="24"/>
        </w:rPr>
        <w:t>, no obstante</w:t>
      </w:r>
      <w:r w:rsidR="00F76F14" w:rsidRPr="006638EE">
        <w:rPr>
          <w:szCs w:val="24"/>
        </w:rPr>
        <w:t xml:space="preserve">, los recursos asignados por </w:t>
      </w:r>
      <w:r w:rsidR="00F91E72">
        <w:rPr>
          <w:szCs w:val="24"/>
        </w:rPr>
        <w:t>dich</w:t>
      </w:r>
      <w:r w:rsidR="00F76F14" w:rsidRPr="006638EE">
        <w:rPr>
          <w:szCs w:val="24"/>
        </w:rPr>
        <w:t xml:space="preserve">as organizaciones difieren de los disponibles en la UIT para actividades </w:t>
      </w:r>
      <w:r w:rsidR="00D94CA8">
        <w:rPr>
          <w:szCs w:val="24"/>
        </w:rPr>
        <w:t>análogas</w:t>
      </w:r>
      <w:r w:rsidR="00F76F14" w:rsidRPr="006638EE">
        <w:rPr>
          <w:szCs w:val="24"/>
        </w:rPr>
        <w:t>.  A continuación se detallan, a título informativo, los recursos humanos asignados a las actividades estadísticas en</w:t>
      </w:r>
      <w:r w:rsidR="00F91E72">
        <w:rPr>
          <w:szCs w:val="24"/>
        </w:rPr>
        <w:t xml:space="preserve"> el marco de</w:t>
      </w:r>
      <w:r w:rsidR="00F76F14" w:rsidRPr="006638EE">
        <w:rPr>
          <w:szCs w:val="24"/>
        </w:rPr>
        <w:t xml:space="preserve"> otras organizaciones internacionales y </w:t>
      </w:r>
      <w:r w:rsidR="00F91E72">
        <w:rPr>
          <w:szCs w:val="24"/>
        </w:rPr>
        <w:t>de</w:t>
      </w:r>
      <w:r w:rsidR="00F76F14" w:rsidRPr="006638EE">
        <w:rPr>
          <w:szCs w:val="24"/>
        </w:rPr>
        <w:t xml:space="preserve"> la UIT:</w:t>
      </w:r>
    </w:p>
    <w:p w:rsidR="00B710BB" w:rsidRDefault="00B710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8"/>
      </w:tblGrid>
      <w:tr w:rsidR="005E24FB" w:rsidRPr="006638EE" w:rsidTr="009044A9">
        <w:tc>
          <w:tcPr>
            <w:tcW w:w="4817" w:type="dxa"/>
            <w:vAlign w:val="center"/>
          </w:tcPr>
          <w:p w:rsidR="005E24FB" w:rsidRPr="006638EE" w:rsidRDefault="009F3100" w:rsidP="00C91E20">
            <w:pPr>
              <w:pStyle w:val="Tabletitle"/>
              <w:spacing w:after="0"/>
              <w:rPr>
                <w:szCs w:val="24"/>
                <w:lang w:eastAsia="zh-CN"/>
              </w:rPr>
            </w:pPr>
            <w:r>
              <w:rPr>
                <w:szCs w:val="24"/>
              </w:rPr>
              <w:lastRenderedPageBreak/>
              <w:br w:type="page"/>
            </w:r>
            <w:r w:rsidR="005E24FB" w:rsidRPr="006638EE">
              <w:rPr>
                <w:szCs w:val="24"/>
                <w:lang w:eastAsia="zh-CN"/>
              </w:rPr>
              <w:t>Organiza</w:t>
            </w:r>
            <w:r w:rsidR="00B47CCF" w:rsidRPr="006638EE">
              <w:rPr>
                <w:szCs w:val="24"/>
                <w:lang w:eastAsia="zh-CN"/>
              </w:rPr>
              <w:t>ción</w:t>
            </w:r>
          </w:p>
        </w:tc>
        <w:tc>
          <w:tcPr>
            <w:tcW w:w="4818" w:type="dxa"/>
            <w:vAlign w:val="center"/>
          </w:tcPr>
          <w:p w:rsidR="005E24FB" w:rsidRPr="006638EE" w:rsidRDefault="00D94CA8" w:rsidP="00C91E20">
            <w:pPr>
              <w:pStyle w:val="Tabletitle"/>
              <w:spacing w:after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Miembros del personal encargados</w:t>
            </w:r>
            <w:r w:rsidR="00F91E72">
              <w:rPr>
                <w:szCs w:val="24"/>
                <w:lang w:eastAsia="zh-CN"/>
              </w:rPr>
              <w:t xml:space="preserve"> de</w:t>
            </w:r>
            <w:r w:rsidR="00B47CCF" w:rsidRPr="006638EE">
              <w:rPr>
                <w:szCs w:val="24"/>
                <w:lang w:eastAsia="zh-CN"/>
              </w:rPr>
              <w:t xml:space="preserve"> actividades estadísticas</w:t>
            </w:r>
          </w:p>
        </w:tc>
      </w:tr>
      <w:tr w:rsidR="005E24FB" w:rsidRPr="006638EE" w:rsidTr="005E24FB">
        <w:tc>
          <w:tcPr>
            <w:tcW w:w="4817" w:type="dxa"/>
          </w:tcPr>
          <w:p w:rsidR="005E24FB" w:rsidRPr="006638EE" w:rsidRDefault="005E24FB" w:rsidP="005E24FB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>Fondo Monetario Internacional (FMI)</w:t>
            </w:r>
          </w:p>
        </w:tc>
        <w:tc>
          <w:tcPr>
            <w:tcW w:w="4818" w:type="dxa"/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190</w:t>
            </w:r>
          </w:p>
        </w:tc>
      </w:tr>
      <w:tr w:rsidR="005E24FB" w:rsidRPr="006638EE" w:rsidTr="005E24FB">
        <w:tc>
          <w:tcPr>
            <w:tcW w:w="4817" w:type="dxa"/>
          </w:tcPr>
          <w:p w:rsidR="005E24FB" w:rsidRPr="006638EE" w:rsidRDefault="005E24FB" w:rsidP="005E24FB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>Banco Mundial</w:t>
            </w:r>
          </w:p>
        </w:tc>
        <w:tc>
          <w:tcPr>
            <w:tcW w:w="4818" w:type="dxa"/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151</w:t>
            </w:r>
          </w:p>
        </w:tc>
      </w:tr>
      <w:tr w:rsidR="005E24FB" w:rsidRPr="006638EE" w:rsidTr="005E24FB">
        <w:tc>
          <w:tcPr>
            <w:tcW w:w="4817" w:type="dxa"/>
          </w:tcPr>
          <w:p w:rsidR="005E24FB" w:rsidRPr="006638EE" w:rsidRDefault="005E24FB" w:rsidP="005E24FB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>Organización de las Naciones Unidas para la Alimentación y la Agricultura (FAO)</w:t>
            </w:r>
          </w:p>
        </w:tc>
        <w:tc>
          <w:tcPr>
            <w:tcW w:w="4818" w:type="dxa"/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5E24FB" w:rsidRPr="006638EE" w:rsidTr="005E24FB">
        <w:tc>
          <w:tcPr>
            <w:tcW w:w="4817" w:type="dxa"/>
          </w:tcPr>
          <w:p w:rsidR="005E24FB" w:rsidRPr="006638EE" w:rsidRDefault="005E24FB" w:rsidP="005E24FB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>Organización Mundial de la Salud (OMS)</w:t>
            </w:r>
          </w:p>
        </w:tc>
        <w:tc>
          <w:tcPr>
            <w:tcW w:w="4818" w:type="dxa"/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5E24FB" w:rsidRPr="006638EE" w:rsidTr="005E24FB">
        <w:tc>
          <w:tcPr>
            <w:tcW w:w="4817" w:type="dxa"/>
          </w:tcPr>
          <w:p w:rsidR="005E24FB" w:rsidRPr="006638EE" w:rsidRDefault="005E24FB" w:rsidP="00B47CCF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>Organización para la Cooperación y el Desarrollo Económicos (OCDE)</w:t>
            </w:r>
          </w:p>
        </w:tc>
        <w:tc>
          <w:tcPr>
            <w:tcW w:w="4818" w:type="dxa"/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85</w:t>
            </w:r>
          </w:p>
        </w:tc>
      </w:tr>
      <w:tr w:rsidR="005E24FB" w:rsidRPr="006638EE" w:rsidTr="005E24FB">
        <w:tc>
          <w:tcPr>
            <w:tcW w:w="4817" w:type="dxa"/>
          </w:tcPr>
          <w:p w:rsidR="005E24FB" w:rsidRPr="006638EE" w:rsidRDefault="00B47CCF" w:rsidP="00B47CCF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 xml:space="preserve">Instituto de Estadística de la </w:t>
            </w:r>
            <w:r w:rsidR="005E24FB" w:rsidRPr="006638EE">
              <w:rPr>
                <w:sz w:val="24"/>
                <w:szCs w:val="24"/>
              </w:rPr>
              <w:t>Organización de las Naciones Unidas para la Educación, la Ciencia y la Cultura (UNESCO)</w:t>
            </w:r>
            <w:r w:rsidR="00006CFC" w:rsidRPr="00663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70</w:t>
            </w:r>
          </w:p>
        </w:tc>
      </w:tr>
      <w:tr w:rsidR="005E24FB" w:rsidRPr="006638EE" w:rsidTr="005E24FB">
        <w:tc>
          <w:tcPr>
            <w:tcW w:w="4817" w:type="dxa"/>
          </w:tcPr>
          <w:p w:rsidR="005E24FB" w:rsidRPr="006638EE" w:rsidRDefault="005E24FB" w:rsidP="00B47CCF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>Organización Internacional del Trabajo (OIT)</w:t>
            </w:r>
          </w:p>
        </w:tc>
        <w:tc>
          <w:tcPr>
            <w:tcW w:w="4818" w:type="dxa"/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28</w:t>
            </w:r>
          </w:p>
        </w:tc>
      </w:tr>
      <w:tr w:rsidR="005E24FB" w:rsidRPr="006638EE" w:rsidTr="005E24FB">
        <w:tc>
          <w:tcPr>
            <w:tcW w:w="4817" w:type="dxa"/>
          </w:tcPr>
          <w:p w:rsidR="005E24FB" w:rsidRPr="006638EE" w:rsidRDefault="005E24FB" w:rsidP="005E24FB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>Organización Mundial del Comercio (OMC)</w:t>
            </w:r>
          </w:p>
        </w:tc>
        <w:tc>
          <w:tcPr>
            <w:tcW w:w="4818" w:type="dxa"/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23</w:t>
            </w:r>
          </w:p>
        </w:tc>
      </w:tr>
      <w:tr w:rsidR="005E24FB" w:rsidRPr="006638EE" w:rsidTr="00930D39">
        <w:tc>
          <w:tcPr>
            <w:tcW w:w="4817" w:type="dxa"/>
            <w:tcBorders>
              <w:bottom w:val="single" w:sz="4" w:space="0" w:color="auto"/>
            </w:tcBorders>
          </w:tcPr>
          <w:p w:rsidR="005E24FB" w:rsidRPr="006638EE" w:rsidRDefault="005E24FB" w:rsidP="005E24FB">
            <w:pPr>
              <w:pStyle w:val="Tabletext"/>
              <w:rPr>
                <w:sz w:val="24"/>
                <w:szCs w:val="24"/>
              </w:rPr>
            </w:pPr>
            <w:r w:rsidRPr="006638EE">
              <w:rPr>
                <w:sz w:val="24"/>
                <w:szCs w:val="24"/>
              </w:rPr>
              <w:t>Conferencia de las Naciones Unidas sobre Comercio y Desarrollo (UNCTAD)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6638EE">
              <w:rPr>
                <w:color w:val="000000"/>
                <w:sz w:val="24"/>
                <w:szCs w:val="24"/>
                <w:lang w:eastAsia="zh-CN"/>
              </w:rPr>
              <w:t>20</w:t>
            </w:r>
          </w:p>
        </w:tc>
      </w:tr>
      <w:tr w:rsidR="005E24FB" w:rsidRPr="006638EE" w:rsidTr="00930D39">
        <w:tc>
          <w:tcPr>
            <w:tcW w:w="4817" w:type="dxa"/>
            <w:tcBorders>
              <w:bottom w:val="single" w:sz="4" w:space="0" w:color="auto"/>
            </w:tcBorders>
          </w:tcPr>
          <w:p w:rsidR="005E24FB" w:rsidRPr="006638EE" w:rsidRDefault="005E24FB" w:rsidP="005E24F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6638EE">
              <w:rPr>
                <w:b/>
                <w:bCs/>
                <w:sz w:val="24"/>
                <w:szCs w:val="24"/>
              </w:rPr>
              <w:t>Unión Internacional de Telecomunicaciones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5E24FB" w:rsidRPr="006638EE" w:rsidRDefault="005E24FB" w:rsidP="005E24FB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 w:rsidRPr="006638E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E24FB" w:rsidRPr="006638EE" w:rsidTr="00930D39">
        <w:tc>
          <w:tcPr>
            <w:tcW w:w="9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4FB" w:rsidRPr="00AD27BB" w:rsidRDefault="00B47CCF" w:rsidP="005E24FB">
            <w:pPr>
              <w:pStyle w:val="Tablelegend"/>
              <w:rPr>
                <w:b/>
                <w:bCs/>
                <w:sz w:val="24"/>
                <w:szCs w:val="24"/>
              </w:rPr>
            </w:pPr>
            <w:r w:rsidRPr="006638EE">
              <w:rPr>
                <w:i/>
                <w:iCs/>
                <w:sz w:val="24"/>
                <w:szCs w:val="24"/>
              </w:rPr>
              <w:t>Fuente</w:t>
            </w:r>
            <w:r w:rsidR="00AD27BB">
              <w:rPr>
                <w:i/>
                <w:iCs/>
                <w:sz w:val="24"/>
                <w:szCs w:val="24"/>
              </w:rPr>
              <w:t xml:space="preserve">: </w:t>
            </w:r>
            <w:r w:rsidRPr="006638EE">
              <w:rPr>
                <w:i/>
                <w:iCs/>
                <w:sz w:val="24"/>
                <w:szCs w:val="24"/>
              </w:rPr>
              <w:t>Comité de Coordinación de las Actividades Estadísticas</w:t>
            </w:r>
            <w:r w:rsidR="005E24FB" w:rsidRPr="006638EE">
              <w:rPr>
                <w:i/>
                <w:iCs/>
                <w:sz w:val="24"/>
                <w:szCs w:val="24"/>
              </w:rPr>
              <w:t xml:space="preserve">, </w:t>
            </w:r>
            <w:hyperlink r:id="rId11" w:history="1">
              <w:r w:rsidR="005E24FB" w:rsidRPr="006638EE">
                <w:rPr>
                  <w:rStyle w:val="Hyperlink"/>
                  <w:i/>
                  <w:iCs/>
                  <w:sz w:val="24"/>
                  <w:szCs w:val="24"/>
                </w:rPr>
                <w:t>https://unstats.un.org/unsd/accsub-public/members.htm</w:t>
              </w:r>
            </w:hyperlink>
            <w:r w:rsidR="00AD27BB" w:rsidRPr="00ED5B1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</w:tbl>
    <w:p w:rsidR="00B47CCF" w:rsidRPr="006638EE" w:rsidRDefault="005E24FB" w:rsidP="00C63E2B">
      <w:pPr>
        <w:rPr>
          <w:szCs w:val="24"/>
        </w:rPr>
      </w:pPr>
      <w:r w:rsidRPr="006638EE">
        <w:rPr>
          <w:szCs w:val="24"/>
        </w:rPr>
        <w:t>8.4</w:t>
      </w:r>
      <w:r w:rsidRPr="006638EE">
        <w:rPr>
          <w:szCs w:val="24"/>
        </w:rPr>
        <w:tab/>
      </w:r>
      <w:r w:rsidR="00B47CCF" w:rsidRPr="006638EE">
        <w:rPr>
          <w:szCs w:val="24"/>
        </w:rPr>
        <w:t xml:space="preserve">En la actualidad, la </w:t>
      </w:r>
      <w:r w:rsidR="001241E7" w:rsidRPr="006638EE">
        <w:rPr>
          <w:szCs w:val="24"/>
        </w:rPr>
        <w:t xml:space="preserve">División de Datos y Estadísticas de </w:t>
      </w:r>
      <w:r w:rsidR="00ED5B11">
        <w:rPr>
          <w:szCs w:val="24"/>
        </w:rPr>
        <w:t xml:space="preserve">las </w:t>
      </w:r>
      <w:r w:rsidR="001241E7" w:rsidRPr="006638EE">
        <w:rPr>
          <w:szCs w:val="24"/>
        </w:rPr>
        <w:t xml:space="preserve">TIC de </w:t>
      </w:r>
      <w:r w:rsidR="00B47CCF" w:rsidRPr="006638EE">
        <w:rPr>
          <w:szCs w:val="24"/>
        </w:rPr>
        <w:t xml:space="preserve">la UIT </w:t>
      </w:r>
      <w:r w:rsidR="00565175" w:rsidRPr="006638EE">
        <w:rPr>
          <w:szCs w:val="24"/>
        </w:rPr>
        <w:t>se compone de</w:t>
      </w:r>
      <w:r w:rsidR="00B47CCF" w:rsidRPr="006638EE">
        <w:rPr>
          <w:szCs w:val="24"/>
        </w:rPr>
        <w:t xml:space="preserve"> cinco </w:t>
      </w:r>
      <w:r w:rsidR="00565175" w:rsidRPr="006638EE">
        <w:rPr>
          <w:szCs w:val="24"/>
        </w:rPr>
        <w:t>miembros del personal del cuadro orgánico</w:t>
      </w:r>
      <w:r w:rsidR="00B47CCF" w:rsidRPr="006638EE">
        <w:rPr>
          <w:szCs w:val="24"/>
        </w:rPr>
        <w:t xml:space="preserve"> y dos </w:t>
      </w:r>
      <w:r w:rsidR="00565175" w:rsidRPr="006638EE">
        <w:rPr>
          <w:szCs w:val="24"/>
        </w:rPr>
        <w:t>de categoría administrativa</w:t>
      </w:r>
      <w:r w:rsidR="00B47CCF" w:rsidRPr="006638EE">
        <w:rPr>
          <w:szCs w:val="24"/>
        </w:rPr>
        <w:t xml:space="preserve">, que se encargan de </w:t>
      </w:r>
      <w:r w:rsidR="00565175" w:rsidRPr="006638EE">
        <w:rPr>
          <w:szCs w:val="24"/>
        </w:rPr>
        <w:t>recopilar, verificar, difundir y analizar datos</w:t>
      </w:r>
      <w:r w:rsidR="00B47CCF" w:rsidRPr="006638EE">
        <w:rPr>
          <w:szCs w:val="24"/>
        </w:rPr>
        <w:t xml:space="preserve">, </w:t>
      </w:r>
      <w:r w:rsidR="00565175" w:rsidRPr="006638EE">
        <w:rPr>
          <w:szCs w:val="24"/>
        </w:rPr>
        <w:t xml:space="preserve"> impartir</w:t>
      </w:r>
      <w:r w:rsidR="00B47CCF" w:rsidRPr="006638EE">
        <w:rPr>
          <w:szCs w:val="24"/>
        </w:rPr>
        <w:t xml:space="preserve"> capacitación y</w:t>
      </w:r>
      <w:r w:rsidR="00565175" w:rsidRPr="006638EE">
        <w:rPr>
          <w:szCs w:val="24"/>
        </w:rPr>
        <w:t xml:space="preserve"> gestionar</w:t>
      </w:r>
      <w:r w:rsidR="00B47CCF" w:rsidRPr="006638EE">
        <w:rPr>
          <w:szCs w:val="24"/>
        </w:rPr>
        <w:t xml:space="preserve"> la coordinación y cooperación estadística internacional. </w:t>
      </w:r>
      <w:r w:rsidR="00565175" w:rsidRPr="006638EE">
        <w:rPr>
          <w:szCs w:val="24"/>
        </w:rPr>
        <w:t>E</w:t>
      </w:r>
      <w:r w:rsidR="00B47CCF" w:rsidRPr="006638EE">
        <w:rPr>
          <w:szCs w:val="24"/>
        </w:rPr>
        <w:t>stas funciones</w:t>
      </w:r>
      <w:r w:rsidR="00565175" w:rsidRPr="006638EE">
        <w:rPr>
          <w:szCs w:val="24"/>
        </w:rPr>
        <w:t xml:space="preserve"> también</w:t>
      </w:r>
      <w:r w:rsidR="00B47CCF" w:rsidRPr="006638EE">
        <w:rPr>
          <w:szCs w:val="24"/>
        </w:rPr>
        <w:t xml:space="preserve"> dependen en gran medida del </w:t>
      </w:r>
      <w:r w:rsidR="00565175" w:rsidRPr="006638EE">
        <w:rPr>
          <w:szCs w:val="24"/>
        </w:rPr>
        <w:t xml:space="preserve">Servicio de </w:t>
      </w:r>
      <w:r w:rsidR="00ED5B11" w:rsidRPr="006638EE">
        <w:rPr>
          <w:szCs w:val="24"/>
        </w:rPr>
        <w:t xml:space="preserve">asistencia informática </w:t>
      </w:r>
      <w:r w:rsidR="00565175" w:rsidRPr="006638EE">
        <w:rPr>
          <w:szCs w:val="24"/>
        </w:rPr>
        <w:t>conexo para tareas de</w:t>
      </w:r>
      <w:r w:rsidR="00B47CCF" w:rsidRPr="006638EE">
        <w:rPr>
          <w:szCs w:val="24"/>
        </w:rPr>
        <w:t xml:space="preserve"> desarrollo, mantenimiento y </w:t>
      </w:r>
      <w:r w:rsidR="00F91E72">
        <w:rPr>
          <w:szCs w:val="24"/>
        </w:rPr>
        <w:t>apoyo</w:t>
      </w:r>
      <w:r w:rsidR="00B47CCF" w:rsidRPr="006638EE">
        <w:rPr>
          <w:szCs w:val="24"/>
        </w:rPr>
        <w:t>.</w:t>
      </w:r>
      <w:r w:rsidR="00565175" w:rsidRPr="006638EE">
        <w:rPr>
          <w:szCs w:val="24"/>
        </w:rPr>
        <w:t xml:space="preserve"> Por su parte, l</w:t>
      </w:r>
      <w:r w:rsidR="00B47CCF" w:rsidRPr="006638EE">
        <w:rPr>
          <w:szCs w:val="24"/>
        </w:rPr>
        <w:t xml:space="preserve">a </w:t>
      </w:r>
      <w:r w:rsidR="00565175" w:rsidRPr="006638EE">
        <w:rPr>
          <w:szCs w:val="24"/>
        </w:rPr>
        <w:t>S</w:t>
      </w:r>
      <w:r w:rsidR="00B47CCF" w:rsidRPr="006638EE">
        <w:rPr>
          <w:szCs w:val="24"/>
        </w:rPr>
        <w:t xml:space="preserve">ecretaría ha </w:t>
      </w:r>
      <w:r w:rsidR="00565175" w:rsidRPr="006638EE">
        <w:rPr>
          <w:szCs w:val="24"/>
        </w:rPr>
        <w:t>emprendido</w:t>
      </w:r>
      <w:r w:rsidR="00B47CCF" w:rsidRPr="006638EE">
        <w:rPr>
          <w:szCs w:val="24"/>
        </w:rPr>
        <w:t xml:space="preserve"> un estudio sobre el nivel de recursos </w:t>
      </w:r>
      <w:r w:rsidR="00565175" w:rsidRPr="006638EE">
        <w:rPr>
          <w:szCs w:val="24"/>
        </w:rPr>
        <w:t>necesario</w:t>
      </w:r>
      <w:r w:rsidR="00B47CCF" w:rsidRPr="006638EE">
        <w:rPr>
          <w:szCs w:val="24"/>
        </w:rPr>
        <w:t xml:space="preserve"> para promover la aplicación de la </w:t>
      </w:r>
      <w:r w:rsidR="00565175" w:rsidRPr="006638EE">
        <w:rPr>
          <w:szCs w:val="24"/>
        </w:rPr>
        <w:t>R</w:t>
      </w:r>
      <w:r w:rsidR="00B47CCF" w:rsidRPr="006638EE">
        <w:rPr>
          <w:szCs w:val="24"/>
        </w:rPr>
        <w:t xml:space="preserve">esolución 131, incluidas las actividades enumeradas en el párrafo 8.2 </w:t>
      </w:r>
      <w:r w:rsidR="00B47CCF" w:rsidRPr="006638EE">
        <w:rPr>
          <w:i/>
          <w:iCs/>
          <w:szCs w:val="24"/>
        </w:rPr>
        <w:t>supra</w:t>
      </w:r>
      <w:r w:rsidR="00B47CCF" w:rsidRPr="006638EE">
        <w:rPr>
          <w:szCs w:val="24"/>
        </w:rPr>
        <w:t xml:space="preserve">. Los resultados de este estudio se </w:t>
      </w:r>
      <w:r w:rsidR="00565175" w:rsidRPr="006638EE">
        <w:rPr>
          <w:szCs w:val="24"/>
        </w:rPr>
        <w:t>remitirán</w:t>
      </w:r>
      <w:r w:rsidR="00B47CCF" w:rsidRPr="006638EE">
        <w:rPr>
          <w:szCs w:val="24"/>
        </w:rPr>
        <w:t xml:space="preserve"> a los miembros y se reflejarán, en la medida </w:t>
      </w:r>
      <w:r w:rsidR="00565175" w:rsidRPr="006638EE">
        <w:rPr>
          <w:szCs w:val="24"/>
        </w:rPr>
        <w:t xml:space="preserve">de lo </w:t>
      </w:r>
      <w:r w:rsidR="00B47CCF" w:rsidRPr="006638EE">
        <w:rPr>
          <w:szCs w:val="24"/>
        </w:rPr>
        <w:t xml:space="preserve">posible y </w:t>
      </w:r>
      <w:r w:rsidR="00565175" w:rsidRPr="006638EE">
        <w:rPr>
          <w:szCs w:val="24"/>
        </w:rPr>
        <w:t>con arreglo a</w:t>
      </w:r>
      <w:r w:rsidR="00B47CCF" w:rsidRPr="006638EE">
        <w:rPr>
          <w:szCs w:val="24"/>
        </w:rPr>
        <w:t xml:space="preserve"> los recursos financieros disponibles, en el presupuesto</w:t>
      </w:r>
      <w:r w:rsidR="00565175" w:rsidRPr="006638EE">
        <w:rPr>
          <w:szCs w:val="24"/>
        </w:rPr>
        <w:t xml:space="preserve"> para</w:t>
      </w:r>
      <w:r w:rsidR="00B47CCF" w:rsidRPr="006638EE">
        <w:rPr>
          <w:szCs w:val="24"/>
        </w:rPr>
        <w:t xml:space="preserve"> 2020</w:t>
      </w:r>
      <w:r w:rsidR="00C63E2B">
        <w:rPr>
          <w:szCs w:val="24"/>
        </w:rPr>
        <w:noBreakHyphen/>
      </w:r>
      <w:r w:rsidR="00B47CCF" w:rsidRPr="006638EE">
        <w:rPr>
          <w:szCs w:val="24"/>
        </w:rPr>
        <w:t>2021.</w:t>
      </w:r>
    </w:p>
    <w:p w:rsidR="005E24FB" w:rsidRPr="00372E3B" w:rsidRDefault="005E24FB" w:rsidP="00372E3B">
      <w:pPr>
        <w:pStyle w:val="Heading1"/>
      </w:pPr>
      <w:r w:rsidRPr="00372E3B">
        <w:t>9</w:t>
      </w:r>
      <w:r w:rsidRPr="00372E3B">
        <w:tab/>
        <w:t>Conclusi</w:t>
      </w:r>
      <w:r w:rsidR="00B47CCF" w:rsidRPr="00372E3B">
        <w:t>ó</w:t>
      </w:r>
      <w:r w:rsidRPr="00372E3B">
        <w:t>n</w:t>
      </w:r>
    </w:p>
    <w:p w:rsidR="00242BD6" w:rsidRPr="006638EE" w:rsidRDefault="00B47CCF" w:rsidP="00F91E72">
      <w:pPr>
        <w:rPr>
          <w:szCs w:val="24"/>
        </w:rPr>
      </w:pPr>
      <w:r w:rsidRPr="006638EE">
        <w:rPr>
          <w:szCs w:val="24"/>
        </w:rPr>
        <w:t xml:space="preserve">A medida que los países </w:t>
      </w:r>
      <w:r w:rsidR="00565175" w:rsidRPr="006638EE">
        <w:rPr>
          <w:szCs w:val="24"/>
        </w:rPr>
        <w:t xml:space="preserve">obran con miras a la </w:t>
      </w:r>
      <w:r w:rsidR="00F91E72">
        <w:rPr>
          <w:szCs w:val="24"/>
        </w:rPr>
        <w:t>consecución de</w:t>
      </w:r>
      <w:r w:rsidR="00565175" w:rsidRPr="006638EE">
        <w:rPr>
          <w:szCs w:val="24"/>
        </w:rPr>
        <w:t xml:space="preserve"> </w:t>
      </w:r>
      <w:r w:rsidRPr="006638EE">
        <w:rPr>
          <w:szCs w:val="24"/>
        </w:rPr>
        <w:t>los Objetivos de Desarrollo Sostenible (</w:t>
      </w:r>
      <w:r w:rsidR="006B452D" w:rsidRPr="006638EE">
        <w:rPr>
          <w:szCs w:val="24"/>
        </w:rPr>
        <w:t>ODS</w:t>
      </w:r>
      <w:r w:rsidRPr="006638EE">
        <w:rPr>
          <w:szCs w:val="24"/>
        </w:rPr>
        <w:t xml:space="preserve">) para 2030, la medición de la Sociedad de la Información </w:t>
      </w:r>
      <w:r w:rsidR="00565175" w:rsidRPr="006638EE">
        <w:rPr>
          <w:szCs w:val="24"/>
        </w:rPr>
        <w:t>reviste una importancia crucial</w:t>
      </w:r>
      <w:r w:rsidRPr="006638EE">
        <w:rPr>
          <w:szCs w:val="24"/>
        </w:rPr>
        <w:t>, en particular</w:t>
      </w:r>
      <w:r w:rsidR="00565175" w:rsidRPr="006638EE">
        <w:rPr>
          <w:szCs w:val="24"/>
        </w:rPr>
        <w:t>,</w:t>
      </w:r>
      <w:r w:rsidRPr="006638EE">
        <w:rPr>
          <w:szCs w:val="24"/>
        </w:rPr>
        <w:t xml:space="preserve"> porque las telecomunicaciones y las TIC desempeñan una función catalizadora en el desarrollo general de los países. </w:t>
      </w:r>
      <w:r w:rsidR="00565175" w:rsidRPr="006638EE">
        <w:rPr>
          <w:szCs w:val="24"/>
        </w:rPr>
        <w:t>En sus trabajos relacionados con los</w:t>
      </w:r>
      <w:r w:rsidRPr="006638EE">
        <w:rPr>
          <w:szCs w:val="24"/>
        </w:rPr>
        <w:t xml:space="preserve"> indicadores </w:t>
      </w:r>
      <w:r w:rsidR="0012656F">
        <w:rPr>
          <w:szCs w:val="24"/>
        </w:rPr>
        <w:t xml:space="preserve">de </w:t>
      </w:r>
      <w:r w:rsidRPr="006638EE">
        <w:rPr>
          <w:szCs w:val="24"/>
        </w:rPr>
        <w:t>TIC</w:t>
      </w:r>
      <w:r w:rsidR="00565175" w:rsidRPr="006638EE">
        <w:rPr>
          <w:szCs w:val="24"/>
        </w:rPr>
        <w:t>, la UIT</w:t>
      </w:r>
      <w:r w:rsidRPr="006638EE">
        <w:rPr>
          <w:szCs w:val="24"/>
        </w:rPr>
        <w:t xml:space="preserve"> tiene en cuenta las tecnologías emergentes y debe basarse en el principio de mejora continua en términos de recopilación, análisis y presentación de informes de datos</w:t>
      </w:r>
      <w:r w:rsidR="00F91E72">
        <w:rPr>
          <w:szCs w:val="24"/>
        </w:rPr>
        <w:t>,</w:t>
      </w:r>
      <w:r w:rsidRPr="006638EE">
        <w:rPr>
          <w:szCs w:val="24"/>
        </w:rPr>
        <w:t xml:space="preserve"> para que</w:t>
      </w:r>
      <w:r w:rsidR="007E54EC" w:rsidRPr="006638EE">
        <w:rPr>
          <w:szCs w:val="24"/>
        </w:rPr>
        <w:t xml:space="preserve"> estos resulten de utilidad a </w:t>
      </w:r>
      <w:r w:rsidRPr="006638EE">
        <w:rPr>
          <w:szCs w:val="24"/>
        </w:rPr>
        <w:t xml:space="preserve">los países y </w:t>
      </w:r>
      <w:r w:rsidR="007E54EC" w:rsidRPr="006638EE">
        <w:rPr>
          <w:szCs w:val="24"/>
        </w:rPr>
        <w:t>a</w:t>
      </w:r>
      <w:r w:rsidRPr="006638EE">
        <w:rPr>
          <w:szCs w:val="24"/>
        </w:rPr>
        <w:t>l sector privado.</w:t>
      </w:r>
    </w:p>
    <w:p w:rsidR="00C63E2B" w:rsidRDefault="00C63E2B" w:rsidP="0032202E">
      <w:pPr>
        <w:pStyle w:val="Reasons"/>
      </w:pPr>
    </w:p>
    <w:p w:rsidR="005E24FB" w:rsidRPr="006B452D" w:rsidRDefault="00C63E2B" w:rsidP="00372E3B">
      <w:pPr>
        <w:jc w:val="center"/>
      </w:pPr>
      <w:r>
        <w:t>______________</w:t>
      </w:r>
    </w:p>
    <w:sectPr w:rsidR="005E24FB" w:rsidRPr="006B452D" w:rsidSect="00A70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5A" w:rsidRDefault="008F1C5A">
      <w:r>
        <w:separator/>
      </w:r>
    </w:p>
  </w:endnote>
  <w:endnote w:type="continuationSeparator" w:id="0">
    <w:p w:rsidR="008F1C5A" w:rsidRDefault="008F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C3D" w:rsidRDefault="00F41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Default="00372E3B" w:rsidP="00372E3B">
    <w:pPr>
      <w:pStyle w:val="Footer"/>
      <w:rPr>
        <w:lang w:val="en-GB"/>
      </w:rPr>
    </w:pPr>
    <w:r>
      <w:rPr>
        <w:lang w:val="en-GB"/>
      </w:rPr>
      <w:t xml:space="preserve"> (442077)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66" w:rsidRPr="00DD0D66" w:rsidRDefault="004B07DB" w:rsidP="00DD0D66">
    <w:pPr>
      <w:pStyle w:val="firstfooter0"/>
      <w:spacing w:before="0" w:beforeAutospacing="0" w:after="0" w:afterAutospacing="0"/>
      <w:jc w:val="center"/>
      <w:rPr>
        <w:rStyle w:val="Hyperlink"/>
        <w:szCs w:val="22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 w:rsidRPr="00DD0D66">
      <w:rPr>
        <w:rStyle w:val="Hyperlink"/>
        <w:sz w:val="22"/>
        <w:szCs w:val="22"/>
      </w:rPr>
      <w:t xml:space="preserve"> </w:t>
    </w:r>
    <w:r w:rsidR="00DD0D66"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5A" w:rsidRDefault="008F1C5A">
      <w:r>
        <w:t>____________________</w:t>
      </w:r>
    </w:p>
  </w:footnote>
  <w:footnote w:type="continuationSeparator" w:id="0">
    <w:p w:rsidR="008F1C5A" w:rsidRDefault="008F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C3D" w:rsidRDefault="00F41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41C3D">
      <w:rPr>
        <w:noProof/>
      </w:rPr>
      <w:t>4</w:t>
    </w:r>
    <w:r>
      <w:fldChar w:fldCharType="end"/>
    </w:r>
  </w:p>
  <w:p w:rsidR="00255FA1" w:rsidRDefault="00255FA1" w:rsidP="005A77DD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5A77DD">
      <w:t>49</w:t>
    </w:r>
    <w:r w:rsidR="00006EAE">
      <w:t>-S</w:t>
    </w:r>
    <w:bookmarkStart w:id="6" w:name="_GoBack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C3D" w:rsidRDefault="00F41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12"/>
    <w:rsid w:val="0000188C"/>
    <w:rsid w:val="00006CFC"/>
    <w:rsid w:val="00006EAE"/>
    <w:rsid w:val="00020E9F"/>
    <w:rsid w:val="00025BC5"/>
    <w:rsid w:val="000863AB"/>
    <w:rsid w:val="000A1523"/>
    <w:rsid w:val="000B1752"/>
    <w:rsid w:val="001045F5"/>
    <w:rsid w:val="0010546D"/>
    <w:rsid w:val="001241E7"/>
    <w:rsid w:val="0012656F"/>
    <w:rsid w:val="00135F93"/>
    <w:rsid w:val="001559FD"/>
    <w:rsid w:val="00161C6B"/>
    <w:rsid w:val="001632E3"/>
    <w:rsid w:val="001729A9"/>
    <w:rsid w:val="00190BE0"/>
    <w:rsid w:val="001B6590"/>
    <w:rsid w:val="001D4983"/>
    <w:rsid w:val="001D6EC3"/>
    <w:rsid w:val="001D787B"/>
    <w:rsid w:val="001E3D06"/>
    <w:rsid w:val="00225F6B"/>
    <w:rsid w:val="00237C17"/>
    <w:rsid w:val="00242376"/>
    <w:rsid w:val="00242BD6"/>
    <w:rsid w:val="00255FA1"/>
    <w:rsid w:val="00262FF4"/>
    <w:rsid w:val="002C6527"/>
    <w:rsid w:val="002E44FC"/>
    <w:rsid w:val="003707E5"/>
    <w:rsid w:val="00372E3B"/>
    <w:rsid w:val="00385CD2"/>
    <w:rsid w:val="00391611"/>
    <w:rsid w:val="003D0027"/>
    <w:rsid w:val="003E6E73"/>
    <w:rsid w:val="00457852"/>
    <w:rsid w:val="00484B72"/>
    <w:rsid w:val="00485B39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175"/>
    <w:rsid w:val="00565F7F"/>
    <w:rsid w:val="00567ED5"/>
    <w:rsid w:val="005A77DD"/>
    <w:rsid w:val="005B5ED0"/>
    <w:rsid w:val="005C31A5"/>
    <w:rsid w:val="005D1164"/>
    <w:rsid w:val="005D6488"/>
    <w:rsid w:val="005E24FB"/>
    <w:rsid w:val="005F5E16"/>
    <w:rsid w:val="005F6278"/>
    <w:rsid w:val="00601280"/>
    <w:rsid w:val="006375E0"/>
    <w:rsid w:val="00641DBD"/>
    <w:rsid w:val="006455D2"/>
    <w:rsid w:val="006537F3"/>
    <w:rsid w:val="006638EE"/>
    <w:rsid w:val="006B452D"/>
    <w:rsid w:val="006B5512"/>
    <w:rsid w:val="006C190D"/>
    <w:rsid w:val="00720686"/>
    <w:rsid w:val="00737EFF"/>
    <w:rsid w:val="00750806"/>
    <w:rsid w:val="0078267D"/>
    <w:rsid w:val="007875D2"/>
    <w:rsid w:val="007C14D3"/>
    <w:rsid w:val="007E54EC"/>
    <w:rsid w:val="007F6EBC"/>
    <w:rsid w:val="008448A4"/>
    <w:rsid w:val="00882773"/>
    <w:rsid w:val="00887C80"/>
    <w:rsid w:val="008B4706"/>
    <w:rsid w:val="008B6676"/>
    <w:rsid w:val="008C00C9"/>
    <w:rsid w:val="008C2B24"/>
    <w:rsid w:val="008D5567"/>
    <w:rsid w:val="008E51C5"/>
    <w:rsid w:val="008F1C5A"/>
    <w:rsid w:val="008F7109"/>
    <w:rsid w:val="009044A9"/>
    <w:rsid w:val="009107B0"/>
    <w:rsid w:val="009220DE"/>
    <w:rsid w:val="00930D39"/>
    <w:rsid w:val="00930E84"/>
    <w:rsid w:val="00981E4F"/>
    <w:rsid w:val="0099270D"/>
    <w:rsid w:val="0099551E"/>
    <w:rsid w:val="009A1A86"/>
    <w:rsid w:val="009B275B"/>
    <w:rsid w:val="009E0C42"/>
    <w:rsid w:val="009E1020"/>
    <w:rsid w:val="009F3100"/>
    <w:rsid w:val="00A123BC"/>
    <w:rsid w:val="00A70E95"/>
    <w:rsid w:val="00AA1F73"/>
    <w:rsid w:val="00AB34CA"/>
    <w:rsid w:val="00AD27BB"/>
    <w:rsid w:val="00AD400E"/>
    <w:rsid w:val="00AF0DC5"/>
    <w:rsid w:val="00B22901"/>
    <w:rsid w:val="00B47CCF"/>
    <w:rsid w:val="00B501AB"/>
    <w:rsid w:val="00B710BB"/>
    <w:rsid w:val="00B714B1"/>
    <w:rsid w:val="00B73978"/>
    <w:rsid w:val="00B77C4D"/>
    <w:rsid w:val="00BA1EE5"/>
    <w:rsid w:val="00BB13FE"/>
    <w:rsid w:val="00BC7EE2"/>
    <w:rsid w:val="00BF5475"/>
    <w:rsid w:val="00C272BD"/>
    <w:rsid w:val="00C30512"/>
    <w:rsid w:val="00C42D2D"/>
    <w:rsid w:val="00C43474"/>
    <w:rsid w:val="00C61A48"/>
    <w:rsid w:val="00C63E2B"/>
    <w:rsid w:val="00C64338"/>
    <w:rsid w:val="00C80F8F"/>
    <w:rsid w:val="00C84355"/>
    <w:rsid w:val="00C91E20"/>
    <w:rsid w:val="00C9425F"/>
    <w:rsid w:val="00CA3051"/>
    <w:rsid w:val="00CA44D9"/>
    <w:rsid w:val="00CD20D9"/>
    <w:rsid w:val="00CD701A"/>
    <w:rsid w:val="00D05AAE"/>
    <w:rsid w:val="00D05E6B"/>
    <w:rsid w:val="00D254A6"/>
    <w:rsid w:val="00D42B55"/>
    <w:rsid w:val="00D57D70"/>
    <w:rsid w:val="00D94CA8"/>
    <w:rsid w:val="00DD0D66"/>
    <w:rsid w:val="00E05D81"/>
    <w:rsid w:val="00E257FB"/>
    <w:rsid w:val="00E53DFC"/>
    <w:rsid w:val="00E66FC3"/>
    <w:rsid w:val="00E677DD"/>
    <w:rsid w:val="00E77F17"/>
    <w:rsid w:val="00E921EC"/>
    <w:rsid w:val="00EB23D0"/>
    <w:rsid w:val="00EC395A"/>
    <w:rsid w:val="00ED0392"/>
    <w:rsid w:val="00ED5B11"/>
    <w:rsid w:val="00F01632"/>
    <w:rsid w:val="00F04858"/>
    <w:rsid w:val="00F271A2"/>
    <w:rsid w:val="00F3510D"/>
    <w:rsid w:val="00F41C3D"/>
    <w:rsid w:val="00F43C07"/>
    <w:rsid w:val="00F43D44"/>
    <w:rsid w:val="00F76F14"/>
    <w:rsid w:val="00F80E6E"/>
    <w:rsid w:val="00F91E7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7DF9EA5-48CD-42F8-910F-D4977F08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C3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C3051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FollowedHyperlink">
    <w:name w:val="FollowedHyperlink"/>
    <w:basedOn w:val="DefaultParagraphFont"/>
    <w:semiHidden/>
    <w:unhideWhenUsed/>
    <w:rsid w:val="00F41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96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pub/S-CONF-PLEN-201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nstats.un.org/unsd/accsub-public/members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8-CL-C-0096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8-CL-C-0105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37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Mestrallet, Francoise</cp:lastModifiedBy>
  <cp:revision>20</cp:revision>
  <cp:lastPrinted>2018-09-24T08:23:00Z</cp:lastPrinted>
  <dcterms:created xsi:type="dcterms:W3CDTF">2018-09-25T07:34:00Z</dcterms:created>
  <dcterms:modified xsi:type="dcterms:W3CDTF">2018-09-26T05:16:00Z</dcterms:modified>
  <cp:category>Conference document</cp:category>
</cp:coreProperties>
</file>