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C42394" w:rsidTr="006A046E">
        <w:trPr>
          <w:cantSplit/>
        </w:trPr>
        <w:tc>
          <w:tcPr>
            <w:tcW w:w="6911" w:type="dxa"/>
          </w:tcPr>
          <w:p w:rsidR="00BD1614" w:rsidRPr="00C42394" w:rsidRDefault="00BD1614" w:rsidP="00196069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C42394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C42394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 w:rsidRPr="00C42394">
              <w:rPr>
                <w:b/>
                <w:smallCaps/>
                <w:sz w:val="30"/>
                <w:szCs w:val="30"/>
                <w:lang w:val="fr-CH"/>
              </w:rPr>
              <w:t>8</w:t>
            </w:r>
            <w:proofErr w:type="gramStart"/>
            <w:r w:rsidRPr="00C42394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C42394">
              <w:rPr>
                <w:b/>
                <w:smallCaps/>
                <w:sz w:val="36"/>
                <w:lang w:val="fr-CH"/>
              </w:rPr>
              <w:br/>
            </w:r>
            <w:r w:rsidR="001E2226" w:rsidRPr="00C42394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C42394">
              <w:rPr>
                <w:rFonts w:cs="Times New Roman Bold"/>
                <w:b/>
                <w:bCs/>
                <w:szCs w:val="24"/>
                <w:lang w:val="fr-CH"/>
              </w:rPr>
              <w:t>, 2</w:t>
            </w:r>
            <w:r w:rsidR="001E2226" w:rsidRPr="00C42394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C42394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 w:rsidRPr="00C42394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 w:rsidRPr="00C42394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 w:rsidRPr="00C42394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 w:rsidRPr="00C42394"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 w:rsidRPr="00C42394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C42394" w:rsidRDefault="00BD1614" w:rsidP="00196069">
            <w:pPr>
              <w:spacing w:before="0"/>
              <w:rPr>
                <w:rFonts w:cstheme="minorHAnsi"/>
                <w:lang w:val="fr-CH"/>
              </w:rPr>
            </w:pPr>
            <w:bookmarkStart w:id="2" w:name="ditulogo"/>
            <w:bookmarkEnd w:id="2"/>
            <w:r w:rsidRPr="00C42394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C42394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C42394" w:rsidRDefault="00BD1614" w:rsidP="00196069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C42394" w:rsidRDefault="00BD1614" w:rsidP="00196069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</w:tr>
      <w:tr w:rsidR="00BD1614" w:rsidRPr="00C42394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C42394" w:rsidRDefault="00BD1614" w:rsidP="00196069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C42394" w:rsidRDefault="00BD1614" w:rsidP="00196069">
            <w:pPr>
              <w:spacing w:before="0"/>
              <w:rPr>
                <w:rFonts w:cstheme="minorHAnsi"/>
                <w:szCs w:val="24"/>
                <w:lang w:val="fr-CH"/>
              </w:rPr>
            </w:pPr>
          </w:p>
        </w:tc>
      </w:tr>
      <w:tr w:rsidR="00BD1614" w:rsidRPr="00C42394" w:rsidTr="006A046E">
        <w:trPr>
          <w:cantSplit/>
        </w:trPr>
        <w:tc>
          <w:tcPr>
            <w:tcW w:w="6911" w:type="dxa"/>
          </w:tcPr>
          <w:p w:rsidR="00BD1614" w:rsidRPr="00C42394" w:rsidRDefault="00417658" w:rsidP="00196069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CH"/>
              </w:rPr>
            </w:pPr>
            <w:r w:rsidRPr="00C42394">
              <w:rPr>
                <w:lang w:val="fr-CH"/>
              </w:rPr>
              <w:t>SÉANCE PLÉNIÈRE</w:t>
            </w:r>
          </w:p>
        </w:tc>
        <w:tc>
          <w:tcPr>
            <w:tcW w:w="3120" w:type="dxa"/>
          </w:tcPr>
          <w:p w:rsidR="00BD1614" w:rsidRPr="00C42394" w:rsidRDefault="00897956" w:rsidP="00196069">
            <w:pPr>
              <w:spacing w:before="0"/>
              <w:rPr>
                <w:rFonts w:cstheme="minorHAnsi"/>
                <w:szCs w:val="24"/>
                <w:lang w:val="fr-CH"/>
              </w:rPr>
            </w:pPr>
            <w:r w:rsidRPr="00C42394">
              <w:rPr>
                <w:rFonts w:cstheme="minorHAnsi"/>
                <w:b/>
                <w:szCs w:val="24"/>
                <w:lang w:val="fr-CH"/>
              </w:rPr>
              <w:t>Document 49</w:t>
            </w:r>
            <w:r w:rsidR="00417658" w:rsidRPr="00C42394">
              <w:rPr>
                <w:rFonts w:cstheme="minorHAnsi"/>
                <w:b/>
                <w:szCs w:val="24"/>
                <w:lang w:val="fr-CH"/>
              </w:rPr>
              <w:t>-F</w:t>
            </w:r>
          </w:p>
        </w:tc>
      </w:tr>
      <w:tr w:rsidR="00BD1614" w:rsidRPr="00C42394" w:rsidTr="006A046E">
        <w:trPr>
          <w:cantSplit/>
        </w:trPr>
        <w:tc>
          <w:tcPr>
            <w:tcW w:w="6911" w:type="dxa"/>
          </w:tcPr>
          <w:p w:rsidR="00BD1614" w:rsidRPr="00C42394" w:rsidRDefault="00BD1614" w:rsidP="0019606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C42394" w:rsidRDefault="00897956" w:rsidP="0019606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C42394">
              <w:rPr>
                <w:rFonts w:cstheme="minorHAnsi"/>
                <w:b/>
                <w:szCs w:val="24"/>
                <w:lang w:val="fr-CH"/>
              </w:rPr>
              <w:t xml:space="preserve">24 août </w:t>
            </w:r>
            <w:r w:rsidR="00417658" w:rsidRPr="00C42394">
              <w:rPr>
                <w:rFonts w:cstheme="minorHAnsi"/>
                <w:b/>
                <w:szCs w:val="24"/>
                <w:lang w:val="fr-CH"/>
              </w:rPr>
              <w:t>201</w:t>
            </w:r>
            <w:r w:rsidRPr="00C42394">
              <w:rPr>
                <w:rFonts w:cstheme="minorHAnsi"/>
                <w:b/>
                <w:szCs w:val="24"/>
                <w:lang w:val="fr-CH"/>
              </w:rPr>
              <w:t>8</w:t>
            </w:r>
          </w:p>
        </w:tc>
      </w:tr>
      <w:tr w:rsidR="00BD1614" w:rsidRPr="00C42394" w:rsidTr="006A046E">
        <w:trPr>
          <w:cantSplit/>
        </w:trPr>
        <w:tc>
          <w:tcPr>
            <w:tcW w:w="6911" w:type="dxa"/>
          </w:tcPr>
          <w:p w:rsidR="00BD1614" w:rsidRPr="00C42394" w:rsidRDefault="00BD1614" w:rsidP="00196069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C42394" w:rsidRDefault="00417658" w:rsidP="0019606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proofErr w:type="gramStart"/>
            <w:r w:rsidRPr="00C42394">
              <w:rPr>
                <w:rFonts w:cstheme="minorHAnsi"/>
                <w:b/>
                <w:szCs w:val="24"/>
                <w:lang w:val="fr-CH"/>
              </w:rPr>
              <w:t>Original:</w:t>
            </w:r>
            <w:proofErr w:type="gramEnd"/>
            <w:r w:rsidRPr="00C42394">
              <w:rPr>
                <w:rFonts w:cstheme="minorHAnsi"/>
                <w:b/>
                <w:szCs w:val="24"/>
                <w:lang w:val="fr-CH"/>
              </w:rPr>
              <w:t xml:space="preserve"> anglais</w:t>
            </w:r>
          </w:p>
        </w:tc>
      </w:tr>
      <w:tr w:rsidR="00BD1614" w:rsidRPr="00C42394" w:rsidTr="006A046E">
        <w:trPr>
          <w:cantSplit/>
        </w:trPr>
        <w:tc>
          <w:tcPr>
            <w:tcW w:w="10031" w:type="dxa"/>
            <w:gridSpan w:val="2"/>
          </w:tcPr>
          <w:p w:rsidR="00BD1614" w:rsidRPr="00C42394" w:rsidRDefault="00BD1614" w:rsidP="0019606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C42394" w:rsidTr="006A046E">
        <w:trPr>
          <w:cantSplit/>
        </w:trPr>
        <w:tc>
          <w:tcPr>
            <w:tcW w:w="10031" w:type="dxa"/>
            <w:gridSpan w:val="2"/>
          </w:tcPr>
          <w:p w:rsidR="00BD1614" w:rsidRPr="00C42394" w:rsidRDefault="00015F86" w:rsidP="00196069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 w:rsidRPr="00C42394">
              <w:rPr>
                <w:lang w:val="fr-CH"/>
              </w:rPr>
              <w:t>Note du Secrétaire général</w:t>
            </w:r>
          </w:p>
        </w:tc>
      </w:tr>
      <w:tr w:rsidR="00BD1614" w:rsidRPr="00C42394" w:rsidTr="006A046E">
        <w:trPr>
          <w:cantSplit/>
        </w:trPr>
        <w:tc>
          <w:tcPr>
            <w:tcW w:w="10031" w:type="dxa"/>
            <w:gridSpan w:val="2"/>
          </w:tcPr>
          <w:p w:rsidR="00BD1614" w:rsidRPr="00C42394" w:rsidRDefault="007C4B87" w:rsidP="00196069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C42394">
              <w:rPr>
                <w:lang w:val="fr-CH"/>
              </w:rPr>
              <w:t>RAPPORT SUR LES PROGRÈS ACCOMPLIS DANS LA MISE EN OEUVRE DE LA RÉSOLUTION 131</w:t>
            </w:r>
            <w:r w:rsidR="000B5AF3" w:rsidRPr="00C42394">
              <w:rPr>
                <w:lang w:val="fr-CH"/>
              </w:rPr>
              <w:t xml:space="preserve"> </w:t>
            </w:r>
            <w:r w:rsidRPr="00C42394">
              <w:rPr>
                <w:lang w:val="fr-CH"/>
              </w:rPr>
              <w:t>(RÉV. BUSAN, 2014)</w:t>
            </w:r>
            <w:r w:rsidR="00196069" w:rsidRPr="00C42394">
              <w:rPr>
                <w:lang w:val="fr-CH"/>
              </w:rPr>
              <w:t xml:space="preserve"> </w:t>
            </w:r>
            <w:r w:rsidRPr="00C42394">
              <w:rPr>
                <w:lang w:val="fr-CH"/>
              </w:rPr>
              <w:t>DE LA</w:t>
            </w:r>
            <w:r w:rsidR="00317D71" w:rsidRPr="00C42394">
              <w:rPr>
                <w:lang w:val="fr-CH"/>
              </w:rPr>
              <w:t xml:space="preserve"> </w:t>
            </w:r>
            <w:r w:rsidR="00196069" w:rsidRPr="00C42394">
              <w:rPr>
                <w:lang w:val="fr-CH"/>
              </w:rPr>
              <w:t xml:space="preserve">CONFÉRENCE </w:t>
            </w:r>
            <w:r w:rsidR="00196069" w:rsidRPr="00C42394">
              <w:rPr>
                <w:lang w:val="fr-CH"/>
              </w:rPr>
              <w:br/>
              <w:t>DE PLÉNIPOTENTIAIRES</w:t>
            </w:r>
          </w:p>
        </w:tc>
      </w:tr>
      <w:bookmarkEnd w:id="5"/>
    </w:tbl>
    <w:p w:rsidR="000D15FB" w:rsidRPr="00C42394" w:rsidRDefault="000D15FB" w:rsidP="00196069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B5AF3" w:rsidRPr="00C42394" w:rsidTr="00A26D0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AF3" w:rsidRPr="00C42394" w:rsidRDefault="000B5AF3" w:rsidP="00D7661C">
            <w:pPr>
              <w:pStyle w:val="Headingb"/>
              <w:snapToGrid w:val="0"/>
              <w:spacing w:before="120" w:after="120"/>
              <w:rPr>
                <w:rFonts w:asciiTheme="minorHAnsi" w:hAnsiTheme="minorHAnsi"/>
                <w:szCs w:val="24"/>
                <w:highlight w:val="yellow"/>
                <w:lang w:val="fr-CH"/>
              </w:rPr>
            </w:pPr>
            <w:r w:rsidRPr="00C42394">
              <w:rPr>
                <w:rFonts w:asciiTheme="minorHAnsi" w:hAnsiTheme="minorHAnsi"/>
                <w:szCs w:val="24"/>
                <w:lang w:val="fr-CH"/>
              </w:rPr>
              <w:t>Résumé</w:t>
            </w:r>
          </w:p>
          <w:p w:rsidR="000B5AF3" w:rsidRPr="00C42394" w:rsidRDefault="000B5AF3" w:rsidP="00D7661C">
            <w:pPr>
              <w:snapToGrid w:val="0"/>
              <w:spacing w:after="120"/>
              <w:rPr>
                <w:rFonts w:cs="Segoe UI"/>
                <w:lang w:val="fr-CH"/>
              </w:rPr>
            </w:pPr>
            <w:r w:rsidRPr="00C42394">
              <w:rPr>
                <w:lang w:val="fr-CH"/>
              </w:rPr>
              <w:t>L</w:t>
            </w:r>
            <w:r w:rsidR="00196069" w:rsidRPr="00C42394">
              <w:rPr>
                <w:lang w:val="fr-CH"/>
              </w:rPr>
              <w:t>'</w:t>
            </w:r>
            <w:r w:rsidRPr="00C42394">
              <w:rPr>
                <w:lang w:val="fr-CH"/>
              </w:rPr>
              <w:t>UIT élabore des définitions, des normes et des méthodes au niveau international visant à mesurer la société et l</w:t>
            </w:r>
            <w:r w:rsidR="00196069" w:rsidRPr="00C42394">
              <w:rPr>
                <w:lang w:val="fr-CH"/>
              </w:rPr>
              <w:t>'</w:t>
            </w:r>
            <w:r w:rsidRPr="00C42394">
              <w:rPr>
                <w:lang w:val="fr-CH"/>
              </w:rPr>
              <w:t>économie de l</w:t>
            </w:r>
            <w:r w:rsidR="00196069" w:rsidRPr="00C42394">
              <w:rPr>
                <w:lang w:val="fr-CH"/>
              </w:rPr>
              <w:t>'</w:t>
            </w:r>
            <w:r w:rsidRPr="00C42394">
              <w:rPr>
                <w:lang w:val="fr-CH"/>
              </w:rPr>
              <w:t>information en étroite collaboration avec d</w:t>
            </w:r>
            <w:r w:rsidR="00196069" w:rsidRPr="00C42394">
              <w:rPr>
                <w:lang w:val="fr-CH"/>
              </w:rPr>
              <w:t>'</w:t>
            </w:r>
            <w:r w:rsidRPr="00C42394">
              <w:rPr>
                <w:lang w:val="fr-CH"/>
              </w:rPr>
              <w:t>autres organisations régionales et internationales et via ses groupes d</w:t>
            </w:r>
            <w:r w:rsidR="00196069" w:rsidRPr="00C42394">
              <w:rPr>
                <w:lang w:val="fr-CH"/>
              </w:rPr>
              <w:t>'</w:t>
            </w:r>
            <w:r w:rsidRPr="00C42394">
              <w:rPr>
                <w:lang w:val="fr-CH"/>
              </w:rPr>
              <w:t xml:space="preserve">experts thématiques. </w:t>
            </w:r>
            <w:r w:rsidR="00317D71" w:rsidRPr="00C42394">
              <w:rPr>
                <w:lang w:val="fr-CH"/>
              </w:rPr>
              <w:t xml:space="preserve">Le présent document rend compte de la mise en </w:t>
            </w:r>
            <w:proofErr w:type="spellStart"/>
            <w:r w:rsidR="00C6795D" w:rsidRPr="00C42394">
              <w:rPr>
                <w:lang w:val="fr-CH"/>
              </w:rPr>
              <w:t>oe</w:t>
            </w:r>
            <w:r w:rsidR="00317D71" w:rsidRPr="00C42394">
              <w:rPr>
                <w:lang w:val="fr-CH"/>
              </w:rPr>
              <w:t>uvre</w:t>
            </w:r>
            <w:proofErr w:type="spellEnd"/>
            <w:r w:rsidR="00317D71" w:rsidRPr="00C42394">
              <w:rPr>
                <w:lang w:val="fr-CH"/>
              </w:rPr>
              <w:t xml:space="preserve"> de la Résolution 131 </w:t>
            </w:r>
            <w:r w:rsidRPr="00C42394">
              <w:rPr>
                <w:rFonts w:cs="Segoe UI"/>
                <w:lang w:val="fr-CH"/>
              </w:rPr>
              <w:t>(</w:t>
            </w:r>
            <w:proofErr w:type="spellStart"/>
            <w:r w:rsidRPr="00C42394">
              <w:rPr>
                <w:rFonts w:cs="Segoe UI"/>
                <w:lang w:val="fr-CH"/>
              </w:rPr>
              <w:t>R</w:t>
            </w:r>
            <w:r w:rsidR="00317D71" w:rsidRPr="00C42394">
              <w:rPr>
                <w:rFonts w:cs="Segoe UI"/>
                <w:lang w:val="fr-CH"/>
              </w:rPr>
              <w:t>é</w:t>
            </w:r>
            <w:r w:rsidRPr="00C42394">
              <w:rPr>
                <w:rFonts w:cs="Segoe UI"/>
                <w:lang w:val="fr-CH"/>
              </w:rPr>
              <w:t>v</w:t>
            </w:r>
            <w:proofErr w:type="spellEnd"/>
            <w:r w:rsidRPr="00C42394">
              <w:rPr>
                <w:rFonts w:cs="Segoe UI"/>
                <w:lang w:val="fr-CH"/>
              </w:rPr>
              <w:t xml:space="preserve">. Busan, 2014) </w:t>
            </w:r>
            <w:r w:rsidR="00196069" w:rsidRPr="00C42394">
              <w:rPr>
                <w:rFonts w:cs="Segoe UI"/>
                <w:lang w:val="fr-CH"/>
              </w:rPr>
              <w:t>de la Conférence de plénipotentiaires</w:t>
            </w:r>
            <w:r w:rsidR="00317D71" w:rsidRPr="00C42394">
              <w:rPr>
                <w:rFonts w:cs="Segoe UI"/>
                <w:lang w:val="fr-CH"/>
              </w:rPr>
              <w:t>, intitulée</w:t>
            </w:r>
            <w:r w:rsidRPr="00C42394">
              <w:rPr>
                <w:rFonts w:cs="Segoe UI"/>
                <w:lang w:val="fr-CH"/>
              </w:rPr>
              <w:t xml:space="preserve"> </w:t>
            </w:r>
            <w:r w:rsidRPr="00C42394">
              <w:rPr>
                <w:rFonts w:cs="Segoe UI"/>
                <w:i/>
                <w:iCs/>
                <w:lang w:val="fr-CH"/>
              </w:rPr>
              <w:t>Mesurer les technologies de l</w:t>
            </w:r>
            <w:r w:rsidR="00196069" w:rsidRPr="00C42394">
              <w:rPr>
                <w:rFonts w:cs="Segoe UI"/>
                <w:i/>
                <w:iCs/>
                <w:lang w:val="fr-CH"/>
              </w:rPr>
              <w:t>'</w:t>
            </w:r>
            <w:r w:rsidRPr="00C42394">
              <w:rPr>
                <w:rFonts w:cs="Segoe UI"/>
                <w:i/>
                <w:iCs/>
                <w:lang w:val="fr-CH"/>
              </w:rPr>
              <w:t>information et de la communication pour édifier une société de l</w:t>
            </w:r>
            <w:r w:rsidR="00196069" w:rsidRPr="00C42394">
              <w:rPr>
                <w:rFonts w:cs="Segoe UI"/>
                <w:i/>
                <w:iCs/>
                <w:lang w:val="fr-CH"/>
              </w:rPr>
              <w:t>'</w:t>
            </w:r>
            <w:r w:rsidRPr="00C42394">
              <w:rPr>
                <w:rFonts w:cs="Segoe UI"/>
                <w:i/>
                <w:iCs/>
                <w:lang w:val="fr-CH"/>
              </w:rPr>
              <w:t>information inclusive et qui facilite l</w:t>
            </w:r>
            <w:r w:rsidR="00196069" w:rsidRPr="00C42394">
              <w:rPr>
                <w:rFonts w:cs="Segoe UI"/>
                <w:i/>
                <w:iCs/>
                <w:lang w:val="fr-CH"/>
              </w:rPr>
              <w:t>'</w:t>
            </w:r>
            <w:r w:rsidRPr="00C42394">
              <w:rPr>
                <w:rFonts w:cs="Segoe UI"/>
                <w:i/>
                <w:iCs/>
                <w:lang w:val="fr-CH"/>
              </w:rPr>
              <w:t>intégration</w:t>
            </w:r>
            <w:r w:rsidRPr="00C42394">
              <w:rPr>
                <w:rFonts w:cs="Segoe UI"/>
                <w:lang w:val="fr-CH"/>
              </w:rPr>
              <w:t>.</w:t>
            </w:r>
            <w:r w:rsidR="00196069" w:rsidRPr="00C42394">
              <w:rPr>
                <w:rFonts w:cs="Segoe UI"/>
                <w:lang w:val="fr-CH"/>
              </w:rPr>
              <w:t xml:space="preserve"> </w:t>
            </w:r>
          </w:p>
          <w:p w:rsidR="000B5AF3" w:rsidRPr="00C42394" w:rsidRDefault="000B5AF3" w:rsidP="00D7661C">
            <w:pPr>
              <w:pStyle w:val="Headingb"/>
              <w:snapToGrid w:val="0"/>
              <w:spacing w:before="120" w:after="120"/>
              <w:rPr>
                <w:rFonts w:asciiTheme="minorHAnsi" w:hAnsiTheme="minorHAnsi"/>
                <w:szCs w:val="24"/>
                <w:lang w:val="fr-CH"/>
              </w:rPr>
            </w:pPr>
            <w:r w:rsidRPr="00C42394">
              <w:rPr>
                <w:rFonts w:asciiTheme="minorHAnsi" w:hAnsiTheme="minorHAnsi"/>
                <w:szCs w:val="24"/>
                <w:lang w:val="fr-CH"/>
              </w:rPr>
              <w:t>Suite à donner</w:t>
            </w:r>
          </w:p>
          <w:p w:rsidR="000B5AF3" w:rsidRPr="00C42394" w:rsidRDefault="00317D71" w:rsidP="00D7661C">
            <w:pPr>
              <w:snapToGrid w:val="0"/>
              <w:spacing w:after="120"/>
              <w:rPr>
                <w:rFonts w:asciiTheme="minorHAnsi" w:hAnsiTheme="minorHAnsi" w:cs="Calibri"/>
                <w:szCs w:val="24"/>
                <w:lang w:val="fr-CH"/>
              </w:rPr>
            </w:pPr>
            <w:r w:rsidRPr="00C42394">
              <w:rPr>
                <w:lang w:val="fr-CH"/>
              </w:rPr>
              <w:t xml:space="preserve">La Conférence de plénipotentiaires est </w:t>
            </w:r>
            <w:r w:rsidR="005A0F96" w:rsidRPr="00C42394">
              <w:rPr>
                <w:lang w:val="fr-CH"/>
              </w:rPr>
              <w:t>invitée</w:t>
            </w:r>
            <w:r w:rsidRPr="00C42394">
              <w:rPr>
                <w:lang w:val="fr-CH"/>
              </w:rPr>
              <w:t xml:space="preserve"> à prendre note du </w:t>
            </w:r>
            <w:r w:rsidR="005A0F96" w:rsidRPr="00C42394">
              <w:rPr>
                <w:lang w:val="fr-CH"/>
              </w:rPr>
              <w:t>présent</w:t>
            </w:r>
            <w:r w:rsidRPr="00C42394">
              <w:rPr>
                <w:lang w:val="fr-CH"/>
              </w:rPr>
              <w:t xml:space="preserve"> </w:t>
            </w:r>
            <w:r w:rsidR="0070280D" w:rsidRPr="00C42394">
              <w:rPr>
                <w:lang w:val="fr-CH"/>
              </w:rPr>
              <w:t>document</w:t>
            </w:r>
            <w:r w:rsidR="000B5AF3" w:rsidRPr="00C42394">
              <w:rPr>
                <w:lang w:val="fr-CH"/>
              </w:rPr>
              <w:t>.</w:t>
            </w:r>
          </w:p>
          <w:p w:rsidR="000B5AF3" w:rsidRPr="00C42394" w:rsidRDefault="000B5AF3" w:rsidP="00D7661C">
            <w:pPr>
              <w:pStyle w:val="Table"/>
              <w:keepNext w:val="0"/>
              <w:snapToGrid w:val="0"/>
              <w:spacing w:before="120"/>
              <w:rPr>
                <w:rFonts w:asciiTheme="minorHAnsi" w:hAnsiTheme="minorHAnsi"/>
                <w:caps w:val="0"/>
                <w:szCs w:val="24"/>
                <w:lang w:val="fr-CH"/>
              </w:rPr>
            </w:pPr>
            <w:r w:rsidRPr="00C42394">
              <w:rPr>
                <w:rFonts w:asciiTheme="minorHAnsi" w:hAnsiTheme="minorHAnsi"/>
                <w:caps w:val="0"/>
                <w:szCs w:val="24"/>
                <w:lang w:val="fr-CH"/>
              </w:rPr>
              <w:t>____________</w:t>
            </w:r>
          </w:p>
          <w:p w:rsidR="000B5AF3" w:rsidRPr="00C42394" w:rsidRDefault="000B5AF3" w:rsidP="00D7661C">
            <w:pPr>
              <w:pStyle w:val="Headingb"/>
              <w:snapToGrid w:val="0"/>
              <w:spacing w:before="120" w:after="120"/>
              <w:rPr>
                <w:rFonts w:asciiTheme="minorHAnsi" w:hAnsiTheme="minorHAnsi"/>
                <w:szCs w:val="24"/>
                <w:lang w:val="fr-CH"/>
              </w:rPr>
            </w:pPr>
            <w:r w:rsidRPr="00C42394">
              <w:rPr>
                <w:rFonts w:asciiTheme="minorHAnsi" w:hAnsiTheme="minorHAnsi"/>
                <w:szCs w:val="24"/>
                <w:lang w:val="fr-CH"/>
              </w:rPr>
              <w:t>Références</w:t>
            </w:r>
          </w:p>
          <w:p w:rsidR="000B5AF3" w:rsidRPr="00C42394" w:rsidRDefault="002507DE" w:rsidP="00D7661C">
            <w:pPr>
              <w:snapToGrid w:val="0"/>
              <w:spacing w:after="120"/>
              <w:rPr>
                <w:rFonts w:cstheme="minorHAnsi"/>
                <w:bCs/>
                <w:i/>
                <w:iCs/>
                <w:lang w:val="fr-CH"/>
              </w:rPr>
            </w:pPr>
            <w:hyperlink r:id="rId8" w:history="1">
              <w:r w:rsidR="000B5AF3" w:rsidRPr="00C42394">
                <w:rPr>
                  <w:rStyle w:val="Hyperlink"/>
                  <w:lang w:val="fr-CH"/>
                </w:rPr>
                <w:t>R</w:t>
              </w:r>
              <w:r w:rsidR="002E68E3" w:rsidRPr="00C42394">
                <w:rPr>
                  <w:rStyle w:val="Hyperlink"/>
                  <w:lang w:val="fr-CH"/>
                </w:rPr>
                <w:t>é</w:t>
              </w:r>
              <w:r w:rsidR="000B5AF3" w:rsidRPr="00C42394">
                <w:rPr>
                  <w:rStyle w:val="Hyperlink"/>
                  <w:lang w:val="fr-CH"/>
                </w:rPr>
                <w:t>solution 131</w:t>
              </w:r>
            </w:hyperlink>
            <w:r w:rsidR="000B5AF3" w:rsidRPr="00C42394">
              <w:rPr>
                <w:lang w:val="fr-CH"/>
              </w:rPr>
              <w:t xml:space="preserve"> (</w:t>
            </w:r>
            <w:proofErr w:type="spellStart"/>
            <w:r w:rsidR="000B5AF3" w:rsidRPr="00C42394">
              <w:rPr>
                <w:lang w:val="fr-CH"/>
              </w:rPr>
              <w:t>R</w:t>
            </w:r>
            <w:r w:rsidR="002E68E3" w:rsidRPr="00C42394">
              <w:rPr>
                <w:lang w:val="fr-CH"/>
              </w:rPr>
              <w:t>é</w:t>
            </w:r>
            <w:r w:rsidR="000B5AF3" w:rsidRPr="00C42394">
              <w:rPr>
                <w:lang w:val="fr-CH"/>
              </w:rPr>
              <w:t>v</w:t>
            </w:r>
            <w:proofErr w:type="spellEnd"/>
            <w:r w:rsidR="000B5AF3" w:rsidRPr="00C42394">
              <w:rPr>
                <w:lang w:val="fr-CH"/>
              </w:rPr>
              <w:t>. Busan, 2014)</w:t>
            </w:r>
            <w:r w:rsidR="00196069" w:rsidRPr="00C42394">
              <w:rPr>
                <w:lang w:val="fr-CH"/>
              </w:rPr>
              <w:t xml:space="preserve"> de la </w:t>
            </w:r>
            <w:r w:rsidR="00196069" w:rsidRPr="00C42394">
              <w:rPr>
                <w:rFonts w:cs="Segoe UI"/>
                <w:lang w:val="fr-CH"/>
              </w:rPr>
              <w:t xml:space="preserve">Conférence de </w:t>
            </w:r>
            <w:proofErr w:type="gramStart"/>
            <w:r w:rsidR="00196069" w:rsidRPr="00C42394">
              <w:rPr>
                <w:rFonts w:cs="Segoe UI"/>
                <w:lang w:val="fr-CH"/>
              </w:rPr>
              <w:t>plénipotentiaires</w:t>
            </w:r>
            <w:r w:rsidR="000B5AF3" w:rsidRPr="00C42394">
              <w:rPr>
                <w:lang w:val="fr-CH"/>
              </w:rPr>
              <w:t>;</w:t>
            </w:r>
            <w:proofErr w:type="gramEnd"/>
            <w:r w:rsidR="000B5AF3" w:rsidRPr="00C42394">
              <w:rPr>
                <w:lang w:val="fr-CH"/>
              </w:rPr>
              <w:t xml:space="preserve"> </w:t>
            </w:r>
            <w:r w:rsidR="002E68E3" w:rsidRPr="00C42394">
              <w:rPr>
                <w:lang w:val="fr-CH"/>
              </w:rPr>
              <w:t>Documents du Conseil</w:t>
            </w:r>
            <w:r w:rsidR="000B5AF3" w:rsidRPr="00C42394">
              <w:rPr>
                <w:lang w:val="fr-CH"/>
              </w:rPr>
              <w:t xml:space="preserve"> </w:t>
            </w:r>
            <w:hyperlink r:id="rId9" w:history="1">
              <w:r w:rsidR="000B5AF3" w:rsidRPr="00C42394">
                <w:rPr>
                  <w:rStyle w:val="Hyperlink"/>
                  <w:lang w:val="fr-CH"/>
                </w:rPr>
                <w:t>C18/96</w:t>
              </w:r>
            </w:hyperlink>
            <w:r w:rsidR="000B5AF3" w:rsidRPr="00C42394">
              <w:rPr>
                <w:lang w:val="fr-CH"/>
              </w:rPr>
              <w:t xml:space="preserve">, </w:t>
            </w:r>
            <w:hyperlink r:id="rId10" w:history="1">
              <w:r w:rsidR="000B5AF3" w:rsidRPr="00C42394">
                <w:rPr>
                  <w:rStyle w:val="Hyperlink"/>
                  <w:lang w:val="fr-CH"/>
                </w:rPr>
                <w:t>C18/105</w:t>
              </w:r>
            </w:hyperlink>
          </w:p>
        </w:tc>
        <w:bookmarkStart w:id="6" w:name="_GoBack"/>
        <w:bookmarkEnd w:id="6"/>
      </w:tr>
    </w:tbl>
    <w:p w:rsidR="00F176C9" w:rsidRPr="00C42394" w:rsidRDefault="00F176C9" w:rsidP="00196069">
      <w:pPr>
        <w:rPr>
          <w:lang w:val="fr-CH"/>
        </w:rPr>
      </w:pPr>
    </w:p>
    <w:p w:rsidR="000B5AF3" w:rsidRPr="00C42394" w:rsidRDefault="00CD2D41" w:rsidP="00196069">
      <w:pPr>
        <w:rPr>
          <w:lang w:val="fr-CH"/>
        </w:rPr>
      </w:pPr>
      <w:r w:rsidRPr="00C42394">
        <w:rPr>
          <w:lang w:val="fr-CH"/>
        </w:rPr>
        <w:t xml:space="preserve">Le présent </w:t>
      </w:r>
      <w:r w:rsidR="00F176C9" w:rsidRPr="00C42394">
        <w:rPr>
          <w:lang w:val="fr-CH"/>
        </w:rPr>
        <w:t xml:space="preserve">document </w:t>
      </w:r>
      <w:r w:rsidR="00196069" w:rsidRPr="00C42394">
        <w:rPr>
          <w:lang w:val="fr-CH"/>
        </w:rPr>
        <w:t>décrit</w:t>
      </w:r>
      <w:r w:rsidRPr="00C42394">
        <w:rPr>
          <w:lang w:val="fr-CH"/>
        </w:rPr>
        <w:t xml:space="preserve"> les activités </w:t>
      </w:r>
      <w:r w:rsidR="005E18AA" w:rsidRPr="00C42394">
        <w:rPr>
          <w:lang w:val="fr-CH"/>
        </w:rPr>
        <w:t xml:space="preserve">qui ont été </w:t>
      </w:r>
      <w:r w:rsidR="00196069" w:rsidRPr="00C42394">
        <w:rPr>
          <w:lang w:val="fr-CH"/>
        </w:rPr>
        <w:t xml:space="preserve">mises en </w:t>
      </w:r>
      <w:proofErr w:type="spellStart"/>
      <w:r w:rsidR="00196069" w:rsidRPr="00C42394">
        <w:rPr>
          <w:lang w:val="fr-CH"/>
        </w:rPr>
        <w:t>oeuvre</w:t>
      </w:r>
      <w:proofErr w:type="spellEnd"/>
      <w:r w:rsidRPr="00C42394">
        <w:rPr>
          <w:lang w:val="fr-CH"/>
        </w:rPr>
        <w:t xml:space="preserve"> conformément à la Résolution 131 (</w:t>
      </w:r>
      <w:proofErr w:type="spellStart"/>
      <w:r w:rsidR="00855290" w:rsidRPr="00C42394">
        <w:rPr>
          <w:lang w:val="fr-CH"/>
        </w:rPr>
        <w:t>R</w:t>
      </w:r>
      <w:r w:rsidR="00622D43" w:rsidRPr="00C42394">
        <w:rPr>
          <w:lang w:val="fr-CH"/>
        </w:rPr>
        <w:t>év</w:t>
      </w:r>
      <w:proofErr w:type="spellEnd"/>
      <w:r w:rsidR="00622D43" w:rsidRPr="00C42394">
        <w:rPr>
          <w:lang w:val="fr-CH"/>
        </w:rPr>
        <w:t>. </w:t>
      </w:r>
      <w:r w:rsidRPr="00C42394">
        <w:rPr>
          <w:lang w:val="fr-CH"/>
        </w:rPr>
        <w:t xml:space="preserve">Busan, 2014) de la </w:t>
      </w:r>
      <w:r w:rsidR="00196069" w:rsidRPr="00C42394">
        <w:rPr>
          <w:rFonts w:cs="Segoe UI"/>
          <w:lang w:val="fr-CH"/>
        </w:rPr>
        <w:t>Conférence de plénipotentiaires</w:t>
      </w:r>
      <w:r w:rsidR="00196069" w:rsidRPr="00C42394">
        <w:rPr>
          <w:lang w:val="fr-CH"/>
        </w:rPr>
        <w:t xml:space="preserve"> au cours</w:t>
      </w:r>
      <w:r w:rsidRPr="00C42394">
        <w:rPr>
          <w:lang w:val="fr-CH"/>
        </w:rPr>
        <w:t xml:space="preserve"> de la période</w:t>
      </w:r>
      <w:r w:rsidR="00196069" w:rsidRPr="00C42394">
        <w:rPr>
          <w:lang w:val="fr-CH"/>
        </w:rPr>
        <w:t> </w:t>
      </w:r>
      <w:r w:rsidRPr="00C42394">
        <w:rPr>
          <w:lang w:val="fr-CH"/>
        </w:rPr>
        <w:t>2014-2018.</w:t>
      </w:r>
    </w:p>
    <w:p w:rsidR="00361956" w:rsidRPr="00C42394" w:rsidRDefault="00361956" w:rsidP="001960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C42394">
        <w:rPr>
          <w:lang w:val="fr-CH"/>
        </w:rPr>
        <w:br w:type="page"/>
      </w:r>
    </w:p>
    <w:p w:rsidR="00C75117" w:rsidRPr="00D7661C" w:rsidRDefault="00361956" w:rsidP="00196069">
      <w:pPr>
        <w:pStyle w:val="Heading1"/>
        <w:rPr>
          <w:sz w:val="26"/>
          <w:szCs w:val="26"/>
          <w:lang w:val="fr-CH"/>
        </w:rPr>
      </w:pPr>
      <w:r w:rsidRPr="00D7661C">
        <w:rPr>
          <w:sz w:val="26"/>
          <w:szCs w:val="26"/>
          <w:lang w:val="fr-CH"/>
        </w:rPr>
        <w:lastRenderedPageBreak/>
        <w:t>1</w:t>
      </w:r>
      <w:r w:rsidR="00C75117" w:rsidRPr="00D7661C">
        <w:rPr>
          <w:sz w:val="26"/>
          <w:szCs w:val="26"/>
          <w:lang w:val="fr-CH"/>
        </w:rPr>
        <w:tab/>
      </w:r>
      <w:r w:rsidRPr="00D7661C">
        <w:rPr>
          <w:sz w:val="26"/>
          <w:szCs w:val="26"/>
          <w:lang w:val="fr-CH"/>
        </w:rPr>
        <w:t>Colloque sur les indicat</w:t>
      </w:r>
      <w:r w:rsidR="007067F3" w:rsidRPr="00D7661C">
        <w:rPr>
          <w:sz w:val="26"/>
          <w:szCs w:val="26"/>
          <w:lang w:val="fr-CH"/>
        </w:rPr>
        <w:t xml:space="preserve">eurs des télécommunications/TIC </w:t>
      </w:r>
      <w:r w:rsidRPr="00D7661C">
        <w:rPr>
          <w:sz w:val="26"/>
          <w:szCs w:val="26"/>
          <w:lang w:val="fr-CH"/>
        </w:rPr>
        <w:t>dans le monde</w:t>
      </w:r>
      <w:r w:rsidRPr="00C42394">
        <w:rPr>
          <w:lang w:val="fr-CH"/>
        </w:rPr>
        <w:t xml:space="preserve"> </w:t>
      </w:r>
      <w:r w:rsidRPr="00D7661C">
        <w:rPr>
          <w:sz w:val="26"/>
          <w:szCs w:val="26"/>
          <w:lang w:val="fr-CH"/>
        </w:rPr>
        <w:t>(WTIS)</w:t>
      </w:r>
    </w:p>
    <w:p w:rsidR="00C75117" w:rsidRPr="00C42394" w:rsidRDefault="00772ADD" w:rsidP="00196069">
      <w:pPr>
        <w:rPr>
          <w:lang w:val="fr-CH"/>
        </w:rPr>
      </w:pPr>
      <w:r w:rsidRPr="00C42394">
        <w:rPr>
          <w:lang w:val="fr-CH"/>
        </w:rPr>
        <w:t>Principale tribune mondiale consacrée à la mesure des télécommunications et de la société de 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>information, l</w:t>
      </w:r>
      <w:r w:rsidR="007067F3" w:rsidRPr="00C42394">
        <w:rPr>
          <w:lang w:val="fr-CH"/>
        </w:rPr>
        <w:t>e Colloque sur les indicateurs des télécommunications/TIC dans le monde (WTIS)</w:t>
      </w:r>
      <w:r w:rsidRPr="00C42394">
        <w:rPr>
          <w:lang w:val="fr-CH"/>
        </w:rPr>
        <w:t xml:space="preserve"> </w:t>
      </w:r>
      <w:r w:rsidR="001B2DB7" w:rsidRPr="00C42394">
        <w:rPr>
          <w:lang w:val="fr-CH"/>
        </w:rPr>
        <w:t>a rassemblé</w:t>
      </w:r>
      <w:r w:rsidR="007067F3" w:rsidRPr="00C42394">
        <w:rPr>
          <w:lang w:val="fr-CH"/>
        </w:rPr>
        <w:t xml:space="preserve"> des ministres, des chefs d</w:t>
      </w:r>
      <w:r w:rsidR="00196069" w:rsidRPr="00C42394">
        <w:rPr>
          <w:lang w:val="fr-CH"/>
        </w:rPr>
        <w:t>'</w:t>
      </w:r>
      <w:r w:rsidR="007067F3" w:rsidRPr="00C42394">
        <w:rPr>
          <w:lang w:val="fr-CH"/>
        </w:rPr>
        <w:t xml:space="preserve">entreprise, des </w:t>
      </w:r>
      <w:r w:rsidRPr="00C42394">
        <w:rPr>
          <w:lang w:val="fr-CH"/>
        </w:rPr>
        <w:t>responsables d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>autorités de régulation</w:t>
      </w:r>
      <w:r w:rsidR="007067F3" w:rsidRPr="00C42394">
        <w:rPr>
          <w:lang w:val="fr-CH"/>
        </w:rPr>
        <w:t xml:space="preserve">, des statisticiens de différents pays, des universitaires ainsi que des producteurs </w:t>
      </w:r>
      <w:r w:rsidRPr="00C42394">
        <w:rPr>
          <w:lang w:val="fr-CH"/>
        </w:rPr>
        <w:t>et des</w:t>
      </w:r>
      <w:r w:rsidR="007067F3" w:rsidRPr="00C42394">
        <w:rPr>
          <w:lang w:val="fr-CH"/>
        </w:rPr>
        <w:t xml:space="preserve"> analystes de données sur les TIC du monde entier, afin d</w:t>
      </w:r>
      <w:r w:rsidR="00196069" w:rsidRPr="00C42394">
        <w:rPr>
          <w:lang w:val="fr-CH"/>
        </w:rPr>
        <w:t>'</w:t>
      </w:r>
      <w:r w:rsidR="007067F3" w:rsidRPr="00C42394">
        <w:rPr>
          <w:lang w:val="fr-CH"/>
        </w:rPr>
        <w:t>examiner les questions relatives à l</w:t>
      </w:r>
      <w:r w:rsidR="00196069" w:rsidRPr="00C42394">
        <w:rPr>
          <w:lang w:val="fr-CH"/>
        </w:rPr>
        <w:t>'</w:t>
      </w:r>
      <w:r w:rsidR="007067F3" w:rsidRPr="00C42394">
        <w:rPr>
          <w:lang w:val="fr-CH"/>
        </w:rPr>
        <w:t>évolution de la société de l</w:t>
      </w:r>
      <w:r w:rsidR="00196069" w:rsidRPr="00C42394">
        <w:rPr>
          <w:lang w:val="fr-CH"/>
        </w:rPr>
        <w:t>'</w:t>
      </w:r>
      <w:r w:rsidR="007067F3" w:rsidRPr="00C42394">
        <w:rPr>
          <w:lang w:val="fr-CH"/>
        </w:rPr>
        <w:t xml:space="preserve">information et à la façon de la mesurer. </w:t>
      </w:r>
      <w:r w:rsidR="003503BD" w:rsidRPr="00C42394">
        <w:rPr>
          <w:lang w:val="fr-CH"/>
        </w:rPr>
        <w:t xml:space="preserve">Les </w:t>
      </w:r>
      <w:r w:rsidR="00DA1A07" w:rsidRPr="00C42394">
        <w:rPr>
          <w:lang w:val="fr-CH"/>
        </w:rPr>
        <w:t xml:space="preserve">différentes </w:t>
      </w:r>
      <w:r w:rsidR="008E7A53" w:rsidRPr="00C42394">
        <w:rPr>
          <w:lang w:val="fr-CH"/>
        </w:rPr>
        <w:t>éditions</w:t>
      </w:r>
      <w:r w:rsidR="003503BD" w:rsidRPr="00C42394">
        <w:rPr>
          <w:lang w:val="fr-CH"/>
        </w:rPr>
        <w:t xml:space="preserve"> du </w:t>
      </w:r>
      <w:r w:rsidR="00196069" w:rsidRPr="00C42394">
        <w:rPr>
          <w:lang w:val="fr-CH"/>
        </w:rPr>
        <w:t>Colloque</w:t>
      </w:r>
      <w:r w:rsidR="003503BD" w:rsidRPr="00C42394">
        <w:rPr>
          <w:lang w:val="fr-CH"/>
        </w:rPr>
        <w:t xml:space="preserve"> se sont tenues comme </w:t>
      </w:r>
      <w:proofErr w:type="gramStart"/>
      <w:r w:rsidR="003503BD" w:rsidRPr="00C42394">
        <w:rPr>
          <w:lang w:val="fr-CH"/>
        </w:rPr>
        <w:t>suit</w:t>
      </w:r>
      <w:r w:rsidR="00C75117" w:rsidRPr="00C42394">
        <w:rPr>
          <w:lang w:val="fr-CH"/>
        </w:rPr>
        <w:t>:</w:t>
      </w:r>
      <w:proofErr w:type="gramEnd"/>
    </w:p>
    <w:p w:rsidR="00C75117" w:rsidRPr="00C42394" w:rsidRDefault="00C75117" w:rsidP="00196069">
      <w:pPr>
        <w:pStyle w:val="enumlev1"/>
        <w:rPr>
          <w:lang w:val="fr-CH"/>
        </w:rPr>
      </w:pPr>
      <w:r w:rsidRPr="00C42394">
        <w:rPr>
          <w:lang w:val="fr-CH"/>
        </w:rPr>
        <w:t>•</w:t>
      </w:r>
      <w:r w:rsidRPr="00C42394">
        <w:rPr>
          <w:lang w:val="fr-CH"/>
        </w:rPr>
        <w:tab/>
      </w:r>
      <w:r w:rsidR="00966F36" w:rsidRPr="00C42394">
        <w:rPr>
          <w:lang w:val="fr-CH"/>
        </w:rPr>
        <w:t>Tbilissi</w:t>
      </w:r>
      <w:r w:rsidR="00196069" w:rsidRPr="00C42394">
        <w:rPr>
          <w:lang w:val="fr-CH"/>
        </w:rPr>
        <w:t xml:space="preserve"> (</w:t>
      </w:r>
      <w:r w:rsidR="00966F36" w:rsidRPr="00C42394">
        <w:rPr>
          <w:lang w:val="fr-CH"/>
        </w:rPr>
        <w:t>Géorgie</w:t>
      </w:r>
      <w:r w:rsidR="00196069" w:rsidRPr="00C42394">
        <w:rPr>
          <w:lang w:val="fr-CH"/>
        </w:rPr>
        <w:t>)</w:t>
      </w:r>
      <w:r w:rsidRPr="00C42394">
        <w:rPr>
          <w:lang w:val="fr-CH"/>
        </w:rPr>
        <w:t>, 24</w:t>
      </w:r>
      <w:r w:rsidR="00196069" w:rsidRPr="00C42394">
        <w:rPr>
          <w:lang w:val="fr-CH"/>
        </w:rPr>
        <w:t>-</w:t>
      </w:r>
      <w:r w:rsidRPr="00C42394">
        <w:rPr>
          <w:lang w:val="fr-CH"/>
        </w:rPr>
        <w:t xml:space="preserve">26 </w:t>
      </w:r>
      <w:r w:rsidR="008777C4" w:rsidRPr="00C42394">
        <w:rPr>
          <w:lang w:val="fr-CH"/>
        </w:rPr>
        <w:t>novembre</w:t>
      </w:r>
      <w:r w:rsidRPr="00C42394">
        <w:rPr>
          <w:lang w:val="fr-CH"/>
        </w:rPr>
        <w:t xml:space="preserve"> 2014</w:t>
      </w:r>
    </w:p>
    <w:p w:rsidR="00C75117" w:rsidRPr="00C42394" w:rsidRDefault="00196069" w:rsidP="00196069">
      <w:pPr>
        <w:pStyle w:val="enumlev1"/>
        <w:rPr>
          <w:lang w:val="fr-CH"/>
        </w:rPr>
      </w:pPr>
      <w:r w:rsidRPr="00C42394">
        <w:rPr>
          <w:lang w:val="fr-CH"/>
        </w:rPr>
        <w:t>•</w:t>
      </w:r>
      <w:r w:rsidRPr="00C42394">
        <w:rPr>
          <w:lang w:val="fr-CH"/>
        </w:rPr>
        <w:tab/>
        <w:t>Hiroshima (</w:t>
      </w:r>
      <w:r w:rsidR="007067F3" w:rsidRPr="00C42394">
        <w:rPr>
          <w:lang w:val="fr-CH"/>
        </w:rPr>
        <w:t>Jap</w:t>
      </w:r>
      <w:r w:rsidR="00966F36" w:rsidRPr="00C42394">
        <w:rPr>
          <w:lang w:val="fr-CH"/>
        </w:rPr>
        <w:t>o</w:t>
      </w:r>
      <w:r w:rsidR="007067F3" w:rsidRPr="00C42394">
        <w:rPr>
          <w:lang w:val="fr-CH"/>
        </w:rPr>
        <w:t>n</w:t>
      </w:r>
      <w:r w:rsidRPr="00C42394">
        <w:rPr>
          <w:lang w:val="fr-CH"/>
        </w:rPr>
        <w:t>)</w:t>
      </w:r>
      <w:r w:rsidR="007067F3" w:rsidRPr="00C42394">
        <w:rPr>
          <w:lang w:val="fr-CH"/>
        </w:rPr>
        <w:t xml:space="preserve">, 30 </w:t>
      </w:r>
      <w:r w:rsidR="00966F36" w:rsidRPr="00C42394">
        <w:rPr>
          <w:lang w:val="fr-CH"/>
        </w:rPr>
        <w:t>novembr</w:t>
      </w:r>
      <w:r w:rsidR="003A5916" w:rsidRPr="00C42394">
        <w:rPr>
          <w:lang w:val="fr-CH"/>
        </w:rPr>
        <w:t>e</w:t>
      </w:r>
      <w:r w:rsidR="005E18AA" w:rsidRPr="00C42394">
        <w:rPr>
          <w:lang w:val="fr-CH"/>
        </w:rPr>
        <w:t xml:space="preserve"> </w:t>
      </w:r>
      <w:r w:rsidR="007067F3" w:rsidRPr="00C42394">
        <w:rPr>
          <w:lang w:val="fr-CH"/>
        </w:rPr>
        <w:t>–</w:t>
      </w:r>
      <w:r w:rsidR="005E18AA" w:rsidRPr="00C42394">
        <w:rPr>
          <w:lang w:val="fr-CH"/>
        </w:rPr>
        <w:t xml:space="preserve"> </w:t>
      </w:r>
      <w:r w:rsidR="00C75117" w:rsidRPr="00C42394">
        <w:rPr>
          <w:lang w:val="fr-CH"/>
        </w:rPr>
        <w:t xml:space="preserve">2 </w:t>
      </w:r>
      <w:r w:rsidR="003A5916" w:rsidRPr="00C42394">
        <w:rPr>
          <w:lang w:val="fr-CH"/>
        </w:rPr>
        <w:t>décembre</w:t>
      </w:r>
      <w:r w:rsidR="00C75117" w:rsidRPr="00C42394">
        <w:rPr>
          <w:lang w:val="fr-CH"/>
        </w:rPr>
        <w:t xml:space="preserve"> 2015</w:t>
      </w:r>
    </w:p>
    <w:p w:rsidR="00C75117" w:rsidRPr="00C42394" w:rsidRDefault="00196069" w:rsidP="00196069">
      <w:pPr>
        <w:pStyle w:val="enumlev1"/>
        <w:rPr>
          <w:lang w:val="fr-CH"/>
        </w:rPr>
      </w:pPr>
      <w:r w:rsidRPr="00C42394">
        <w:rPr>
          <w:lang w:val="fr-CH"/>
        </w:rPr>
        <w:t>•</w:t>
      </w:r>
      <w:r w:rsidRPr="00C42394">
        <w:rPr>
          <w:lang w:val="fr-CH"/>
        </w:rPr>
        <w:tab/>
        <w:t>Gaborone (</w:t>
      </w:r>
      <w:r w:rsidR="00C75117" w:rsidRPr="00C42394">
        <w:rPr>
          <w:lang w:val="fr-CH"/>
        </w:rPr>
        <w:t>Botswana</w:t>
      </w:r>
      <w:r w:rsidRPr="00C42394">
        <w:rPr>
          <w:lang w:val="fr-CH"/>
        </w:rPr>
        <w:t>)</w:t>
      </w:r>
      <w:r w:rsidR="00C75117" w:rsidRPr="00C42394">
        <w:rPr>
          <w:lang w:val="fr-CH"/>
        </w:rPr>
        <w:t>, 21</w:t>
      </w:r>
      <w:r w:rsidRPr="00C42394">
        <w:rPr>
          <w:lang w:val="fr-CH"/>
        </w:rPr>
        <w:t>-</w:t>
      </w:r>
      <w:r w:rsidR="00C75117" w:rsidRPr="00C42394">
        <w:rPr>
          <w:lang w:val="fr-CH"/>
        </w:rPr>
        <w:t xml:space="preserve">23 </w:t>
      </w:r>
      <w:r w:rsidR="00A27857" w:rsidRPr="00C42394">
        <w:rPr>
          <w:lang w:val="fr-CH"/>
        </w:rPr>
        <w:t>novemb</w:t>
      </w:r>
      <w:r w:rsidR="00C75117" w:rsidRPr="00C42394">
        <w:rPr>
          <w:lang w:val="fr-CH"/>
        </w:rPr>
        <w:t>r</w:t>
      </w:r>
      <w:r w:rsidR="00A27857" w:rsidRPr="00C42394">
        <w:rPr>
          <w:lang w:val="fr-CH"/>
        </w:rPr>
        <w:t>e</w:t>
      </w:r>
      <w:r w:rsidR="00C75117" w:rsidRPr="00C42394">
        <w:rPr>
          <w:lang w:val="fr-CH"/>
        </w:rPr>
        <w:t xml:space="preserve"> 2016</w:t>
      </w:r>
    </w:p>
    <w:p w:rsidR="00C75117" w:rsidRPr="00C42394" w:rsidRDefault="00196069" w:rsidP="00196069">
      <w:pPr>
        <w:pStyle w:val="enumlev1"/>
        <w:rPr>
          <w:lang w:val="fr-CH"/>
        </w:rPr>
      </w:pPr>
      <w:r w:rsidRPr="00C42394">
        <w:rPr>
          <w:lang w:val="fr-CH"/>
        </w:rPr>
        <w:t>•</w:t>
      </w:r>
      <w:r w:rsidRPr="00C42394">
        <w:rPr>
          <w:lang w:val="fr-CH"/>
        </w:rPr>
        <w:tab/>
        <w:t>Hammamet (</w:t>
      </w:r>
      <w:r w:rsidR="00C75117" w:rsidRPr="00C42394">
        <w:rPr>
          <w:lang w:val="fr-CH"/>
        </w:rPr>
        <w:t>Tunisi</w:t>
      </w:r>
      <w:r w:rsidR="00A27857" w:rsidRPr="00C42394">
        <w:rPr>
          <w:lang w:val="fr-CH"/>
        </w:rPr>
        <w:t>e</w:t>
      </w:r>
      <w:r w:rsidRPr="00C42394">
        <w:rPr>
          <w:lang w:val="fr-CH"/>
        </w:rPr>
        <w:t>)</w:t>
      </w:r>
      <w:r w:rsidR="00C75117" w:rsidRPr="00C42394">
        <w:rPr>
          <w:lang w:val="fr-CH"/>
        </w:rPr>
        <w:t>, 14</w:t>
      </w:r>
      <w:r w:rsidRPr="00C42394">
        <w:rPr>
          <w:lang w:val="fr-CH"/>
        </w:rPr>
        <w:t>-</w:t>
      </w:r>
      <w:r w:rsidR="00C75117" w:rsidRPr="00C42394">
        <w:rPr>
          <w:lang w:val="fr-CH"/>
        </w:rPr>
        <w:t xml:space="preserve">16 </w:t>
      </w:r>
      <w:r w:rsidR="00A27857" w:rsidRPr="00C42394">
        <w:rPr>
          <w:lang w:val="fr-CH"/>
        </w:rPr>
        <w:t>novembre</w:t>
      </w:r>
      <w:r w:rsidR="00C75117" w:rsidRPr="00C42394">
        <w:rPr>
          <w:lang w:val="fr-CH"/>
        </w:rPr>
        <w:t xml:space="preserve"> 2017</w:t>
      </w:r>
    </w:p>
    <w:p w:rsidR="00C75117" w:rsidRPr="00C42394" w:rsidRDefault="008C08CF" w:rsidP="00196069">
      <w:pPr>
        <w:rPr>
          <w:lang w:val="fr-CH"/>
        </w:rPr>
      </w:pPr>
      <w:r w:rsidRPr="00C42394">
        <w:rPr>
          <w:lang w:val="fr-CH"/>
        </w:rPr>
        <w:t>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 xml:space="preserve">édition </w:t>
      </w:r>
      <w:r w:rsidR="000D4D2B" w:rsidRPr="00C42394">
        <w:rPr>
          <w:lang w:val="fr-CH"/>
        </w:rPr>
        <w:t xml:space="preserve">de 2018 du </w:t>
      </w:r>
      <w:r w:rsidR="00196069" w:rsidRPr="00C42394">
        <w:rPr>
          <w:lang w:val="fr-CH"/>
        </w:rPr>
        <w:t>Colloque</w:t>
      </w:r>
      <w:r w:rsidR="000D4D2B" w:rsidRPr="00C42394">
        <w:rPr>
          <w:lang w:val="fr-CH"/>
        </w:rPr>
        <w:t xml:space="preserve"> se tiendra à Genève (Suisse), du 10 au 12 décembre</w:t>
      </w:r>
      <w:r w:rsidR="00F62AC9" w:rsidRPr="00C42394">
        <w:rPr>
          <w:lang w:val="fr-CH"/>
        </w:rPr>
        <w:t xml:space="preserve"> 2018.</w:t>
      </w:r>
    </w:p>
    <w:p w:rsidR="00C75117" w:rsidRPr="00D7661C" w:rsidRDefault="003C1015" w:rsidP="00D7661C">
      <w:pPr>
        <w:pStyle w:val="Heading1"/>
        <w:spacing w:before="360"/>
        <w:rPr>
          <w:sz w:val="26"/>
          <w:szCs w:val="26"/>
          <w:lang w:val="fr-CH"/>
        </w:rPr>
      </w:pPr>
      <w:r w:rsidRPr="00D7661C">
        <w:rPr>
          <w:sz w:val="26"/>
          <w:szCs w:val="26"/>
          <w:lang w:val="fr-CH"/>
        </w:rPr>
        <w:t>2</w:t>
      </w:r>
      <w:r w:rsidR="00C75117" w:rsidRPr="00D7661C">
        <w:rPr>
          <w:bCs/>
          <w:sz w:val="26"/>
          <w:szCs w:val="26"/>
          <w:lang w:val="fr-CH"/>
        </w:rPr>
        <w:tab/>
      </w:r>
      <w:r w:rsidR="003B6F64" w:rsidRPr="00D7661C">
        <w:rPr>
          <w:bCs/>
          <w:sz w:val="26"/>
          <w:szCs w:val="26"/>
          <w:lang w:val="fr-CH"/>
        </w:rPr>
        <w:t>Groupe d</w:t>
      </w:r>
      <w:r w:rsidR="00196069" w:rsidRPr="00D7661C">
        <w:rPr>
          <w:bCs/>
          <w:sz w:val="26"/>
          <w:szCs w:val="26"/>
          <w:lang w:val="fr-CH"/>
        </w:rPr>
        <w:t>'</w:t>
      </w:r>
      <w:r w:rsidR="003B6F64" w:rsidRPr="00D7661C">
        <w:rPr>
          <w:bCs/>
          <w:sz w:val="26"/>
          <w:szCs w:val="26"/>
          <w:lang w:val="fr-CH"/>
        </w:rPr>
        <w:t>experts sur les indicateurs des télécommunications/TIC (EGTI</w:t>
      </w:r>
      <w:proofErr w:type="gramStart"/>
      <w:r w:rsidR="003B6F64" w:rsidRPr="00D7661C">
        <w:rPr>
          <w:bCs/>
          <w:sz w:val="26"/>
          <w:szCs w:val="26"/>
          <w:lang w:val="fr-CH"/>
        </w:rPr>
        <w:t>)</w:t>
      </w:r>
      <w:proofErr w:type="gramEnd"/>
      <w:r w:rsidR="003B6F64" w:rsidRPr="00D7661C">
        <w:rPr>
          <w:bCs/>
          <w:sz w:val="26"/>
          <w:szCs w:val="26"/>
          <w:lang w:val="fr-CH"/>
        </w:rPr>
        <w:br/>
        <w:t>et Groupe d</w:t>
      </w:r>
      <w:r w:rsidR="00196069" w:rsidRPr="00D7661C">
        <w:rPr>
          <w:bCs/>
          <w:sz w:val="26"/>
          <w:szCs w:val="26"/>
          <w:lang w:val="fr-CH"/>
        </w:rPr>
        <w:t>'</w:t>
      </w:r>
      <w:r w:rsidR="003B6F64" w:rsidRPr="00D7661C">
        <w:rPr>
          <w:bCs/>
          <w:sz w:val="26"/>
          <w:szCs w:val="26"/>
          <w:lang w:val="fr-CH"/>
        </w:rPr>
        <w:t>experts sur les indicateurs relatifs à l</w:t>
      </w:r>
      <w:r w:rsidR="00196069" w:rsidRPr="00D7661C">
        <w:rPr>
          <w:bCs/>
          <w:sz w:val="26"/>
          <w:szCs w:val="26"/>
          <w:lang w:val="fr-CH"/>
        </w:rPr>
        <w:t>'</w:t>
      </w:r>
      <w:r w:rsidR="003B6F64" w:rsidRPr="00D7661C">
        <w:rPr>
          <w:bCs/>
          <w:sz w:val="26"/>
          <w:szCs w:val="26"/>
          <w:lang w:val="fr-CH"/>
        </w:rPr>
        <w:t>utilisation des TIC</w:t>
      </w:r>
      <w:r w:rsidR="003B6F64" w:rsidRPr="00D7661C">
        <w:rPr>
          <w:bCs/>
          <w:sz w:val="26"/>
          <w:szCs w:val="26"/>
          <w:lang w:val="fr-CH"/>
        </w:rPr>
        <w:br/>
        <w:t>par les ménages (EGH)</w:t>
      </w:r>
    </w:p>
    <w:p w:rsidR="00C75117" w:rsidRPr="00C42394" w:rsidRDefault="00150E02" w:rsidP="00196069">
      <w:pPr>
        <w:rPr>
          <w:lang w:val="fr-CH"/>
        </w:rPr>
      </w:pPr>
      <w:r w:rsidRPr="00C42394">
        <w:rPr>
          <w:lang w:val="fr-CH"/>
        </w:rPr>
        <w:t>Les groupes d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 xml:space="preserve">experts (EGTI et EGH) ont mené leurs travaux </w:t>
      </w:r>
      <w:r w:rsidR="00443497" w:rsidRPr="00C42394">
        <w:rPr>
          <w:lang w:val="fr-CH"/>
        </w:rPr>
        <w:t>via le</w:t>
      </w:r>
      <w:r w:rsidRPr="00C42394">
        <w:rPr>
          <w:lang w:val="fr-CH"/>
        </w:rPr>
        <w:t xml:space="preserve"> forum en ligne et </w:t>
      </w:r>
      <w:r w:rsidR="00196069" w:rsidRPr="00C42394">
        <w:rPr>
          <w:lang w:val="fr-CH"/>
        </w:rPr>
        <w:t>ont tenu une réunion traditionnelle</w:t>
      </w:r>
      <w:r w:rsidRPr="00C42394">
        <w:rPr>
          <w:lang w:val="fr-CH"/>
        </w:rPr>
        <w:t xml:space="preserve"> chaque année pour examiner les </w:t>
      </w:r>
      <w:r w:rsidR="00143BA1" w:rsidRPr="00C42394">
        <w:rPr>
          <w:lang w:val="fr-CH"/>
        </w:rPr>
        <w:t xml:space="preserve">méthodes </w:t>
      </w:r>
      <w:r w:rsidRPr="00C42394">
        <w:rPr>
          <w:lang w:val="fr-CH"/>
        </w:rPr>
        <w:t xml:space="preserve">ainsi que les définitions </w:t>
      </w:r>
      <w:r w:rsidR="00196069" w:rsidRPr="00C42394">
        <w:rPr>
          <w:lang w:val="fr-CH"/>
        </w:rPr>
        <w:t>des</w:t>
      </w:r>
      <w:r w:rsidRPr="00C42394">
        <w:rPr>
          <w:lang w:val="fr-CH"/>
        </w:rPr>
        <w:t xml:space="preserve"> indicateurs existants.</w:t>
      </w:r>
      <w:r w:rsidR="00C75117" w:rsidRPr="00C42394">
        <w:rPr>
          <w:lang w:val="fr-CH"/>
        </w:rPr>
        <w:t xml:space="preserve"> </w:t>
      </w:r>
      <w:r w:rsidR="00196069" w:rsidRPr="00C42394">
        <w:rPr>
          <w:lang w:val="fr-CH"/>
        </w:rPr>
        <w:t>Ils</w:t>
      </w:r>
      <w:r w:rsidR="002D235E" w:rsidRPr="00C42394">
        <w:rPr>
          <w:lang w:val="fr-CH"/>
        </w:rPr>
        <w:t xml:space="preserve"> ont présenté 14 nouveaux indicateurs </w:t>
      </w:r>
      <w:r w:rsidR="00015F28" w:rsidRPr="00C42394">
        <w:rPr>
          <w:lang w:val="fr-CH"/>
        </w:rPr>
        <w:t xml:space="preserve">des </w:t>
      </w:r>
      <w:r w:rsidR="002D235E" w:rsidRPr="00C42394">
        <w:rPr>
          <w:lang w:val="fr-CH"/>
        </w:rPr>
        <w:t xml:space="preserve">TIC </w:t>
      </w:r>
      <w:r w:rsidR="00196069" w:rsidRPr="00C42394">
        <w:rPr>
          <w:lang w:val="fr-CH"/>
        </w:rPr>
        <w:t>qui ont remplacé</w:t>
      </w:r>
      <w:r w:rsidR="002D235E" w:rsidRPr="00C42394">
        <w:rPr>
          <w:lang w:val="fr-CH"/>
        </w:rPr>
        <w:t xml:space="preserve"> les 11</w:t>
      </w:r>
      <w:r w:rsidR="00196069" w:rsidRPr="00C42394">
        <w:rPr>
          <w:lang w:val="fr-CH"/>
        </w:rPr>
        <w:t> </w:t>
      </w:r>
      <w:r w:rsidR="002D235E" w:rsidRPr="00C42394">
        <w:rPr>
          <w:lang w:val="fr-CH"/>
        </w:rPr>
        <w:t xml:space="preserve">indicateurs </w:t>
      </w:r>
      <w:r w:rsidR="00E94D61" w:rsidRPr="00C42394">
        <w:rPr>
          <w:lang w:val="fr-CH"/>
        </w:rPr>
        <w:t>utilisés jusqu</w:t>
      </w:r>
      <w:r w:rsidR="00196069" w:rsidRPr="00C42394">
        <w:rPr>
          <w:lang w:val="fr-CH"/>
        </w:rPr>
        <w:t>'alors</w:t>
      </w:r>
      <w:r w:rsidR="00C22C09" w:rsidRPr="00C42394">
        <w:rPr>
          <w:lang w:val="fr-CH"/>
        </w:rPr>
        <w:t xml:space="preserve">, </w:t>
      </w:r>
      <w:r w:rsidR="00196069" w:rsidRPr="00C42394">
        <w:rPr>
          <w:lang w:val="fr-CH"/>
        </w:rPr>
        <w:t>afin</w:t>
      </w:r>
      <w:r w:rsidR="00C22C09" w:rsidRPr="00C42394">
        <w:rPr>
          <w:lang w:val="fr-CH"/>
        </w:rPr>
        <w:t xml:space="preserve"> de tenir compte des </w:t>
      </w:r>
      <w:r w:rsidR="00196069" w:rsidRPr="00C42394">
        <w:rPr>
          <w:lang w:val="fr-CH"/>
        </w:rPr>
        <w:t>nouvelles</w:t>
      </w:r>
      <w:r w:rsidR="00C22C09" w:rsidRPr="00C42394">
        <w:rPr>
          <w:lang w:val="fr-CH"/>
        </w:rPr>
        <w:t xml:space="preserve"> tend</w:t>
      </w:r>
      <w:r w:rsidR="009C5A4F" w:rsidRPr="00C42394">
        <w:rPr>
          <w:lang w:val="fr-CH"/>
        </w:rPr>
        <w:t>ances en matière de technologie</w:t>
      </w:r>
      <w:r w:rsidR="00C75117" w:rsidRPr="00C42394">
        <w:rPr>
          <w:lang w:val="fr-CH"/>
        </w:rPr>
        <w:t>.</w:t>
      </w:r>
    </w:p>
    <w:p w:rsidR="00C75117" w:rsidRPr="00D7661C" w:rsidRDefault="003C1015" w:rsidP="00D7661C">
      <w:pPr>
        <w:pStyle w:val="Heading1"/>
        <w:spacing w:before="360"/>
        <w:rPr>
          <w:sz w:val="26"/>
          <w:szCs w:val="26"/>
          <w:lang w:val="fr-CH"/>
        </w:rPr>
      </w:pPr>
      <w:r w:rsidRPr="00D7661C">
        <w:rPr>
          <w:sz w:val="26"/>
          <w:szCs w:val="26"/>
          <w:lang w:val="fr-CH"/>
        </w:rPr>
        <w:t>3</w:t>
      </w:r>
      <w:r w:rsidR="00C75117" w:rsidRPr="00D7661C">
        <w:rPr>
          <w:sz w:val="26"/>
          <w:szCs w:val="26"/>
          <w:lang w:val="fr-CH"/>
        </w:rPr>
        <w:tab/>
      </w:r>
      <w:r w:rsidR="003B6F64" w:rsidRPr="00D7661C">
        <w:rPr>
          <w:sz w:val="26"/>
          <w:szCs w:val="26"/>
          <w:lang w:val="fr-CH"/>
        </w:rPr>
        <w:t>Indice de développement des TIC (IDI)</w:t>
      </w:r>
    </w:p>
    <w:p w:rsidR="00C75117" w:rsidRPr="00C42394" w:rsidRDefault="00DB5F5E" w:rsidP="00301137">
      <w:pPr>
        <w:rPr>
          <w:lang w:val="fr-CH"/>
        </w:rPr>
      </w:pPr>
      <w:r w:rsidRPr="00C42394">
        <w:rPr>
          <w:lang w:val="fr-CH"/>
        </w:rPr>
        <w:t>Lors</w:t>
      </w:r>
      <w:r w:rsidR="00265F8F" w:rsidRPr="00C42394">
        <w:rPr>
          <w:lang w:val="fr-CH"/>
        </w:rPr>
        <w:t xml:space="preserve"> de la réunion extraordinaire des groupes d</w:t>
      </w:r>
      <w:r w:rsidR="00196069" w:rsidRPr="00C42394">
        <w:rPr>
          <w:lang w:val="fr-CH"/>
        </w:rPr>
        <w:t>'</w:t>
      </w:r>
      <w:r w:rsidR="00265F8F" w:rsidRPr="00C42394">
        <w:rPr>
          <w:lang w:val="fr-CH"/>
        </w:rPr>
        <w:t>experts EGTI/EGH, qui s</w:t>
      </w:r>
      <w:r w:rsidR="00196069" w:rsidRPr="00C42394">
        <w:rPr>
          <w:lang w:val="fr-CH"/>
        </w:rPr>
        <w:t>'</w:t>
      </w:r>
      <w:r w:rsidR="00265F8F" w:rsidRPr="00C42394">
        <w:rPr>
          <w:lang w:val="fr-CH"/>
        </w:rPr>
        <w:t>est déroulée du 1er au 3</w:t>
      </w:r>
      <w:r w:rsidR="00196069" w:rsidRPr="00C42394">
        <w:rPr>
          <w:lang w:val="fr-CH"/>
        </w:rPr>
        <w:t> mars 2017, l</w:t>
      </w:r>
      <w:r w:rsidR="00265F8F" w:rsidRPr="00C42394">
        <w:rPr>
          <w:lang w:val="fr-CH"/>
        </w:rPr>
        <w:t>es experts ont revu la composition de l</w:t>
      </w:r>
      <w:r w:rsidR="00196069" w:rsidRPr="00C42394">
        <w:rPr>
          <w:lang w:val="fr-CH"/>
        </w:rPr>
        <w:t>'</w:t>
      </w:r>
      <w:r w:rsidR="00301137">
        <w:rPr>
          <w:lang w:val="fr-CH"/>
        </w:rPr>
        <w:t>i</w:t>
      </w:r>
      <w:r w:rsidR="00265F8F" w:rsidRPr="00C42394">
        <w:rPr>
          <w:lang w:val="fr-CH"/>
        </w:rPr>
        <w:t xml:space="preserve">ndice de développement des TIC </w:t>
      </w:r>
      <w:r w:rsidR="00AF3FE3" w:rsidRPr="00C42394">
        <w:rPr>
          <w:lang w:val="fr-CH"/>
        </w:rPr>
        <w:t>(ID</w:t>
      </w:r>
      <w:r w:rsidR="005A66FC" w:rsidRPr="00C42394">
        <w:rPr>
          <w:lang w:val="fr-CH"/>
        </w:rPr>
        <w:t>I</w:t>
      </w:r>
      <w:r w:rsidR="00AF3FE3" w:rsidRPr="00C42394">
        <w:rPr>
          <w:lang w:val="fr-CH"/>
        </w:rPr>
        <w:t xml:space="preserve">) </w:t>
      </w:r>
      <w:r w:rsidR="00265F8F" w:rsidRPr="00C42394">
        <w:rPr>
          <w:lang w:val="fr-CH"/>
        </w:rPr>
        <w:t xml:space="preserve">afin de mieux rendre compte des derniers développements </w:t>
      </w:r>
      <w:r w:rsidR="00AF3FE3" w:rsidRPr="00C42394">
        <w:rPr>
          <w:lang w:val="fr-CH"/>
        </w:rPr>
        <w:t xml:space="preserve">qui ont eu lieu </w:t>
      </w:r>
      <w:r w:rsidR="00265F8F" w:rsidRPr="00C42394">
        <w:rPr>
          <w:lang w:val="fr-CH"/>
        </w:rPr>
        <w:t xml:space="preserve">dans le secteur des TIC. </w:t>
      </w:r>
      <w:r w:rsidR="00AF3FE3" w:rsidRPr="00C42394">
        <w:rPr>
          <w:lang w:val="fr-CH"/>
        </w:rPr>
        <w:t xml:space="preserve">Les participants à la réunion ont adopté une liste révisée de 14 indicateurs </w:t>
      </w:r>
      <w:r w:rsidR="00196069" w:rsidRPr="00C42394">
        <w:rPr>
          <w:lang w:val="fr-CH"/>
        </w:rPr>
        <w:t>à prendre en compte</w:t>
      </w:r>
      <w:r w:rsidR="00AF3FE3" w:rsidRPr="00C42394">
        <w:rPr>
          <w:lang w:val="fr-CH"/>
        </w:rPr>
        <w:t xml:space="preserve"> dans </w:t>
      </w:r>
      <w:r w:rsidR="00196069" w:rsidRPr="00C42394">
        <w:rPr>
          <w:lang w:val="fr-CH"/>
        </w:rPr>
        <w:t xml:space="preserve">la définition de </w:t>
      </w:r>
      <w:r w:rsidR="00AF3FE3" w:rsidRPr="00C42394">
        <w:rPr>
          <w:lang w:val="fr-CH"/>
        </w:rPr>
        <w:t>l</w:t>
      </w:r>
      <w:r w:rsidR="00196069" w:rsidRPr="00C42394">
        <w:rPr>
          <w:lang w:val="fr-CH"/>
        </w:rPr>
        <w:t>'</w:t>
      </w:r>
      <w:r w:rsidR="00301137">
        <w:rPr>
          <w:lang w:val="fr-CH"/>
        </w:rPr>
        <w:t>i</w:t>
      </w:r>
      <w:r w:rsidR="00074AA1" w:rsidRPr="00C42394">
        <w:rPr>
          <w:lang w:val="fr-CH"/>
        </w:rPr>
        <w:t xml:space="preserve">ndice </w:t>
      </w:r>
      <w:r w:rsidR="00AF3FE3" w:rsidRPr="00C42394">
        <w:rPr>
          <w:lang w:val="fr-CH"/>
        </w:rPr>
        <w:t>IDI</w:t>
      </w:r>
      <w:r w:rsidR="00A65D8A" w:rsidRPr="00C42394">
        <w:rPr>
          <w:lang w:val="fr-CH"/>
        </w:rPr>
        <w:t xml:space="preserve">, </w:t>
      </w:r>
      <w:r w:rsidR="00196069" w:rsidRPr="00C42394">
        <w:rPr>
          <w:lang w:val="fr-CH"/>
        </w:rPr>
        <w:t>remplaçant</w:t>
      </w:r>
      <w:r w:rsidR="00A65D8A" w:rsidRPr="00C42394">
        <w:rPr>
          <w:lang w:val="fr-CH"/>
        </w:rPr>
        <w:t xml:space="preserve"> </w:t>
      </w:r>
      <w:r w:rsidR="00402F2F" w:rsidRPr="00C42394">
        <w:rPr>
          <w:lang w:val="fr-CH"/>
        </w:rPr>
        <w:t>l</w:t>
      </w:r>
      <w:r w:rsidR="00196069" w:rsidRPr="00C42394">
        <w:rPr>
          <w:lang w:val="fr-CH"/>
        </w:rPr>
        <w:t>'</w:t>
      </w:r>
      <w:r w:rsidR="00402F2F" w:rsidRPr="00C42394">
        <w:rPr>
          <w:lang w:val="fr-CH"/>
        </w:rPr>
        <w:t>ancienne liste</w:t>
      </w:r>
      <w:r w:rsidR="00A65D8A" w:rsidRPr="00C42394">
        <w:rPr>
          <w:lang w:val="fr-CH"/>
        </w:rPr>
        <w:t xml:space="preserve"> </w:t>
      </w:r>
      <w:r w:rsidR="00196069" w:rsidRPr="00C42394">
        <w:rPr>
          <w:lang w:val="fr-CH"/>
        </w:rPr>
        <w:t>de</w:t>
      </w:r>
      <w:r w:rsidR="00A65D8A" w:rsidRPr="00C42394">
        <w:rPr>
          <w:lang w:val="fr-CH"/>
        </w:rPr>
        <w:t xml:space="preserve"> 11 indicateurs.</w:t>
      </w:r>
      <w:r w:rsidR="00AF3FE3" w:rsidRPr="00C42394">
        <w:rPr>
          <w:lang w:val="fr-CH"/>
        </w:rPr>
        <w:t xml:space="preserve"> </w:t>
      </w:r>
      <w:r w:rsidR="00FB081F" w:rsidRPr="00C42394">
        <w:rPr>
          <w:lang w:val="fr-CH"/>
        </w:rPr>
        <w:t xml:space="preserve">Une nouvelle </w:t>
      </w:r>
      <w:r w:rsidR="00AC63A6" w:rsidRPr="00C42394">
        <w:rPr>
          <w:lang w:val="fr-CH"/>
        </w:rPr>
        <w:t>méthode</w:t>
      </w:r>
      <w:r w:rsidR="00172CAA" w:rsidRPr="00C42394">
        <w:rPr>
          <w:lang w:val="fr-CH"/>
        </w:rPr>
        <w:t xml:space="preserve"> </w:t>
      </w:r>
      <w:r w:rsidR="00196069" w:rsidRPr="00C42394">
        <w:rPr>
          <w:lang w:val="fr-CH"/>
        </w:rPr>
        <w:t>de calcul de</w:t>
      </w:r>
      <w:r w:rsidR="00FB081F" w:rsidRPr="00C42394">
        <w:rPr>
          <w:lang w:val="fr-CH"/>
        </w:rPr>
        <w:t xml:space="preserve"> l</w:t>
      </w:r>
      <w:r w:rsidR="00196069" w:rsidRPr="00C42394">
        <w:rPr>
          <w:lang w:val="fr-CH"/>
        </w:rPr>
        <w:t>'i</w:t>
      </w:r>
      <w:r w:rsidR="001B6584" w:rsidRPr="00C42394">
        <w:rPr>
          <w:lang w:val="fr-CH"/>
        </w:rPr>
        <w:t xml:space="preserve">ndice </w:t>
      </w:r>
      <w:r w:rsidR="00FB081F" w:rsidRPr="00C42394">
        <w:rPr>
          <w:lang w:val="fr-CH"/>
        </w:rPr>
        <w:t>IDI fondée sur ces 14 nouveaux indicateurs a été élaborée et présentée.</w:t>
      </w:r>
    </w:p>
    <w:p w:rsidR="00C75117" w:rsidRPr="00D7661C" w:rsidRDefault="003C1015" w:rsidP="00D7661C">
      <w:pPr>
        <w:pStyle w:val="Heading1"/>
        <w:spacing w:before="360"/>
        <w:rPr>
          <w:bCs/>
          <w:sz w:val="26"/>
          <w:szCs w:val="26"/>
          <w:lang w:val="fr-CH"/>
        </w:rPr>
      </w:pPr>
      <w:r w:rsidRPr="00D7661C">
        <w:rPr>
          <w:bCs/>
          <w:sz w:val="26"/>
          <w:szCs w:val="26"/>
          <w:lang w:val="fr-CH"/>
        </w:rPr>
        <w:t>4</w:t>
      </w:r>
      <w:r w:rsidR="00C75117" w:rsidRPr="00D7661C">
        <w:rPr>
          <w:bCs/>
          <w:sz w:val="26"/>
          <w:szCs w:val="26"/>
          <w:lang w:val="fr-CH"/>
        </w:rPr>
        <w:tab/>
      </w:r>
      <w:r w:rsidR="00BA148A" w:rsidRPr="00D7661C">
        <w:rPr>
          <w:bCs/>
          <w:sz w:val="26"/>
          <w:szCs w:val="26"/>
          <w:lang w:val="fr-CH"/>
        </w:rPr>
        <w:t xml:space="preserve">Rapport </w:t>
      </w:r>
      <w:r w:rsidR="00BA148A" w:rsidRPr="00D7661C">
        <w:rPr>
          <w:sz w:val="26"/>
          <w:szCs w:val="26"/>
          <w:lang w:val="fr-CH"/>
        </w:rPr>
        <w:t>"</w:t>
      </w:r>
      <w:r w:rsidRPr="00D7661C">
        <w:rPr>
          <w:bCs/>
          <w:sz w:val="26"/>
          <w:szCs w:val="26"/>
          <w:lang w:val="fr-CH"/>
        </w:rPr>
        <w:t>Mesurer la société de l</w:t>
      </w:r>
      <w:r w:rsidR="00196069" w:rsidRPr="00D7661C">
        <w:rPr>
          <w:bCs/>
          <w:sz w:val="26"/>
          <w:szCs w:val="26"/>
          <w:lang w:val="fr-CH"/>
        </w:rPr>
        <w:t>'</w:t>
      </w:r>
      <w:r w:rsidRPr="00D7661C">
        <w:rPr>
          <w:bCs/>
          <w:sz w:val="26"/>
          <w:szCs w:val="26"/>
          <w:lang w:val="fr-CH"/>
        </w:rPr>
        <w:t>information</w:t>
      </w:r>
      <w:r w:rsidR="00BA148A" w:rsidRPr="00D7661C">
        <w:rPr>
          <w:sz w:val="26"/>
          <w:szCs w:val="26"/>
          <w:lang w:val="fr-CH"/>
        </w:rPr>
        <w:t>"</w:t>
      </w:r>
      <w:r w:rsidRPr="00D7661C">
        <w:rPr>
          <w:bCs/>
          <w:sz w:val="26"/>
          <w:szCs w:val="26"/>
          <w:lang w:val="fr-CH"/>
        </w:rPr>
        <w:t xml:space="preserve"> </w:t>
      </w:r>
    </w:p>
    <w:p w:rsidR="00C75117" w:rsidRPr="00C42394" w:rsidRDefault="006C31D6" w:rsidP="00196069">
      <w:pPr>
        <w:rPr>
          <w:b/>
          <w:sz w:val="22"/>
          <w:lang w:val="fr-CH"/>
        </w:rPr>
      </w:pPr>
      <w:r w:rsidRPr="00C42394">
        <w:rPr>
          <w:lang w:val="fr-CH"/>
        </w:rPr>
        <w:t xml:space="preserve">Publié </w:t>
      </w:r>
      <w:r w:rsidR="00B51201" w:rsidRPr="00C42394">
        <w:rPr>
          <w:lang w:val="fr-CH"/>
        </w:rPr>
        <w:t xml:space="preserve">chaque année </w:t>
      </w:r>
      <w:r w:rsidRPr="00C42394">
        <w:rPr>
          <w:lang w:val="fr-CH"/>
        </w:rPr>
        <w:t>par 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>UIT depuis 2009, l</w:t>
      </w:r>
      <w:r w:rsidR="003670A2" w:rsidRPr="00C42394">
        <w:rPr>
          <w:lang w:val="fr-CH"/>
        </w:rPr>
        <w:t>e rapport "Mesurer la société de l</w:t>
      </w:r>
      <w:r w:rsidR="00196069" w:rsidRPr="00C42394">
        <w:rPr>
          <w:lang w:val="fr-CH"/>
        </w:rPr>
        <w:t>'</w:t>
      </w:r>
      <w:r w:rsidR="003670A2" w:rsidRPr="00C42394">
        <w:rPr>
          <w:lang w:val="fr-CH"/>
        </w:rPr>
        <w:t>information</w:t>
      </w:r>
      <w:r w:rsidR="00BA148A" w:rsidRPr="00C42394">
        <w:rPr>
          <w:lang w:val="fr-CH"/>
        </w:rPr>
        <w:t>"</w:t>
      </w:r>
      <w:r w:rsidRPr="00C42394">
        <w:rPr>
          <w:lang w:val="fr-CH"/>
        </w:rPr>
        <w:t xml:space="preserve"> </w:t>
      </w:r>
      <w:r w:rsidR="003670A2" w:rsidRPr="00C42394">
        <w:rPr>
          <w:lang w:val="fr-CH"/>
        </w:rPr>
        <w:t>présente des données fondamentales sur les TIC et des critères de référence servant à mesurer la société de l</w:t>
      </w:r>
      <w:r w:rsidR="00196069" w:rsidRPr="00C42394">
        <w:rPr>
          <w:lang w:val="fr-CH"/>
        </w:rPr>
        <w:t>'</w:t>
      </w:r>
      <w:r w:rsidR="003670A2" w:rsidRPr="00C42394">
        <w:rPr>
          <w:lang w:val="fr-CH"/>
        </w:rPr>
        <w:t xml:space="preserve">information, notamment </w:t>
      </w:r>
      <w:r w:rsidR="005A66FC" w:rsidRPr="00C42394">
        <w:rPr>
          <w:lang w:val="fr-CH"/>
        </w:rPr>
        <w:t>l</w:t>
      </w:r>
      <w:r w:rsidR="00196069" w:rsidRPr="00C42394">
        <w:rPr>
          <w:lang w:val="fr-CH"/>
        </w:rPr>
        <w:t>'</w:t>
      </w:r>
      <w:r w:rsidR="00301137">
        <w:rPr>
          <w:lang w:val="fr-CH"/>
        </w:rPr>
        <w:t>i</w:t>
      </w:r>
      <w:r w:rsidR="00F878AD" w:rsidRPr="00C42394">
        <w:rPr>
          <w:lang w:val="fr-CH"/>
        </w:rPr>
        <w:t xml:space="preserve">ndice </w:t>
      </w:r>
      <w:r w:rsidR="005A66FC" w:rsidRPr="00C42394">
        <w:rPr>
          <w:lang w:val="fr-CH"/>
        </w:rPr>
        <w:t>IDI</w:t>
      </w:r>
      <w:r w:rsidR="003670A2" w:rsidRPr="00C42394">
        <w:rPr>
          <w:lang w:val="fr-CH"/>
        </w:rPr>
        <w:t>.</w:t>
      </w:r>
      <w:r w:rsidR="00B17A76" w:rsidRPr="00C42394">
        <w:rPr>
          <w:lang w:val="fr-CH"/>
        </w:rPr>
        <w:t xml:space="preserve"> Ce rapport </w:t>
      </w:r>
      <w:r w:rsidR="009D76EE" w:rsidRPr="00C42394">
        <w:rPr>
          <w:lang w:val="fr-CH"/>
        </w:rPr>
        <w:t>donne</w:t>
      </w:r>
      <w:r w:rsidR="00B17A76" w:rsidRPr="00C42394">
        <w:rPr>
          <w:lang w:val="fr-CH"/>
        </w:rPr>
        <w:t xml:space="preserve"> une analyse </w:t>
      </w:r>
      <w:r w:rsidR="00BA148A" w:rsidRPr="00C42394">
        <w:rPr>
          <w:lang w:val="fr-CH"/>
        </w:rPr>
        <w:t>quantitative</w:t>
      </w:r>
      <w:r w:rsidR="00B17A76" w:rsidRPr="00C42394">
        <w:rPr>
          <w:lang w:val="fr-CH"/>
        </w:rPr>
        <w:t xml:space="preserve"> de la société de l</w:t>
      </w:r>
      <w:r w:rsidR="00196069" w:rsidRPr="00C42394">
        <w:rPr>
          <w:lang w:val="fr-CH"/>
        </w:rPr>
        <w:t>'</w:t>
      </w:r>
      <w:r w:rsidR="00B17A76" w:rsidRPr="00C42394">
        <w:rPr>
          <w:lang w:val="fr-CH"/>
        </w:rPr>
        <w:t xml:space="preserve">information et met en relief les nouvelles tendances qui se font jour, ainsi que les problèmes liés </w:t>
      </w:r>
      <w:r w:rsidR="00BA148A" w:rsidRPr="00C42394">
        <w:rPr>
          <w:lang w:val="fr-CH"/>
        </w:rPr>
        <w:t>aux questions de mesure</w:t>
      </w:r>
      <w:r w:rsidR="00C75117" w:rsidRPr="00C42394">
        <w:rPr>
          <w:lang w:val="fr-CH"/>
        </w:rPr>
        <w:t xml:space="preserve">. </w:t>
      </w:r>
      <w:r w:rsidR="003670A2" w:rsidRPr="00C42394">
        <w:rPr>
          <w:lang w:val="fr-CH"/>
        </w:rPr>
        <w:t xml:space="preserve">Il </w:t>
      </w:r>
      <w:r w:rsidR="00BA148A" w:rsidRPr="00C42394">
        <w:rPr>
          <w:lang w:val="fr-CH"/>
        </w:rPr>
        <w:t>présente également les conclusions de l</w:t>
      </w:r>
      <w:r w:rsidR="00196069" w:rsidRPr="00C42394">
        <w:rPr>
          <w:lang w:val="fr-CH"/>
        </w:rPr>
        <w:t>'</w:t>
      </w:r>
      <w:r w:rsidR="00301137">
        <w:rPr>
          <w:lang w:val="fr-CH"/>
        </w:rPr>
        <w:t>i</w:t>
      </w:r>
      <w:r w:rsidR="00BA148A" w:rsidRPr="00C42394">
        <w:rPr>
          <w:lang w:val="fr-CH"/>
        </w:rPr>
        <w:t xml:space="preserve">ndice IDI aux niveaux international et régional et les utilise </w:t>
      </w:r>
      <w:r w:rsidR="003670A2" w:rsidRPr="00C42394">
        <w:rPr>
          <w:lang w:val="fr-CH"/>
        </w:rPr>
        <w:t>pour analyser les grandes tendances et les évolutions en ce qui concerne la fracture numérique.</w:t>
      </w:r>
    </w:p>
    <w:p w:rsidR="00C75117" w:rsidRPr="00C42394" w:rsidRDefault="009D76EE" w:rsidP="00A138C1">
      <w:pPr>
        <w:rPr>
          <w:lang w:val="fr-CH"/>
        </w:rPr>
      </w:pPr>
      <w:r w:rsidRPr="00C42394">
        <w:rPr>
          <w:lang w:val="fr-CH"/>
        </w:rPr>
        <w:t xml:space="preserve">Pour la toute première fois, </w:t>
      </w:r>
      <w:r w:rsidR="004D23C6" w:rsidRPr="00C42394">
        <w:rPr>
          <w:lang w:val="fr-CH"/>
        </w:rPr>
        <w:t>l</w:t>
      </w:r>
      <w:r w:rsidR="00196069" w:rsidRPr="00C42394">
        <w:rPr>
          <w:lang w:val="fr-CH"/>
        </w:rPr>
        <w:t>'</w:t>
      </w:r>
      <w:r w:rsidR="004D23C6" w:rsidRPr="00C42394">
        <w:rPr>
          <w:lang w:val="fr-CH"/>
        </w:rPr>
        <w:t>édition de 2017 du rapport présente</w:t>
      </w:r>
      <w:r w:rsidRPr="00C42394">
        <w:rPr>
          <w:lang w:val="fr-CH"/>
        </w:rPr>
        <w:t xml:space="preserve"> des profils de différents pays, ce qui permet d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 xml:space="preserve">avoir un aperçu du paysage </w:t>
      </w:r>
      <w:r w:rsidR="00FA2CF4" w:rsidRPr="00C42394">
        <w:rPr>
          <w:lang w:val="fr-CH"/>
        </w:rPr>
        <w:t xml:space="preserve">actuel </w:t>
      </w:r>
      <w:r w:rsidRPr="00C42394">
        <w:rPr>
          <w:lang w:val="fr-CH"/>
        </w:rPr>
        <w:t xml:space="preserve">des TIC ainsi que des efforts déployés </w:t>
      </w:r>
      <w:r w:rsidR="00F31F20" w:rsidRPr="00C42394">
        <w:rPr>
          <w:lang w:val="fr-CH"/>
        </w:rPr>
        <w:t>en vue</w:t>
      </w:r>
      <w:r w:rsidRPr="00C42394">
        <w:rPr>
          <w:lang w:val="fr-CH"/>
        </w:rPr>
        <w:t xml:space="preserve"> de renforcer 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>accès aux TIC, leur utilisation et leur maîtrise dans chaque pays.</w:t>
      </w:r>
    </w:p>
    <w:p w:rsidR="00C75117" w:rsidRPr="00D7661C" w:rsidRDefault="003670A2" w:rsidP="00D7661C">
      <w:pPr>
        <w:pStyle w:val="Heading1"/>
        <w:spacing w:before="360"/>
        <w:rPr>
          <w:sz w:val="26"/>
          <w:szCs w:val="26"/>
          <w:lang w:val="fr-CH"/>
        </w:rPr>
      </w:pPr>
      <w:r w:rsidRPr="00D7661C">
        <w:rPr>
          <w:sz w:val="26"/>
          <w:szCs w:val="26"/>
          <w:lang w:val="fr-CH"/>
        </w:rPr>
        <w:lastRenderedPageBreak/>
        <w:t>5</w:t>
      </w:r>
      <w:r w:rsidR="00C75117" w:rsidRPr="00D7661C">
        <w:rPr>
          <w:sz w:val="26"/>
          <w:szCs w:val="26"/>
          <w:lang w:val="fr-CH"/>
        </w:rPr>
        <w:tab/>
      </w:r>
      <w:r w:rsidR="000F44D6" w:rsidRPr="00D7661C">
        <w:rPr>
          <w:sz w:val="26"/>
          <w:szCs w:val="26"/>
          <w:lang w:val="fr-CH"/>
        </w:rPr>
        <w:t>Coopération internationale</w:t>
      </w:r>
    </w:p>
    <w:p w:rsidR="00C75117" w:rsidRPr="00C42394" w:rsidRDefault="00F3482F" w:rsidP="001960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C42394">
        <w:rPr>
          <w:lang w:val="fr-CH"/>
        </w:rPr>
        <w:t>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>UIT a coopéré activement avec des organismes internationaux sur des questions ayant trait aux statistiques, en particulier avec la Commission de statistique de 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 xml:space="preserve">ONU, </w:t>
      </w:r>
      <w:r w:rsidRPr="00C42394">
        <w:rPr>
          <w:color w:val="000000"/>
          <w:lang w:val="fr-CH"/>
        </w:rPr>
        <w:t>la Commission "Le large bande au service du développement numérique", le Groupe d</w:t>
      </w:r>
      <w:r w:rsidR="00196069" w:rsidRPr="00C42394">
        <w:rPr>
          <w:color w:val="000000"/>
          <w:lang w:val="fr-CH"/>
        </w:rPr>
        <w:t>'</w:t>
      </w:r>
      <w:r w:rsidRPr="00C42394">
        <w:rPr>
          <w:color w:val="000000"/>
          <w:lang w:val="fr-CH"/>
        </w:rPr>
        <w:t xml:space="preserve">experts </w:t>
      </w:r>
      <w:proofErr w:type="spellStart"/>
      <w:r w:rsidRPr="00C42394">
        <w:rPr>
          <w:color w:val="000000"/>
          <w:lang w:val="fr-CH"/>
        </w:rPr>
        <w:t>interinstitutions</w:t>
      </w:r>
      <w:proofErr w:type="spellEnd"/>
      <w:r w:rsidRPr="00C42394">
        <w:rPr>
          <w:color w:val="000000"/>
          <w:lang w:val="fr-CH"/>
        </w:rPr>
        <w:t xml:space="preserve"> sur</w:t>
      </w:r>
      <w:r w:rsidR="00E8189F" w:rsidRPr="00C42394">
        <w:rPr>
          <w:color w:val="000000"/>
          <w:lang w:val="fr-CH"/>
        </w:rPr>
        <w:t xml:space="preserve"> les indicateurs relatifs aux Objectifs de développement durable</w:t>
      </w:r>
      <w:r w:rsidRPr="00C42394">
        <w:rPr>
          <w:color w:val="000000"/>
          <w:lang w:val="fr-CH"/>
        </w:rPr>
        <w:t xml:space="preserve"> (IAEG-ODD)</w:t>
      </w:r>
      <w:r w:rsidRPr="00C42394">
        <w:rPr>
          <w:lang w:val="fr-CH"/>
        </w:rPr>
        <w:t xml:space="preserve">, le </w:t>
      </w:r>
      <w:r w:rsidRPr="00C42394">
        <w:rPr>
          <w:color w:val="000000"/>
          <w:lang w:val="fr-CH"/>
        </w:rPr>
        <w:t>Groupe de travail mondial des Nations Unies sur l</w:t>
      </w:r>
      <w:r w:rsidR="00196069" w:rsidRPr="00C42394">
        <w:rPr>
          <w:color w:val="000000"/>
          <w:lang w:val="fr-CH"/>
        </w:rPr>
        <w:t>'</w:t>
      </w:r>
      <w:r w:rsidRPr="00C42394">
        <w:rPr>
          <w:color w:val="000000"/>
          <w:lang w:val="fr-CH"/>
        </w:rPr>
        <w:t xml:space="preserve">utilisation des </w:t>
      </w:r>
      <w:proofErr w:type="spellStart"/>
      <w:r w:rsidRPr="00C42394">
        <w:rPr>
          <w:color w:val="000000"/>
          <w:lang w:val="fr-CH"/>
        </w:rPr>
        <w:t>mégadonnées</w:t>
      </w:r>
      <w:proofErr w:type="spellEnd"/>
      <w:r w:rsidRPr="00C42394">
        <w:rPr>
          <w:color w:val="000000"/>
          <w:lang w:val="fr-CH"/>
        </w:rPr>
        <w:t xml:space="preserve"> en statistique officielle</w:t>
      </w:r>
      <w:r w:rsidR="00C75117" w:rsidRPr="00C42394">
        <w:rPr>
          <w:lang w:val="fr-CH"/>
        </w:rPr>
        <w:t xml:space="preserve">, </w:t>
      </w:r>
      <w:r w:rsidRPr="00C42394">
        <w:rPr>
          <w:lang w:val="fr-CH"/>
        </w:rPr>
        <w:t>entre autres.</w:t>
      </w:r>
      <w:r w:rsidR="006D5729" w:rsidRPr="00C42394">
        <w:rPr>
          <w:lang w:val="fr-CH"/>
        </w:rPr>
        <w:t xml:space="preserve"> </w:t>
      </w:r>
      <w:r w:rsidRPr="00C42394">
        <w:rPr>
          <w:lang w:val="fr-CH"/>
        </w:rPr>
        <w:t>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>UIT a conservé</w:t>
      </w:r>
      <w:r w:rsidR="006D5729" w:rsidRPr="00C42394">
        <w:rPr>
          <w:lang w:val="fr-CH"/>
        </w:rPr>
        <w:t xml:space="preserve"> un rôle de chef de file dans le Partenariat mondial sur la mesure des TIC au service du développement et dans les groupes d</w:t>
      </w:r>
      <w:r w:rsidR="00196069" w:rsidRPr="00C42394">
        <w:rPr>
          <w:lang w:val="fr-CH"/>
        </w:rPr>
        <w:t>'</w:t>
      </w:r>
      <w:r w:rsidR="006D5729" w:rsidRPr="00C42394">
        <w:rPr>
          <w:lang w:val="fr-CH"/>
        </w:rPr>
        <w:t>action compétents de ce Partenariat</w:t>
      </w:r>
      <w:r w:rsidR="00ED2B3B" w:rsidRPr="00C42394">
        <w:rPr>
          <w:lang w:val="fr-CH"/>
        </w:rPr>
        <w:t>. Ce dernier</w:t>
      </w:r>
      <w:r w:rsidRPr="00C42394">
        <w:rPr>
          <w:lang w:val="fr-CH"/>
        </w:rPr>
        <w:t xml:space="preserve"> est composé d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>institutions des Nations Unies</w:t>
      </w:r>
      <w:r w:rsidR="00C75117" w:rsidRPr="00C42394">
        <w:rPr>
          <w:lang w:val="fr-CH"/>
        </w:rPr>
        <w:t>.</w:t>
      </w:r>
    </w:p>
    <w:p w:rsidR="00C75117" w:rsidRPr="00D7661C" w:rsidRDefault="006D5729" w:rsidP="00D7661C">
      <w:pPr>
        <w:pStyle w:val="Heading1"/>
        <w:spacing w:before="360"/>
        <w:rPr>
          <w:sz w:val="26"/>
          <w:szCs w:val="26"/>
          <w:lang w:val="fr-CH"/>
        </w:rPr>
      </w:pPr>
      <w:r w:rsidRPr="00D7661C">
        <w:rPr>
          <w:sz w:val="26"/>
          <w:szCs w:val="26"/>
          <w:lang w:val="fr-CH"/>
        </w:rPr>
        <w:t>6</w:t>
      </w:r>
      <w:r w:rsidR="00C75117" w:rsidRPr="00D7661C">
        <w:rPr>
          <w:sz w:val="26"/>
          <w:szCs w:val="26"/>
          <w:lang w:val="fr-CH"/>
        </w:rPr>
        <w:tab/>
      </w:r>
      <w:r w:rsidR="00B6251E" w:rsidRPr="00D7661C">
        <w:rPr>
          <w:sz w:val="26"/>
          <w:szCs w:val="26"/>
          <w:lang w:val="fr-CH"/>
        </w:rPr>
        <w:t>Renforcement des capacités</w:t>
      </w:r>
    </w:p>
    <w:p w:rsidR="00C75117" w:rsidRPr="00C42394" w:rsidRDefault="00853584" w:rsidP="001960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C42394">
        <w:rPr>
          <w:lang w:val="fr-CH"/>
        </w:rPr>
        <w:t>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>UIT a f</w:t>
      </w:r>
      <w:r w:rsidR="006D5729" w:rsidRPr="00C42394">
        <w:rPr>
          <w:lang w:val="fr-CH"/>
        </w:rPr>
        <w:t>ourni aux Etats Membres une assistance technique, ainsi que dans le domaine du renforcement des capacités, pour la collecte de statistiques sur les télécommunications/TIC, en organisant des ateliers de formation et en élaborant des manuels méthodologiques</w:t>
      </w:r>
      <w:r w:rsidRPr="00C42394">
        <w:rPr>
          <w:lang w:val="fr-CH"/>
        </w:rPr>
        <w:t>.</w:t>
      </w:r>
      <w:r w:rsidR="005D0194" w:rsidRPr="00C42394">
        <w:rPr>
          <w:lang w:val="fr-CH"/>
        </w:rPr>
        <w:t xml:space="preserve"> Pendant la période 2014-2018, l</w:t>
      </w:r>
      <w:r w:rsidR="00196069" w:rsidRPr="00C42394">
        <w:rPr>
          <w:lang w:val="fr-CH"/>
        </w:rPr>
        <w:t>'</w:t>
      </w:r>
      <w:r w:rsidR="005D0194" w:rsidRPr="00C42394">
        <w:rPr>
          <w:lang w:val="fr-CH"/>
        </w:rPr>
        <w:t>UIT a organisé 12 ateliers régionaux et 8 ateliers nationaux.</w:t>
      </w:r>
      <w:r w:rsidR="006D5729" w:rsidRPr="00C42394">
        <w:rPr>
          <w:lang w:val="fr-CH"/>
        </w:rPr>
        <w:t xml:space="preserve"> </w:t>
      </w:r>
    </w:p>
    <w:p w:rsidR="00C75117" w:rsidRPr="00D7661C" w:rsidRDefault="006D5729" w:rsidP="00D7661C">
      <w:pPr>
        <w:pStyle w:val="Heading1"/>
        <w:spacing w:before="360"/>
        <w:rPr>
          <w:sz w:val="26"/>
          <w:szCs w:val="26"/>
          <w:lang w:val="fr-CH"/>
        </w:rPr>
      </w:pPr>
      <w:r w:rsidRPr="00D7661C">
        <w:rPr>
          <w:sz w:val="26"/>
          <w:szCs w:val="26"/>
          <w:lang w:val="fr-CH"/>
        </w:rPr>
        <w:t>7</w:t>
      </w:r>
      <w:r w:rsidR="00C75117" w:rsidRPr="00D7661C">
        <w:rPr>
          <w:sz w:val="26"/>
          <w:szCs w:val="26"/>
          <w:lang w:val="fr-CH"/>
        </w:rPr>
        <w:tab/>
      </w:r>
      <w:r w:rsidR="00585DD5" w:rsidRPr="00D7661C">
        <w:rPr>
          <w:sz w:val="26"/>
          <w:szCs w:val="26"/>
          <w:lang w:val="fr-CH"/>
        </w:rPr>
        <w:t>Collecte et diffusion des données</w:t>
      </w:r>
    </w:p>
    <w:p w:rsidR="00C75117" w:rsidRPr="00C42394" w:rsidRDefault="0066529B" w:rsidP="00A138C1">
      <w:pPr>
        <w:rPr>
          <w:lang w:val="fr-CH"/>
        </w:rPr>
      </w:pPr>
      <w:r w:rsidRPr="00C42394">
        <w:rPr>
          <w:lang w:val="fr-CH"/>
        </w:rPr>
        <w:t>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 xml:space="preserve">UIT </w:t>
      </w:r>
      <w:r w:rsidR="007663DC" w:rsidRPr="00C42394">
        <w:rPr>
          <w:lang w:val="fr-CH"/>
        </w:rPr>
        <w:t>a collecté</w:t>
      </w:r>
      <w:r w:rsidRPr="00C42394">
        <w:rPr>
          <w:lang w:val="fr-CH"/>
        </w:rPr>
        <w:t xml:space="preserve">, </w:t>
      </w:r>
      <w:r w:rsidR="007663DC" w:rsidRPr="00C42394">
        <w:rPr>
          <w:lang w:val="fr-CH"/>
        </w:rPr>
        <w:t>harmonisé</w:t>
      </w:r>
      <w:r w:rsidRPr="00C42394">
        <w:rPr>
          <w:lang w:val="fr-CH"/>
        </w:rPr>
        <w:t xml:space="preserve"> et di</w:t>
      </w:r>
      <w:r w:rsidR="007663DC" w:rsidRPr="00C42394">
        <w:rPr>
          <w:lang w:val="fr-CH"/>
        </w:rPr>
        <w:t>ffusé</w:t>
      </w:r>
      <w:r w:rsidRPr="00C42394">
        <w:rPr>
          <w:lang w:val="fr-CH"/>
        </w:rPr>
        <w:t xml:space="preserve"> des données et des statistiques officielles dans le domaine des télécommunications/TIC. </w:t>
      </w:r>
      <w:r w:rsidR="00AB3A3E" w:rsidRPr="00C42394">
        <w:rPr>
          <w:lang w:val="fr-CH"/>
        </w:rPr>
        <w:t>Ce faisant</w:t>
      </w:r>
      <w:r w:rsidR="007663DC" w:rsidRPr="00C42394">
        <w:rPr>
          <w:lang w:val="fr-CH"/>
        </w:rPr>
        <w:t xml:space="preserve">, elle </w:t>
      </w:r>
      <w:r w:rsidR="005E6D58" w:rsidRPr="00C42394">
        <w:rPr>
          <w:lang w:val="fr-CH"/>
        </w:rPr>
        <w:t xml:space="preserve">a </w:t>
      </w:r>
      <w:r w:rsidR="007663DC" w:rsidRPr="00C42394">
        <w:rPr>
          <w:lang w:val="fr-CH"/>
        </w:rPr>
        <w:t>utilis</w:t>
      </w:r>
      <w:r w:rsidR="005E6D58" w:rsidRPr="00C42394">
        <w:rPr>
          <w:lang w:val="fr-CH"/>
        </w:rPr>
        <w:t>é</w:t>
      </w:r>
      <w:r w:rsidR="007663DC" w:rsidRPr="00C42394">
        <w:rPr>
          <w:lang w:val="fr-CH"/>
        </w:rPr>
        <w:t xml:space="preserve"> </w:t>
      </w:r>
      <w:r w:rsidR="00C92629" w:rsidRPr="00C42394">
        <w:rPr>
          <w:lang w:val="fr-CH"/>
        </w:rPr>
        <w:t>plusieurs</w:t>
      </w:r>
      <w:r w:rsidR="00F129DC" w:rsidRPr="00C42394">
        <w:rPr>
          <w:lang w:val="fr-CH"/>
        </w:rPr>
        <w:t xml:space="preserve"> sources de données et </w:t>
      </w:r>
      <w:r w:rsidR="007663DC" w:rsidRPr="00C42394">
        <w:rPr>
          <w:lang w:val="fr-CH"/>
        </w:rPr>
        <w:t xml:space="preserve">outils de diffusion, comme la base de données </w:t>
      </w:r>
      <w:r w:rsidR="001C0EBE" w:rsidRPr="00C42394">
        <w:rPr>
          <w:lang w:val="fr-CH"/>
        </w:rPr>
        <w:t>de l</w:t>
      </w:r>
      <w:r w:rsidR="00196069" w:rsidRPr="00C42394">
        <w:rPr>
          <w:lang w:val="fr-CH"/>
        </w:rPr>
        <w:t>'</w:t>
      </w:r>
      <w:r w:rsidR="001C0EBE" w:rsidRPr="00C42394">
        <w:rPr>
          <w:lang w:val="fr-CH"/>
        </w:rPr>
        <w:t>UIT sur les Indicateurs des télécommunications/TIC dans le monde (WTI),</w:t>
      </w:r>
      <w:r w:rsidR="00C75117" w:rsidRPr="00C42394">
        <w:rPr>
          <w:lang w:val="fr-CH"/>
        </w:rPr>
        <w:t xml:space="preserve"> </w:t>
      </w:r>
      <w:r w:rsidR="001C0EBE" w:rsidRPr="00C42394">
        <w:rPr>
          <w:lang w:val="fr-CH"/>
        </w:rPr>
        <w:t>le portail en ligne de l</w:t>
      </w:r>
      <w:r w:rsidR="00196069" w:rsidRPr="00C42394">
        <w:rPr>
          <w:lang w:val="fr-CH"/>
        </w:rPr>
        <w:t>'</w:t>
      </w:r>
      <w:r w:rsidR="001C0EBE" w:rsidRPr="00C42394">
        <w:rPr>
          <w:lang w:val="fr-CH"/>
        </w:rPr>
        <w:t xml:space="preserve">UIT </w:t>
      </w:r>
      <w:r w:rsidR="009C1E94" w:rsidRPr="00C42394">
        <w:rPr>
          <w:color w:val="000000"/>
          <w:lang w:val="fr-CH"/>
        </w:rPr>
        <w:t>"</w:t>
      </w:r>
      <w:r w:rsidR="001C0EBE" w:rsidRPr="00C42394">
        <w:rPr>
          <w:lang w:val="fr-CH"/>
        </w:rPr>
        <w:t>L</w:t>
      </w:r>
      <w:r w:rsidR="00196069" w:rsidRPr="00C42394">
        <w:rPr>
          <w:lang w:val="fr-CH"/>
        </w:rPr>
        <w:t>'</w:t>
      </w:r>
      <w:proofErr w:type="spellStart"/>
      <w:r w:rsidR="001C0EBE" w:rsidRPr="00C42394">
        <w:rPr>
          <w:lang w:val="fr-CH"/>
        </w:rPr>
        <w:t>oeil</w:t>
      </w:r>
      <w:proofErr w:type="spellEnd"/>
      <w:r w:rsidR="001C0EBE" w:rsidRPr="00C42394">
        <w:rPr>
          <w:lang w:val="fr-CH"/>
        </w:rPr>
        <w:t xml:space="preserve"> sur les TIC</w:t>
      </w:r>
      <w:r w:rsidR="009C1E94" w:rsidRPr="00C42394">
        <w:rPr>
          <w:color w:val="000000"/>
          <w:lang w:val="fr-CH"/>
        </w:rPr>
        <w:t>"</w:t>
      </w:r>
      <w:r w:rsidR="001C0EBE" w:rsidRPr="00C42394">
        <w:rPr>
          <w:lang w:val="fr-CH"/>
        </w:rPr>
        <w:t>, l</w:t>
      </w:r>
      <w:r w:rsidR="00196069" w:rsidRPr="00C42394">
        <w:rPr>
          <w:lang w:val="fr-CH"/>
        </w:rPr>
        <w:t>'</w:t>
      </w:r>
      <w:r w:rsidR="0076228A" w:rsidRPr="00C42394">
        <w:rPr>
          <w:lang w:val="fr-CH"/>
        </w:rPr>
        <w:t>a</w:t>
      </w:r>
      <w:r w:rsidR="001C0EBE" w:rsidRPr="00C42394">
        <w:rPr>
          <w:lang w:val="fr-CH"/>
        </w:rPr>
        <w:t xml:space="preserve">nnuaire des statistiques, </w:t>
      </w:r>
      <w:r w:rsidR="001C0EBE" w:rsidRPr="00C42394">
        <w:rPr>
          <w:color w:val="000000"/>
          <w:lang w:val="fr-CH"/>
        </w:rPr>
        <w:t>la publication conjointe de l</w:t>
      </w:r>
      <w:r w:rsidR="00196069" w:rsidRPr="00C42394">
        <w:rPr>
          <w:color w:val="000000"/>
          <w:lang w:val="fr-CH"/>
        </w:rPr>
        <w:t>'</w:t>
      </w:r>
      <w:r w:rsidR="001C0EBE" w:rsidRPr="00C42394">
        <w:rPr>
          <w:color w:val="000000"/>
          <w:lang w:val="fr-CH"/>
        </w:rPr>
        <w:t xml:space="preserve">UIT et de la Banque mondiale intitulée "The </w:t>
      </w:r>
      <w:proofErr w:type="spellStart"/>
      <w:r w:rsidR="001C0EBE" w:rsidRPr="00C42394">
        <w:rPr>
          <w:color w:val="000000"/>
          <w:lang w:val="fr-CH"/>
        </w:rPr>
        <w:t>Little</w:t>
      </w:r>
      <w:proofErr w:type="spellEnd"/>
      <w:r w:rsidR="001C0EBE" w:rsidRPr="00C42394">
        <w:rPr>
          <w:color w:val="000000"/>
          <w:lang w:val="fr-CH"/>
        </w:rPr>
        <w:t xml:space="preserve"> Data Book on Information and Communication </w:t>
      </w:r>
      <w:proofErr w:type="spellStart"/>
      <w:r w:rsidR="001C0EBE" w:rsidRPr="00C42394">
        <w:rPr>
          <w:color w:val="000000"/>
          <w:lang w:val="fr-CH"/>
        </w:rPr>
        <w:t>Technology</w:t>
      </w:r>
      <w:proofErr w:type="spellEnd"/>
      <w:r w:rsidR="001C0EBE" w:rsidRPr="00C42394">
        <w:rPr>
          <w:color w:val="000000"/>
          <w:lang w:val="fr-CH"/>
        </w:rPr>
        <w:t>" (Petit recueil de données sur les TIC)</w:t>
      </w:r>
      <w:r w:rsidR="001C0EBE" w:rsidRPr="00C42394">
        <w:rPr>
          <w:lang w:val="fr-CH"/>
        </w:rPr>
        <w:t xml:space="preserve"> et la page web de l</w:t>
      </w:r>
      <w:r w:rsidR="00196069" w:rsidRPr="00C42394">
        <w:rPr>
          <w:lang w:val="fr-CH"/>
        </w:rPr>
        <w:t>'</w:t>
      </w:r>
      <w:r w:rsidR="001C0EBE" w:rsidRPr="00C42394">
        <w:rPr>
          <w:lang w:val="fr-CH"/>
        </w:rPr>
        <w:t>UIT consacrée aux statistiques</w:t>
      </w:r>
      <w:r w:rsidR="009C1E94" w:rsidRPr="00C42394">
        <w:rPr>
          <w:lang w:val="fr-CH"/>
        </w:rPr>
        <w:t>.</w:t>
      </w:r>
    </w:p>
    <w:p w:rsidR="00C75117" w:rsidRPr="00D7661C" w:rsidRDefault="006D5729" w:rsidP="00D7661C">
      <w:pPr>
        <w:pStyle w:val="Heading1"/>
        <w:spacing w:before="360"/>
        <w:rPr>
          <w:sz w:val="26"/>
          <w:szCs w:val="26"/>
          <w:lang w:val="fr-CH"/>
        </w:rPr>
      </w:pPr>
      <w:r w:rsidRPr="00D7661C">
        <w:rPr>
          <w:sz w:val="26"/>
          <w:szCs w:val="26"/>
          <w:lang w:val="fr-CH"/>
        </w:rPr>
        <w:t>8</w:t>
      </w:r>
      <w:r w:rsidR="00C75117" w:rsidRPr="00D7661C">
        <w:rPr>
          <w:sz w:val="26"/>
          <w:szCs w:val="26"/>
          <w:lang w:val="fr-CH"/>
        </w:rPr>
        <w:tab/>
      </w:r>
      <w:r w:rsidR="00502474" w:rsidRPr="00D7661C">
        <w:rPr>
          <w:sz w:val="26"/>
          <w:szCs w:val="26"/>
          <w:lang w:val="fr-CH"/>
        </w:rPr>
        <w:t xml:space="preserve">Evaluation des ressources </w:t>
      </w:r>
      <w:r w:rsidR="006F127E" w:rsidRPr="00D7661C">
        <w:rPr>
          <w:sz w:val="26"/>
          <w:szCs w:val="26"/>
          <w:lang w:val="fr-CH"/>
        </w:rPr>
        <w:t xml:space="preserve">et des travaux </w:t>
      </w:r>
      <w:r w:rsidR="00502474" w:rsidRPr="00D7661C">
        <w:rPr>
          <w:sz w:val="26"/>
          <w:szCs w:val="26"/>
          <w:lang w:val="fr-CH"/>
        </w:rPr>
        <w:t>de l</w:t>
      </w:r>
      <w:r w:rsidR="00196069" w:rsidRPr="00D7661C">
        <w:rPr>
          <w:sz w:val="26"/>
          <w:szCs w:val="26"/>
          <w:lang w:val="fr-CH"/>
        </w:rPr>
        <w:t>'</w:t>
      </w:r>
      <w:r w:rsidR="001B5B90" w:rsidRPr="00D7661C">
        <w:rPr>
          <w:sz w:val="26"/>
          <w:szCs w:val="26"/>
          <w:lang w:val="fr-CH"/>
        </w:rPr>
        <w:t xml:space="preserve">UIT </w:t>
      </w:r>
      <w:r w:rsidR="003B3D68" w:rsidRPr="00D7661C">
        <w:rPr>
          <w:sz w:val="26"/>
          <w:szCs w:val="26"/>
          <w:lang w:val="fr-CH"/>
        </w:rPr>
        <w:t>relatifs aux</w:t>
      </w:r>
      <w:r w:rsidR="001B5B90" w:rsidRPr="00D7661C">
        <w:rPr>
          <w:sz w:val="26"/>
          <w:szCs w:val="26"/>
          <w:lang w:val="fr-CH"/>
        </w:rPr>
        <w:t xml:space="preserve"> statistiques</w:t>
      </w:r>
    </w:p>
    <w:p w:rsidR="00C75117" w:rsidRPr="00C42394" w:rsidRDefault="00C75117" w:rsidP="003311FF">
      <w:pPr>
        <w:rPr>
          <w:lang w:val="fr-CH"/>
        </w:rPr>
      </w:pPr>
      <w:r w:rsidRPr="00C42394">
        <w:rPr>
          <w:lang w:val="fr-CH"/>
        </w:rPr>
        <w:t>8.1</w:t>
      </w:r>
      <w:r w:rsidRPr="00C42394">
        <w:rPr>
          <w:lang w:val="fr-CH"/>
        </w:rPr>
        <w:tab/>
      </w:r>
      <w:r w:rsidR="00A138C1" w:rsidRPr="00C42394">
        <w:rPr>
          <w:lang w:val="fr-CH"/>
        </w:rPr>
        <w:t>A</w:t>
      </w:r>
      <w:r w:rsidR="00FA7EC8" w:rsidRPr="00C42394">
        <w:rPr>
          <w:lang w:val="fr-CH"/>
        </w:rPr>
        <w:t xml:space="preserve"> la session de</w:t>
      </w:r>
      <w:r w:rsidR="00A138C1" w:rsidRPr="00C42394">
        <w:rPr>
          <w:lang w:val="fr-CH"/>
        </w:rPr>
        <w:t> </w:t>
      </w:r>
      <w:r w:rsidR="00FA7EC8" w:rsidRPr="00C42394">
        <w:rPr>
          <w:lang w:val="fr-CH"/>
        </w:rPr>
        <w:t>2018 du Conseil de l</w:t>
      </w:r>
      <w:r w:rsidR="00196069" w:rsidRPr="00C42394">
        <w:rPr>
          <w:lang w:val="fr-CH"/>
        </w:rPr>
        <w:t>'</w:t>
      </w:r>
      <w:r w:rsidR="00FA7EC8" w:rsidRPr="00C42394">
        <w:rPr>
          <w:lang w:val="fr-CH"/>
        </w:rPr>
        <w:t xml:space="preserve">UIT, </w:t>
      </w:r>
      <w:r w:rsidR="00A138C1" w:rsidRPr="00C42394">
        <w:rPr>
          <w:lang w:val="fr-CH"/>
        </w:rPr>
        <w:t xml:space="preserve">la République fédérative du Brésil a demandé au </w:t>
      </w:r>
      <w:r w:rsidR="007D537D" w:rsidRPr="00C42394">
        <w:rPr>
          <w:lang w:val="fr-CH"/>
        </w:rPr>
        <w:t>secrétariat de l</w:t>
      </w:r>
      <w:r w:rsidR="00196069" w:rsidRPr="00C42394">
        <w:rPr>
          <w:lang w:val="fr-CH"/>
        </w:rPr>
        <w:t>'</w:t>
      </w:r>
      <w:r w:rsidR="007D537D" w:rsidRPr="00C42394">
        <w:rPr>
          <w:lang w:val="fr-CH"/>
        </w:rPr>
        <w:t xml:space="preserve">UIT </w:t>
      </w:r>
      <w:r w:rsidR="006D5729" w:rsidRPr="00C42394">
        <w:rPr>
          <w:lang w:val="fr-CH"/>
        </w:rPr>
        <w:t>"</w:t>
      </w:r>
      <w:r w:rsidR="00A138C1" w:rsidRPr="00C42394">
        <w:rPr>
          <w:lang w:val="fr-CH"/>
        </w:rPr>
        <w:t>[d']</w:t>
      </w:r>
      <w:r w:rsidR="006D5729" w:rsidRPr="00C42394">
        <w:rPr>
          <w:lang w:val="fr-CH"/>
        </w:rPr>
        <w:t>évaluer les ressources humaines et financières nécessaires pour améliorer les capacités de l</w:t>
      </w:r>
      <w:r w:rsidR="00196069" w:rsidRPr="00C42394">
        <w:rPr>
          <w:lang w:val="fr-CH"/>
        </w:rPr>
        <w:t>'</w:t>
      </w:r>
      <w:r w:rsidR="006D5729" w:rsidRPr="00C42394">
        <w:rPr>
          <w:lang w:val="fr-CH"/>
        </w:rPr>
        <w:t>UIT à recueillir, produire et publier des données, des informations, des statistiques et des rapports significatifs, et</w:t>
      </w:r>
      <w:r w:rsidR="00EF7990" w:rsidRPr="00C42394">
        <w:rPr>
          <w:lang w:val="fr-CH"/>
        </w:rPr>
        <w:t xml:space="preserve"> </w:t>
      </w:r>
      <w:r w:rsidR="00A138C1" w:rsidRPr="00C42394">
        <w:rPr>
          <w:lang w:val="fr-CH"/>
        </w:rPr>
        <w:t>[d']</w:t>
      </w:r>
      <w:r w:rsidR="00FD5F5C" w:rsidRPr="00C42394">
        <w:rPr>
          <w:lang w:val="fr-CH"/>
        </w:rPr>
        <w:t>adresser</w:t>
      </w:r>
      <w:r w:rsidR="00EF7990" w:rsidRPr="00C42394">
        <w:rPr>
          <w:lang w:val="fr-CH"/>
        </w:rPr>
        <w:t xml:space="preserve"> </w:t>
      </w:r>
      <w:r w:rsidR="006D5729" w:rsidRPr="00C42394">
        <w:rPr>
          <w:lang w:val="fr-CH"/>
        </w:rPr>
        <w:t>des conseils à la PP-18 concernant des modifications à apporter au plan financier de l</w:t>
      </w:r>
      <w:r w:rsidR="00196069" w:rsidRPr="00C42394">
        <w:rPr>
          <w:lang w:val="fr-CH"/>
        </w:rPr>
        <w:t>'</w:t>
      </w:r>
      <w:r w:rsidR="006D5729" w:rsidRPr="00C42394">
        <w:rPr>
          <w:lang w:val="fr-CH"/>
        </w:rPr>
        <w:t>UIT pour la période 2020-2023"</w:t>
      </w:r>
      <w:r w:rsidR="004C52B3">
        <w:rPr>
          <w:lang w:val="fr-CH"/>
        </w:rPr>
        <w:t xml:space="preserve"> </w:t>
      </w:r>
      <w:r w:rsidRPr="00C42394">
        <w:rPr>
          <w:lang w:val="fr-CH"/>
        </w:rPr>
        <w:t>(</w:t>
      </w:r>
      <w:r w:rsidR="009C0FEB" w:rsidRPr="00C42394">
        <w:rPr>
          <w:lang w:val="fr-CH"/>
        </w:rPr>
        <w:t>Document du Conseil</w:t>
      </w:r>
      <w:r w:rsidRPr="00C42394">
        <w:rPr>
          <w:lang w:val="fr-CH"/>
        </w:rPr>
        <w:t xml:space="preserve"> </w:t>
      </w:r>
      <w:hyperlink r:id="rId11" w:history="1">
        <w:r w:rsidRPr="00C42394">
          <w:rPr>
            <w:rStyle w:val="Hyperlink"/>
            <w:lang w:val="fr-CH"/>
          </w:rPr>
          <w:t>C18/96</w:t>
        </w:r>
      </w:hyperlink>
      <w:r w:rsidRPr="00C42394">
        <w:rPr>
          <w:lang w:val="fr-CH"/>
        </w:rPr>
        <w:t>).</w:t>
      </w:r>
    </w:p>
    <w:p w:rsidR="00C75117" w:rsidRPr="00C42394" w:rsidRDefault="00C75117" w:rsidP="001960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C42394">
        <w:rPr>
          <w:lang w:val="fr-CH"/>
        </w:rPr>
        <w:t>8.2</w:t>
      </w:r>
      <w:r w:rsidRPr="00C42394">
        <w:rPr>
          <w:lang w:val="fr-CH"/>
        </w:rPr>
        <w:tab/>
      </w:r>
      <w:r w:rsidR="000E4A25" w:rsidRPr="00C42394">
        <w:rPr>
          <w:lang w:val="fr-CH"/>
        </w:rPr>
        <w:t>Le Conseil a accueilli favorablement la proposition selon laquelle</w:t>
      </w:r>
      <w:r w:rsidR="00180421" w:rsidRPr="00C42394">
        <w:rPr>
          <w:lang w:val="fr-CH"/>
        </w:rPr>
        <w:t xml:space="preserve"> </w:t>
      </w:r>
      <w:r w:rsidR="006D5729" w:rsidRPr="00C42394">
        <w:rPr>
          <w:lang w:val="fr-CH"/>
        </w:rPr>
        <w:t>l</w:t>
      </w:r>
      <w:r w:rsidR="00196069" w:rsidRPr="00C42394">
        <w:rPr>
          <w:lang w:val="fr-CH"/>
        </w:rPr>
        <w:t>'</w:t>
      </w:r>
      <w:r w:rsidR="006D5729" w:rsidRPr="00C42394">
        <w:rPr>
          <w:lang w:val="fr-CH"/>
        </w:rPr>
        <w:t>UIT devrait</w:t>
      </w:r>
      <w:r w:rsidR="00180421" w:rsidRPr="00C42394">
        <w:rPr>
          <w:lang w:val="fr-CH"/>
        </w:rPr>
        <w:t xml:space="preserve">, dès que </w:t>
      </w:r>
      <w:proofErr w:type="gramStart"/>
      <w:r w:rsidR="00180421" w:rsidRPr="00C42394">
        <w:rPr>
          <w:lang w:val="fr-CH"/>
        </w:rPr>
        <w:t>possible</w:t>
      </w:r>
      <w:r w:rsidR="006D5729" w:rsidRPr="00C42394">
        <w:rPr>
          <w:lang w:val="fr-CH"/>
        </w:rPr>
        <w:t>:</w:t>
      </w:r>
      <w:proofErr w:type="gramEnd"/>
    </w:p>
    <w:p w:rsidR="006D5729" w:rsidRPr="00C42394" w:rsidRDefault="006D5729" w:rsidP="00196069">
      <w:pPr>
        <w:pStyle w:val="enumlev1"/>
        <w:rPr>
          <w:lang w:val="fr-CH"/>
        </w:rPr>
      </w:pPr>
      <w:r w:rsidRPr="00C42394">
        <w:rPr>
          <w:lang w:val="fr-CH"/>
        </w:rPr>
        <w:t>•</w:t>
      </w:r>
      <w:r w:rsidRPr="00C42394">
        <w:rPr>
          <w:lang w:val="fr-CH"/>
        </w:rPr>
        <w:tab/>
        <w:t>publier 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>ensemble des données, classements, données de référence et études relatives au panier de prix des TIC et à 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>accessibilité financière pour 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>édition de 2017 du rapport "Mesurer la société de 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>information", comme elle 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>avait fait pour 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 xml:space="preserve">édition de 2016 du </w:t>
      </w:r>
      <w:proofErr w:type="gramStart"/>
      <w:r w:rsidRPr="00C42394">
        <w:rPr>
          <w:lang w:val="fr-CH"/>
        </w:rPr>
        <w:t>rapport;</w:t>
      </w:r>
      <w:proofErr w:type="gramEnd"/>
    </w:p>
    <w:p w:rsidR="006D5729" w:rsidRPr="00C42394" w:rsidRDefault="006D5729" w:rsidP="00196069">
      <w:pPr>
        <w:pStyle w:val="enumlev1"/>
        <w:rPr>
          <w:lang w:val="fr-CH"/>
        </w:rPr>
      </w:pPr>
      <w:r w:rsidRPr="00C42394">
        <w:rPr>
          <w:lang w:val="fr-CH"/>
        </w:rPr>
        <w:t>•</w:t>
      </w:r>
      <w:r w:rsidRPr="00C42394">
        <w:rPr>
          <w:lang w:val="fr-CH"/>
        </w:rPr>
        <w:tab/>
        <w:t xml:space="preserve">publier une page web expliquant la méthode employée pour définir le panier de prix des </w:t>
      </w:r>
      <w:proofErr w:type="gramStart"/>
      <w:r w:rsidRPr="00C42394">
        <w:rPr>
          <w:lang w:val="fr-CH"/>
        </w:rPr>
        <w:t>TIC;</w:t>
      </w:r>
      <w:proofErr w:type="gramEnd"/>
    </w:p>
    <w:p w:rsidR="006D5729" w:rsidRPr="00C42394" w:rsidRDefault="006D5729" w:rsidP="00196069">
      <w:pPr>
        <w:pStyle w:val="enumlev1"/>
        <w:rPr>
          <w:highlight w:val="yellow"/>
          <w:lang w:val="fr-CH"/>
        </w:rPr>
      </w:pPr>
      <w:r w:rsidRPr="00C42394">
        <w:rPr>
          <w:lang w:val="fr-CH"/>
        </w:rPr>
        <w:t>•</w:t>
      </w:r>
      <w:r w:rsidRPr="00C42394">
        <w:rPr>
          <w:lang w:val="fr-CH"/>
        </w:rPr>
        <w:tab/>
        <w:t>améliorer 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>outil de visualisation des données, publier toutes les données rassemblées au fil de chaque édition du rapport "Mesurer la société de l</w:t>
      </w:r>
      <w:r w:rsidR="00196069" w:rsidRPr="00C42394">
        <w:rPr>
          <w:lang w:val="fr-CH"/>
        </w:rPr>
        <w:t>'</w:t>
      </w:r>
      <w:r w:rsidRPr="00C42394">
        <w:rPr>
          <w:lang w:val="fr-CH"/>
        </w:rPr>
        <w:t>information", et permettre ainsi</w:t>
      </w:r>
      <w:r w:rsidR="00A04735" w:rsidRPr="00C42394">
        <w:rPr>
          <w:lang w:val="fr-CH"/>
        </w:rPr>
        <w:t xml:space="preserve"> des comparaisons dans le temps.</w:t>
      </w:r>
    </w:p>
    <w:p w:rsidR="00C75117" w:rsidRPr="00C42394" w:rsidRDefault="00C75117" w:rsidP="00CD1BAC">
      <w:pPr>
        <w:spacing w:after="120"/>
        <w:rPr>
          <w:lang w:val="fr-CH"/>
        </w:rPr>
      </w:pPr>
      <w:r w:rsidRPr="00C42394">
        <w:rPr>
          <w:lang w:val="fr-CH"/>
        </w:rPr>
        <w:lastRenderedPageBreak/>
        <w:t>8.3</w:t>
      </w:r>
      <w:r w:rsidRPr="00C42394">
        <w:rPr>
          <w:lang w:val="fr-CH"/>
        </w:rPr>
        <w:tab/>
      </w:r>
      <w:r w:rsidR="00933FA9" w:rsidRPr="00C42394">
        <w:rPr>
          <w:lang w:val="fr-CH"/>
        </w:rPr>
        <w:t>On compare souvent l</w:t>
      </w:r>
      <w:r w:rsidR="00891A3F" w:rsidRPr="00C42394">
        <w:rPr>
          <w:lang w:val="fr-CH"/>
        </w:rPr>
        <w:t xml:space="preserve">es travaux </w:t>
      </w:r>
      <w:r w:rsidR="00807AE2" w:rsidRPr="00C42394">
        <w:rPr>
          <w:lang w:val="fr-CH"/>
        </w:rPr>
        <w:t>de l</w:t>
      </w:r>
      <w:r w:rsidR="00196069" w:rsidRPr="00C42394">
        <w:rPr>
          <w:lang w:val="fr-CH"/>
        </w:rPr>
        <w:t>'</w:t>
      </w:r>
      <w:r w:rsidR="00807AE2" w:rsidRPr="00C42394">
        <w:rPr>
          <w:lang w:val="fr-CH"/>
        </w:rPr>
        <w:t>UIT relatifs aux</w:t>
      </w:r>
      <w:r w:rsidR="00891A3F" w:rsidRPr="00C42394">
        <w:rPr>
          <w:lang w:val="fr-CH"/>
        </w:rPr>
        <w:t xml:space="preserve"> </w:t>
      </w:r>
      <w:r w:rsidR="00807AE2" w:rsidRPr="00C42394">
        <w:rPr>
          <w:lang w:val="fr-CH"/>
        </w:rPr>
        <w:t>statistiques et aux</w:t>
      </w:r>
      <w:r w:rsidR="00891A3F" w:rsidRPr="00C42394">
        <w:rPr>
          <w:lang w:val="fr-CH"/>
        </w:rPr>
        <w:t xml:space="preserve"> indicateurs </w:t>
      </w:r>
      <w:r w:rsidR="00933FA9" w:rsidRPr="00C42394">
        <w:rPr>
          <w:lang w:val="fr-CH"/>
        </w:rPr>
        <w:t xml:space="preserve">des </w:t>
      </w:r>
      <w:r w:rsidR="00891A3F" w:rsidRPr="00C42394">
        <w:rPr>
          <w:lang w:val="fr-CH"/>
        </w:rPr>
        <w:t xml:space="preserve">TIC </w:t>
      </w:r>
      <w:r w:rsidR="0050090C" w:rsidRPr="00C42394">
        <w:rPr>
          <w:lang w:val="fr-CH"/>
        </w:rPr>
        <w:t>avec</w:t>
      </w:r>
      <w:r w:rsidR="00891A3F" w:rsidRPr="00C42394">
        <w:rPr>
          <w:lang w:val="fr-CH"/>
        </w:rPr>
        <w:t xml:space="preserve"> ceux d</w:t>
      </w:r>
      <w:r w:rsidR="00196069" w:rsidRPr="00C42394">
        <w:rPr>
          <w:lang w:val="fr-CH"/>
        </w:rPr>
        <w:t>'</w:t>
      </w:r>
      <w:r w:rsidR="00891A3F" w:rsidRPr="00C42394">
        <w:rPr>
          <w:lang w:val="fr-CH"/>
        </w:rPr>
        <w:t xml:space="preserve">autres organisations internationales. </w:t>
      </w:r>
      <w:r w:rsidR="00CD1BAC" w:rsidRPr="00C42394">
        <w:rPr>
          <w:lang w:val="fr-CH"/>
        </w:rPr>
        <w:t>Or</w:t>
      </w:r>
      <w:r w:rsidR="00891A3F" w:rsidRPr="00C42394">
        <w:rPr>
          <w:lang w:val="fr-CH"/>
        </w:rPr>
        <w:t xml:space="preserve">, </w:t>
      </w:r>
      <w:r w:rsidR="00794B6B" w:rsidRPr="00C42394">
        <w:rPr>
          <w:lang w:val="fr-CH"/>
        </w:rPr>
        <w:t xml:space="preserve">les ressources </w:t>
      </w:r>
      <w:r w:rsidR="00EF7DC0" w:rsidRPr="00C42394">
        <w:rPr>
          <w:lang w:val="fr-CH"/>
        </w:rPr>
        <w:t xml:space="preserve">consacrées </w:t>
      </w:r>
      <w:r w:rsidR="00794B6B" w:rsidRPr="00C42394">
        <w:rPr>
          <w:lang w:val="fr-CH"/>
        </w:rPr>
        <w:t>à ce type d</w:t>
      </w:r>
      <w:r w:rsidR="00196069" w:rsidRPr="00C42394">
        <w:rPr>
          <w:lang w:val="fr-CH"/>
        </w:rPr>
        <w:t>'</w:t>
      </w:r>
      <w:r w:rsidR="00794B6B" w:rsidRPr="00C42394">
        <w:rPr>
          <w:lang w:val="fr-CH"/>
        </w:rPr>
        <w:t xml:space="preserve">activités par ces organisations diffèrent des ressources </w:t>
      </w:r>
      <w:r w:rsidR="00CD1BAC" w:rsidRPr="00C42394">
        <w:rPr>
          <w:lang w:val="fr-CH"/>
        </w:rPr>
        <w:t>affectées par</w:t>
      </w:r>
      <w:r w:rsidR="00794B6B" w:rsidRPr="00C42394">
        <w:rPr>
          <w:lang w:val="fr-CH"/>
        </w:rPr>
        <w:t xml:space="preserve"> l</w:t>
      </w:r>
      <w:r w:rsidR="00196069" w:rsidRPr="00C42394">
        <w:rPr>
          <w:lang w:val="fr-CH"/>
        </w:rPr>
        <w:t>'</w:t>
      </w:r>
      <w:r w:rsidR="00794B6B" w:rsidRPr="00C42394">
        <w:rPr>
          <w:lang w:val="fr-CH"/>
        </w:rPr>
        <w:t>UIT</w:t>
      </w:r>
      <w:r w:rsidR="00CD1BAC" w:rsidRPr="00C42394">
        <w:rPr>
          <w:lang w:val="fr-CH"/>
        </w:rPr>
        <w:t xml:space="preserve"> à ces mêmes activités</w:t>
      </w:r>
      <w:r w:rsidR="00794B6B" w:rsidRPr="00C42394">
        <w:rPr>
          <w:lang w:val="fr-CH"/>
        </w:rPr>
        <w:t>. Les ressources humaines affectées aux activités statistiques dans d</w:t>
      </w:r>
      <w:r w:rsidR="00196069" w:rsidRPr="00C42394">
        <w:rPr>
          <w:lang w:val="fr-CH"/>
        </w:rPr>
        <w:t>'</w:t>
      </w:r>
      <w:r w:rsidR="00794B6B" w:rsidRPr="00C42394">
        <w:rPr>
          <w:lang w:val="fr-CH"/>
        </w:rPr>
        <w:t xml:space="preserve">autres organisations internationales </w:t>
      </w:r>
      <w:r w:rsidR="00BB7874" w:rsidRPr="00C42394">
        <w:rPr>
          <w:lang w:val="fr-CH"/>
        </w:rPr>
        <w:t>et à l</w:t>
      </w:r>
      <w:r w:rsidR="00196069" w:rsidRPr="00C42394">
        <w:rPr>
          <w:lang w:val="fr-CH"/>
        </w:rPr>
        <w:t>'</w:t>
      </w:r>
      <w:r w:rsidR="00BB7874" w:rsidRPr="00C42394">
        <w:rPr>
          <w:lang w:val="fr-CH"/>
        </w:rPr>
        <w:t xml:space="preserve">UIT </w:t>
      </w:r>
      <w:r w:rsidR="00794B6B" w:rsidRPr="00C42394">
        <w:rPr>
          <w:lang w:val="fr-CH"/>
        </w:rPr>
        <w:t xml:space="preserve">sont données ci-après à titre </w:t>
      </w:r>
      <w:proofErr w:type="gramStart"/>
      <w:r w:rsidR="00794B6B" w:rsidRPr="00C42394">
        <w:rPr>
          <w:lang w:val="fr-CH"/>
        </w:rPr>
        <w:t>informatif:</w:t>
      </w:r>
      <w:proofErr w:type="gramEnd"/>
      <w:r w:rsidR="00794B6B" w:rsidRPr="00C42394">
        <w:rPr>
          <w:lang w:val="fr-CH"/>
        </w:rPr>
        <w:t xml:space="preserve">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6941"/>
        <w:gridCol w:w="2835"/>
      </w:tblGrid>
      <w:tr w:rsidR="00C75117" w:rsidRPr="00C42394" w:rsidTr="002507DE">
        <w:trPr>
          <w:trHeight w:val="672"/>
          <w:jc w:val="center"/>
        </w:trPr>
        <w:tc>
          <w:tcPr>
            <w:tcW w:w="6941" w:type="dxa"/>
            <w:vAlign w:val="center"/>
          </w:tcPr>
          <w:p w:rsidR="00C75117" w:rsidRPr="00C42394" w:rsidRDefault="00C75117" w:rsidP="002507DE">
            <w:pPr>
              <w:pStyle w:val="Tablehead"/>
              <w:spacing w:before="80" w:after="80"/>
              <w:rPr>
                <w:lang w:val="fr-CH" w:eastAsia="zh-CN"/>
              </w:rPr>
            </w:pPr>
            <w:r w:rsidRPr="00C42394">
              <w:rPr>
                <w:lang w:val="fr-CH" w:eastAsia="zh-CN"/>
              </w:rPr>
              <w:t>Organi</w:t>
            </w:r>
            <w:r w:rsidR="005427AA" w:rsidRPr="00C42394">
              <w:rPr>
                <w:lang w:val="fr-CH" w:eastAsia="zh-CN"/>
              </w:rPr>
              <w:t>s</w:t>
            </w:r>
            <w:r w:rsidRPr="00C42394">
              <w:rPr>
                <w:lang w:val="fr-CH" w:eastAsia="zh-CN"/>
              </w:rPr>
              <w:t>ation</w:t>
            </w:r>
          </w:p>
        </w:tc>
        <w:tc>
          <w:tcPr>
            <w:tcW w:w="2835" w:type="dxa"/>
            <w:vAlign w:val="center"/>
          </w:tcPr>
          <w:p w:rsidR="00C75117" w:rsidRPr="00C42394" w:rsidRDefault="00F42802" w:rsidP="002507DE">
            <w:pPr>
              <w:pStyle w:val="Tablehead"/>
              <w:spacing w:before="80" w:after="80"/>
              <w:rPr>
                <w:lang w:val="fr-CH" w:eastAsia="zh-CN"/>
              </w:rPr>
            </w:pPr>
            <w:r w:rsidRPr="00C42394">
              <w:rPr>
                <w:lang w:val="fr-CH" w:eastAsia="zh-CN"/>
              </w:rPr>
              <w:t>Nombre de f</w:t>
            </w:r>
            <w:r w:rsidR="0000201E" w:rsidRPr="00C42394">
              <w:rPr>
                <w:lang w:val="fr-CH" w:eastAsia="zh-CN"/>
              </w:rPr>
              <w:t>onctionnaires chargés des statistiques</w:t>
            </w:r>
          </w:p>
        </w:tc>
      </w:tr>
      <w:tr w:rsidR="00C75117" w:rsidRPr="00C42394" w:rsidTr="00A26D0A">
        <w:trPr>
          <w:jc w:val="center"/>
        </w:trPr>
        <w:tc>
          <w:tcPr>
            <w:tcW w:w="6941" w:type="dxa"/>
          </w:tcPr>
          <w:p w:rsidR="00C75117" w:rsidRPr="00C42394" w:rsidRDefault="00F07422" w:rsidP="00D7661C">
            <w:pPr>
              <w:pStyle w:val="Tabletext"/>
              <w:rPr>
                <w:b/>
                <w:szCs w:val="24"/>
                <w:lang w:val="fr-CH" w:eastAsia="zh-CN"/>
              </w:rPr>
            </w:pPr>
            <w:r w:rsidRPr="00C42394">
              <w:rPr>
                <w:szCs w:val="24"/>
                <w:lang w:val="fr-CH" w:eastAsia="zh-CN"/>
              </w:rPr>
              <w:t>Fonds monétaire international (FMI)</w:t>
            </w:r>
          </w:p>
        </w:tc>
        <w:tc>
          <w:tcPr>
            <w:tcW w:w="2835" w:type="dxa"/>
          </w:tcPr>
          <w:p w:rsidR="00C75117" w:rsidRPr="00C42394" w:rsidRDefault="00C75117" w:rsidP="00D7661C">
            <w:pPr>
              <w:pStyle w:val="Tabletext"/>
              <w:jc w:val="center"/>
              <w:rPr>
                <w:szCs w:val="24"/>
                <w:lang w:val="fr-CH" w:eastAsia="zh-CN"/>
              </w:rPr>
            </w:pPr>
            <w:r w:rsidRPr="00C42394">
              <w:rPr>
                <w:szCs w:val="24"/>
                <w:lang w:val="fr-CH" w:eastAsia="zh-CN"/>
              </w:rPr>
              <w:t>190</w:t>
            </w:r>
          </w:p>
        </w:tc>
      </w:tr>
      <w:tr w:rsidR="00C75117" w:rsidRPr="00C42394" w:rsidTr="00A26D0A">
        <w:trPr>
          <w:jc w:val="center"/>
        </w:trPr>
        <w:tc>
          <w:tcPr>
            <w:tcW w:w="6941" w:type="dxa"/>
          </w:tcPr>
          <w:p w:rsidR="00C75117" w:rsidRPr="00C42394" w:rsidRDefault="00F07422" w:rsidP="00D7661C">
            <w:pPr>
              <w:pStyle w:val="Tabletext"/>
              <w:rPr>
                <w:szCs w:val="24"/>
                <w:lang w:val="fr-CH" w:eastAsia="zh-CN"/>
              </w:rPr>
            </w:pPr>
            <w:r w:rsidRPr="00C42394">
              <w:rPr>
                <w:szCs w:val="24"/>
                <w:lang w:val="fr-CH" w:eastAsia="zh-CN"/>
              </w:rPr>
              <w:t>Banque mondiale</w:t>
            </w:r>
          </w:p>
        </w:tc>
        <w:tc>
          <w:tcPr>
            <w:tcW w:w="2835" w:type="dxa"/>
          </w:tcPr>
          <w:p w:rsidR="00C75117" w:rsidRPr="00C42394" w:rsidRDefault="00C75117" w:rsidP="00D7661C">
            <w:pPr>
              <w:pStyle w:val="Tabletext"/>
              <w:jc w:val="center"/>
              <w:rPr>
                <w:szCs w:val="24"/>
                <w:lang w:val="fr-CH" w:eastAsia="zh-CN"/>
              </w:rPr>
            </w:pPr>
            <w:r w:rsidRPr="00C42394">
              <w:rPr>
                <w:szCs w:val="24"/>
                <w:lang w:val="fr-CH" w:eastAsia="zh-CN"/>
              </w:rPr>
              <w:t>151</w:t>
            </w:r>
          </w:p>
        </w:tc>
      </w:tr>
      <w:tr w:rsidR="00C75117" w:rsidRPr="00C42394" w:rsidTr="00A26D0A">
        <w:trPr>
          <w:jc w:val="center"/>
        </w:trPr>
        <w:tc>
          <w:tcPr>
            <w:tcW w:w="6941" w:type="dxa"/>
          </w:tcPr>
          <w:p w:rsidR="00C75117" w:rsidRPr="00C42394" w:rsidRDefault="00F07422" w:rsidP="00D7661C">
            <w:pPr>
              <w:pStyle w:val="Tabletext"/>
              <w:rPr>
                <w:b/>
                <w:szCs w:val="24"/>
                <w:lang w:val="fr-CH" w:eastAsia="zh-CN"/>
              </w:rPr>
            </w:pPr>
            <w:r w:rsidRPr="00C42394">
              <w:rPr>
                <w:szCs w:val="24"/>
                <w:lang w:val="fr-CH" w:eastAsia="zh-CN"/>
              </w:rPr>
              <w:t>Organisation des Nations Unies pour l</w:t>
            </w:r>
            <w:r w:rsidR="00196069" w:rsidRPr="00C42394">
              <w:rPr>
                <w:szCs w:val="24"/>
                <w:lang w:val="fr-CH" w:eastAsia="zh-CN"/>
              </w:rPr>
              <w:t>'</w:t>
            </w:r>
            <w:r w:rsidRPr="00C42394">
              <w:rPr>
                <w:szCs w:val="24"/>
                <w:lang w:val="fr-CH" w:eastAsia="zh-CN"/>
              </w:rPr>
              <w:t>alimentation et l</w:t>
            </w:r>
            <w:r w:rsidR="00196069" w:rsidRPr="00C42394">
              <w:rPr>
                <w:szCs w:val="24"/>
                <w:lang w:val="fr-CH" w:eastAsia="zh-CN"/>
              </w:rPr>
              <w:t>'</w:t>
            </w:r>
            <w:r w:rsidRPr="00C42394">
              <w:rPr>
                <w:szCs w:val="24"/>
                <w:lang w:val="fr-CH" w:eastAsia="zh-CN"/>
              </w:rPr>
              <w:t>agriculture (</w:t>
            </w:r>
            <w:r w:rsidR="00C75117" w:rsidRPr="00C42394">
              <w:rPr>
                <w:szCs w:val="24"/>
                <w:lang w:val="fr-CH" w:eastAsia="zh-CN"/>
              </w:rPr>
              <w:t>FAO)</w:t>
            </w:r>
          </w:p>
        </w:tc>
        <w:tc>
          <w:tcPr>
            <w:tcW w:w="2835" w:type="dxa"/>
          </w:tcPr>
          <w:p w:rsidR="00C75117" w:rsidRPr="00C42394" w:rsidRDefault="00C75117" w:rsidP="00D7661C">
            <w:pPr>
              <w:pStyle w:val="Tabletext"/>
              <w:jc w:val="center"/>
              <w:rPr>
                <w:szCs w:val="24"/>
                <w:lang w:val="fr-CH" w:eastAsia="zh-CN"/>
              </w:rPr>
            </w:pPr>
            <w:r w:rsidRPr="00C42394">
              <w:rPr>
                <w:szCs w:val="24"/>
                <w:lang w:val="fr-CH" w:eastAsia="zh-CN"/>
              </w:rPr>
              <w:t>100</w:t>
            </w:r>
          </w:p>
        </w:tc>
      </w:tr>
      <w:tr w:rsidR="00C75117" w:rsidRPr="00C42394" w:rsidTr="00A26D0A">
        <w:trPr>
          <w:jc w:val="center"/>
        </w:trPr>
        <w:tc>
          <w:tcPr>
            <w:tcW w:w="6941" w:type="dxa"/>
          </w:tcPr>
          <w:p w:rsidR="00C75117" w:rsidRPr="00C42394" w:rsidRDefault="00F07422" w:rsidP="00D7661C">
            <w:pPr>
              <w:pStyle w:val="Tabletext"/>
              <w:rPr>
                <w:szCs w:val="24"/>
                <w:lang w:val="fr-CH" w:eastAsia="zh-CN"/>
              </w:rPr>
            </w:pPr>
            <w:r w:rsidRPr="00C42394">
              <w:rPr>
                <w:szCs w:val="24"/>
                <w:lang w:val="fr-CH" w:eastAsia="zh-CN"/>
              </w:rPr>
              <w:t xml:space="preserve">Organisation mondiale de la santé </w:t>
            </w:r>
            <w:r w:rsidR="00C75117" w:rsidRPr="00C42394">
              <w:rPr>
                <w:szCs w:val="24"/>
                <w:lang w:val="fr-CH" w:eastAsia="zh-CN"/>
              </w:rPr>
              <w:t>(</w:t>
            </w:r>
            <w:r w:rsidRPr="00C42394">
              <w:rPr>
                <w:szCs w:val="24"/>
                <w:lang w:val="fr-CH" w:eastAsia="zh-CN"/>
              </w:rPr>
              <w:t>OMS</w:t>
            </w:r>
            <w:r w:rsidR="00C75117" w:rsidRPr="00C42394">
              <w:rPr>
                <w:szCs w:val="24"/>
                <w:lang w:val="fr-CH" w:eastAsia="zh-CN"/>
              </w:rPr>
              <w:t>)</w:t>
            </w:r>
          </w:p>
        </w:tc>
        <w:tc>
          <w:tcPr>
            <w:tcW w:w="2835" w:type="dxa"/>
          </w:tcPr>
          <w:p w:rsidR="00C75117" w:rsidRPr="00C42394" w:rsidRDefault="00C75117" w:rsidP="00D7661C">
            <w:pPr>
              <w:pStyle w:val="Tabletext"/>
              <w:jc w:val="center"/>
              <w:rPr>
                <w:szCs w:val="24"/>
                <w:lang w:val="fr-CH" w:eastAsia="zh-CN"/>
              </w:rPr>
            </w:pPr>
            <w:r w:rsidRPr="00C42394">
              <w:rPr>
                <w:szCs w:val="24"/>
                <w:lang w:val="fr-CH" w:eastAsia="zh-CN"/>
              </w:rPr>
              <w:t>100</w:t>
            </w:r>
          </w:p>
        </w:tc>
      </w:tr>
      <w:tr w:rsidR="00C75117" w:rsidRPr="00C42394" w:rsidTr="00A26D0A">
        <w:trPr>
          <w:jc w:val="center"/>
        </w:trPr>
        <w:tc>
          <w:tcPr>
            <w:tcW w:w="6941" w:type="dxa"/>
          </w:tcPr>
          <w:p w:rsidR="00C75117" w:rsidRPr="00C42394" w:rsidRDefault="00F07422" w:rsidP="00D7661C">
            <w:pPr>
              <w:pStyle w:val="Tabletext"/>
              <w:rPr>
                <w:szCs w:val="24"/>
                <w:highlight w:val="yellow"/>
                <w:lang w:val="fr-CH" w:eastAsia="zh-CN"/>
              </w:rPr>
            </w:pPr>
            <w:r w:rsidRPr="00C42394">
              <w:rPr>
                <w:szCs w:val="24"/>
                <w:lang w:val="fr-CH" w:eastAsia="zh-CN"/>
              </w:rPr>
              <w:t>Organisation de coopération et de développement économiques (OCDE)</w:t>
            </w:r>
          </w:p>
        </w:tc>
        <w:tc>
          <w:tcPr>
            <w:tcW w:w="2835" w:type="dxa"/>
          </w:tcPr>
          <w:p w:rsidR="00C75117" w:rsidRPr="00C42394" w:rsidRDefault="00C75117" w:rsidP="00D7661C">
            <w:pPr>
              <w:pStyle w:val="Tabletext"/>
              <w:jc w:val="center"/>
              <w:rPr>
                <w:szCs w:val="24"/>
                <w:lang w:val="fr-CH" w:eastAsia="zh-CN"/>
              </w:rPr>
            </w:pPr>
            <w:r w:rsidRPr="00C42394">
              <w:rPr>
                <w:szCs w:val="24"/>
                <w:lang w:val="fr-CH" w:eastAsia="zh-CN"/>
              </w:rPr>
              <w:t>85</w:t>
            </w:r>
          </w:p>
        </w:tc>
      </w:tr>
      <w:tr w:rsidR="00C75117" w:rsidRPr="00C42394" w:rsidTr="00A26D0A">
        <w:trPr>
          <w:jc w:val="center"/>
        </w:trPr>
        <w:tc>
          <w:tcPr>
            <w:tcW w:w="6941" w:type="dxa"/>
          </w:tcPr>
          <w:p w:rsidR="00C75117" w:rsidRPr="00C42394" w:rsidRDefault="00F07422" w:rsidP="00D7661C">
            <w:pPr>
              <w:pStyle w:val="Tabletext"/>
              <w:rPr>
                <w:szCs w:val="24"/>
                <w:lang w:val="fr-CH" w:eastAsia="zh-CN"/>
              </w:rPr>
            </w:pPr>
            <w:r w:rsidRPr="00C42394">
              <w:rPr>
                <w:szCs w:val="24"/>
                <w:lang w:val="fr-CH" w:eastAsia="zh-CN"/>
              </w:rPr>
              <w:t>Institut de statistique de l</w:t>
            </w:r>
            <w:r w:rsidR="00196069" w:rsidRPr="00C42394">
              <w:rPr>
                <w:szCs w:val="24"/>
                <w:lang w:val="fr-CH" w:eastAsia="zh-CN"/>
              </w:rPr>
              <w:t>'</w:t>
            </w:r>
            <w:r w:rsidR="00CD1BAC" w:rsidRPr="00C42394">
              <w:rPr>
                <w:szCs w:val="24"/>
                <w:lang w:val="fr-CH" w:eastAsia="zh-CN"/>
              </w:rPr>
              <w:t>Organisation des Nations Unies pour l'éducation, la science et la culture (UNESCO)</w:t>
            </w:r>
          </w:p>
        </w:tc>
        <w:tc>
          <w:tcPr>
            <w:tcW w:w="2835" w:type="dxa"/>
          </w:tcPr>
          <w:p w:rsidR="00C75117" w:rsidRPr="00C42394" w:rsidRDefault="00C75117" w:rsidP="00D7661C">
            <w:pPr>
              <w:pStyle w:val="Tabletext"/>
              <w:jc w:val="center"/>
              <w:rPr>
                <w:szCs w:val="24"/>
                <w:lang w:val="fr-CH" w:eastAsia="zh-CN"/>
              </w:rPr>
            </w:pPr>
            <w:r w:rsidRPr="00C42394">
              <w:rPr>
                <w:szCs w:val="24"/>
                <w:lang w:val="fr-CH" w:eastAsia="zh-CN"/>
              </w:rPr>
              <w:t>70</w:t>
            </w:r>
          </w:p>
        </w:tc>
      </w:tr>
      <w:tr w:rsidR="00C75117" w:rsidRPr="00C42394" w:rsidTr="00A26D0A">
        <w:trPr>
          <w:jc w:val="center"/>
        </w:trPr>
        <w:tc>
          <w:tcPr>
            <w:tcW w:w="6941" w:type="dxa"/>
          </w:tcPr>
          <w:p w:rsidR="00C75117" w:rsidRPr="00C42394" w:rsidRDefault="00F07422" w:rsidP="00D7661C">
            <w:pPr>
              <w:pStyle w:val="Tabletext"/>
              <w:rPr>
                <w:color w:val="000000"/>
                <w:szCs w:val="24"/>
                <w:lang w:val="fr-CH" w:eastAsia="zh-CN"/>
              </w:rPr>
            </w:pPr>
            <w:r w:rsidRPr="00C42394">
              <w:rPr>
                <w:color w:val="000000"/>
                <w:szCs w:val="24"/>
                <w:lang w:val="fr-CH" w:eastAsia="zh-CN"/>
              </w:rPr>
              <w:t>Organisation internationale du travail (OIT)</w:t>
            </w:r>
          </w:p>
        </w:tc>
        <w:tc>
          <w:tcPr>
            <w:tcW w:w="2835" w:type="dxa"/>
          </w:tcPr>
          <w:p w:rsidR="00C75117" w:rsidRPr="00C42394" w:rsidRDefault="00C75117" w:rsidP="00D7661C">
            <w:pPr>
              <w:pStyle w:val="Tabletext"/>
              <w:jc w:val="center"/>
              <w:rPr>
                <w:color w:val="000000"/>
                <w:szCs w:val="24"/>
                <w:lang w:val="fr-CH" w:eastAsia="zh-CN"/>
              </w:rPr>
            </w:pPr>
            <w:r w:rsidRPr="00C42394">
              <w:rPr>
                <w:color w:val="000000"/>
                <w:szCs w:val="24"/>
                <w:lang w:val="fr-CH" w:eastAsia="zh-CN"/>
              </w:rPr>
              <w:t>28</w:t>
            </w:r>
          </w:p>
        </w:tc>
      </w:tr>
      <w:tr w:rsidR="00C75117" w:rsidRPr="00C42394" w:rsidTr="00A26D0A">
        <w:trPr>
          <w:jc w:val="center"/>
        </w:trPr>
        <w:tc>
          <w:tcPr>
            <w:tcW w:w="6941" w:type="dxa"/>
          </w:tcPr>
          <w:p w:rsidR="00C75117" w:rsidRPr="00C42394" w:rsidRDefault="00F07422" w:rsidP="00D7661C">
            <w:pPr>
              <w:pStyle w:val="Tabletext"/>
              <w:rPr>
                <w:color w:val="000000"/>
                <w:szCs w:val="24"/>
                <w:lang w:val="fr-CH" w:eastAsia="zh-CN"/>
              </w:rPr>
            </w:pPr>
            <w:r w:rsidRPr="00C42394">
              <w:rPr>
                <w:color w:val="000000"/>
                <w:szCs w:val="24"/>
                <w:lang w:val="fr-CH" w:eastAsia="zh-CN"/>
              </w:rPr>
              <w:t>Organisation mondiale du commerce (OMC)</w:t>
            </w:r>
          </w:p>
        </w:tc>
        <w:tc>
          <w:tcPr>
            <w:tcW w:w="2835" w:type="dxa"/>
          </w:tcPr>
          <w:p w:rsidR="00C75117" w:rsidRPr="00C42394" w:rsidRDefault="00C75117" w:rsidP="00D7661C">
            <w:pPr>
              <w:pStyle w:val="Tabletext"/>
              <w:jc w:val="center"/>
              <w:rPr>
                <w:color w:val="000000"/>
                <w:szCs w:val="24"/>
                <w:lang w:val="fr-CH" w:eastAsia="zh-CN"/>
              </w:rPr>
            </w:pPr>
            <w:r w:rsidRPr="00C42394">
              <w:rPr>
                <w:color w:val="000000"/>
                <w:szCs w:val="24"/>
                <w:lang w:val="fr-CH" w:eastAsia="zh-CN"/>
              </w:rPr>
              <w:t>23</w:t>
            </w:r>
          </w:p>
        </w:tc>
      </w:tr>
      <w:tr w:rsidR="00C75117" w:rsidRPr="00C42394" w:rsidTr="00A26D0A">
        <w:trPr>
          <w:jc w:val="center"/>
        </w:trPr>
        <w:tc>
          <w:tcPr>
            <w:tcW w:w="6941" w:type="dxa"/>
          </w:tcPr>
          <w:p w:rsidR="00C75117" w:rsidRPr="00C42394" w:rsidRDefault="003B6F64" w:rsidP="00D7661C">
            <w:pPr>
              <w:pStyle w:val="Tabletext"/>
              <w:rPr>
                <w:b/>
                <w:highlight w:val="yellow"/>
                <w:lang w:val="fr-CH" w:eastAsia="zh-CN"/>
              </w:rPr>
            </w:pPr>
            <w:r w:rsidRPr="00C42394">
              <w:rPr>
                <w:lang w:val="fr-CH" w:eastAsia="zh-CN"/>
              </w:rPr>
              <w:t>Conférence des Nations Unies sur le commerce et le développement</w:t>
            </w:r>
            <w:r w:rsidR="00AF523D" w:rsidRPr="00C42394">
              <w:rPr>
                <w:lang w:val="fr-CH" w:eastAsia="zh-CN"/>
              </w:rPr>
              <w:t xml:space="preserve"> (CNUCED)</w:t>
            </w:r>
          </w:p>
        </w:tc>
        <w:tc>
          <w:tcPr>
            <w:tcW w:w="2835" w:type="dxa"/>
          </w:tcPr>
          <w:p w:rsidR="00C75117" w:rsidRPr="00C42394" w:rsidRDefault="00C75117" w:rsidP="00D7661C">
            <w:pPr>
              <w:pStyle w:val="Tabletext"/>
              <w:jc w:val="center"/>
              <w:rPr>
                <w:lang w:val="fr-CH" w:eastAsia="zh-CN"/>
              </w:rPr>
            </w:pPr>
            <w:r w:rsidRPr="00C42394">
              <w:rPr>
                <w:lang w:val="fr-CH" w:eastAsia="zh-CN"/>
              </w:rPr>
              <w:t>20</w:t>
            </w:r>
          </w:p>
        </w:tc>
      </w:tr>
      <w:tr w:rsidR="00C75117" w:rsidRPr="00C42394" w:rsidTr="00A26D0A">
        <w:trPr>
          <w:jc w:val="center"/>
        </w:trPr>
        <w:tc>
          <w:tcPr>
            <w:tcW w:w="6941" w:type="dxa"/>
          </w:tcPr>
          <w:p w:rsidR="00C75117" w:rsidRPr="00C42394" w:rsidRDefault="00C75117" w:rsidP="00D7661C">
            <w:pPr>
              <w:pStyle w:val="Tabletext"/>
              <w:rPr>
                <w:b/>
                <w:bCs/>
                <w:color w:val="0070C0"/>
                <w:lang w:val="fr-CH" w:eastAsia="zh-CN"/>
              </w:rPr>
            </w:pPr>
            <w:r w:rsidRPr="00C42394">
              <w:rPr>
                <w:b/>
                <w:bCs/>
                <w:color w:val="0070C0"/>
                <w:lang w:val="fr-CH" w:eastAsia="zh-CN"/>
              </w:rPr>
              <w:t>Union</w:t>
            </w:r>
            <w:r w:rsidR="00F07422" w:rsidRPr="00C42394">
              <w:rPr>
                <w:b/>
                <w:bCs/>
                <w:color w:val="0070C0"/>
                <w:lang w:val="fr-CH" w:eastAsia="zh-CN"/>
              </w:rPr>
              <w:t xml:space="preserve"> internationale des télécommunications</w:t>
            </w:r>
          </w:p>
        </w:tc>
        <w:tc>
          <w:tcPr>
            <w:tcW w:w="2835" w:type="dxa"/>
          </w:tcPr>
          <w:p w:rsidR="00C75117" w:rsidRPr="00C42394" w:rsidRDefault="00C75117" w:rsidP="00D7661C">
            <w:pPr>
              <w:pStyle w:val="Tabletext"/>
              <w:jc w:val="center"/>
              <w:rPr>
                <w:b/>
                <w:bCs/>
                <w:color w:val="0070C0"/>
                <w:lang w:val="fr-CH" w:eastAsia="zh-CN"/>
              </w:rPr>
            </w:pPr>
            <w:r w:rsidRPr="00C42394">
              <w:rPr>
                <w:b/>
                <w:bCs/>
                <w:color w:val="0070C0"/>
                <w:lang w:val="fr-CH" w:eastAsia="zh-CN"/>
              </w:rPr>
              <w:t>7</w:t>
            </w:r>
          </w:p>
        </w:tc>
      </w:tr>
    </w:tbl>
    <w:p w:rsidR="00C75117" w:rsidRPr="00C42394" w:rsidRDefault="00CD1BAC" w:rsidP="00485B0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426"/>
        <w:rPr>
          <w:i/>
          <w:iCs/>
          <w:sz w:val="20"/>
          <w:lang w:val="fr-CH"/>
        </w:rPr>
      </w:pPr>
      <w:proofErr w:type="gramStart"/>
      <w:r w:rsidRPr="00C42394">
        <w:rPr>
          <w:i/>
          <w:iCs/>
          <w:sz w:val="20"/>
          <w:lang w:val="fr-CH"/>
        </w:rPr>
        <w:t>Source:</w:t>
      </w:r>
      <w:proofErr w:type="gramEnd"/>
      <w:r w:rsidRPr="00C42394">
        <w:rPr>
          <w:i/>
          <w:iCs/>
          <w:sz w:val="20"/>
          <w:lang w:val="fr-CH"/>
        </w:rPr>
        <w:t xml:space="preserve"> –</w:t>
      </w:r>
      <w:r w:rsidR="00C75117" w:rsidRPr="00C42394">
        <w:rPr>
          <w:i/>
          <w:iCs/>
          <w:sz w:val="20"/>
          <w:lang w:val="fr-CH"/>
        </w:rPr>
        <w:t xml:space="preserve"> </w:t>
      </w:r>
      <w:r w:rsidR="00822157" w:rsidRPr="00C42394">
        <w:rPr>
          <w:i/>
          <w:iCs/>
          <w:sz w:val="20"/>
          <w:lang w:val="fr-CH"/>
        </w:rPr>
        <w:t>Comité de coordination des activités de statistique</w:t>
      </w:r>
      <w:r w:rsidR="00C75117" w:rsidRPr="00C42394">
        <w:rPr>
          <w:i/>
          <w:iCs/>
          <w:sz w:val="20"/>
          <w:lang w:val="fr-CH"/>
        </w:rPr>
        <w:t xml:space="preserve">, </w:t>
      </w:r>
      <w:hyperlink r:id="rId12" w:history="1">
        <w:r w:rsidR="00485B0A" w:rsidRPr="001101AB">
          <w:rPr>
            <w:rStyle w:val="Hyperlink"/>
            <w:i/>
            <w:iCs/>
            <w:sz w:val="20"/>
            <w:lang w:val="fr-CH"/>
          </w:rPr>
          <w:t>https://unstats.un.org/unsd/accsub</w:t>
        </w:r>
        <w:r w:rsidR="00485B0A" w:rsidRPr="001101AB">
          <w:rPr>
            <w:rStyle w:val="Hyperlink"/>
            <w:i/>
            <w:iCs/>
            <w:sz w:val="20"/>
            <w:lang w:val="fr-CH"/>
          </w:rPr>
          <w:noBreakHyphen/>
          <w:t>public/members.htm</w:t>
        </w:r>
      </w:hyperlink>
      <w:r w:rsidR="00C75117" w:rsidRPr="00C42394">
        <w:rPr>
          <w:i/>
          <w:iCs/>
          <w:sz w:val="20"/>
          <w:lang w:val="fr-CH"/>
        </w:rPr>
        <w:t>.</w:t>
      </w:r>
    </w:p>
    <w:p w:rsidR="00C75117" w:rsidRPr="00C42394" w:rsidRDefault="00C75117" w:rsidP="002507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rPr>
          <w:lang w:val="fr-CH"/>
        </w:rPr>
      </w:pPr>
      <w:r w:rsidRPr="00C42394">
        <w:rPr>
          <w:lang w:val="fr-CH"/>
        </w:rPr>
        <w:t>8.4</w:t>
      </w:r>
      <w:r w:rsidRPr="00C42394">
        <w:rPr>
          <w:lang w:val="fr-CH"/>
        </w:rPr>
        <w:tab/>
      </w:r>
      <w:r w:rsidR="00DF0968" w:rsidRPr="00C42394">
        <w:rPr>
          <w:lang w:val="fr-CH"/>
        </w:rPr>
        <w:t>A l</w:t>
      </w:r>
      <w:r w:rsidR="00196069" w:rsidRPr="00C42394">
        <w:rPr>
          <w:lang w:val="fr-CH"/>
        </w:rPr>
        <w:t>'</w:t>
      </w:r>
      <w:r w:rsidR="00DF0968" w:rsidRPr="00C42394">
        <w:rPr>
          <w:lang w:val="fr-CH"/>
        </w:rPr>
        <w:t>heure actuelle, la Division des données et statistiques sur les TIC de l</w:t>
      </w:r>
      <w:r w:rsidR="00196069" w:rsidRPr="00C42394">
        <w:rPr>
          <w:lang w:val="fr-CH"/>
        </w:rPr>
        <w:t>'</w:t>
      </w:r>
      <w:r w:rsidR="00DF0968" w:rsidRPr="00C42394">
        <w:rPr>
          <w:lang w:val="fr-CH"/>
        </w:rPr>
        <w:t xml:space="preserve">UIT est composée de cinq </w:t>
      </w:r>
      <w:r w:rsidR="00CD1BAC" w:rsidRPr="00C42394">
        <w:rPr>
          <w:lang w:val="fr-CH"/>
        </w:rPr>
        <w:t>fonctionnaires</w:t>
      </w:r>
      <w:r w:rsidR="00DF0968" w:rsidRPr="00C42394">
        <w:rPr>
          <w:lang w:val="fr-CH"/>
        </w:rPr>
        <w:t xml:space="preserve"> de la catégorie professionnelle et de deux </w:t>
      </w:r>
      <w:r w:rsidR="00CD1BAC" w:rsidRPr="00C42394">
        <w:rPr>
          <w:lang w:val="fr-CH"/>
        </w:rPr>
        <w:t xml:space="preserve">fonctionnaires </w:t>
      </w:r>
      <w:r w:rsidR="00DF0968" w:rsidRPr="00C42394">
        <w:rPr>
          <w:lang w:val="fr-CH"/>
        </w:rPr>
        <w:t>de la catégorie des services généraux, qui sont chargés de</w:t>
      </w:r>
      <w:r w:rsidR="00C6795D" w:rsidRPr="00C42394">
        <w:rPr>
          <w:lang w:val="fr-CH"/>
        </w:rPr>
        <w:t xml:space="preserve"> la collecte, de la vérification, de la diffusion et de l</w:t>
      </w:r>
      <w:r w:rsidR="00196069" w:rsidRPr="00C42394">
        <w:rPr>
          <w:lang w:val="fr-CH"/>
        </w:rPr>
        <w:t>'</w:t>
      </w:r>
      <w:r w:rsidR="00C6795D" w:rsidRPr="00C42394">
        <w:rPr>
          <w:lang w:val="fr-CH"/>
        </w:rPr>
        <w:t>analyse des données,</w:t>
      </w:r>
      <w:r w:rsidR="00DF0968" w:rsidRPr="00C42394">
        <w:rPr>
          <w:lang w:val="fr-CH"/>
        </w:rPr>
        <w:t xml:space="preserve"> </w:t>
      </w:r>
      <w:r w:rsidR="00861AA7" w:rsidRPr="00C42394">
        <w:rPr>
          <w:lang w:val="fr-CH"/>
        </w:rPr>
        <w:t>de l</w:t>
      </w:r>
      <w:r w:rsidR="00196069" w:rsidRPr="00C42394">
        <w:rPr>
          <w:lang w:val="fr-CH"/>
        </w:rPr>
        <w:t>'</w:t>
      </w:r>
      <w:r w:rsidR="00861AA7" w:rsidRPr="00C42394">
        <w:rPr>
          <w:lang w:val="fr-CH"/>
        </w:rPr>
        <w:t>organisation de formations et de</w:t>
      </w:r>
      <w:r w:rsidR="00DF0968" w:rsidRPr="00C42394">
        <w:rPr>
          <w:lang w:val="fr-CH"/>
        </w:rPr>
        <w:t xml:space="preserve"> la coordination et </w:t>
      </w:r>
      <w:r w:rsidR="00F42A88" w:rsidRPr="00C42394">
        <w:rPr>
          <w:lang w:val="fr-CH"/>
        </w:rPr>
        <w:t xml:space="preserve">de </w:t>
      </w:r>
      <w:r w:rsidR="00DF0968" w:rsidRPr="00C42394">
        <w:rPr>
          <w:lang w:val="fr-CH"/>
        </w:rPr>
        <w:t xml:space="preserve">la coopération </w:t>
      </w:r>
      <w:r w:rsidR="00F42A88" w:rsidRPr="00C42394">
        <w:rPr>
          <w:lang w:val="fr-CH"/>
        </w:rPr>
        <w:t>internationale</w:t>
      </w:r>
      <w:r w:rsidR="00655103" w:rsidRPr="00C42394">
        <w:rPr>
          <w:lang w:val="fr-CH"/>
        </w:rPr>
        <w:t>s dans le domaine des statistiques</w:t>
      </w:r>
      <w:r w:rsidR="00DF0968" w:rsidRPr="00C42394">
        <w:rPr>
          <w:lang w:val="fr-CH"/>
        </w:rPr>
        <w:t xml:space="preserve">. </w:t>
      </w:r>
      <w:r w:rsidR="00EF7990" w:rsidRPr="00C42394">
        <w:rPr>
          <w:lang w:val="fr-CH"/>
        </w:rPr>
        <w:t xml:space="preserve">En outre, </w:t>
      </w:r>
      <w:r w:rsidR="00C24732" w:rsidRPr="00C42394">
        <w:rPr>
          <w:lang w:val="fr-CH"/>
        </w:rPr>
        <w:t xml:space="preserve">ces </w:t>
      </w:r>
      <w:r w:rsidR="006641D3" w:rsidRPr="00C42394">
        <w:rPr>
          <w:lang w:val="fr-CH"/>
        </w:rPr>
        <w:t>tâches</w:t>
      </w:r>
      <w:r w:rsidR="00C24732" w:rsidRPr="00C42394">
        <w:rPr>
          <w:lang w:val="fr-CH"/>
        </w:rPr>
        <w:t xml:space="preserve"> dépend</w:t>
      </w:r>
      <w:r w:rsidR="007F6F14" w:rsidRPr="00C42394">
        <w:rPr>
          <w:lang w:val="fr-CH"/>
        </w:rPr>
        <w:t>ent</w:t>
      </w:r>
      <w:r w:rsidR="00C24732" w:rsidRPr="00C42394">
        <w:rPr>
          <w:lang w:val="fr-CH"/>
        </w:rPr>
        <w:t xml:space="preserve"> beaucoup du service d</w:t>
      </w:r>
      <w:r w:rsidR="00196069" w:rsidRPr="00C42394">
        <w:rPr>
          <w:lang w:val="fr-CH"/>
        </w:rPr>
        <w:t>'</w:t>
      </w:r>
      <w:r w:rsidR="00F94CAA" w:rsidRPr="00C42394">
        <w:rPr>
          <w:lang w:val="fr-CH"/>
        </w:rPr>
        <w:t>appui informatique</w:t>
      </w:r>
      <w:r w:rsidR="00C24732" w:rsidRPr="00C42394">
        <w:rPr>
          <w:lang w:val="fr-CH"/>
        </w:rPr>
        <w:t xml:space="preserve"> pour </w:t>
      </w:r>
      <w:r w:rsidR="007F6F14" w:rsidRPr="00C42394">
        <w:rPr>
          <w:lang w:val="fr-CH"/>
        </w:rPr>
        <w:t>tous les aspects liés au</w:t>
      </w:r>
      <w:r w:rsidR="00C24732" w:rsidRPr="00C42394">
        <w:rPr>
          <w:lang w:val="fr-CH"/>
        </w:rPr>
        <w:t xml:space="preserve"> développement, </w:t>
      </w:r>
      <w:r w:rsidR="005D7802" w:rsidRPr="00C42394">
        <w:rPr>
          <w:lang w:val="fr-CH"/>
        </w:rPr>
        <w:t xml:space="preserve">à </w:t>
      </w:r>
      <w:r w:rsidR="00C24732" w:rsidRPr="00C42394">
        <w:rPr>
          <w:lang w:val="fr-CH"/>
        </w:rPr>
        <w:t xml:space="preserve">la maintenance et </w:t>
      </w:r>
      <w:r w:rsidR="00F94CAA" w:rsidRPr="00C42394">
        <w:rPr>
          <w:lang w:val="fr-CH"/>
        </w:rPr>
        <w:t>à l</w:t>
      </w:r>
      <w:r w:rsidR="00196069" w:rsidRPr="00C42394">
        <w:rPr>
          <w:lang w:val="fr-CH"/>
        </w:rPr>
        <w:t>'</w:t>
      </w:r>
      <w:r w:rsidR="00F94CAA" w:rsidRPr="00C42394">
        <w:rPr>
          <w:lang w:val="fr-CH"/>
        </w:rPr>
        <w:t>appui</w:t>
      </w:r>
      <w:r w:rsidR="00C24732" w:rsidRPr="00C42394">
        <w:rPr>
          <w:lang w:val="fr-CH"/>
        </w:rPr>
        <w:t xml:space="preserve">. Le secrétariat a entamé une étude sur le niveau de ressources </w:t>
      </w:r>
      <w:r w:rsidR="007D0C1F" w:rsidRPr="00C42394">
        <w:rPr>
          <w:lang w:val="fr-CH"/>
        </w:rPr>
        <w:t xml:space="preserve">qui serait </w:t>
      </w:r>
      <w:r w:rsidR="00C50F02" w:rsidRPr="00C42394">
        <w:rPr>
          <w:lang w:val="fr-CH"/>
        </w:rPr>
        <w:t>nécessaire</w:t>
      </w:r>
      <w:r w:rsidR="00C24732" w:rsidRPr="00C42394">
        <w:rPr>
          <w:lang w:val="fr-CH"/>
        </w:rPr>
        <w:t xml:space="preserve"> </w:t>
      </w:r>
      <w:r w:rsidR="00C6795D" w:rsidRPr="00C42394">
        <w:rPr>
          <w:lang w:val="fr-CH"/>
        </w:rPr>
        <w:t>pour</w:t>
      </w:r>
      <w:r w:rsidR="00C24732" w:rsidRPr="00C42394">
        <w:rPr>
          <w:lang w:val="fr-CH"/>
        </w:rPr>
        <w:t xml:space="preserve"> poursuivre la mise en </w:t>
      </w:r>
      <w:proofErr w:type="spellStart"/>
      <w:r w:rsidR="00C24732" w:rsidRPr="00C42394">
        <w:rPr>
          <w:lang w:val="fr-CH"/>
        </w:rPr>
        <w:t>oeuvre</w:t>
      </w:r>
      <w:proofErr w:type="spellEnd"/>
      <w:r w:rsidR="00C24732" w:rsidRPr="00C42394">
        <w:rPr>
          <w:lang w:val="fr-CH"/>
        </w:rPr>
        <w:t xml:space="preserve"> de la Résolution 131</w:t>
      </w:r>
      <w:r w:rsidR="00CD1BAC" w:rsidRPr="00C42394">
        <w:rPr>
          <w:lang w:val="fr-CH"/>
        </w:rPr>
        <w:t xml:space="preserve"> (</w:t>
      </w:r>
      <w:proofErr w:type="spellStart"/>
      <w:r w:rsidR="00CD1BAC" w:rsidRPr="00C42394">
        <w:rPr>
          <w:lang w:val="fr-CH"/>
        </w:rPr>
        <w:t>Rév</w:t>
      </w:r>
      <w:proofErr w:type="spellEnd"/>
      <w:r w:rsidR="00CD1BAC" w:rsidRPr="00C42394">
        <w:rPr>
          <w:lang w:val="fr-CH"/>
        </w:rPr>
        <w:t xml:space="preserve">. Busan, 2014) de la </w:t>
      </w:r>
      <w:r w:rsidR="00CD1BAC" w:rsidRPr="00C42394">
        <w:rPr>
          <w:rFonts w:cs="Segoe UI"/>
          <w:lang w:val="fr-CH"/>
        </w:rPr>
        <w:t>Conférence de plénipotentiaires</w:t>
      </w:r>
      <w:r w:rsidR="00C24732" w:rsidRPr="00C42394">
        <w:rPr>
          <w:lang w:val="fr-CH"/>
        </w:rPr>
        <w:t xml:space="preserve">, </w:t>
      </w:r>
      <w:r w:rsidR="007D0C1F" w:rsidRPr="00C42394">
        <w:rPr>
          <w:lang w:val="fr-CH"/>
        </w:rPr>
        <w:t>y compris</w:t>
      </w:r>
      <w:r w:rsidR="00C24732" w:rsidRPr="00C42394">
        <w:rPr>
          <w:lang w:val="fr-CH"/>
        </w:rPr>
        <w:t xml:space="preserve"> des activités mentionnées au </w:t>
      </w:r>
      <w:r w:rsidR="00CD1BAC" w:rsidRPr="00C42394">
        <w:rPr>
          <w:lang w:val="fr-CH"/>
        </w:rPr>
        <w:t>§</w:t>
      </w:r>
      <w:r w:rsidR="00C24732" w:rsidRPr="00C42394">
        <w:rPr>
          <w:lang w:val="fr-CH"/>
        </w:rPr>
        <w:t xml:space="preserve"> 8.2 ci-</w:t>
      </w:r>
      <w:r w:rsidR="00CD1BAC" w:rsidRPr="00C42394">
        <w:rPr>
          <w:lang w:val="fr-CH"/>
        </w:rPr>
        <w:t>dessus</w:t>
      </w:r>
      <w:r w:rsidR="00C24732" w:rsidRPr="00C42394">
        <w:rPr>
          <w:lang w:val="fr-CH"/>
        </w:rPr>
        <w:t>.</w:t>
      </w:r>
      <w:r w:rsidR="00F56BAD" w:rsidRPr="00C42394">
        <w:rPr>
          <w:lang w:val="fr-CH"/>
        </w:rPr>
        <w:t xml:space="preserve"> Les conclusions de cette étude seront communiquées aux membres et intégrées, dans toute la mesure possible et compte tenu des ressources financières disponibles, dans le budget 2020-2021.</w:t>
      </w:r>
    </w:p>
    <w:p w:rsidR="00C75117" w:rsidRPr="00D7661C" w:rsidRDefault="00C75117" w:rsidP="00D7661C">
      <w:pPr>
        <w:pStyle w:val="Heading1"/>
        <w:spacing w:before="360"/>
        <w:rPr>
          <w:sz w:val="26"/>
          <w:szCs w:val="26"/>
          <w:lang w:val="fr-CH"/>
        </w:rPr>
      </w:pPr>
      <w:r w:rsidRPr="00D7661C">
        <w:rPr>
          <w:sz w:val="26"/>
          <w:szCs w:val="26"/>
          <w:lang w:val="fr-CH"/>
        </w:rPr>
        <w:t>9</w:t>
      </w:r>
      <w:r w:rsidRPr="00D7661C">
        <w:rPr>
          <w:sz w:val="26"/>
          <w:szCs w:val="26"/>
          <w:lang w:val="fr-CH"/>
        </w:rPr>
        <w:tab/>
        <w:t>Conclusion</w:t>
      </w:r>
    </w:p>
    <w:p w:rsidR="00BD1614" w:rsidRPr="00C42394" w:rsidRDefault="00072E6C" w:rsidP="00CD1BAC">
      <w:pPr>
        <w:keepNext/>
        <w:keepLines/>
        <w:rPr>
          <w:lang w:val="fr-CH"/>
        </w:rPr>
      </w:pPr>
      <w:r w:rsidRPr="00C42394">
        <w:rPr>
          <w:color w:val="000000" w:themeColor="text1"/>
          <w:lang w:val="fr-CH"/>
        </w:rPr>
        <w:t>A l</w:t>
      </w:r>
      <w:r w:rsidR="00196069" w:rsidRPr="00C42394">
        <w:rPr>
          <w:color w:val="000000" w:themeColor="text1"/>
          <w:lang w:val="fr-CH"/>
        </w:rPr>
        <w:t>'</w:t>
      </w:r>
      <w:r w:rsidRPr="00C42394">
        <w:rPr>
          <w:color w:val="000000" w:themeColor="text1"/>
          <w:lang w:val="fr-CH"/>
        </w:rPr>
        <w:t>heure où</w:t>
      </w:r>
      <w:r w:rsidR="00963298" w:rsidRPr="00C42394">
        <w:rPr>
          <w:color w:val="000000" w:themeColor="text1"/>
          <w:lang w:val="fr-CH"/>
        </w:rPr>
        <w:t xml:space="preserve"> les pays </w:t>
      </w:r>
      <w:r w:rsidR="00C902D7" w:rsidRPr="00C42394">
        <w:rPr>
          <w:color w:val="000000" w:themeColor="text1"/>
          <w:lang w:val="fr-CH"/>
        </w:rPr>
        <w:t>s</w:t>
      </w:r>
      <w:r w:rsidR="00196069" w:rsidRPr="00C42394">
        <w:rPr>
          <w:color w:val="000000" w:themeColor="text1"/>
          <w:lang w:val="fr-CH"/>
        </w:rPr>
        <w:t>'</w:t>
      </w:r>
      <w:r w:rsidR="00C902D7" w:rsidRPr="00C42394">
        <w:rPr>
          <w:color w:val="000000" w:themeColor="text1"/>
          <w:lang w:val="fr-CH"/>
        </w:rPr>
        <w:t xml:space="preserve">emploient </w:t>
      </w:r>
      <w:r w:rsidR="00963298" w:rsidRPr="00C42394">
        <w:rPr>
          <w:color w:val="000000" w:themeColor="text1"/>
          <w:lang w:val="fr-CH"/>
        </w:rPr>
        <w:t xml:space="preserve">à </w:t>
      </w:r>
      <w:r w:rsidRPr="00C42394">
        <w:rPr>
          <w:color w:val="000000" w:themeColor="text1"/>
          <w:lang w:val="fr-CH"/>
        </w:rPr>
        <w:t>réaliser les</w:t>
      </w:r>
      <w:r w:rsidR="00963298" w:rsidRPr="00C42394">
        <w:rPr>
          <w:color w:val="000000" w:themeColor="text1"/>
          <w:lang w:val="fr-CH"/>
        </w:rPr>
        <w:t xml:space="preserve"> </w:t>
      </w:r>
      <w:r w:rsidR="00D27207" w:rsidRPr="00C42394">
        <w:rPr>
          <w:color w:val="000000" w:themeColor="text1"/>
          <w:lang w:val="fr-CH"/>
        </w:rPr>
        <w:t>Objectifs de développement durable (</w:t>
      </w:r>
      <w:r w:rsidR="00963298" w:rsidRPr="00C42394">
        <w:rPr>
          <w:color w:val="000000" w:themeColor="text1"/>
          <w:lang w:val="fr-CH"/>
        </w:rPr>
        <w:t>ODD</w:t>
      </w:r>
      <w:r w:rsidR="00D27207" w:rsidRPr="00C42394">
        <w:rPr>
          <w:color w:val="000000" w:themeColor="text1"/>
          <w:lang w:val="fr-CH"/>
        </w:rPr>
        <w:t>)</w:t>
      </w:r>
      <w:r w:rsidR="00963298" w:rsidRPr="00C42394">
        <w:rPr>
          <w:color w:val="000000" w:themeColor="text1"/>
          <w:lang w:val="fr-CH"/>
        </w:rPr>
        <w:t xml:space="preserve"> d</w:t>
      </w:r>
      <w:r w:rsidR="00196069" w:rsidRPr="00C42394">
        <w:rPr>
          <w:color w:val="000000" w:themeColor="text1"/>
          <w:lang w:val="fr-CH"/>
        </w:rPr>
        <w:t>'</w:t>
      </w:r>
      <w:r w:rsidR="00963298" w:rsidRPr="00C42394">
        <w:rPr>
          <w:color w:val="000000" w:themeColor="text1"/>
          <w:lang w:val="fr-CH"/>
        </w:rPr>
        <w:t>ici à</w:t>
      </w:r>
      <w:r w:rsidR="00CD1BAC" w:rsidRPr="00C42394">
        <w:rPr>
          <w:color w:val="000000" w:themeColor="text1"/>
          <w:lang w:val="fr-CH"/>
        </w:rPr>
        <w:t> </w:t>
      </w:r>
      <w:r w:rsidR="00963298" w:rsidRPr="00C42394">
        <w:rPr>
          <w:color w:val="000000" w:themeColor="text1"/>
          <w:lang w:val="fr-CH"/>
        </w:rPr>
        <w:t>2030, la mesure de la société de l</w:t>
      </w:r>
      <w:r w:rsidR="00196069" w:rsidRPr="00C42394">
        <w:rPr>
          <w:color w:val="000000" w:themeColor="text1"/>
          <w:lang w:val="fr-CH"/>
        </w:rPr>
        <w:t>'</w:t>
      </w:r>
      <w:r w:rsidR="00963298" w:rsidRPr="00C42394">
        <w:rPr>
          <w:color w:val="000000" w:themeColor="text1"/>
          <w:lang w:val="fr-CH"/>
        </w:rPr>
        <w:t xml:space="preserve">information revêt une importance cruciale, en particulier </w:t>
      </w:r>
      <w:r w:rsidRPr="00C42394">
        <w:rPr>
          <w:color w:val="000000" w:themeColor="text1"/>
          <w:lang w:val="fr-CH"/>
        </w:rPr>
        <w:t>compte tenu du rôle</w:t>
      </w:r>
      <w:r w:rsidR="001C5BD0" w:rsidRPr="00C42394">
        <w:rPr>
          <w:color w:val="000000" w:themeColor="text1"/>
          <w:lang w:val="fr-CH"/>
        </w:rPr>
        <w:t xml:space="preserve"> </w:t>
      </w:r>
      <w:r w:rsidRPr="00C42394">
        <w:rPr>
          <w:color w:val="000000" w:themeColor="text1"/>
          <w:lang w:val="fr-CH"/>
        </w:rPr>
        <w:t xml:space="preserve">de catalyseur que jouent </w:t>
      </w:r>
      <w:r w:rsidR="001C5BD0" w:rsidRPr="00C42394">
        <w:rPr>
          <w:color w:val="000000" w:themeColor="text1"/>
          <w:lang w:val="fr-CH"/>
        </w:rPr>
        <w:t xml:space="preserve">les télécommunications/TIC </w:t>
      </w:r>
      <w:r w:rsidRPr="00C42394">
        <w:rPr>
          <w:color w:val="000000" w:themeColor="text1"/>
          <w:lang w:val="fr-CH"/>
        </w:rPr>
        <w:t>en faveur du</w:t>
      </w:r>
      <w:r w:rsidR="00963298" w:rsidRPr="00C42394">
        <w:rPr>
          <w:color w:val="000000" w:themeColor="text1"/>
          <w:lang w:val="fr-CH"/>
        </w:rPr>
        <w:t xml:space="preserve"> </w:t>
      </w:r>
      <w:r w:rsidR="00963298" w:rsidRPr="00D7661C">
        <w:rPr>
          <w:color w:val="000000" w:themeColor="text1"/>
          <w:spacing w:val="-2"/>
          <w:lang w:val="fr-CH"/>
        </w:rPr>
        <w:t xml:space="preserve">développement global des pays. </w:t>
      </w:r>
      <w:r w:rsidR="001C5BD0" w:rsidRPr="00D7661C">
        <w:rPr>
          <w:color w:val="000000" w:themeColor="text1"/>
          <w:spacing w:val="-2"/>
          <w:lang w:val="fr-CH"/>
        </w:rPr>
        <w:t>Les travaux de l</w:t>
      </w:r>
      <w:r w:rsidR="00196069" w:rsidRPr="00D7661C">
        <w:rPr>
          <w:color w:val="000000" w:themeColor="text1"/>
          <w:spacing w:val="-2"/>
          <w:lang w:val="fr-CH"/>
        </w:rPr>
        <w:t>'</w:t>
      </w:r>
      <w:r w:rsidR="001C5BD0" w:rsidRPr="00D7661C">
        <w:rPr>
          <w:color w:val="000000" w:themeColor="text1"/>
          <w:spacing w:val="-2"/>
          <w:lang w:val="fr-CH"/>
        </w:rPr>
        <w:t xml:space="preserve">UIT relatifs aux indicateurs </w:t>
      </w:r>
      <w:r w:rsidR="00F524EB" w:rsidRPr="00D7661C">
        <w:rPr>
          <w:color w:val="000000" w:themeColor="text1"/>
          <w:spacing w:val="-2"/>
          <w:lang w:val="fr-CH"/>
        </w:rPr>
        <w:t xml:space="preserve">des </w:t>
      </w:r>
      <w:r w:rsidR="001C5BD0" w:rsidRPr="00D7661C">
        <w:rPr>
          <w:color w:val="000000" w:themeColor="text1"/>
          <w:spacing w:val="-2"/>
          <w:lang w:val="fr-CH"/>
        </w:rPr>
        <w:t>TIC tiennent compte des nouvelles technologies</w:t>
      </w:r>
      <w:r w:rsidR="00C177B8" w:rsidRPr="00D7661C">
        <w:rPr>
          <w:color w:val="000000" w:themeColor="text1"/>
          <w:spacing w:val="-2"/>
          <w:lang w:val="fr-CH"/>
        </w:rPr>
        <w:t xml:space="preserve"> et doivent</w:t>
      </w:r>
      <w:r w:rsidR="00025240" w:rsidRPr="00D7661C">
        <w:rPr>
          <w:color w:val="000000" w:themeColor="text1"/>
          <w:spacing w:val="-2"/>
          <w:lang w:val="fr-CH"/>
        </w:rPr>
        <w:t xml:space="preserve"> </w:t>
      </w:r>
      <w:r w:rsidR="00CD1BAC" w:rsidRPr="00D7661C">
        <w:rPr>
          <w:color w:val="000000" w:themeColor="text1"/>
          <w:spacing w:val="-2"/>
          <w:lang w:val="fr-CH"/>
        </w:rPr>
        <w:t>reposer sur le principe d'amélioration</w:t>
      </w:r>
      <w:r w:rsidR="0070280D" w:rsidRPr="00D7661C">
        <w:rPr>
          <w:color w:val="000000" w:themeColor="text1"/>
          <w:spacing w:val="-2"/>
          <w:lang w:val="fr-CH"/>
        </w:rPr>
        <w:t xml:space="preserve"> consta</w:t>
      </w:r>
      <w:r w:rsidR="00CD1BAC" w:rsidRPr="00D7661C">
        <w:rPr>
          <w:color w:val="000000" w:themeColor="text1"/>
          <w:spacing w:val="-2"/>
          <w:lang w:val="fr-CH"/>
        </w:rPr>
        <w:t>nte de</w:t>
      </w:r>
      <w:r w:rsidR="00025240" w:rsidRPr="00D7661C">
        <w:rPr>
          <w:color w:val="000000" w:themeColor="text1"/>
          <w:spacing w:val="-2"/>
          <w:lang w:val="fr-CH"/>
        </w:rPr>
        <w:t xml:space="preserve"> </w:t>
      </w:r>
      <w:r w:rsidRPr="00D7661C">
        <w:rPr>
          <w:color w:val="000000" w:themeColor="text1"/>
          <w:spacing w:val="-2"/>
          <w:lang w:val="fr-CH"/>
        </w:rPr>
        <w:t>la collecte,</w:t>
      </w:r>
      <w:r w:rsidRPr="00C42394">
        <w:rPr>
          <w:color w:val="000000" w:themeColor="text1"/>
          <w:lang w:val="fr-CH"/>
        </w:rPr>
        <w:t xml:space="preserve"> </w:t>
      </w:r>
      <w:r w:rsidR="00CD1BAC" w:rsidRPr="00C42394">
        <w:rPr>
          <w:color w:val="000000" w:themeColor="text1"/>
          <w:lang w:val="fr-CH"/>
        </w:rPr>
        <w:t xml:space="preserve">de </w:t>
      </w:r>
      <w:r w:rsidRPr="00C42394">
        <w:rPr>
          <w:color w:val="000000" w:themeColor="text1"/>
          <w:lang w:val="fr-CH"/>
        </w:rPr>
        <w:t>l</w:t>
      </w:r>
      <w:r w:rsidR="00196069" w:rsidRPr="00C42394">
        <w:rPr>
          <w:color w:val="000000" w:themeColor="text1"/>
          <w:lang w:val="fr-CH"/>
        </w:rPr>
        <w:t>'</w:t>
      </w:r>
      <w:r w:rsidRPr="00C42394">
        <w:rPr>
          <w:color w:val="000000" w:themeColor="text1"/>
          <w:lang w:val="fr-CH"/>
        </w:rPr>
        <w:t xml:space="preserve">analyse et </w:t>
      </w:r>
      <w:r w:rsidR="00CD1BAC" w:rsidRPr="00C42394">
        <w:rPr>
          <w:color w:val="000000" w:themeColor="text1"/>
          <w:lang w:val="fr-CH"/>
        </w:rPr>
        <w:t xml:space="preserve">de </w:t>
      </w:r>
      <w:r w:rsidRPr="00C42394">
        <w:rPr>
          <w:color w:val="000000" w:themeColor="text1"/>
          <w:lang w:val="fr-CH"/>
        </w:rPr>
        <w:t xml:space="preserve">la </w:t>
      </w:r>
      <w:r w:rsidR="00025240" w:rsidRPr="00C42394">
        <w:rPr>
          <w:color w:val="000000" w:themeColor="text1"/>
          <w:lang w:val="fr-CH"/>
        </w:rPr>
        <w:t>présentation</w:t>
      </w:r>
      <w:r w:rsidRPr="00C42394">
        <w:rPr>
          <w:color w:val="000000" w:themeColor="text1"/>
          <w:lang w:val="fr-CH"/>
        </w:rPr>
        <w:t xml:space="preserve"> des données</w:t>
      </w:r>
      <w:r w:rsidR="0070280D" w:rsidRPr="00C42394">
        <w:rPr>
          <w:color w:val="000000" w:themeColor="text1"/>
          <w:lang w:val="fr-CH"/>
        </w:rPr>
        <w:t>,</w:t>
      </w:r>
      <w:r w:rsidR="00C177B8" w:rsidRPr="00C42394">
        <w:rPr>
          <w:color w:val="000000" w:themeColor="text1"/>
          <w:lang w:val="fr-CH"/>
        </w:rPr>
        <w:t xml:space="preserve"> </w:t>
      </w:r>
      <w:r w:rsidR="0070280D" w:rsidRPr="00C42394">
        <w:rPr>
          <w:color w:val="000000" w:themeColor="text1"/>
          <w:lang w:val="fr-CH"/>
        </w:rPr>
        <w:t xml:space="preserve">afin </w:t>
      </w:r>
      <w:r w:rsidR="00CD1BAC" w:rsidRPr="00C42394">
        <w:rPr>
          <w:color w:val="000000" w:themeColor="text1"/>
          <w:lang w:val="fr-CH"/>
        </w:rPr>
        <w:t>d'être utiles aux</w:t>
      </w:r>
      <w:r w:rsidR="0070280D" w:rsidRPr="00C42394">
        <w:rPr>
          <w:color w:val="000000" w:themeColor="text1"/>
          <w:lang w:val="fr-CH"/>
        </w:rPr>
        <w:t xml:space="preserve"> pays et </w:t>
      </w:r>
      <w:r w:rsidR="00CD1BAC" w:rsidRPr="00C42394">
        <w:rPr>
          <w:color w:val="000000" w:themeColor="text1"/>
          <w:lang w:val="fr-CH"/>
        </w:rPr>
        <w:t>au</w:t>
      </w:r>
      <w:r w:rsidR="0070280D" w:rsidRPr="00C42394">
        <w:rPr>
          <w:color w:val="000000" w:themeColor="text1"/>
          <w:lang w:val="fr-CH"/>
        </w:rPr>
        <w:t xml:space="preserve"> secteur privé.</w:t>
      </w:r>
    </w:p>
    <w:p w:rsidR="00F07422" w:rsidRPr="00C42394" w:rsidRDefault="00F07422" w:rsidP="002507DE">
      <w:pPr>
        <w:jc w:val="center"/>
        <w:rPr>
          <w:lang w:val="fr-CH"/>
        </w:rPr>
      </w:pPr>
      <w:r w:rsidRPr="00C42394">
        <w:rPr>
          <w:lang w:val="fr-CH"/>
        </w:rPr>
        <w:t>______________</w:t>
      </w:r>
    </w:p>
    <w:sectPr w:rsidR="00F07422" w:rsidRPr="00C42394" w:rsidSect="003A0B7D">
      <w:headerReference w:type="default" r:id="rId13"/>
      <w:footerReference w:type="default" r:id="rId14"/>
      <w:footerReference w:type="first" r:id="rId1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56" w:rsidRDefault="00897956">
      <w:r>
        <w:separator/>
      </w:r>
    </w:p>
  </w:endnote>
  <w:endnote w:type="continuationSeparator" w:id="0">
    <w:p w:rsidR="00897956" w:rsidRDefault="0089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C75117" w:rsidRDefault="003B6F64" w:rsidP="00C75117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C75117">
      <w:rPr>
        <w:lang w:val="en-US"/>
      </w:rPr>
      <w:instrText xml:space="preserve"> FILENAME \p \* MERGEFORMAT </w:instrText>
    </w:r>
    <w:r>
      <w:fldChar w:fldCharType="separate"/>
    </w:r>
    <w:r w:rsidR="004C52B3">
      <w:rPr>
        <w:lang w:val="en-US"/>
      </w:rPr>
      <w:t>P:\FRA\SG\CONF-SG\PP18\000\049F.docx</w:t>
    </w:r>
    <w:r>
      <w:fldChar w:fldCharType="end"/>
    </w:r>
    <w:r w:rsidR="00C75117" w:rsidRPr="00C75117">
      <w:rPr>
        <w:lang w:val="en-US"/>
      </w:rPr>
      <w:t xml:space="preserve"> (442077)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56" w:rsidRDefault="00897956">
      <w:r>
        <w:t>____________________</w:t>
      </w:r>
    </w:p>
  </w:footnote>
  <w:footnote w:type="continuationSeparator" w:id="0">
    <w:p w:rsidR="00897956" w:rsidRDefault="00897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507DE">
      <w:rPr>
        <w:noProof/>
      </w:rPr>
      <w:t>2</w:t>
    </w:r>
    <w:r>
      <w:fldChar w:fldCharType="end"/>
    </w:r>
  </w:p>
  <w:p w:rsidR="00BD1614" w:rsidRDefault="00BD1614" w:rsidP="001E2226">
    <w:pPr>
      <w:pStyle w:val="Header"/>
    </w:pPr>
    <w:r>
      <w:t>PP1</w:t>
    </w:r>
    <w:r w:rsidR="001E2226">
      <w:t>8</w:t>
    </w:r>
    <w:r w:rsidR="00897956">
      <w:t>/49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11C2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5E52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C8D1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1E5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2CF7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C2E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EA2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88F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E8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644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64173"/>
    <w:multiLevelType w:val="hybridMultilevel"/>
    <w:tmpl w:val="4AD6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56"/>
    <w:rsid w:val="0000201E"/>
    <w:rsid w:val="000054D8"/>
    <w:rsid w:val="00015F28"/>
    <w:rsid w:val="00015F86"/>
    <w:rsid w:val="00023FA0"/>
    <w:rsid w:val="00025240"/>
    <w:rsid w:val="000521E5"/>
    <w:rsid w:val="00060D74"/>
    <w:rsid w:val="00072D5C"/>
    <w:rsid w:val="00072E6C"/>
    <w:rsid w:val="00074AA1"/>
    <w:rsid w:val="0008398C"/>
    <w:rsid w:val="00084308"/>
    <w:rsid w:val="000B14B6"/>
    <w:rsid w:val="000B5AF3"/>
    <w:rsid w:val="000C467B"/>
    <w:rsid w:val="000D15FB"/>
    <w:rsid w:val="000D4D2B"/>
    <w:rsid w:val="000E4A25"/>
    <w:rsid w:val="000F44D6"/>
    <w:rsid w:val="000F58F7"/>
    <w:rsid w:val="001051E4"/>
    <w:rsid w:val="001354EA"/>
    <w:rsid w:val="00136FCE"/>
    <w:rsid w:val="00143BA1"/>
    <w:rsid w:val="00150E02"/>
    <w:rsid w:val="00153BA4"/>
    <w:rsid w:val="00172CAA"/>
    <w:rsid w:val="00180421"/>
    <w:rsid w:val="001941AD"/>
    <w:rsid w:val="00196069"/>
    <w:rsid w:val="001A0682"/>
    <w:rsid w:val="001B2DB7"/>
    <w:rsid w:val="001B4D8D"/>
    <w:rsid w:val="001B5B90"/>
    <w:rsid w:val="001B6584"/>
    <w:rsid w:val="001C0EBE"/>
    <w:rsid w:val="001C5BD0"/>
    <w:rsid w:val="001D31B2"/>
    <w:rsid w:val="001D349C"/>
    <w:rsid w:val="001E1B9B"/>
    <w:rsid w:val="001E2226"/>
    <w:rsid w:val="001F6233"/>
    <w:rsid w:val="002355CD"/>
    <w:rsid w:val="002507DE"/>
    <w:rsid w:val="00265F8F"/>
    <w:rsid w:val="00266A32"/>
    <w:rsid w:val="00270B2F"/>
    <w:rsid w:val="002A0E1B"/>
    <w:rsid w:val="002C1059"/>
    <w:rsid w:val="002C2F9C"/>
    <w:rsid w:val="002D235E"/>
    <w:rsid w:val="002D397A"/>
    <w:rsid w:val="002E68E3"/>
    <w:rsid w:val="002F5886"/>
    <w:rsid w:val="002F72F8"/>
    <w:rsid w:val="00301137"/>
    <w:rsid w:val="00317D71"/>
    <w:rsid w:val="00322DEA"/>
    <w:rsid w:val="003311FF"/>
    <w:rsid w:val="003503BD"/>
    <w:rsid w:val="00355FBD"/>
    <w:rsid w:val="00361956"/>
    <w:rsid w:val="003670A2"/>
    <w:rsid w:val="00381461"/>
    <w:rsid w:val="003A0B7D"/>
    <w:rsid w:val="003A45C2"/>
    <w:rsid w:val="003A5916"/>
    <w:rsid w:val="003B3D68"/>
    <w:rsid w:val="003B6F64"/>
    <w:rsid w:val="003C1015"/>
    <w:rsid w:val="003C4BE2"/>
    <w:rsid w:val="003D147D"/>
    <w:rsid w:val="003D637A"/>
    <w:rsid w:val="003F51DA"/>
    <w:rsid w:val="00402F2F"/>
    <w:rsid w:val="00417658"/>
    <w:rsid w:val="00430015"/>
    <w:rsid w:val="00443497"/>
    <w:rsid w:val="004678D0"/>
    <w:rsid w:val="00482954"/>
    <w:rsid w:val="00485B0A"/>
    <w:rsid w:val="004951C0"/>
    <w:rsid w:val="004C52B3"/>
    <w:rsid w:val="004D23C6"/>
    <w:rsid w:val="0050090C"/>
    <w:rsid w:val="00502474"/>
    <w:rsid w:val="0050512E"/>
    <w:rsid w:val="00524001"/>
    <w:rsid w:val="005412D4"/>
    <w:rsid w:val="005427AA"/>
    <w:rsid w:val="00564B63"/>
    <w:rsid w:val="00575DC7"/>
    <w:rsid w:val="005836C2"/>
    <w:rsid w:val="00585DD5"/>
    <w:rsid w:val="005A0F96"/>
    <w:rsid w:val="005A4EFD"/>
    <w:rsid w:val="005A5ABE"/>
    <w:rsid w:val="005A66FC"/>
    <w:rsid w:val="005C2ECC"/>
    <w:rsid w:val="005C6744"/>
    <w:rsid w:val="005D0194"/>
    <w:rsid w:val="005D7802"/>
    <w:rsid w:val="005E18AA"/>
    <w:rsid w:val="005E419E"/>
    <w:rsid w:val="005E4877"/>
    <w:rsid w:val="005E6D58"/>
    <w:rsid w:val="005F63BD"/>
    <w:rsid w:val="00611CF1"/>
    <w:rsid w:val="0061580C"/>
    <w:rsid w:val="006201D9"/>
    <w:rsid w:val="00622D43"/>
    <w:rsid w:val="006277DB"/>
    <w:rsid w:val="00635B7B"/>
    <w:rsid w:val="00655103"/>
    <w:rsid w:val="00655B98"/>
    <w:rsid w:val="006641D3"/>
    <w:rsid w:val="0066529B"/>
    <w:rsid w:val="006710E6"/>
    <w:rsid w:val="00686973"/>
    <w:rsid w:val="00687FD0"/>
    <w:rsid w:val="006A2656"/>
    <w:rsid w:val="006A6342"/>
    <w:rsid w:val="006B6C9C"/>
    <w:rsid w:val="006B7B24"/>
    <w:rsid w:val="006C31D6"/>
    <w:rsid w:val="006C7AE3"/>
    <w:rsid w:val="006D55E8"/>
    <w:rsid w:val="006D5729"/>
    <w:rsid w:val="006E1921"/>
    <w:rsid w:val="006F127E"/>
    <w:rsid w:val="006F36F9"/>
    <w:rsid w:val="0070280D"/>
    <w:rsid w:val="0070576B"/>
    <w:rsid w:val="007067F3"/>
    <w:rsid w:val="00713335"/>
    <w:rsid w:val="00727C2F"/>
    <w:rsid w:val="00735F13"/>
    <w:rsid w:val="0076228A"/>
    <w:rsid w:val="007663DC"/>
    <w:rsid w:val="007717F2"/>
    <w:rsid w:val="00772ADD"/>
    <w:rsid w:val="00772E3B"/>
    <w:rsid w:val="0078134C"/>
    <w:rsid w:val="00794B6B"/>
    <w:rsid w:val="007A5830"/>
    <w:rsid w:val="007C3DC9"/>
    <w:rsid w:val="007C4B87"/>
    <w:rsid w:val="007D069F"/>
    <w:rsid w:val="007D0C1F"/>
    <w:rsid w:val="007D537D"/>
    <w:rsid w:val="007F6F14"/>
    <w:rsid w:val="00801256"/>
    <w:rsid w:val="00806B2B"/>
    <w:rsid w:val="00807AE2"/>
    <w:rsid w:val="00822157"/>
    <w:rsid w:val="00853584"/>
    <w:rsid w:val="00855290"/>
    <w:rsid w:val="00861AA7"/>
    <w:rsid w:val="008703CB"/>
    <w:rsid w:val="008777C4"/>
    <w:rsid w:val="00891A3F"/>
    <w:rsid w:val="00897956"/>
    <w:rsid w:val="008A38F4"/>
    <w:rsid w:val="008B61AF"/>
    <w:rsid w:val="008C08CF"/>
    <w:rsid w:val="008C33C2"/>
    <w:rsid w:val="008C6137"/>
    <w:rsid w:val="008C6241"/>
    <w:rsid w:val="008E2DB4"/>
    <w:rsid w:val="008E7A53"/>
    <w:rsid w:val="00901DD5"/>
    <w:rsid w:val="0090735B"/>
    <w:rsid w:val="00912D5E"/>
    <w:rsid w:val="00933FA9"/>
    <w:rsid w:val="00934340"/>
    <w:rsid w:val="00956DC7"/>
    <w:rsid w:val="00963298"/>
    <w:rsid w:val="00966CD3"/>
    <w:rsid w:val="00966F36"/>
    <w:rsid w:val="00987A20"/>
    <w:rsid w:val="009A0E15"/>
    <w:rsid w:val="009C0FEB"/>
    <w:rsid w:val="009C1E94"/>
    <w:rsid w:val="009C4D01"/>
    <w:rsid w:val="009C5A4F"/>
    <w:rsid w:val="009D4037"/>
    <w:rsid w:val="009D76EE"/>
    <w:rsid w:val="009F0592"/>
    <w:rsid w:val="00A04735"/>
    <w:rsid w:val="00A138C1"/>
    <w:rsid w:val="00A20C7F"/>
    <w:rsid w:val="00A20E72"/>
    <w:rsid w:val="00A246DC"/>
    <w:rsid w:val="00A25BE7"/>
    <w:rsid w:val="00A27857"/>
    <w:rsid w:val="00A47BAF"/>
    <w:rsid w:val="00A542D3"/>
    <w:rsid w:val="00A5784F"/>
    <w:rsid w:val="00A65D8A"/>
    <w:rsid w:val="00A8436E"/>
    <w:rsid w:val="00A95B66"/>
    <w:rsid w:val="00AB3A3E"/>
    <w:rsid w:val="00AC63A6"/>
    <w:rsid w:val="00AE0667"/>
    <w:rsid w:val="00AF3FE3"/>
    <w:rsid w:val="00AF523D"/>
    <w:rsid w:val="00B17A76"/>
    <w:rsid w:val="00B41E0A"/>
    <w:rsid w:val="00B51201"/>
    <w:rsid w:val="00B56DE0"/>
    <w:rsid w:val="00B6251E"/>
    <w:rsid w:val="00B6757A"/>
    <w:rsid w:val="00B71F12"/>
    <w:rsid w:val="00B93650"/>
    <w:rsid w:val="00B96B1E"/>
    <w:rsid w:val="00BA148A"/>
    <w:rsid w:val="00BB2A6F"/>
    <w:rsid w:val="00BB7874"/>
    <w:rsid w:val="00BD1614"/>
    <w:rsid w:val="00BD5DA6"/>
    <w:rsid w:val="00BE6513"/>
    <w:rsid w:val="00BF7D25"/>
    <w:rsid w:val="00C010C0"/>
    <w:rsid w:val="00C01EDC"/>
    <w:rsid w:val="00C177B8"/>
    <w:rsid w:val="00C22C09"/>
    <w:rsid w:val="00C24732"/>
    <w:rsid w:val="00C40CB5"/>
    <w:rsid w:val="00C42394"/>
    <w:rsid w:val="00C50F02"/>
    <w:rsid w:val="00C54CE6"/>
    <w:rsid w:val="00C575E2"/>
    <w:rsid w:val="00C6795D"/>
    <w:rsid w:val="00C7368B"/>
    <w:rsid w:val="00C75117"/>
    <w:rsid w:val="00C8313D"/>
    <w:rsid w:val="00C902D7"/>
    <w:rsid w:val="00C92629"/>
    <w:rsid w:val="00C92746"/>
    <w:rsid w:val="00CC4DC5"/>
    <w:rsid w:val="00CD1BAC"/>
    <w:rsid w:val="00CD2D41"/>
    <w:rsid w:val="00CE1A7C"/>
    <w:rsid w:val="00CE7E60"/>
    <w:rsid w:val="00D0464B"/>
    <w:rsid w:val="00D12C74"/>
    <w:rsid w:val="00D2263F"/>
    <w:rsid w:val="00D27207"/>
    <w:rsid w:val="00D56483"/>
    <w:rsid w:val="00D5658F"/>
    <w:rsid w:val="00D56AD6"/>
    <w:rsid w:val="00D70019"/>
    <w:rsid w:val="00D74B58"/>
    <w:rsid w:val="00D7661C"/>
    <w:rsid w:val="00D82ABE"/>
    <w:rsid w:val="00D97F23"/>
    <w:rsid w:val="00DA1A07"/>
    <w:rsid w:val="00DA4ABA"/>
    <w:rsid w:val="00DA685B"/>
    <w:rsid w:val="00DA742B"/>
    <w:rsid w:val="00DB03C1"/>
    <w:rsid w:val="00DB5F5E"/>
    <w:rsid w:val="00DF0968"/>
    <w:rsid w:val="00DF25C1"/>
    <w:rsid w:val="00DF48F7"/>
    <w:rsid w:val="00DF4964"/>
    <w:rsid w:val="00DF4D73"/>
    <w:rsid w:val="00DF6442"/>
    <w:rsid w:val="00DF79B0"/>
    <w:rsid w:val="00E1047D"/>
    <w:rsid w:val="00E34BBF"/>
    <w:rsid w:val="00E443FA"/>
    <w:rsid w:val="00E46FE5"/>
    <w:rsid w:val="00E54FCE"/>
    <w:rsid w:val="00E60DA1"/>
    <w:rsid w:val="00E8189F"/>
    <w:rsid w:val="00E93D35"/>
    <w:rsid w:val="00E94D61"/>
    <w:rsid w:val="00EA45DB"/>
    <w:rsid w:val="00EC217E"/>
    <w:rsid w:val="00ED2B3B"/>
    <w:rsid w:val="00ED2CD9"/>
    <w:rsid w:val="00EF7990"/>
    <w:rsid w:val="00EF7DC0"/>
    <w:rsid w:val="00F07422"/>
    <w:rsid w:val="00F07DA7"/>
    <w:rsid w:val="00F129DC"/>
    <w:rsid w:val="00F176C9"/>
    <w:rsid w:val="00F31F20"/>
    <w:rsid w:val="00F3482F"/>
    <w:rsid w:val="00F42802"/>
    <w:rsid w:val="00F42A88"/>
    <w:rsid w:val="00F524EB"/>
    <w:rsid w:val="00F564C1"/>
    <w:rsid w:val="00F56BAD"/>
    <w:rsid w:val="00F62AC9"/>
    <w:rsid w:val="00F77FA2"/>
    <w:rsid w:val="00F8357A"/>
    <w:rsid w:val="00F878AD"/>
    <w:rsid w:val="00F94CAA"/>
    <w:rsid w:val="00FA1B77"/>
    <w:rsid w:val="00FA2CF4"/>
    <w:rsid w:val="00FA7EC8"/>
    <w:rsid w:val="00FB081F"/>
    <w:rsid w:val="00FB4B65"/>
    <w:rsid w:val="00FB5741"/>
    <w:rsid w:val="00FB74B8"/>
    <w:rsid w:val="00FC49E0"/>
    <w:rsid w:val="00FD5F5C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0DEFC31-B86C-4B03-B4AF-30A8B05A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aliases w:val="超级链接,Style 58,超?级链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customStyle="1" w:styleId="Table">
    <w:name w:val="Table_#"/>
    <w:basedOn w:val="Normal"/>
    <w:next w:val="Normal"/>
    <w:uiPriority w:val="99"/>
    <w:rsid w:val="000B5AF3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table" w:styleId="TableGrid">
    <w:name w:val="Table Grid"/>
    <w:basedOn w:val="TableNormal"/>
    <w:rsid w:val="00C7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11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2" w:lineRule="auto"/>
      <w:ind w:left="720"/>
      <w:contextualSpacing/>
      <w:textAlignment w:val="auto"/>
    </w:pPr>
    <w:rPr>
      <w:rFonts w:eastAsiaTheme="minorEastAsia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361956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EF7990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F7990"/>
    <w:rPr>
      <w:rFonts w:ascii="Calibri" w:hAnsi="Calibri"/>
      <w:lang w:val="fr-FR" w:eastAsia="en-US"/>
    </w:rPr>
  </w:style>
  <w:style w:type="character" w:styleId="EndnoteReference">
    <w:name w:val="endnote reference"/>
    <w:basedOn w:val="DefaultParagraphFont"/>
    <w:semiHidden/>
    <w:unhideWhenUsed/>
    <w:rsid w:val="00EF7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PLEN-201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nstats.un.org/unsd/accsubpublic/member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C-0096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8-CL-C-010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096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1</TotalTime>
  <Pages>4</Pages>
  <Words>1530</Words>
  <Characters>9059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10568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sur les progrès accomplis dans la mise en oeuvre de la Résolution 131 (Rév. Busan, 2014) de la conférence de plénipotentiaires</dc:title>
  <dc:subject>Plenipotentiary Conference (PP-18)</dc:subject>
  <dc:creator>Brouard, Ricarda</dc:creator>
  <cp:keywords>PP-18, Plenipotentiary</cp:keywords>
  <dc:description/>
  <cp:lastModifiedBy>Brouard, Ricarda</cp:lastModifiedBy>
  <cp:revision>2</cp:revision>
  <cp:lastPrinted>2018-09-21T08:49:00Z</cp:lastPrinted>
  <dcterms:created xsi:type="dcterms:W3CDTF">2018-09-21T11:47:00Z</dcterms:created>
  <dcterms:modified xsi:type="dcterms:W3CDTF">2018-09-21T11:47:00Z</dcterms:modified>
  <cp:category>Conference document</cp:category>
</cp:coreProperties>
</file>