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224583">
            <w:pPr>
              <w:tabs>
                <w:tab w:val="left" w:pos="851"/>
              </w:tabs>
              <w:spacing w:before="0"/>
              <w:rPr>
                <w:rFonts w:cstheme="minorHAnsi"/>
                <w:b/>
                <w:szCs w:val="24"/>
              </w:rPr>
            </w:pPr>
            <w:r>
              <w:rPr>
                <w:rFonts w:cstheme="minorHAnsi"/>
                <w:b/>
                <w:szCs w:val="24"/>
              </w:rPr>
              <w:t xml:space="preserve">Document </w:t>
            </w:r>
            <w:r w:rsidR="00224583">
              <w:rPr>
                <w:rFonts w:cstheme="minorHAnsi"/>
                <w:b/>
                <w:szCs w:val="24"/>
              </w:rPr>
              <w:t>49</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D53830" w:rsidP="00D53830">
            <w:pPr>
              <w:spacing w:before="0"/>
              <w:rPr>
                <w:rFonts w:cstheme="minorHAnsi"/>
                <w:szCs w:val="24"/>
              </w:rPr>
            </w:pPr>
            <w:r>
              <w:rPr>
                <w:rFonts w:cstheme="minorHAnsi"/>
                <w:b/>
                <w:szCs w:val="24"/>
              </w:rPr>
              <w:t>24</w:t>
            </w:r>
            <w:r w:rsidR="00224583">
              <w:rPr>
                <w:rFonts w:cstheme="minorHAnsi"/>
                <w:b/>
                <w:szCs w:val="24"/>
              </w:rPr>
              <w:t xml:space="preserve"> August</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224583" w:rsidP="006A046E">
            <w:pPr>
              <w:pStyle w:val="Source"/>
            </w:pPr>
            <w:r>
              <w:t>Note by the Secretary-General</w:t>
            </w:r>
          </w:p>
        </w:tc>
      </w:tr>
      <w:tr w:rsidR="001A16ED" w:rsidRPr="00C324A8" w:rsidTr="006A046E">
        <w:trPr>
          <w:cantSplit/>
          <w:trHeight w:val="23"/>
        </w:trPr>
        <w:tc>
          <w:tcPr>
            <w:tcW w:w="10031" w:type="dxa"/>
            <w:gridSpan w:val="2"/>
            <w:shd w:val="clear" w:color="auto" w:fill="auto"/>
          </w:tcPr>
          <w:p w:rsidR="001A16ED" w:rsidRDefault="00224583" w:rsidP="00224583">
            <w:pPr>
              <w:pStyle w:val="Title1"/>
            </w:pPr>
            <w:r>
              <w:t>REPORT ON PROGRESS IN THE IMPLEMENTATION OF PP-14</w:t>
            </w:r>
            <w:r>
              <w:br/>
              <w:t>RESOLUTION 131 (REV. BUSAN, 2014)</w:t>
            </w:r>
          </w:p>
        </w:tc>
      </w:tr>
      <w:bookmarkEnd w:id="7"/>
      <w:bookmarkEnd w:id="8"/>
    </w:tbl>
    <w:p w:rsidR="00224583" w:rsidRDefault="00224583" w:rsidP="00224583">
      <w:pPr>
        <w:tabs>
          <w:tab w:val="clear" w:pos="567"/>
          <w:tab w:val="clear" w:pos="1134"/>
          <w:tab w:val="clear" w:pos="1701"/>
          <w:tab w:val="clear" w:pos="2268"/>
          <w:tab w:val="clear" w:pos="2835"/>
        </w:tabs>
        <w:snapToGrid w:val="0"/>
        <w:spacing w:after="120"/>
        <w:rPr>
          <w:lang w:val="en-US"/>
        </w:rPr>
      </w:pPr>
    </w:p>
    <w:tbl>
      <w:tblPr>
        <w:tblStyle w:val="TableGrid"/>
        <w:tblW w:w="83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53"/>
      </w:tblGrid>
      <w:tr w:rsidR="00224583" w:rsidRPr="00176135" w:rsidTr="00425E6D">
        <w:trPr>
          <w:jc w:val="center"/>
        </w:trPr>
        <w:tc>
          <w:tcPr>
            <w:tcW w:w="8353" w:type="dxa"/>
            <w:vAlign w:val="center"/>
          </w:tcPr>
          <w:p w:rsidR="00224583" w:rsidRPr="00176135" w:rsidRDefault="00224583" w:rsidP="00205A76">
            <w:pPr>
              <w:pStyle w:val="Headingb"/>
              <w:spacing w:before="120" w:after="120" w:line="256" w:lineRule="auto"/>
            </w:pPr>
            <w:r w:rsidRPr="00176135">
              <w:t>Summary</w:t>
            </w:r>
          </w:p>
          <w:p w:rsidR="00224583" w:rsidRPr="008032D7" w:rsidRDefault="00733821" w:rsidP="00205A76">
            <w:pPr>
              <w:spacing w:after="120" w:line="256" w:lineRule="auto"/>
              <w:rPr>
                <w:rFonts w:asciiTheme="minorHAnsi" w:hAnsiTheme="minorHAnsi"/>
                <w:szCs w:val="24"/>
              </w:rPr>
            </w:pPr>
            <w:r w:rsidRPr="008032D7">
              <w:rPr>
                <w:rFonts w:asciiTheme="minorHAnsi" w:hAnsiTheme="minorHAnsi" w:cs="Segoe UI"/>
                <w:szCs w:val="24"/>
              </w:rPr>
              <w:t xml:space="preserve">ITU develops international definitions, standards and methodologies to measure the information society and economy in close cooperation with other regional and international organizations and through its thematic Expert Groups. This document reports on the implementation of PP-14 </w:t>
            </w:r>
            <w:r w:rsidR="001118AE">
              <w:rPr>
                <w:rFonts w:asciiTheme="minorHAnsi" w:hAnsiTheme="minorHAnsi" w:cs="Segoe UI"/>
                <w:szCs w:val="24"/>
              </w:rPr>
              <w:t>R</w:t>
            </w:r>
            <w:r w:rsidRPr="008032D7">
              <w:rPr>
                <w:rFonts w:asciiTheme="minorHAnsi" w:hAnsiTheme="minorHAnsi" w:cs="Segoe UI"/>
                <w:szCs w:val="24"/>
              </w:rPr>
              <w:t xml:space="preserve">esolution 131 (Rev. Busan, 2014) on </w:t>
            </w:r>
            <w:r w:rsidRPr="008032D7">
              <w:rPr>
                <w:rFonts w:asciiTheme="minorHAnsi" w:hAnsiTheme="minorHAnsi" w:cs="Segoe UI"/>
                <w:i/>
                <w:szCs w:val="24"/>
              </w:rPr>
              <w:t>Measuring information and communication technologies to build an integrating and inclusive information society.</w:t>
            </w:r>
          </w:p>
          <w:p w:rsidR="00224583" w:rsidRPr="00733821" w:rsidRDefault="00224583" w:rsidP="00205A76">
            <w:pPr>
              <w:pStyle w:val="Headingb"/>
              <w:spacing w:before="120" w:after="120" w:line="256" w:lineRule="auto"/>
              <w:rPr>
                <w:b w:val="0"/>
              </w:rPr>
            </w:pPr>
            <w:r w:rsidRPr="00176135">
              <w:t>Action required</w:t>
            </w:r>
          </w:p>
          <w:p w:rsidR="00224583" w:rsidRPr="00733821" w:rsidRDefault="00224583" w:rsidP="00205A76">
            <w:pPr>
              <w:snapToGrid w:val="0"/>
              <w:spacing w:after="120"/>
              <w:rPr>
                <w:color w:val="000000" w:themeColor="text1"/>
              </w:rPr>
            </w:pPr>
            <w:r w:rsidRPr="00733821">
              <w:rPr>
                <w:color w:val="000000" w:themeColor="text1"/>
              </w:rPr>
              <w:t>The Plenipotentiary Conference is invited to</w:t>
            </w:r>
            <w:r w:rsidR="00733821">
              <w:rPr>
                <w:color w:val="000000" w:themeColor="text1"/>
              </w:rPr>
              <w:t xml:space="preserve"> </w:t>
            </w:r>
            <w:r w:rsidR="0050191B">
              <w:rPr>
                <w:color w:val="000000" w:themeColor="text1"/>
              </w:rPr>
              <w:t xml:space="preserve">take note of </w:t>
            </w:r>
            <w:r w:rsidR="00733821">
              <w:rPr>
                <w:color w:val="000000" w:themeColor="text1"/>
              </w:rPr>
              <w:t>this</w:t>
            </w:r>
            <w:r w:rsidR="00654A8F">
              <w:rPr>
                <w:color w:val="000000" w:themeColor="text1"/>
              </w:rPr>
              <w:t xml:space="preserve"> </w:t>
            </w:r>
            <w:r w:rsidR="00733821">
              <w:rPr>
                <w:color w:val="000000" w:themeColor="text1"/>
              </w:rPr>
              <w:t>report.</w:t>
            </w:r>
            <w:r w:rsidRPr="00733821">
              <w:rPr>
                <w:color w:val="000000" w:themeColor="text1"/>
              </w:rPr>
              <w:t xml:space="preserve"> </w:t>
            </w:r>
          </w:p>
          <w:p w:rsidR="00224583" w:rsidRPr="004E2069" w:rsidRDefault="00224583" w:rsidP="00205A76">
            <w:pPr>
              <w:pStyle w:val="Table"/>
              <w:keepNext w:val="0"/>
              <w:snapToGrid w:val="0"/>
              <w:spacing w:before="120"/>
              <w:rPr>
                <w:rFonts w:ascii="Calibri" w:hAnsi="Calibri"/>
                <w:caps w:val="0"/>
                <w:sz w:val="22"/>
              </w:rPr>
            </w:pPr>
            <w:r w:rsidRPr="004E2069">
              <w:rPr>
                <w:rFonts w:ascii="Calibri" w:hAnsi="Calibri"/>
                <w:caps w:val="0"/>
                <w:sz w:val="22"/>
              </w:rPr>
              <w:t>____________</w:t>
            </w:r>
          </w:p>
          <w:p w:rsidR="00224583" w:rsidRPr="004E2069" w:rsidRDefault="00224583" w:rsidP="00205A76">
            <w:pPr>
              <w:pStyle w:val="Headingb"/>
              <w:spacing w:before="120" w:after="120" w:line="256" w:lineRule="auto"/>
            </w:pPr>
            <w:r w:rsidRPr="004E2069">
              <w:t>References</w:t>
            </w:r>
          </w:p>
          <w:p w:rsidR="00224583" w:rsidRPr="00176135" w:rsidRDefault="00A71E39" w:rsidP="00205A76">
            <w:pPr>
              <w:spacing w:after="120"/>
            </w:pPr>
            <w:hyperlink r:id="rId10" w:history="1">
              <w:r w:rsidR="003F35D5" w:rsidRPr="00001D34">
                <w:rPr>
                  <w:rStyle w:val="Hyperlink"/>
                </w:rPr>
                <w:t>Resolution 131</w:t>
              </w:r>
            </w:hyperlink>
            <w:r w:rsidR="003F35D5">
              <w:t xml:space="preserve"> (Rev. Busan, 2014); Council document</w:t>
            </w:r>
            <w:r w:rsidR="001118AE">
              <w:t>s</w:t>
            </w:r>
            <w:r w:rsidR="003F35D5">
              <w:t xml:space="preserve"> </w:t>
            </w:r>
            <w:hyperlink r:id="rId11" w:history="1">
              <w:r w:rsidR="003F35D5" w:rsidRPr="00001D34">
                <w:rPr>
                  <w:rStyle w:val="Hyperlink"/>
                </w:rPr>
                <w:t>C18/96</w:t>
              </w:r>
            </w:hyperlink>
            <w:r w:rsidR="00001D34">
              <w:t xml:space="preserve">, </w:t>
            </w:r>
            <w:hyperlink r:id="rId12" w:history="1">
              <w:r w:rsidR="00001D34" w:rsidRPr="00001D34">
                <w:rPr>
                  <w:rStyle w:val="Hyperlink"/>
                </w:rPr>
                <w:t>C18/105</w:t>
              </w:r>
            </w:hyperlink>
          </w:p>
        </w:tc>
      </w:tr>
    </w:tbl>
    <w:p w:rsidR="00224583" w:rsidRPr="00224583" w:rsidRDefault="00224583" w:rsidP="00425E6D">
      <w:pPr>
        <w:tabs>
          <w:tab w:val="clear" w:pos="567"/>
          <w:tab w:val="clear" w:pos="1134"/>
          <w:tab w:val="clear" w:pos="1701"/>
          <w:tab w:val="clear" w:pos="2268"/>
          <w:tab w:val="clear" w:pos="2835"/>
        </w:tabs>
        <w:snapToGrid w:val="0"/>
        <w:spacing w:before="360" w:after="120"/>
        <w:rPr>
          <w:lang w:val="en-US"/>
        </w:rPr>
      </w:pPr>
      <w:r>
        <w:rPr>
          <w:lang w:val="en-US"/>
        </w:rPr>
        <w:t>T</w:t>
      </w:r>
      <w:r w:rsidRPr="00224583">
        <w:rPr>
          <w:lang w:val="en-US"/>
        </w:rPr>
        <w:t>his report details activities that were implem</w:t>
      </w:r>
      <w:r>
        <w:rPr>
          <w:lang w:val="en-US"/>
        </w:rPr>
        <w:t>ented in accordance with PP-14 Resolution 131 (R</w:t>
      </w:r>
      <w:r w:rsidRPr="00224583">
        <w:rPr>
          <w:lang w:val="en-US"/>
        </w:rPr>
        <w:t>ev.</w:t>
      </w:r>
      <w:r>
        <w:rPr>
          <w:lang w:val="en-US"/>
        </w:rPr>
        <w:t> </w:t>
      </w:r>
      <w:r w:rsidRPr="00224583">
        <w:rPr>
          <w:lang w:val="en-US"/>
        </w:rPr>
        <w:t xml:space="preserve">Busan, 2014) during the period 2014-2018. </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t>1.</w:t>
      </w:r>
      <w:r w:rsidRPr="00224583">
        <w:rPr>
          <w:b/>
          <w:bCs/>
          <w:lang w:val="en-US"/>
        </w:rPr>
        <w:tab/>
        <w:t>World Telecommunication/ICT Indicators Symposium (WTIS)</w:t>
      </w:r>
    </w:p>
    <w:p w:rsidR="00224583" w:rsidRPr="00224583" w:rsidRDefault="00224583" w:rsidP="001118AE">
      <w:pPr>
        <w:tabs>
          <w:tab w:val="clear" w:pos="567"/>
          <w:tab w:val="clear" w:pos="1134"/>
          <w:tab w:val="clear" w:pos="1701"/>
          <w:tab w:val="clear" w:pos="2268"/>
          <w:tab w:val="clear" w:pos="2835"/>
        </w:tabs>
        <w:snapToGrid w:val="0"/>
        <w:spacing w:after="120"/>
        <w:jc w:val="both"/>
        <w:rPr>
          <w:lang w:val="en-US"/>
        </w:rPr>
      </w:pPr>
      <w:r w:rsidRPr="00224583">
        <w:rPr>
          <w:lang w:val="en-US"/>
        </w:rPr>
        <w:t>WTIS</w:t>
      </w:r>
      <w:r w:rsidR="001118AE">
        <w:rPr>
          <w:lang w:val="en-US"/>
        </w:rPr>
        <w:t>,</w:t>
      </w:r>
      <w:r w:rsidRPr="00224583">
        <w:rPr>
          <w:lang w:val="en-US"/>
        </w:rPr>
        <w:t xml:space="preserve"> as the main global forum for telecommunication and information society </w:t>
      </w:r>
      <w:r w:rsidR="00733821" w:rsidRPr="00224583">
        <w:rPr>
          <w:lang w:val="en-US"/>
        </w:rPr>
        <w:t>measurements</w:t>
      </w:r>
      <w:r w:rsidRPr="00224583">
        <w:rPr>
          <w:lang w:val="en-US"/>
        </w:rPr>
        <w:t xml:space="preserve"> was convened with the participation of government ministers, business leaders, heads of regulatory authority, national statisticians, academics, and ICT data producers and analysts from all parts of the globe to discuss issues related to information society trends and their measurement. WTIS was held as follows:</w:t>
      </w:r>
    </w:p>
    <w:p w:rsidR="00224583" w:rsidRPr="00224583" w:rsidRDefault="00224583" w:rsidP="00224583">
      <w:pPr>
        <w:tabs>
          <w:tab w:val="clear" w:pos="567"/>
          <w:tab w:val="clear" w:pos="1701"/>
          <w:tab w:val="clear" w:pos="2268"/>
          <w:tab w:val="clear" w:pos="2835"/>
        </w:tabs>
        <w:snapToGrid w:val="0"/>
        <w:spacing w:after="20"/>
        <w:ind w:left="709"/>
        <w:rPr>
          <w:lang w:val="en-US"/>
        </w:rPr>
      </w:pPr>
      <w:r w:rsidRPr="00224583">
        <w:rPr>
          <w:lang w:val="en-US"/>
        </w:rPr>
        <w:t>•</w:t>
      </w:r>
      <w:r w:rsidRPr="00224583">
        <w:rPr>
          <w:lang w:val="en-US"/>
        </w:rPr>
        <w:tab/>
        <w:t>Tbilisi, Georgia, 24-26 November 2014</w:t>
      </w:r>
    </w:p>
    <w:p w:rsidR="00224583" w:rsidRPr="00224583" w:rsidRDefault="006172C7" w:rsidP="00224583">
      <w:pPr>
        <w:tabs>
          <w:tab w:val="clear" w:pos="567"/>
          <w:tab w:val="clear" w:pos="1701"/>
          <w:tab w:val="clear" w:pos="2268"/>
          <w:tab w:val="clear" w:pos="2835"/>
        </w:tabs>
        <w:snapToGrid w:val="0"/>
        <w:spacing w:before="20" w:after="20"/>
        <w:ind w:left="709"/>
        <w:rPr>
          <w:lang w:val="en-US"/>
        </w:rPr>
      </w:pPr>
      <w:r>
        <w:rPr>
          <w:lang w:val="en-US"/>
        </w:rPr>
        <w:t>•</w:t>
      </w:r>
      <w:r>
        <w:rPr>
          <w:lang w:val="en-US"/>
        </w:rPr>
        <w:tab/>
        <w:t xml:space="preserve">Hiroshima, </w:t>
      </w:r>
      <w:r w:rsidR="00224583" w:rsidRPr="00224583">
        <w:rPr>
          <w:lang w:val="en-US"/>
        </w:rPr>
        <w:t>Japan, 30 November - 2 December 2015</w:t>
      </w:r>
    </w:p>
    <w:p w:rsidR="00224583" w:rsidRPr="00224583" w:rsidRDefault="00224583" w:rsidP="00224583">
      <w:pPr>
        <w:tabs>
          <w:tab w:val="clear" w:pos="567"/>
          <w:tab w:val="clear" w:pos="1701"/>
          <w:tab w:val="clear" w:pos="2268"/>
          <w:tab w:val="clear" w:pos="2835"/>
        </w:tabs>
        <w:snapToGrid w:val="0"/>
        <w:spacing w:before="20" w:after="20"/>
        <w:ind w:left="709"/>
        <w:rPr>
          <w:lang w:val="en-US"/>
        </w:rPr>
      </w:pPr>
      <w:r w:rsidRPr="00224583">
        <w:rPr>
          <w:lang w:val="en-US"/>
        </w:rPr>
        <w:t>•</w:t>
      </w:r>
      <w:r w:rsidRPr="00224583">
        <w:rPr>
          <w:lang w:val="en-US"/>
        </w:rPr>
        <w:tab/>
        <w:t>Gaborone, Botswana</w:t>
      </w:r>
      <w:r w:rsidR="001118AE">
        <w:rPr>
          <w:lang w:val="en-US"/>
        </w:rPr>
        <w:t>,</w:t>
      </w:r>
      <w:r w:rsidRPr="00224583">
        <w:rPr>
          <w:lang w:val="en-US"/>
        </w:rPr>
        <w:t xml:space="preserve"> 21-23 November 2016</w:t>
      </w:r>
    </w:p>
    <w:p w:rsidR="00224583" w:rsidRPr="00224583" w:rsidRDefault="00224583" w:rsidP="00224583">
      <w:pPr>
        <w:tabs>
          <w:tab w:val="clear" w:pos="567"/>
          <w:tab w:val="clear" w:pos="1701"/>
          <w:tab w:val="clear" w:pos="2268"/>
          <w:tab w:val="clear" w:pos="2835"/>
        </w:tabs>
        <w:snapToGrid w:val="0"/>
        <w:spacing w:before="20" w:after="120"/>
        <w:ind w:left="709"/>
        <w:rPr>
          <w:lang w:val="en-US"/>
        </w:rPr>
      </w:pPr>
      <w:r w:rsidRPr="00224583">
        <w:rPr>
          <w:lang w:val="en-US"/>
        </w:rPr>
        <w:t>•</w:t>
      </w:r>
      <w:r w:rsidRPr="00224583">
        <w:rPr>
          <w:lang w:val="en-US"/>
        </w:rPr>
        <w:tab/>
      </w:r>
      <w:proofErr w:type="spellStart"/>
      <w:r w:rsidRPr="00224583">
        <w:rPr>
          <w:lang w:val="en-US"/>
        </w:rPr>
        <w:t>Hammamet</w:t>
      </w:r>
      <w:proofErr w:type="spellEnd"/>
      <w:r w:rsidRPr="00224583">
        <w:rPr>
          <w:lang w:val="en-US"/>
        </w:rPr>
        <w:t>, Tunisia, 14-16 November 2017</w:t>
      </w:r>
    </w:p>
    <w:p w:rsidR="00224583" w:rsidRPr="00224583" w:rsidRDefault="00224583" w:rsidP="00425E6D">
      <w:pPr>
        <w:tabs>
          <w:tab w:val="clear" w:pos="567"/>
          <w:tab w:val="clear" w:pos="1134"/>
          <w:tab w:val="clear" w:pos="1701"/>
          <w:tab w:val="clear" w:pos="2268"/>
          <w:tab w:val="clear" w:pos="2835"/>
        </w:tabs>
        <w:snapToGrid w:val="0"/>
        <w:spacing w:before="240" w:after="120"/>
        <w:rPr>
          <w:lang w:val="en-US"/>
        </w:rPr>
      </w:pPr>
      <w:r w:rsidRPr="00224583">
        <w:rPr>
          <w:lang w:val="en-US"/>
        </w:rPr>
        <w:t>In 2018, WTIS will be held in Geneva, Switzerland, 10-12 December 2018.</w:t>
      </w:r>
    </w:p>
    <w:p w:rsidR="00224583" w:rsidRPr="00224583" w:rsidRDefault="00224583" w:rsidP="00D80498">
      <w:pPr>
        <w:tabs>
          <w:tab w:val="clear" w:pos="567"/>
          <w:tab w:val="clear" w:pos="1134"/>
          <w:tab w:val="clear" w:pos="1701"/>
          <w:tab w:val="clear" w:pos="2268"/>
          <w:tab w:val="clear" w:pos="2835"/>
        </w:tabs>
        <w:snapToGrid w:val="0"/>
        <w:spacing w:before="360" w:after="120"/>
        <w:ind w:left="709" w:hanging="709"/>
        <w:rPr>
          <w:b/>
          <w:bCs/>
          <w:lang w:val="en-US"/>
        </w:rPr>
      </w:pPr>
      <w:r w:rsidRPr="00224583">
        <w:rPr>
          <w:b/>
          <w:bCs/>
          <w:lang w:val="en-US"/>
        </w:rPr>
        <w:lastRenderedPageBreak/>
        <w:t>2.</w:t>
      </w:r>
      <w:r w:rsidRPr="00224583">
        <w:rPr>
          <w:b/>
          <w:bCs/>
          <w:lang w:val="en-US"/>
        </w:rPr>
        <w:tab/>
        <w:t>The Expert Group on Telecommunication/ICT Indicators (EGTI) and the Expert Group on ICT</w:t>
      </w:r>
      <w:r w:rsidRPr="00224583">
        <w:rPr>
          <w:lang w:val="en-US"/>
        </w:rPr>
        <w:t xml:space="preserve"> </w:t>
      </w:r>
      <w:r w:rsidRPr="00224583">
        <w:rPr>
          <w:b/>
          <w:bCs/>
          <w:lang w:val="en-US"/>
        </w:rPr>
        <w:t>Household Indicators (EGH)</w:t>
      </w:r>
    </w:p>
    <w:p w:rsidR="00224583" w:rsidRPr="00224583" w:rsidRDefault="00224583" w:rsidP="001118AE">
      <w:pPr>
        <w:tabs>
          <w:tab w:val="clear" w:pos="567"/>
          <w:tab w:val="clear" w:pos="1134"/>
          <w:tab w:val="clear" w:pos="1701"/>
          <w:tab w:val="clear" w:pos="2268"/>
          <w:tab w:val="clear" w:pos="2835"/>
        </w:tabs>
        <w:snapToGrid w:val="0"/>
        <w:spacing w:after="120"/>
        <w:rPr>
          <w:lang w:val="en-US"/>
        </w:rPr>
      </w:pPr>
      <w:r w:rsidRPr="00224583">
        <w:rPr>
          <w:lang w:val="en-US"/>
        </w:rPr>
        <w:t xml:space="preserve">The expert groups (EGTI and EGH) carried out their work through the online forum and met face-to-face annually to review the methodologies and definitions of existing indicators. The expert groups introduced 14 new ICT indicators to replace the 11 </w:t>
      </w:r>
      <w:r w:rsidR="00A64FF2" w:rsidRPr="00224583">
        <w:rPr>
          <w:lang w:val="en-US"/>
        </w:rPr>
        <w:t>indicators that</w:t>
      </w:r>
      <w:r w:rsidRPr="00224583">
        <w:rPr>
          <w:lang w:val="en-US"/>
        </w:rPr>
        <w:t xml:space="preserve"> had been in use. This was to take into acc</w:t>
      </w:r>
      <w:r w:rsidR="003F35D5">
        <w:rPr>
          <w:lang w:val="en-US"/>
        </w:rPr>
        <w:t>ount new technological trends.</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t>3.</w:t>
      </w:r>
      <w:r w:rsidRPr="00224583">
        <w:rPr>
          <w:b/>
          <w:bCs/>
          <w:lang w:val="en-US"/>
        </w:rPr>
        <w:tab/>
        <w:t>ICT Development Index (IDI)</w:t>
      </w:r>
    </w:p>
    <w:p w:rsidR="00224583" w:rsidRPr="00224583" w:rsidRDefault="00224583" w:rsidP="00224583">
      <w:pPr>
        <w:tabs>
          <w:tab w:val="clear" w:pos="567"/>
          <w:tab w:val="clear" w:pos="1134"/>
          <w:tab w:val="clear" w:pos="1701"/>
          <w:tab w:val="clear" w:pos="2268"/>
          <w:tab w:val="clear" w:pos="2835"/>
        </w:tabs>
        <w:snapToGrid w:val="0"/>
        <w:spacing w:after="120"/>
        <w:rPr>
          <w:lang w:val="en-US"/>
        </w:rPr>
      </w:pPr>
      <w:r w:rsidRPr="00224583">
        <w:rPr>
          <w:lang w:val="en-US"/>
        </w:rPr>
        <w:t>At the extraordinary meeting of the EGTI/EGH, which took place from 1 to 3 March 2017, experts reviewed the composition of ICT Development Index to better reflect the recent developments in the ICT sector. The meeting adopted a revised list of 14 indicators to be included in the IDI compared to the old list of 11 indicators. A new IDI methodology based on the 14 new indicators was developed and introduced.</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t>4.</w:t>
      </w:r>
      <w:r w:rsidRPr="00224583">
        <w:rPr>
          <w:b/>
          <w:bCs/>
          <w:lang w:val="en-US"/>
        </w:rPr>
        <w:tab/>
        <w:t>Measuring the Information Society Report (MISR)</w:t>
      </w:r>
    </w:p>
    <w:p w:rsidR="00224583" w:rsidRPr="00224583" w:rsidRDefault="001118AE" w:rsidP="001118AE">
      <w:pPr>
        <w:tabs>
          <w:tab w:val="clear" w:pos="567"/>
          <w:tab w:val="clear" w:pos="1134"/>
          <w:tab w:val="clear" w:pos="1701"/>
          <w:tab w:val="clear" w:pos="2268"/>
          <w:tab w:val="clear" w:pos="2835"/>
        </w:tabs>
        <w:snapToGrid w:val="0"/>
        <w:spacing w:after="120"/>
        <w:rPr>
          <w:lang w:val="en-US"/>
        </w:rPr>
      </w:pPr>
      <w:r>
        <w:rPr>
          <w:lang w:val="en-US"/>
        </w:rPr>
        <w:t>T</w:t>
      </w:r>
      <w:r w:rsidR="00224583" w:rsidRPr="00224583">
        <w:rPr>
          <w:lang w:val="en-US"/>
        </w:rPr>
        <w:t>he Measuring the Information Society Report was published</w:t>
      </w:r>
      <w:r>
        <w:rPr>
          <w:lang w:val="en-US"/>
        </w:rPr>
        <w:t xml:space="preserve"> annually</w:t>
      </w:r>
      <w:r w:rsidR="00224583" w:rsidRPr="00224583">
        <w:rPr>
          <w:lang w:val="en-US"/>
        </w:rPr>
        <w:t>. MISR is an annual report published by ITU since 2009, featur</w:t>
      </w:r>
      <w:r>
        <w:rPr>
          <w:lang w:val="en-US"/>
        </w:rPr>
        <w:t>ing</w:t>
      </w:r>
      <w:r w:rsidR="00224583" w:rsidRPr="00224583">
        <w:rPr>
          <w:lang w:val="en-US"/>
        </w:rPr>
        <w:t xml:space="preserve"> key ICT data and benchmarking tools to measure the information society, particularly via the ICT Development Index (IDI). The report presents a quantitative analysis of the information society and highlights new and emerging trends and measurement issues. The MISR also presents IDI findings at the international and regional levels. It also uses t</w:t>
      </w:r>
      <w:r>
        <w:rPr>
          <w:lang w:val="en-US"/>
        </w:rPr>
        <w:t xml:space="preserve">he findings of the IDI to </w:t>
      </w:r>
      <w:proofErr w:type="spellStart"/>
      <w:r>
        <w:rPr>
          <w:lang w:val="en-US"/>
        </w:rPr>
        <w:t>analys</w:t>
      </w:r>
      <w:r w:rsidR="00224583" w:rsidRPr="00224583">
        <w:rPr>
          <w:lang w:val="en-US"/>
        </w:rPr>
        <w:t>e</w:t>
      </w:r>
      <w:proofErr w:type="spellEnd"/>
      <w:r w:rsidR="00224583" w:rsidRPr="00224583">
        <w:rPr>
          <w:lang w:val="en-US"/>
        </w:rPr>
        <w:t xml:space="preserve"> trends and developments concerning the digital divide. </w:t>
      </w:r>
    </w:p>
    <w:p w:rsidR="00224583" w:rsidRPr="00224583" w:rsidRDefault="00224583" w:rsidP="00224583">
      <w:pPr>
        <w:tabs>
          <w:tab w:val="clear" w:pos="567"/>
          <w:tab w:val="clear" w:pos="1134"/>
          <w:tab w:val="clear" w:pos="1701"/>
          <w:tab w:val="clear" w:pos="2268"/>
          <w:tab w:val="clear" w:pos="2835"/>
        </w:tabs>
        <w:snapToGrid w:val="0"/>
        <w:spacing w:after="120"/>
        <w:rPr>
          <w:lang w:val="en-US"/>
        </w:rPr>
      </w:pPr>
      <w:r w:rsidRPr="00224583">
        <w:rPr>
          <w:lang w:val="en-US"/>
        </w:rPr>
        <w:t>MISR 2017 included for the first time individual country profiles providing a snapshot of the latest ICT landscape and efforts made to increase ICT access, use</w:t>
      </w:r>
      <w:r w:rsidR="001118AE">
        <w:rPr>
          <w:lang w:val="en-US"/>
        </w:rPr>
        <w:t>,</w:t>
      </w:r>
      <w:r w:rsidRPr="00224583">
        <w:rPr>
          <w:lang w:val="en-US"/>
        </w:rPr>
        <w:t xml:space="preserve"> and proficiency in each country. </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t>5.</w:t>
      </w:r>
      <w:r w:rsidRPr="00224583">
        <w:rPr>
          <w:b/>
          <w:bCs/>
          <w:lang w:val="en-US"/>
        </w:rPr>
        <w:tab/>
        <w:t>International cooperation</w:t>
      </w:r>
    </w:p>
    <w:p w:rsidR="00224583" w:rsidRDefault="00224583" w:rsidP="00224583">
      <w:pPr>
        <w:tabs>
          <w:tab w:val="clear" w:pos="567"/>
          <w:tab w:val="clear" w:pos="1134"/>
          <w:tab w:val="clear" w:pos="1701"/>
          <w:tab w:val="clear" w:pos="2268"/>
          <w:tab w:val="clear" w:pos="2835"/>
        </w:tabs>
        <w:snapToGrid w:val="0"/>
        <w:spacing w:after="120"/>
        <w:rPr>
          <w:lang w:val="en-US"/>
        </w:rPr>
      </w:pPr>
      <w:r w:rsidRPr="00224583">
        <w:rPr>
          <w:lang w:val="en-US"/>
        </w:rPr>
        <w:t>ITU has actively cooperated with international bodies on statistical issues, particularly with the UN Statistical Commission, Broadband Commission for Digital Development, Inter-Agency Expert Group on Sustainable Development Goal Indicators (IAEG-SDGs), UN global working group on big data for official statistics, etc. ITU maintained a leading role in the global Partnership on Measuring ICT for Development and its relevant task groups. This Partnership is composed of United Nations Agencies.</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t>6.</w:t>
      </w:r>
      <w:r w:rsidRPr="00224583">
        <w:rPr>
          <w:b/>
          <w:bCs/>
          <w:lang w:val="en-US"/>
        </w:rPr>
        <w:tab/>
        <w:t xml:space="preserve">Capacity building </w:t>
      </w:r>
    </w:p>
    <w:p w:rsidR="00224583" w:rsidRDefault="00224583" w:rsidP="001118AE">
      <w:pPr>
        <w:tabs>
          <w:tab w:val="clear" w:pos="567"/>
          <w:tab w:val="clear" w:pos="1134"/>
          <w:tab w:val="clear" w:pos="1701"/>
          <w:tab w:val="clear" w:pos="2268"/>
          <w:tab w:val="clear" w:pos="2835"/>
        </w:tabs>
        <w:snapToGrid w:val="0"/>
        <w:spacing w:after="120"/>
        <w:rPr>
          <w:lang w:val="en-US"/>
        </w:rPr>
      </w:pPr>
      <w:r w:rsidRPr="00224583">
        <w:rPr>
          <w:lang w:val="en-US"/>
        </w:rPr>
        <w:t>ITU provided capacity building and technical assistance to Member States in the collection of telecommunication/ICT statistics through the delivery of training workshops and the production of methodological manuals and handbooks. In the period 2014-</w:t>
      </w:r>
      <w:r w:rsidR="001118AE">
        <w:rPr>
          <w:lang w:val="en-US"/>
        </w:rPr>
        <w:t>2018, ITU held 12 regional and eight </w:t>
      </w:r>
      <w:r w:rsidRPr="00224583">
        <w:rPr>
          <w:lang w:val="en-US"/>
        </w:rPr>
        <w:t xml:space="preserve">national workshops. </w:t>
      </w:r>
    </w:p>
    <w:p w:rsidR="00224583" w:rsidRPr="00224583" w:rsidRDefault="00224583" w:rsidP="00425E6D">
      <w:pPr>
        <w:tabs>
          <w:tab w:val="clear" w:pos="567"/>
          <w:tab w:val="clear" w:pos="1134"/>
          <w:tab w:val="clear" w:pos="1701"/>
          <w:tab w:val="clear" w:pos="2268"/>
          <w:tab w:val="clear" w:pos="2835"/>
        </w:tabs>
        <w:snapToGrid w:val="0"/>
        <w:spacing w:before="360" w:after="120"/>
        <w:rPr>
          <w:b/>
          <w:bCs/>
          <w:lang w:val="en-US"/>
        </w:rPr>
      </w:pPr>
      <w:r w:rsidRPr="00224583">
        <w:rPr>
          <w:b/>
          <w:bCs/>
          <w:lang w:val="en-US"/>
        </w:rPr>
        <w:t>7.</w:t>
      </w:r>
      <w:r w:rsidRPr="00224583">
        <w:rPr>
          <w:b/>
          <w:bCs/>
          <w:lang w:val="en-US"/>
        </w:rPr>
        <w:tab/>
        <w:t>Data collection and dissemination</w:t>
      </w:r>
    </w:p>
    <w:p w:rsidR="00224583" w:rsidRPr="00224583" w:rsidRDefault="00224583" w:rsidP="001118AE">
      <w:pPr>
        <w:tabs>
          <w:tab w:val="clear" w:pos="567"/>
          <w:tab w:val="clear" w:pos="1134"/>
          <w:tab w:val="clear" w:pos="1701"/>
          <w:tab w:val="clear" w:pos="2268"/>
          <w:tab w:val="clear" w:pos="2835"/>
        </w:tabs>
        <w:snapToGrid w:val="0"/>
        <w:spacing w:after="120"/>
        <w:rPr>
          <w:lang w:val="en-US"/>
        </w:rPr>
      </w:pPr>
      <w:r w:rsidRPr="00224583">
        <w:rPr>
          <w:lang w:val="en-US"/>
        </w:rPr>
        <w:t xml:space="preserve">ITU </w:t>
      </w:r>
      <w:r w:rsidR="00A64FF2" w:rsidRPr="00224583">
        <w:rPr>
          <w:lang w:val="en-US"/>
        </w:rPr>
        <w:t>collected</w:t>
      </w:r>
      <w:r w:rsidR="001118AE">
        <w:rPr>
          <w:lang w:val="en-US"/>
        </w:rPr>
        <w:t>,</w:t>
      </w:r>
      <w:r w:rsidRPr="00224583">
        <w:rPr>
          <w:lang w:val="en-US"/>
        </w:rPr>
        <w:t xml:space="preserve"> harmonized</w:t>
      </w:r>
      <w:r w:rsidR="001118AE">
        <w:rPr>
          <w:lang w:val="en-US"/>
        </w:rPr>
        <w:t>,</w:t>
      </w:r>
      <w:r w:rsidRPr="00224583">
        <w:rPr>
          <w:lang w:val="en-US"/>
        </w:rPr>
        <w:t xml:space="preserve"> and disseminated data and official statistics in the area of telecommunications/ICTs</w:t>
      </w:r>
      <w:r w:rsidR="00A64FF2">
        <w:rPr>
          <w:lang w:val="en-US"/>
        </w:rPr>
        <w:t>. In so doing, ITU used</w:t>
      </w:r>
      <w:r w:rsidRPr="00224583">
        <w:rPr>
          <w:lang w:val="en-US"/>
        </w:rPr>
        <w:t xml:space="preserve"> a variety of data sources and dissemination tools, such as the ITU World Telecommunication/ICT Indicators (WTI) database, the ITU ICT Eye online portal, the Yearbook of Statistics, the ITU/World Bank joint publication namely, “The Little Data Book on Information and Communication Technology”</w:t>
      </w:r>
      <w:r w:rsidR="001118AE">
        <w:rPr>
          <w:lang w:val="en-US"/>
        </w:rPr>
        <w:t>,</w:t>
      </w:r>
      <w:r w:rsidRPr="00224583">
        <w:rPr>
          <w:lang w:val="en-US"/>
        </w:rPr>
        <w:t xml:space="preserve"> and the ITU Statistics </w:t>
      </w:r>
      <w:r w:rsidR="00A64FF2" w:rsidRPr="00224583">
        <w:rPr>
          <w:lang w:val="en-US"/>
        </w:rPr>
        <w:t>webpage</w:t>
      </w:r>
      <w:r w:rsidRPr="00224583">
        <w:rPr>
          <w:lang w:val="en-US"/>
        </w:rPr>
        <w:t>.</w:t>
      </w:r>
    </w:p>
    <w:p w:rsidR="00224583" w:rsidRPr="00224583" w:rsidRDefault="00224583" w:rsidP="00D80498">
      <w:pPr>
        <w:tabs>
          <w:tab w:val="clear" w:pos="567"/>
          <w:tab w:val="clear" w:pos="1134"/>
          <w:tab w:val="clear" w:pos="1701"/>
          <w:tab w:val="clear" w:pos="2268"/>
          <w:tab w:val="clear" w:pos="2835"/>
        </w:tabs>
        <w:snapToGrid w:val="0"/>
        <w:spacing w:before="360" w:after="120"/>
        <w:rPr>
          <w:b/>
          <w:bCs/>
          <w:lang w:val="en-US"/>
        </w:rPr>
      </w:pPr>
      <w:r w:rsidRPr="00224583">
        <w:rPr>
          <w:b/>
          <w:bCs/>
          <w:lang w:val="en-US"/>
        </w:rPr>
        <w:lastRenderedPageBreak/>
        <w:t>8.</w:t>
      </w:r>
      <w:r w:rsidRPr="00224583">
        <w:rPr>
          <w:b/>
          <w:bCs/>
          <w:lang w:val="en-US"/>
        </w:rPr>
        <w:tab/>
        <w:t>Assessment of ITU Work and Resourcing related to Statistics</w:t>
      </w:r>
    </w:p>
    <w:p w:rsidR="004E2069" w:rsidRDefault="00224583" w:rsidP="001118AE">
      <w:pPr>
        <w:tabs>
          <w:tab w:val="clear" w:pos="567"/>
          <w:tab w:val="clear" w:pos="1134"/>
          <w:tab w:val="clear" w:pos="1701"/>
          <w:tab w:val="clear" w:pos="2268"/>
          <w:tab w:val="clear" w:pos="2835"/>
        </w:tabs>
        <w:snapToGrid w:val="0"/>
        <w:spacing w:after="120"/>
        <w:rPr>
          <w:lang w:val="en-US"/>
        </w:rPr>
      </w:pPr>
      <w:r w:rsidRPr="00224583">
        <w:rPr>
          <w:lang w:val="en-US"/>
        </w:rPr>
        <w:t>8.1</w:t>
      </w:r>
      <w:r w:rsidRPr="00224583">
        <w:rPr>
          <w:lang w:val="en-US"/>
        </w:rPr>
        <w:tab/>
        <w:t xml:space="preserve">At the ITU Council 2018, the Federative Republic of Brazil requested the ITU </w:t>
      </w:r>
      <w:r w:rsidR="001118AE">
        <w:rPr>
          <w:lang w:val="en-US"/>
        </w:rPr>
        <w:t>s</w:t>
      </w:r>
      <w:r w:rsidRPr="00224583">
        <w:rPr>
          <w:lang w:val="en-US"/>
        </w:rPr>
        <w:t>ecretariat to “examine the human and financial resources necessary to enhance ITU’s capabilities in gathering, producing and publishing meaningful data, information, statistics and reports, and advise PP-18 on necessary amendments to the ITU Financial plan for 2020-2023” (</w:t>
      </w:r>
      <w:r w:rsidR="00D80498">
        <w:rPr>
          <w:lang w:val="en-US"/>
        </w:rPr>
        <w:t xml:space="preserve">Council </w:t>
      </w:r>
      <w:r w:rsidRPr="00224583">
        <w:rPr>
          <w:lang w:val="en-US"/>
        </w:rPr>
        <w:t xml:space="preserve">document </w:t>
      </w:r>
      <w:hyperlink r:id="rId13" w:history="1">
        <w:r w:rsidRPr="00D80498">
          <w:rPr>
            <w:rStyle w:val="Hyperlink"/>
            <w:lang w:val="en-US"/>
          </w:rPr>
          <w:t>C18/96</w:t>
        </w:r>
      </w:hyperlink>
      <w:r w:rsidRPr="00224583">
        <w:rPr>
          <w:lang w:val="en-US"/>
        </w:rPr>
        <w:t>).</w:t>
      </w:r>
    </w:p>
    <w:p w:rsidR="004E2069" w:rsidRPr="001118AE" w:rsidRDefault="004E2069" w:rsidP="001118AE">
      <w:pPr>
        <w:tabs>
          <w:tab w:val="clear" w:pos="567"/>
          <w:tab w:val="clear" w:pos="1134"/>
          <w:tab w:val="clear" w:pos="1701"/>
          <w:tab w:val="clear" w:pos="2268"/>
          <w:tab w:val="clear" w:pos="2835"/>
        </w:tabs>
        <w:snapToGrid w:val="0"/>
        <w:spacing w:after="120"/>
        <w:rPr>
          <w:lang w:val="en-US"/>
        </w:rPr>
      </w:pPr>
      <w:r w:rsidRPr="001118AE">
        <w:rPr>
          <w:lang w:val="en-US"/>
        </w:rPr>
        <w:t>8.2</w:t>
      </w:r>
      <w:r w:rsidRPr="001118AE">
        <w:rPr>
          <w:lang w:val="en-US"/>
        </w:rPr>
        <w:tab/>
      </w:r>
      <w:r w:rsidR="001118AE">
        <w:rPr>
          <w:lang w:val="en-US"/>
        </w:rPr>
        <w:t xml:space="preserve">The </w:t>
      </w:r>
      <w:r w:rsidRPr="001118AE">
        <w:rPr>
          <w:lang w:val="en-US"/>
        </w:rPr>
        <w:t>Council</w:t>
      </w:r>
      <w:r w:rsidR="008B2657" w:rsidRPr="001118AE">
        <w:rPr>
          <w:lang w:val="en-US"/>
        </w:rPr>
        <w:t xml:space="preserve"> </w:t>
      </w:r>
      <w:r w:rsidRPr="001118AE">
        <w:rPr>
          <w:lang w:val="en-US"/>
        </w:rPr>
        <w:t>endorsed the proposal that ITU should, at the earliest possible date:</w:t>
      </w:r>
    </w:p>
    <w:p w:rsidR="004E2069" w:rsidRPr="001118AE" w:rsidRDefault="004E2069" w:rsidP="004E2069">
      <w:pPr>
        <w:pStyle w:val="ListParagraph"/>
        <w:numPr>
          <w:ilvl w:val="0"/>
          <w:numId w:val="1"/>
        </w:numPr>
        <w:tabs>
          <w:tab w:val="left" w:pos="1134"/>
          <w:tab w:val="left" w:pos="1701"/>
          <w:tab w:val="left" w:pos="2268"/>
          <w:tab w:val="left" w:pos="2835"/>
        </w:tabs>
        <w:overflowPunct w:val="0"/>
        <w:autoSpaceDE w:val="0"/>
        <w:autoSpaceDN w:val="0"/>
        <w:adjustRightInd w:val="0"/>
        <w:spacing w:before="120" w:after="0" w:line="240" w:lineRule="auto"/>
        <w:textAlignment w:val="baseline"/>
        <w:rPr>
          <w:sz w:val="24"/>
          <w:szCs w:val="24"/>
        </w:rPr>
      </w:pPr>
      <w:r w:rsidRPr="001118AE">
        <w:rPr>
          <w:sz w:val="24"/>
          <w:szCs w:val="24"/>
        </w:rPr>
        <w:t>Publish all data, rankings, benchmarks and studies on IPB and affordability for MIS 2017 as it did in MIS 2016;</w:t>
      </w:r>
    </w:p>
    <w:p w:rsidR="004E2069" w:rsidRPr="001118AE" w:rsidRDefault="004E2069" w:rsidP="004E2069">
      <w:pPr>
        <w:pStyle w:val="ListParagraph"/>
        <w:numPr>
          <w:ilvl w:val="0"/>
          <w:numId w:val="1"/>
        </w:numPr>
        <w:tabs>
          <w:tab w:val="left" w:pos="1134"/>
          <w:tab w:val="left" w:pos="1701"/>
          <w:tab w:val="left" w:pos="2268"/>
          <w:tab w:val="left" w:pos="2835"/>
        </w:tabs>
        <w:overflowPunct w:val="0"/>
        <w:autoSpaceDE w:val="0"/>
        <w:autoSpaceDN w:val="0"/>
        <w:adjustRightInd w:val="0"/>
        <w:spacing w:before="120" w:after="0" w:line="240" w:lineRule="auto"/>
        <w:textAlignment w:val="baseline"/>
        <w:rPr>
          <w:sz w:val="24"/>
          <w:szCs w:val="24"/>
        </w:rPr>
      </w:pPr>
      <w:r w:rsidRPr="001118AE">
        <w:rPr>
          <w:sz w:val="24"/>
          <w:szCs w:val="24"/>
        </w:rPr>
        <w:t>Publish a webpage explaining the IPB methodology;</w:t>
      </w:r>
    </w:p>
    <w:p w:rsidR="004E2069" w:rsidRPr="001118AE" w:rsidRDefault="004E2069" w:rsidP="00703E39">
      <w:pPr>
        <w:pStyle w:val="ListParagraph"/>
        <w:numPr>
          <w:ilvl w:val="0"/>
          <w:numId w:val="1"/>
        </w:numPr>
        <w:tabs>
          <w:tab w:val="left" w:pos="1134"/>
          <w:tab w:val="left" w:pos="1701"/>
          <w:tab w:val="left" w:pos="2268"/>
          <w:tab w:val="left" w:pos="2835"/>
        </w:tabs>
        <w:overflowPunct w:val="0"/>
        <w:autoSpaceDE w:val="0"/>
        <w:autoSpaceDN w:val="0"/>
        <w:adjustRightInd w:val="0"/>
        <w:spacing w:before="120" w:after="0" w:line="240" w:lineRule="auto"/>
        <w:textAlignment w:val="baseline"/>
        <w:rPr>
          <w:sz w:val="24"/>
          <w:szCs w:val="24"/>
        </w:rPr>
      </w:pPr>
      <w:r w:rsidRPr="001118AE">
        <w:rPr>
          <w:sz w:val="24"/>
          <w:szCs w:val="24"/>
        </w:rPr>
        <w:t>Improve the data visualization tool, publish all data gathered in every MIS, and allow comparisons over time;</w:t>
      </w:r>
    </w:p>
    <w:p w:rsidR="00224583" w:rsidRDefault="004E2069" w:rsidP="001118AE">
      <w:pPr>
        <w:rPr>
          <w:lang w:val="en-US"/>
        </w:rPr>
      </w:pPr>
      <w:r>
        <w:t>8.3</w:t>
      </w:r>
      <w:r>
        <w:tab/>
      </w:r>
      <w:r w:rsidR="00F04156">
        <w:t xml:space="preserve">ITU work in ICT statistics/indicators is </w:t>
      </w:r>
      <w:r w:rsidR="00EC2D9C">
        <w:t>often</w:t>
      </w:r>
      <w:r w:rsidR="001118AE">
        <w:t xml:space="preserve"> compared with that of other international o</w:t>
      </w:r>
      <w:r w:rsidR="00F04156">
        <w:t>rganizations</w:t>
      </w:r>
      <w:r w:rsidR="001118AE">
        <w:t>;</w:t>
      </w:r>
      <w:r w:rsidR="00F04156">
        <w:t xml:space="preserve"> however the resources allocated by those organizations differ from resources available in ITU for similar activities. </w:t>
      </w:r>
      <w:r w:rsidR="00F04156">
        <w:rPr>
          <w:lang w:val="en-US"/>
        </w:rPr>
        <w:t xml:space="preserve"> For information, t</w:t>
      </w:r>
      <w:r w:rsidR="00D047C1">
        <w:t>he</w:t>
      </w:r>
      <w:r w:rsidR="00224583" w:rsidRPr="00224583">
        <w:rPr>
          <w:lang w:val="en-US"/>
        </w:rPr>
        <w:t xml:space="preserve"> human resources allocated to statistical activities in other international organizations </w:t>
      </w:r>
      <w:r w:rsidR="00F04156">
        <w:rPr>
          <w:lang w:val="en-US"/>
        </w:rPr>
        <w:t xml:space="preserve">and in ITU </w:t>
      </w:r>
      <w:r w:rsidR="00D047C1">
        <w:rPr>
          <w:lang w:val="en-US"/>
        </w:rPr>
        <w:t>are as follows:</w:t>
      </w:r>
      <w:r w:rsidR="00224583" w:rsidRPr="00224583">
        <w:rPr>
          <w:lang w:val="en-US"/>
        </w:rPr>
        <w:t xml:space="preserve"> </w:t>
      </w:r>
    </w:p>
    <w:p w:rsidR="004E2069" w:rsidRDefault="004E2069" w:rsidP="00703E39">
      <w:pPr>
        <w:rPr>
          <w:lang w:val="en-US"/>
        </w:rPr>
      </w:pPr>
    </w:p>
    <w:tbl>
      <w:tblPr>
        <w:tblStyle w:val="TableGrid"/>
        <w:tblW w:w="9776" w:type="dxa"/>
        <w:jc w:val="center"/>
        <w:tblLook w:val="04A0" w:firstRow="1" w:lastRow="0" w:firstColumn="1" w:lastColumn="0" w:noHBand="0" w:noVBand="1"/>
      </w:tblPr>
      <w:tblGrid>
        <w:gridCol w:w="6941"/>
        <w:gridCol w:w="2835"/>
      </w:tblGrid>
      <w:tr w:rsidR="00D80498" w:rsidRPr="00AB22B6" w:rsidTr="002C6DDC">
        <w:trPr>
          <w:trHeight w:val="672"/>
          <w:jc w:val="center"/>
        </w:trPr>
        <w:tc>
          <w:tcPr>
            <w:tcW w:w="6941" w:type="dxa"/>
          </w:tcPr>
          <w:p w:rsidR="00D80498" w:rsidRPr="00932C2C" w:rsidRDefault="00D80498" w:rsidP="00126620">
            <w:pPr>
              <w:jc w:val="center"/>
              <w:rPr>
                <w:b/>
                <w:bCs/>
                <w:color w:val="000000"/>
                <w:szCs w:val="24"/>
                <w:lang w:val="en-US" w:eastAsia="zh-CN"/>
              </w:rPr>
            </w:pPr>
            <w:r w:rsidRPr="00932C2C">
              <w:rPr>
                <w:b/>
                <w:bCs/>
                <w:color w:val="000000"/>
                <w:szCs w:val="24"/>
                <w:lang w:val="en-US" w:eastAsia="zh-CN"/>
              </w:rPr>
              <w:t>Organization</w:t>
            </w:r>
          </w:p>
        </w:tc>
        <w:tc>
          <w:tcPr>
            <w:tcW w:w="2835" w:type="dxa"/>
          </w:tcPr>
          <w:p w:rsidR="00D80498" w:rsidRPr="00932C2C" w:rsidRDefault="001118AE" w:rsidP="00D047C1">
            <w:pPr>
              <w:jc w:val="center"/>
              <w:rPr>
                <w:b/>
                <w:bCs/>
                <w:color w:val="000000"/>
                <w:szCs w:val="24"/>
                <w:lang w:val="en-US" w:eastAsia="zh-CN"/>
              </w:rPr>
            </w:pPr>
            <w:r>
              <w:rPr>
                <w:b/>
                <w:bCs/>
                <w:color w:val="000000"/>
                <w:szCs w:val="24"/>
                <w:lang w:val="en-US" w:eastAsia="zh-CN"/>
              </w:rPr>
              <w:t>Number of s</w:t>
            </w:r>
            <w:r w:rsidR="00D80498" w:rsidRPr="00932C2C">
              <w:rPr>
                <w:b/>
                <w:bCs/>
                <w:color w:val="000000"/>
                <w:szCs w:val="24"/>
                <w:lang w:val="en-US" w:eastAsia="zh-CN"/>
              </w:rPr>
              <w:t>taff responsible for statistics</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International Monetary Fund (IMF)</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190</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World Bank</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151</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Food and Agriculture Organization of the United Nations (FAO)</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100</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World Health Organization (WHO)</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100</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Organization for Economic Co-operation and Development (OECD)</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85</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United Nations Educational, Scientific and Cultural Organization (UNESCO) Institute for Statistics</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70</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International Labor Organization (ILO)</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28</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 xml:space="preserve">World Trade Organization (WTO) </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23</w:t>
            </w:r>
          </w:p>
        </w:tc>
      </w:tr>
      <w:tr w:rsidR="00D80498" w:rsidRPr="00AB22B6" w:rsidTr="002C6DDC">
        <w:trPr>
          <w:jc w:val="center"/>
        </w:trPr>
        <w:tc>
          <w:tcPr>
            <w:tcW w:w="6941" w:type="dxa"/>
          </w:tcPr>
          <w:p w:rsidR="00D80498" w:rsidRPr="00932C2C" w:rsidRDefault="00D80498" w:rsidP="00126620">
            <w:pPr>
              <w:rPr>
                <w:color w:val="000000"/>
                <w:szCs w:val="24"/>
                <w:lang w:val="en-US" w:eastAsia="zh-CN"/>
              </w:rPr>
            </w:pPr>
            <w:r w:rsidRPr="00932C2C">
              <w:rPr>
                <w:color w:val="000000"/>
                <w:szCs w:val="24"/>
                <w:lang w:val="en-US" w:eastAsia="zh-CN"/>
              </w:rPr>
              <w:t>United Nations Conference on Trade and Development (UNCTAD)</w:t>
            </w:r>
          </w:p>
        </w:tc>
        <w:tc>
          <w:tcPr>
            <w:tcW w:w="2835" w:type="dxa"/>
          </w:tcPr>
          <w:p w:rsidR="00D80498" w:rsidRPr="00932C2C" w:rsidRDefault="00D80498" w:rsidP="002C6DDC">
            <w:pPr>
              <w:tabs>
                <w:tab w:val="clear" w:pos="1134"/>
                <w:tab w:val="clear" w:pos="1701"/>
                <w:tab w:val="clear" w:pos="2268"/>
              </w:tabs>
              <w:ind w:left="720" w:right="459"/>
              <w:jc w:val="center"/>
              <w:rPr>
                <w:color w:val="000000"/>
                <w:szCs w:val="24"/>
                <w:lang w:val="en-US" w:eastAsia="zh-CN"/>
              </w:rPr>
            </w:pPr>
            <w:r w:rsidRPr="00932C2C">
              <w:rPr>
                <w:color w:val="000000"/>
                <w:szCs w:val="24"/>
                <w:lang w:val="en-US" w:eastAsia="zh-CN"/>
              </w:rPr>
              <w:t>20</w:t>
            </w:r>
          </w:p>
        </w:tc>
      </w:tr>
      <w:tr w:rsidR="00D80498" w:rsidRPr="00AB22B6" w:rsidTr="002C6DDC">
        <w:trPr>
          <w:jc w:val="center"/>
        </w:trPr>
        <w:tc>
          <w:tcPr>
            <w:tcW w:w="6941" w:type="dxa"/>
          </w:tcPr>
          <w:p w:rsidR="00D80498" w:rsidRPr="00CB7BB7" w:rsidRDefault="00D80498" w:rsidP="00CB7BB7">
            <w:pPr>
              <w:rPr>
                <w:b/>
                <w:bCs/>
                <w:color w:val="0070C0"/>
                <w:szCs w:val="24"/>
                <w:lang w:val="en-US" w:eastAsia="zh-CN"/>
              </w:rPr>
            </w:pPr>
            <w:r w:rsidRPr="00CB7BB7">
              <w:rPr>
                <w:b/>
                <w:bCs/>
                <w:color w:val="0070C0"/>
                <w:szCs w:val="24"/>
                <w:lang w:val="en-US" w:eastAsia="zh-CN"/>
              </w:rPr>
              <w:t>International Telecommunication Union</w:t>
            </w:r>
          </w:p>
        </w:tc>
        <w:tc>
          <w:tcPr>
            <w:tcW w:w="2835" w:type="dxa"/>
          </w:tcPr>
          <w:p w:rsidR="00D80498" w:rsidRPr="00CB7BB7" w:rsidRDefault="00D80498" w:rsidP="00CB7BB7">
            <w:pPr>
              <w:tabs>
                <w:tab w:val="clear" w:pos="1134"/>
                <w:tab w:val="clear" w:pos="1701"/>
                <w:tab w:val="clear" w:pos="2268"/>
              </w:tabs>
              <w:ind w:left="720" w:right="459"/>
              <w:jc w:val="center"/>
              <w:rPr>
                <w:b/>
                <w:bCs/>
                <w:color w:val="0070C0"/>
                <w:szCs w:val="24"/>
                <w:lang w:val="en-US" w:eastAsia="zh-CN"/>
              </w:rPr>
            </w:pPr>
            <w:r w:rsidRPr="00CB7BB7">
              <w:rPr>
                <w:b/>
                <w:bCs/>
                <w:color w:val="0070C0"/>
                <w:szCs w:val="24"/>
                <w:lang w:val="en-US" w:eastAsia="zh-CN"/>
              </w:rPr>
              <w:t>7</w:t>
            </w:r>
          </w:p>
        </w:tc>
      </w:tr>
    </w:tbl>
    <w:p w:rsidR="00224583" w:rsidRPr="00D80498" w:rsidRDefault="00224583" w:rsidP="003F35D5">
      <w:pPr>
        <w:tabs>
          <w:tab w:val="clear" w:pos="567"/>
          <w:tab w:val="clear" w:pos="1134"/>
          <w:tab w:val="clear" w:pos="1701"/>
          <w:tab w:val="clear" w:pos="2268"/>
          <w:tab w:val="clear" w:pos="2835"/>
        </w:tabs>
        <w:snapToGrid w:val="0"/>
        <w:spacing w:after="120"/>
        <w:ind w:left="426"/>
        <w:rPr>
          <w:i/>
          <w:iCs/>
          <w:sz w:val="20"/>
          <w:lang w:val="en-US"/>
        </w:rPr>
      </w:pPr>
      <w:r w:rsidRPr="00D80498">
        <w:rPr>
          <w:i/>
          <w:iCs/>
          <w:sz w:val="20"/>
          <w:lang w:val="en-US"/>
        </w:rPr>
        <w:t xml:space="preserve">Source: - Committee for the Coordination of Statistical Activities, </w:t>
      </w:r>
      <w:hyperlink r:id="rId14" w:history="1">
        <w:r w:rsidR="00D80498" w:rsidRPr="00595BAE">
          <w:rPr>
            <w:rStyle w:val="Hyperlink"/>
            <w:i/>
            <w:iCs/>
            <w:sz w:val="20"/>
            <w:lang w:val="en-US"/>
          </w:rPr>
          <w:t>https://unstats.un.org/unsd/accsub-public/members.htm</w:t>
        </w:r>
      </w:hyperlink>
      <w:r w:rsidRPr="00D80498">
        <w:rPr>
          <w:i/>
          <w:iCs/>
          <w:sz w:val="20"/>
          <w:lang w:val="en-US"/>
        </w:rPr>
        <w:t>.</w:t>
      </w:r>
    </w:p>
    <w:p w:rsidR="00224583" w:rsidRDefault="004E2069" w:rsidP="00205A76">
      <w:pPr>
        <w:tabs>
          <w:tab w:val="clear" w:pos="567"/>
          <w:tab w:val="clear" w:pos="1134"/>
          <w:tab w:val="clear" w:pos="1701"/>
          <w:tab w:val="clear" w:pos="2268"/>
          <w:tab w:val="clear" w:pos="2835"/>
        </w:tabs>
        <w:snapToGrid w:val="0"/>
        <w:spacing w:before="240" w:after="120"/>
        <w:rPr>
          <w:lang w:val="en-US"/>
        </w:rPr>
      </w:pPr>
      <w:r w:rsidRPr="00703E39">
        <w:rPr>
          <w:lang w:val="en-US"/>
        </w:rPr>
        <w:t>8.4</w:t>
      </w:r>
      <w:r w:rsidR="001118AE">
        <w:rPr>
          <w:lang w:val="en-US"/>
        </w:rPr>
        <w:tab/>
      </w:r>
      <w:r w:rsidR="00224583" w:rsidRPr="00224583">
        <w:rPr>
          <w:lang w:val="en-US"/>
        </w:rPr>
        <w:t xml:space="preserve">Currently, the ITU ICT Data and Statistics Division consists of </w:t>
      </w:r>
      <w:r w:rsidR="001118AE">
        <w:rPr>
          <w:lang w:val="en-US"/>
        </w:rPr>
        <w:t>five professionals and two</w:t>
      </w:r>
      <w:r w:rsidR="00224583" w:rsidRPr="00224583">
        <w:rPr>
          <w:lang w:val="en-US"/>
        </w:rPr>
        <w:t xml:space="preserve"> administrative staff, who are in charge of data collection, verification, dissemination, analysis, </w:t>
      </w:r>
      <w:r w:rsidR="00224583" w:rsidRPr="00224583">
        <w:rPr>
          <w:lang w:val="en-US"/>
        </w:rPr>
        <w:t>delivery of training</w:t>
      </w:r>
      <w:r w:rsidR="001118AE">
        <w:rPr>
          <w:lang w:val="en-US"/>
        </w:rPr>
        <w:t>,</w:t>
      </w:r>
      <w:r w:rsidR="00224583" w:rsidRPr="00224583">
        <w:rPr>
          <w:lang w:val="en-US"/>
        </w:rPr>
        <w:t xml:space="preserve"> and international statistical</w:t>
      </w:r>
      <w:r w:rsidR="00D80498">
        <w:rPr>
          <w:lang w:val="en-US"/>
        </w:rPr>
        <w:t xml:space="preserve"> coordination and cooperation.</w:t>
      </w:r>
      <w:r w:rsidR="00CB7BB7">
        <w:rPr>
          <w:lang w:val="en-US"/>
        </w:rPr>
        <w:t xml:space="preserve"> </w:t>
      </w:r>
      <w:r w:rsidR="004E783C">
        <w:rPr>
          <w:lang w:val="en-US"/>
        </w:rPr>
        <w:t xml:space="preserve">Furthermore, these functions are highly dependent on the associated IT Support Service for all development, maintenance and support. </w:t>
      </w:r>
      <w:r w:rsidR="00D047C1">
        <w:rPr>
          <w:lang w:val="en-US"/>
        </w:rPr>
        <w:t xml:space="preserve">The secretariat has initiated a study on the resources level that would be required to </w:t>
      </w:r>
      <w:r w:rsidR="00FA0F9B">
        <w:rPr>
          <w:lang w:val="en-US"/>
        </w:rPr>
        <w:t xml:space="preserve">further the </w:t>
      </w:r>
      <w:r w:rsidR="00D047C1">
        <w:rPr>
          <w:lang w:val="en-US"/>
        </w:rPr>
        <w:t>implement</w:t>
      </w:r>
      <w:r w:rsidR="00FA0F9B">
        <w:rPr>
          <w:lang w:val="en-US"/>
        </w:rPr>
        <w:t xml:space="preserve">ation </w:t>
      </w:r>
      <w:r w:rsidR="00FA0F9B">
        <w:rPr>
          <w:lang w:val="en-US"/>
        </w:rPr>
        <w:t>of</w:t>
      </w:r>
      <w:r w:rsidR="00D047C1">
        <w:rPr>
          <w:lang w:val="en-US"/>
        </w:rPr>
        <w:t xml:space="preserve"> Resolution 131 including </w:t>
      </w:r>
      <w:r w:rsidR="0050191B">
        <w:rPr>
          <w:lang w:val="en-US"/>
        </w:rPr>
        <w:t>the activities listed under 8.2 above. The outcomes of this study will be communic</w:t>
      </w:r>
      <w:bookmarkStart w:id="9" w:name="_GoBack"/>
      <w:bookmarkEnd w:id="9"/>
      <w:r w:rsidR="0050191B">
        <w:rPr>
          <w:lang w:val="en-US"/>
        </w:rPr>
        <w:t xml:space="preserve">ated to the </w:t>
      </w:r>
      <w:r w:rsidR="001118AE">
        <w:rPr>
          <w:lang w:val="en-US"/>
        </w:rPr>
        <w:t>m</w:t>
      </w:r>
      <w:r w:rsidR="0050191B">
        <w:rPr>
          <w:lang w:val="en-US"/>
        </w:rPr>
        <w:t xml:space="preserve">embership and </w:t>
      </w:r>
      <w:r w:rsidR="00585544">
        <w:rPr>
          <w:lang w:val="en-US"/>
        </w:rPr>
        <w:t>reflected</w:t>
      </w:r>
      <w:r w:rsidR="0050191B">
        <w:rPr>
          <w:lang w:val="en-US"/>
        </w:rPr>
        <w:t xml:space="preserve">, to the </w:t>
      </w:r>
      <w:r w:rsidR="00585544">
        <w:rPr>
          <w:lang w:val="en-US"/>
        </w:rPr>
        <w:t xml:space="preserve">greatest </w:t>
      </w:r>
      <w:r w:rsidR="0050191B">
        <w:rPr>
          <w:lang w:val="en-US"/>
        </w:rPr>
        <w:t>extent possible</w:t>
      </w:r>
      <w:r w:rsidR="00585544">
        <w:rPr>
          <w:lang w:val="en-US"/>
        </w:rPr>
        <w:t xml:space="preserve"> and within the financial resources available</w:t>
      </w:r>
      <w:r w:rsidR="0050191B">
        <w:rPr>
          <w:lang w:val="en-US"/>
        </w:rPr>
        <w:t>, in the 2020-2021 budget.</w:t>
      </w:r>
    </w:p>
    <w:p w:rsidR="00736F26" w:rsidRDefault="000367D0" w:rsidP="00703E39">
      <w:pPr>
        <w:tabs>
          <w:tab w:val="clear" w:pos="567"/>
          <w:tab w:val="clear" w:pos="1134"/>
          <w:tab w:val="clear" w:pos="1701"/>
          <w:tab w:val="clear" w:pos="2268"/>
          <w:tab w:val="clear" w:pos="2835"/>
        </w:tabs>
        <w:snapToGrid w:val="0"/>
        <w:spacing w:before="360" w:after="120"/>
        <w:rPr>
          <w:b/>
          <w:bCs/>
          <w:lang w:val="en-US"/>
        </w:rPr>
      </w:pPr>
      <w:r>
        <w:rPr>
          <w:b/>
          <w:bCs/>
          <w:lang w:val="en-US"/>
        </w:rPr>
        <w:t>9</w:t>
      </w:r>
      <w:r w:rsidR="00224583" w:rsidRPr="00224583">
        <w:rPr>
          <w:b/>
          <w:bCs/>
          <w:lang w:val="en-US"/>
        </w:rPr>
        <w:t>.</w:t>
      </w:r>
      <w:r w:rsidR="00224583" w:rsidRPr="00224583">
        <w:rPr>
          <w:b/>
          <w:bCs/>
          <w:lang w:val="en-US"/>
        </w:rPr>
        <w:tab/>
        <w:t>Conclusion</w:t>
      </w:r>
    </w:p>
    <w:p w:rsidR="004615F1" w:rsidRDefault="004615F1" w:rsidP="00703E39">
      <w:pPr>
        <w:tabs>
          <w:tab w:val="clear" w:pos="567"/>
          <w:tab w:val="clear" w:pos="1134"/>
          <w:tab w:val="clear" w:pos="1701"/>
          <w:tab w:val="clear" w:pos="2268"/>
          <w:tab w:val="clear" w:pos="2835"/>
        </w:tabs>
        <w:snapToGrid w:val="0"/>
        <w:spacing w:before="360" w:after="120"/>
        <w:rPr>
          <w:b/>
          <w:bCs/>
          <w:lang w:val="en-US"/>
        </w:rPr>
      </w:pPr>
      <w:r>
        <w:rPr>
          <w:color w:val="000000" w:themeColor="text1"/>
        </w:rPr>
        <w:t>As countries work towards the attainment of the Sustainable Development Goals (SDGs) by 2030, measurement of the Information Society is of critical importance particularly because telecommunications/ ICTs play a catalytic role in the overall development of countries. ITU’s work in ICT indicators takes into account emerging technologies and has to be based on the principle of continuous improvement in terms of data collection, analysis, and reporting in order for it to be of value to countries and the private sector.</w:t>
      </w:r>
    </w:p>
    <w:p w:rsidR="0008540E" w:rsidRPr="004377DA" w:rsidRDefault="00224583" w:rsidP="00205A76">
      <w:pPr>
        <w:spacing w:before="840"/>
        <w:jc w:val="center"/>
        <w:rPr>
          <w:sz w:val="16"/>
          <w:szCs w:val="16"/>
        </w:rPr>
      </w:pPr>
      <w:r w:rsidRPr="004377DA">
        <w:rPr>
          <w:sz w:val="16"/>
          <w:szCs w:val="16"/>
        </w:rPr>
        <w:t>___________________</w:t>
      </w:r>
    </w:p>
    <w:sectPr w:rsidR="0008540E" w:rsidRPr="004377DA" w:rsidSect="00BE04A0">
      <w:headerReference w:type="default" r:id="rId15"/>
      <w:footerReference w:type="default" r:id="rId16"/>
      <w:footerReference w:type="first" r:id="rId17"/>
      <w:type w:val="continuous"/>
      <w:pgSz w:w="11913" w:h="16834"/>
      <w:pgMar w:top="568" w:right="1134" w:bottom="1276"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E2" w:rsidRDefault="00300CE2">
      <w:r>
        <w:separator/>
      </w:r>
    </w:p>
  </w:endnote>
  <w:endnote w:type="continuationSeparator" w:id="0">
    <w:p w:rsidR="00300CE2" w:rsidRDefault="003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4377DA" w:rsidRDefault="007E7B63"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E2" w:rsidRDefault="00300CE2">
      <w:r>
        <w:t>____________________</w:t>
      </w:r>
    </w:p>
  </w:footnote>
  <w:footnote w:type="continuationSeparator" w:id="0">
    <w:p w:rsidR="00300CE2" w:rsidRDefault="0030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71E39">
      <w:rPr>
        <w:noProof/>
      </w:rPr>
      <w:t>4</w:t>
    </w:r>
    <w:r>
      <w:fldChar w:fldCharType="end"/>
    </w:r>
  </w:p>
  <w:p w:rsidR="00CE1B90" w:rsidRDefault="00CE1B90" w:rsidP="004377DA">
    <w:pPr>
      <w:pStyle w:val="Header"/>
    </w:pPr>
    <w:r>
      <w:t>PP1</w:t>
    </w:r>
    <w:r w:rsidR="004F7925">
      <w:t>8</w:t>
    </w:r>
    <w:r w:rsidR="004377DA">
      <w:t>/</w:t>
    </w:r>
    <w:r w:rsidR="00494062">
      <w:t>49</w:t>
    </w:r>
    <w:r w:rsidR="00E26429">
      <w:t>-E</w:t>
    </w:r>
  </w:p>
  <w:p w:rsidR="00B0192C" w:rsidRDefault="00B0192C" w:rsidP="0049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64173"/>
    <w:multiLevelType w:val="hybridMultilevel"/>
    <w:tmpl w:val="4AD6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1D34"/>
    <w:rsid w:val="000048E4"/>
    <w:rsid w:val="00010B2A"/>
    <w:rsid w:val="00011208"/>
    <w:rsid w:val="000143FA"/>
    <w:rsid w:val="00014808"/>
    <w:rsid w:val="00015E97"/>
    <w:rsid w:val="00033FA5"/>
    <w:rsid w:val="000367D0"/>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2194"/>
    <w:rsid w:val="00105EFE"/>
    <w:rsid w:val="00106777"/>
    <w:rsid w:val="001118AE"/>
    <w:rsid w:val="0011489E"/>
    <w:rsid w:val="00114BA3"/>
    <w:rsid w:val="00115DEC"/>
    <w:rsid w:val="00123F09"/>
    <w:rsid w:val="00125287"/>
    <w:rsid w:val="00136175"/>
    <w:rsid w:val="00140C1C"/>
    <w:rsid w:val="00140FF0"/>
    <w:rsid w:val="00142F28"/>
    <w:rsid w:val="00146057"/>
    <w:rsid w:val="0016633C"/>
    <w:rsid w:val="00171990"/>
    <w:rsid w:val="00195B70"/>
    <w:rsid w:val="001A0EEB"/>
    <w:rsid w:val="001A16ED"/>
    <w:rsid w:val="001B18AB"/>
    <w:rsid w:val="001B70D1"/>
    <w:rsid w:val="001C3804"/>
    <w:rsid w:val="001D3322"/>
    <w:rsid w:val="001D3401"/>
    <w:rsid w:val="001D5D5B"/>
    <w:rsid w:val="001E01A5"/>
    <w:rsid w:val="001E18AB"/>
    <w:rsid w:val="001E1C8F"/>
    <w:rsid w:val="00205A76"/>
    <w:rsid w:val="002115E0"/>
    <w:rsid w:val="00215F12"/>
    <w:rsid w:val="00224583"/>
    <w:rsid w:val="00232B31"/>
    <w:rsid w:val="00235A3B"/>
    <w:rsid w:val="00243BE4"/>
    <w:rsid w:val="00257188"/>
    <w:rsid w:val="002578B4"/>
    <w:rsid w:val="00267D12"/>
    <w:rsid w:val="00281792"/>
    <w:rsid w:val="0028799E"/>
    <w:rsid w:val="002946E3"/>
    <w:rsid w:val="002962A8"/>
    <w:rsid w:val="002A56C0"/>
    <w:rsid w:val="002C6DDC"/>
    <w:rsid w:val="002D17BA"/>
    <w:rsid w:val="002E77F4"/>
    <w:rsid w:val="002F36B9"/>
    <w:rsid w:val="002F5FA2"/>
    <w:rsid w:val="00300CE2"/>
    <w:rsid w:val="003126B0"/>
    <w:rsid w:val="00314127"/>
    <w:rsid w:val="00314C12"/>
    <w:rsid w:val="00320F03"/>
    <w:rsid w:val="003261C3"/>
    <w:rsid w:val="003453DA"/>
    <w:rsid w:val="00350363"/>
    <w:rsid w:val="00357754"/>
    <w:rsid w:val="003578E4"/>
    <w:rsid w:val="00361097"/>
    <w:rsid w:val="003642F6"/>
    <w:rsid w:val="00373A0D"/>
    <w:rsid w:val="003740BC"/>
    <w:rsid w:val="00375076"/>
    <w:rsid w:val="00375BBA"/>
    <w:rsid w:val="003826EA"/>
    <w:rsid w:val="00395CE4"/>
    <w:rsid w:val="003A32AD"/>
    <w:rsid w:val="003A3938"/>
    <w:rsid w:val="003A4E67"/>
    <w:rsid w:val="003A5FFB"/>
    <w:rsid w:val="003A7FB6"/>
    <w:rsid w:val="003B3751"/>
    <w:rsid w:val="003F0763"/>
    <w:rsid w:val="003F35D5"/>
    <w:rsid w:val="003F5771"/>
    <w:rsid w:val="004014B0"/>
    <w:rsid w:val="004059B0"/>
    <w:rsid w:val="00406C89"/>
    <w:rsid w:val="00425E6D"/>
    <w:rsid w:val="00426AC1"/>
    <w:rsid w:val="004321DC"/>
    <w:rsid w:val="00435AA4"/>
    <w:rsid w:val="00435EA8"/>
    <w:rsid w:val="004360BB"/>
    <w:rsid w:val="004377DA"/>
    <w:rsid w:val="0045533C"/>
    <w:rsid w:val="004606DA"/>
    <w:rsid w:val="004615F1"/>
    <w:rsid w:val="00463092"/>
    <w:rsid w:val="004638FF"/>
    <w:rsid w:val="004676C0"/>
    <w:rsid w:val="00474E00"/>
    <w:rsid w:val="004835DB"/>
    <w:rsid w:val="00491D2D"/>
    <w:rsid w:val="00494062"/>
    <w:rsid w:val="00494797"/>
    <w:rsid w:val="004A1FB6"/>
    <w:rsid w:val="004B0C10"/>
    <w:rsid w:val="004C19D7"/>
    <w:rsid w:val="004C297B"/>
    <w:rsid w:val="004C73C9"/>
    <w:rsid w:val="004E01FA"/>
    <w:rsid w:val="004E2069"/>
    <w:rsid w:val="004E6764"/>
    <w:rsid w:val="004E783C"/>
    <w:rsid w:val="004F041D"/>
    <w:rsid w:val="004F0A8D"/>
    <w:rsid w:val="004F1C55"/>
    <w:rsid w:val="004F2C2F"/>
    <w:rsid w:val="004F7925"/>
    <w:rsid w:val="0050191B"/>
    <w:rsid w:val="00504FE5"/>
    <w:rsid w:val="005070DE"/>
    <w:rsid w:val="00507348"/>
    <w:rsid w:val="00512F2E"/>
    <w:rsid w:val="00522C97"/>
    <w:rsid w:val="005356FD"/>
    <w:rsid w:val="00547D75"/>
    <w:rsid w:val="00551C8B"/>
    <w:rsid w:val="00554E24"/>
    <w:rsid w:val="00555A0F"/>
    <w:rsid w:val="00567130"/>
    <w:rsid w:val="0057034B"/>
    <w:rsid w:val="00581E8F"/>
    <w:rsid w:val="00585544"/>
    <w:rsid w:val="00586A98"/>
    <w:rsid w:val="005927A4"/>
    <w:rsid w:val="00596B48"/>
    <w:rsid w:val="005B10E8"/>
    <w:rsid w:val="005B5026"/>
    <w:rsid w:val="005B661F"/>
    <w:rsid w:val="005C0C5F"/>
    <w:rsid w:val="005C3315"/>
    <w:rsid w:val="005E1CC3"/>
    <w:rsid w:val="005F05C8"/>
    <w:rsid w:val="005F2379"/>
    <w:rsid w:val="00604079"/>
    <w:rsid w:val="0061560A"/>
    <w:rsid w:val="006172C7"/>
    <w:rsid w:val="00617BE4"/>
    <w:rsid w:val="00620233"/>
    <w:rsid w:val="00637089"/>
    <w:rsid w:val="006404B0"/>
    <w:rsid w:val="00654A8F"/>
    <w:rsid w:val="0066499C"/>
    <w:rsid w:val="00676E68"/>
    <w:rsid w:val="00693E32"/>
    <w:rsid w:val="006A7108"/>
    <w:rsid w:val="006B0F1D"/>
    <w:rsid w:val="006B2035"/>
    <w:rsid w:val="006B40DA"/>
    <w:rsid w:val="006C1860"/>
    <w:rsid w:val="006C5D5D"/>
    <w:rsid w:val="006D729B"/>
    <w:rsid w:val="006E215D"/>
    <w:rsid w:val="006E57C8"/>
    <w:rsid w:val="006E70E1"/>
    <w:rsid w:val="006F565E"/>
    <w:rsid w:val="00701ABB"/>
    <w:rsid w:val="00702BEE"/>
    <w:rsid w:val="00703E39"/>
    <w:rsid w:val="00711035"/>
    <w:rsid w:val="00712E4E"/>
    <w:rsid w:val="007130ED"/>
    <w:rsid w:val="007140CF"/>
    <w:rsid w:val="0071582A"/>
    <w:rsid w:val="00722595"/>
    <w:rsid w:val="00730B01"/>
    <w:rsid w:val="0073319E"/>
    <w:rsid w:val="00733821"/>
    <w:rsid w:val="00733C8A"/>
    <w:rsid w:val="00736F26"/>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44EC"/>
    <w:rsid w:val="007A59C3"/>
    <w:rsid w:val="007B0E06"/>
    <w:rsid w:val="007B30FC"/>
    <w:rsid w:val="007C3643"/>
    <w:rsid w:val="007D3F07"/>
    <w:rsid w:val="007E00D2"/>
    <w:rsid w:val="007E2AD4"/>
    <w:rsid w:val="007E3469"/>
    <w:rsid w:val="007E7B63"/>
    <w:rsid w:val="008032D7"/>
    <w:rsid w:val="00804BAA"/>
    <w:rsid w:val="00810AD6"/>
    <w:rsid w:val="0082780C"/>
    <w:rsid w:val="008333C7"/>
    <w:rsid w:val="00833E0F"/>
    <w:rsid w:val="008355C6"/>
    <w:rsid w:val="008404FD"/>
    <w:rsid w:val="00841AB4"/>
    <w:rsid w:val="00846DBA"/>
    <w:rsid w:val="00850AEF"/>
    <w:rsid w:val="00855DAB"/>
    <w:rsid w:val="00860C6A"/>
    <w:rsid w:val="00862891"/>
    <w:rsid w:val="00875048"/>
    <w:rsid w:val="00875BE1"/>
    <w:rsid w:val="00877715"/>
    <w:rsid w:val="00895CE3"/>
    <w:rsid w:val="0089603F"/>
    <w:rsid w:val="00897970"/>
    <w:rsid w:val="008B2657"/>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83AA7"/>
    <w:rsid w:val="009A078E"/>
    <w:rsid w:val="009A2B30"/>
    <w:rsid w:val="009A4211"/>
    <w:rsid w:val="009A47A2"/>
    <w:rsid w:val="009B0BB6"/>
    <w:rsid w:val="009E425E"/>
    <w:rsid w:val="009E4322"/>
    <w:rsid w:val="009F4384"/>
    <w:rsid w:val="009F442D"/>
    <w:rsid w:val="009F50DA"/>
    <w:rsid w:val="00A06D56"/>
    <w:rsid w:val="00A314A2"/>
    <w:rsid w:val="00A318BD"/>
    <w:rsid w:val="00A516BB"/>
    <w:rsid w:val="00A619C5"/>
    <w:rsid w:val="00A64FF2"/>
    <w:rsid w:val="00A66B6A"/>
    <w:rsid w:val="00A71E39"/>
    <w:rsid w:val="00A808E1"/>
    <w:rsid w:val="00A8262F"/>
    <w:rsid w:val="00A84B32"/>
    <w:rsid w:val="00A84B3A"/>
    <w:rsid w:val="00A93B71"/>
    <w:rsid w:val="00AB0B32"/>
    <w:rsid w:val="00AB2D04"/>
    <w:rsid w:val="00AB5C39"/>
    <w:rsid w:val="00AB75A9"/>
    <w:rsid w:val="00AC3195"/>
    <w:rsid w:val="00AD1C5C"/>
    <w:rsid w:val="00AD566F"/>
    <w:rsid w:val="00AD6426"/>
    <w:rsid w:val="00B0192C"/>
    <w:rsid w:val="00B156F9"/>
    <w:rsid w:val="00B1733E"/>
    <w:rsid w:val="00B25A86"/>
    <w:rsid w:val="00B304B9"/>
    <w:rsid w:val="00B46CB4"/>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4A0"/>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B7BB7"/>
    <w:rsid w:val="00CC14F0"/>
    <w:rsid w:val="00CE1B90"/>
    <w:rsid w:val="00CE3B0F"/>
    <w:rsid w:val="00CE40BB"/>
    <w:rsid w:val="00CF1C71"/>
    <w:rsid w:val="00CF510F"/>
    <w:rsid w:val="00D047C1"/>
    <w:rsid w:val="00D07696"/>
    <w:rsid w:val="00D11956"/>
    <w:rsid w:val="00D15A98"/>
    <w:rsid w:val="00D500DC"/>
    <w:rsid w:val="00D53830"/>
    <w:rsid w:val="00D54B39"/>
    <w:rsid w:val="00D55714"/>
    <w:rsid w:val="00D64FF3"/>
    <w:rsid w:val="00D657A2"/>
    <w:rsid w:val="00D760C8"/>
    <w:rsid w:val="00D80498"/>
    <w:rsid w:val="00D83FFD"/>
    <w:rsid w:val="00D8451F"/>
    <w:rsid w:val="00D8617D"/>
    <w:rsid w:val="00D9144F"/>
    <w:rsid w:val="00D92563"/>
    <w:rsid w:val="00D96D0F"/>
    <w:rsid w:val="00DA2CD1"/>
    <w:rsid w:val="00DA72D9"/>
    <w:rsid w:val="00DB48D7"/>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1DFD"/>
    <w:rsid w:val="00E6599B"/>
    <w:rsid w:val="00E726DE"/>
    <w:rsid w:val="00E75A36"/>
    <w:rsid w:val="00E844D5"/>
    <w:rsid w:val="00E86536"/>
    <w:rsid w:val="00E871C2"/>
    <w:rsid w:val="00E90FB1"/>
    <w:rsid w:val="00EA1BAA"/>
    <w:rsid w:val="00EC2D9C"/>
    <w:rsid w:val="00ED401C"/>
    <w:rsid w:val="00EE1889"/>
    <w:rsid w:val="00EE333B"/>
    <w:rsid w:val="00EF2642"/>
    <w:rsid w:val="00EF3681"/>
    <w:rsid w:val="00F04156"/>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0F9B"/>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table" w:styleId="TableGrid">
    <w:name w:val="Table Grid"/>
    <w:basedOn w:val="TableNormal"/>
    <w:rsid w:val="0022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22458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A72D9"/>
    <w:pPr>
      <w:tabs>
        <w:tab w:val="clear" w:pos="567"/>
        <w:tab w:val="clear" w:pos="1134"/>
        <w:tab w:val="clear" w:pos="1701"/>
        <w:tab w:val="clear" w:pos="2268"/>
        <w:tab w:val="clear" w:pos="2835"/>
      </w:tabs>
      <w:overflowPunct/>
      <w:autoSpaceDE/>
      <w:autoSpaceDN/>
      <w:adjustRightInd/>
      <w:spacing w:before="0" w:after="160" w:line="252" w:lineRule="auto"/>
      <w:ind w:left="720"/>
      <w:contextualSpacing/>
      <w:textAlignment w:val="auto"/>
    </w:pPr>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4658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8-CL-C-0096/e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S18-CL-C-0105/e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CL-C-0096/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tu.int/pub/S-CONF-PLEN-201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nstats.un.org/unsd/accsub-public/memb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39EE-F47D-492D-B122-4AFA1F48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on progress in the implementation of Resolution 131 (Rev. Busan, 2014)</vt:lpstr>
    </vt:vector>
  </TitlesOfParts>
  <Manager/>
  <Company/>
  <LinksUpToDate>false</LinksUpToDate>
  <CharactersWithSpaces>8272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in the implementation of Resolution 131 (Rev. Busan, 2014)</dc:title>
  <dc:subject>Plenipotentiary Conference (PP-18)</dc:subject>
  <dc:creator/>
  <cp:keywords>PP-18, Plenipotentiary</cp:keywords>
  <cp:lastModifiedBy/>
  <cp:revision>1</cp:revision>
  <dcterms:created xsi:type="dcterms:W3CDTF">2018-09-17T09:56:00Z</dcterms:created>
  <dcterms:modified xsi:type="dcterms:W3CDTF">2018-09-17T09:57:00Z</dcterms:modified>
  <cp:category>Conference document</cp:category>
</cp:coreProperties>
</file>