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B0441" w:rsidRPr="00831079" w:rsidTr="00453C47">
        <w:trPr>
          <w:cantSplit/>
        </w:trPr>
        <w:tc>
          <w:tcPr>
            <w:tcW w:w="6911" w:type="dxa"/>
          </w:tcPr>
          <w:p w:rsidR="00EB0441" w:rsidRPr="00831079" w:rsidRDefault="00EB0441" w:rsidP="006B6D52">
            <w:pPr>
              <w:rPr>
                <w:b/>
                <w:bCs/>
                <w:szCs w:val="22"/>
              </w:rPr>
            </w:pPr>
            <w:bookmarkStart w:id="0" w:name="dbreak"/>
            <w:bookmarkStart w:id="1" w:name="dpp"/>
            <w:bookmarkEnd w:id="0"/>
            <w:bookmarkEnd w:id="1"/>
            <w:r w:rsidRPr="00831079">
              <w:rPr>
                <w:rStyle w:val="PageNumber"/>
                <w:rFonts w:cs="Times"/>
                <w:b/>
                <w:sz w:val="30"/>
                <w:szCs w:val="30"/>
              </w:rPr>
              <w:t>Conferencia de Plenipotenciarios (PP-18)</w:t>
            </w:r>
            <w:r w:rsidRPr="00831079">
              <w:rPr>
                <w:rStyle w:val="PageNumber"/>
                <w:rFonts w:cs="Times"/>
                <w:sz w:val="26"/>
                <w:szCs w:val="26"/>
              </w:rPr>
              <w:br/>
            </w:r>
            <w:r w:rsidRPr="00831079">
              <w:rPr>
                <w:rStyle w:val="PageNumber"/>
                <w:b/>
                <w:bCs/>
                <w:szCs w:val="24"/>
              </w:rPr>
              <w:t>Dubái,</w:t>
            </w:r>
            <w:r w:rsidRPr="00831079">
              <w:rPr>
                <w:rStyle w:val="PageNumber"/>
                <w:b/>
                <w:szCs w:val="24"/>
              </w:rPr>
              <w:t xml:space="preserve"> 29 de octubre – 16 de noviembre de 2018</w:t>
            </w:r>
          </w:p>
        </w:tc>
        <w:tc>
          <w:tcPr>
            <w:tcW w:w="3120" w:type="dxa"/>
          </w:tcPr>
          <w:p w:rsidR="00EB0441" w:rsidRPr="00831079" w:rsidRDefault="00EB0441" w:rsidP="00453C47">
            <w:pPr>
              <w:spacing w:before="0" w:line="240" w:lineRule="atLeast"/>
              <w:rPr>
                <w:rFonts w:cstheme="minorHAnsi"/>
              </w:rPr>
            </w:pPr>
            <w:bookmarkStart w:id="2" w:name="ditulogo"/>
            <w:bookmarkEnd w:id="2"/>
            <w:r w:rsidRPr="00831079">
              <w:rPr>
                <w:rFonts w:cstheme="minorHAnsi"/>
                <w:b/>
                <w:bCs/>
                <w:noProof/>
                <w:szCs w:val="24"/>
                <w:lang w:val="en-GB" w:eastAsia="zh-CN"/>
              </w:rPr>
              <w:drawing>
                <wp:inline distT="0" distB="0" distL="0" distR="0" wp14:anchorId="528B72BF" wp14:editId="4ABDEA5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B0441" w:rsidRPr="00831079" w:rsidTr="00453C47">
        <w:trPr>
          <w:cantSplit/>
        </w:trPr>
        <w:tc>
          <w:tcPr>
            <w:tcW w:w="6911" w:type="dxa"/>
            <w:tcBorders>
              <w:bottom w:val="single" w:sz="12" w:space="0" w:color="auto"/>
            </w:tcBorders>
          </w:tcPr>
          <w:p w:rsidR="00EB0441" w:rsidRPr="00831079" w:rsidRDefault="00EB0441" w:rsidP="00453C47">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EB0441" w:rsidRPr="00831079" w:rsidRDefault="00EB0441" w:rsidP="00453C47">
            <w:pPr>
              <w:spacing w:before="0" w:line="240" w:lineRule="atLeast"/>
              <w:rPr>
                <w:rFonts w:cstheme="minorHAnsi"/>
                <w:szCs w:val="24"/>
              </w:rPr>
            </w:pPr>
          </w:p>
        </w:tc>
      </w:tr>
      <w:tr w:rsidR="00EB0441" w:rsidRPr="00831079" w:rsidTr="00453C47">
        <w:trPr>
          <w:cantSplit/>
        </w:trPr>
        <w:tc>
          <w:tcPr>
            <w:tcW w:w="6911" w:type="dxa"/>
            <w:tcBorders>
              <w:top w:val="single" w:sz="12" w:space="0" w:color="auto"/>
            </w:tcBorders>
          </w:tcPr>
          <w:p w:rsidR="00EB0441" w:rsidRPr="00831079" w:rsidRDefault="00EB0441" w:rsidP="00EB0441">
            <w:pPr>
              <w:spacing w:before="0" w:after="48" w:line="240" w:lineRule="atLeast"/>
              <w:ind w:firstLine="720"/>
              <w:jc w:val="both"/>
              <w:rPr>
                <w:rFonts w:cstheme="minorHAnsi"/>
                <w:b/>
                <w:smallCaps/>
                <w:szCs w:val="24"/>
              </w:rPr>
            </w:pPr>
          </w:p>
        </w:tc>
        <w:tc>
          <w:tcPr>
            <w:tcW w:w="3120" w:type="dxa"/>
            <w:tcBorders>
              <w:top w:val="single" w:sz="12" w:space="0" w:color="auto"/>
            </w:tcBorders>
          </w:tcPr>
          <w:p w:rsidR="00EB0441" w:rsidRPr="00831079" w:rsidRDefault="00EB0441" w:rsidP="00453C47">
            <w:pPr>
              <w:spacing w:before="0" w:line="240" w:lineRule="atLeast"/>
              <w:rPr>
                <w:rFonts w:cstheme="minorHAnsi"/>
                <w:szCs w:val="24"/>
              </w:rPr>
            </w:pPr>
          </w:p>
        </w:tc>
      </w:tr>
      <w:bookmarkEnd w:id="3"/>
      <w:tr w:rsidR="00EB0441" w:rsidRPr="00831079" w:rsidTr="00453C47">
        <w:trPr>
          <w:cantSplit/>
        </w:trPr>
        <w:tc>
          <w:tcPr>
            <w:tcW w:w="6911" w:type="dxa"/>
          </w:tcPr>
          <w:p w:rsidR="00EB0441" w:rsidRPr="00831079" w:rsidRDefault="00EB0441" w:rsidP="00605474">
            <w:pPr>
              <w:pStyle w:val="Committee"/>
              <w:framePr w:hSpace="0" w:wrap="auto" w:hAnchor="text" w:yAlign="inline"/>
              <w:rPr>
                <w:lang w:val="es-ES_tradnl"/>
              </w:rPr>
            </w:pPr>
            <w:r w:rsidRPr="00831079">
              <w:rPr>
                <w:lang w:val="es-ES_tradnl"/>
              </w:rPr>
              <w:t>SESIÓN PLENARIA</w:t>
            </w:r>
          </w:p>
        </w:tc>
        <w:tc>
          <w:tcPr>
            <w:tcW w:w="3120" w:type="dxa"/>
          </w:tcPr>
          <w:p w:rsidR="00EB0441" w:rsidRPr="00831079" w:rsidRDefault="00EB0441" w:rsidP="00A116D8">
            <w:pPr>
              <w:spacing w:before="0" w:line="240" w:lineRule="atLeast"/>
              <w:rPr>
                <w:rFonts w:cstheme="minorHAnsi"/>
                <w:szCs w:val="24"/>
              </w:rPr>
            </w:pPr>
            <w:r w:rsidRPr="00831079">
              <w:rPr>
                <w:rFonts w:cstheme="minorHAnsi"/>
                <w:b/>
                <w:szCs w:val="24"/>
              </w:rPr>
              <w:t>Documento 48-S</w:t>
            </w:r>
          </w:p>
        </w:tc>
      </w:tr>
      <w:tr w:rsidR="00EB0441" w:rsidRPr="00831079" w:rsidTr="00453C47">
        <w:trPr>
          <w:cantSplit/>
        </w:trPr>
        <w:tc>
          <w:tcPr>
            <w:tcW w:w="6911" w:type="dxa"/>
          </w:tcPr>
          <w:p w:rsidR="00EB0441" w:rsidRPr="00831079" w:rsidRDefault="00EB0441" w:rsidP="00605474">
            <w:pPr>
              <w:spacing w:before="0" w:after="48" w:line="240" w:lineRule="atLeast"/>
              <w:rPr>
                <w:rFonts w:cstheme="minorHAnsi"/>
                <w:b/>
                <w:smallCaps/>
                <w:szCs w:val="24"/>
              </w:rPr>
            </w:pPr>
          </w:p>
        </w:tc>
        <w:tc>
          <w:tcPr>
            <w:tcW w:w="3120" w:type="dxa"/>
          </w:tcPr>
          <w:p w:rsidR="00EB0441" w:rsidRPr="00831079" w:rsidRDefault="00EB0441" w:rsidP="00A116D8">
            <w:pPr>
              <w:spacing w:before="0" w:line="240" w:lineRule="atLeast"/>
              <w:rPr>
                <w:rFonts w:cstheme="minorHAnsi"/>
                <w:b/>
                <w:szCs w:val="24"/>
              </w:rPr>
            </w:pPr>
            <w:r w:rsidRPr="00831079">
              <w:rPr>
                <w:rFonts w:cstheme="minorHAnsi"/>
                <w:b/>
                <w:szCs w:val="24"/>
              </w:rPr>
              <w:t>26 de julio de 2018</w:t>
            </w:r>
          </w:p>
        </w:tc>
      </w:tr>
      <w:tr w:rsidR="00EB0441" w:rsidRPr="00831079" w:rsidTr="00453C47">
        <w:trPr>
          <w:cantSplit/>
        </w:trPr>
        <w:tc>
          <w:tcPr>
            <w:tcW w:w="6911" w:type="dxa"/>
          </w:tcPr>
          <w:p w:rsidR="00EB0441" w:rsidRPr="00831079" w:rsidRDefault="00EB0441" w:rsidP="00605474">
            <w:pPr>
              <w:spacing w:before="0" w:after="48" w:line="240" w:lineRule="atLeast"/>
              <w:rPr>
                <w:rFonts w:cstheme="minorHAnsi"/>
                <w:b/>
                <w:smallCaps/>
                <w:szCs w:val="24"/>
              </w:rPr>
            </w:pPr>
          </w:p>
        </w:tc>
        <w:tc>
          <w:tcPr>
            <w:tcW w:w="3120" w:type="dxa"/>
          </w:tcPr>
          <w:p w:rsidR="00EB0441" w:rsidRPr="00831079" w:rsidRDefault="00EB0441" w:rsidP="00605474">
            <w:pPr>
              <w:spacing w:before="0" w:line="240" w:lineRule="atLeast"/>
              <w:rPr>
                <w:rFonts w:cstheme="minorHAnsi"/>
                <w:b/>
                <w:szCs w:val="24"/>
              </w:rPr>
            </w:pPr>
            <w:r w:rsidRPr="00831079">
              <w:rPr>
                <w:rFonts w:cstheme="minorHAnsi"/>
                <w:b/>
                <w:szCs w:val="24"/>
              </w:rPr>
              <w:t>Original: inglés</w:t>
            </w:r>
          </w:p>
        </w:tc>
      </w:tr>
      <w:tr w:rsidR="00EB0441" w:rsidRPr="00831079" w:rsidTr="00453C47">
        <w:trPr>
          <w:cantSplit/>
        </w:trPr>
        <w:tc>
          <w:tcPr>
            <w:tcW w:w="10031" w:type="dxa"/>
            <w:gridSpan w:val="2"/>
          </w:tcPr>
          <w:p w:rsidR="00EB0441" w:rsidRPr="00831079" w:rsidRDefault="00EB0441" w:rsidP="00605474">
            <w:pPr>
              <w:spacing w:before="0" w:line="240" w:lineRule="atLeast"/>
              <w:rPr>
                <w:rFonts w:cstheme="minorHAnsi"/>
                <w:b/>
                <w:szCs w:val="24"/>
              </w:rPr>
            </w:pPr>
          </w:p>
        </w:tc>
      </w:tr>
      <w:tr w:rsidR="00EB0441" w:rsidRPr="00831079" w:rsidTr="00453C47">
        <w:trPr>
          <w:cantSplit/>
        </w:trPr>
        <w:tc>
          <w:tcPr>
            <w:tcW w:w="10031" w:type="dxa"/>
            <w:gridSpan w:val="2"/>
          </w:tcPr>
          <w:p w:rsidR="00EB0441" w:rsidRPr="00831079" w:rsidRDefault="00EB0441" w:rsidP="004719F1">
            <w:pPr>
              <w:pStyle w:val="Source"/>
            </w:pPr>
            <w:bookmarkStart w:id="4" w:name="dsource" w:colFirst="0" w:colLast="0"/>
            <w:r w:rsidRPr="00831079">
              <w:t xml:space="preserve">Estados Miembros de la Conferencia Europea de Administraciones </w:t>
            </w:r>
            <w:r w:rsidRPr="00831079">
              <w:br/>
              <w:t>de Correos y Telecomunicaciones (</w:t>
            </w:r>
            <w:proofErr w:type="spellStart"/>
            <w:r w:rsidRPr="00831079">
              <w:t>CEPT</w:t>
            </w:r>
            <w:proofErr w:type="spellEnd"/>
            <w:r w:rsidRPr="00831079">
              <w:t>)</w:t>
            </w:r>
          </w:p>
        </w:tc>
      </w:tr>
      <w:tr w:rsidR="00EB0441" w:rsidRPr="00831079" w:rsidTr="00453C47">
        <w:trPr>
          <w:cantSplit/>
        </w:trPr>
        <w:tc>
          <w:tcPr>
            <w:tcW w:w="10031" w:type="dxa"/>
            <w:gridSpan w:val="2"/>
          </w:tcPr>
          <w:p w:rsidR="00EB0441" w:rsidRPr="00831079" w:rsidRDefault="00EB0441" w:rsidP="00605474">
            <w:pPr>
              <w:pStyle w:val="Title1"/>
            </w:pPr>
            <w:bookmarkStart w:id="5" w:name="dtitle1" w:colFirst="0" w:colLast="0"/>
            <w:bookmarkEnd w:id="4"/>
            <w:r w:rsidRPr="00831079">
              <w:t>PROPUESTAS COMUNES EUROPEAS PARA LOS TRABAJOS DE LA CONFERENCIA</w:t>
            </w:r>
          </w:p>
        </w:tc>
      </w:tr>
      <w:tr w:rsidR="00EB0441" w:rsidRPr="00831079" w:rsidTr="00453C47">
        <w:trPr>
          <w:cantSplit/>
        </w:trPr>
        <w:tc>
          <w:tcPr>
            <w:tcW w:w="10031" w:type="dxa"/>
            <w:gridSpan w:val="2"/>
          </w:tcPr>
          <w:p w:rsidR="00EB0441" w:rsidRPr="00831079" w:rsidRDefault="00EB0441" w:rsidP="00605474">
            <w:pPr>
              <w:pStyle w:val="Title2"/>
            </w:pPr>
            <w:bookmarkStart w:id="6" w:name="dtitle2" w:colFirst="0" w:colLast="0"/>
            <w:bookmarkEnd w:id="5"/>
          </w:p>
        </w:tc>
      </w:tr>
      <w:bookmarkEnd w:id="6"/>
    </w:tbl>
    <w:p w:rsidR="00EB0441" w:rsidRPr="00831079" w:rsidRDefault="00EB0441" w:rsidP="004B07DB">
      <w:pPr>
        <w:rPr>
          <w:rStyle w:val="PageNumber"/>
        </w:rPr>
      </w:pPr>
    </w:p>
    <w:p w:rsidR="00EB0441" w:rsidRPr="00831079" w:rsidRDefault="00EB0441" w:rsidP="001F42D5">
      <w:pPr>
        <w:rPr>
          <w:rFonts w:cs="Calibri"/>
          <w:bCs/>
          <w:szCs w:val="24"/>
        </w:rPr>
      </w:pPr>
      <w:r w:rsidRPr="00831079">
        <w:rPr>
          <w:rFonts w:cs="Calibri"/>
          <w:bCs/>
          <w:szCs w:val="24"/>
        </w:rPr>
        <w:t>La</w:t>
      </w:r>
      <w:r w:rsidR="004719F1" w:rsidRPr="00831079">
        <w:rPr>
          <w:rFonts w:cs="Calibri"/>
          <w:bCs/>
          <w:szCs w:val="24"/>
        </w:rPr>
        <w:t>s</w:t>
      </w:r>
      <w:r w:rsidRPr="00831079">
        <w:rPr>
          <w:rFonts w:cs="Calibri"/>
          <w:bCs/>
          <w:szCs w:val="24"/>
        </w:rPr>
        <w:t xml:space="preserve"> </w:t>
      </w:r>
      <w:r w:rsidR="004719F1" w:rsidRPr="00831079">
        <w:rPr>
          <w:rFonts w:cs="Calibri"/>
          <w:bCs/>
          <w:szCs w:val="24"/>
        </w:rPr>
        <w:t xml:space="preserve">Administraciones </w:t>
      </w:r>
      <w:r w:rsidRPr="00831079">
        <w:rPr>
          <w:rFonts w:cs="Calibri"/>
          <w:bCs/>
          <w:szCs w:val="24"/>
        </w:rPr>
        <w:t>Europea</w:t>
      </w:r>
      <w:r w:rsidR="004719F1" w:rsidRPr="00831079">
        <w:rPr>
          <w:rFonts w:cs="Calibri"/>
          <w:bCs/>
          <w:szCs w:val="24"/>
        </w:rPr>
        <w:t>s</w:t>
      </w:r>
      <w:r w:rsidRPr="00831079">
        <w:rPr>
          <w:rFonts w:cs="Calibri"/>
          <w:bCs/>
          <w:szCs w:val="24"/>
        </w:rPr>
        <w:t xml:space="preserve"> </w:t>
      </w:r>
      <w:r w:rsidRPr="00831079">
        <w:rPr>
          <w:bCs/>
        </w:rPr>
        <w:t>felicita</w:t>
      </w:r>
      <w:r w:rsidR="004719F1" w:rsidRPr="00831079">
        <w:rPr>
          <w:bCs/>
        </w:rPr>
        <w:t>n</w:t>
      </w:r>
      <w:r w:rsidRPr="00831079">
        <w:rPr>
          <w:bCs/>
        </w:rPr>
        <w:t xml:space="preserve"> a la Unión Internacional de Telecomunicaciones (</w:t>
      </w:r>
      <w:proofErr w:type="spellStart"/>
      <w:r w:rsidRPr="00831079">
        <w:rPr>
          <w:bCs/>
        </w:rPr>
        <w:t>UIT</w:t>
      </w:r>
      <w:proofErr w:type="spellEnd"/>
      <w:r w:rsidRPr="00831079">
        <w:rPr>
          <w:bCs/>
        </w:rPr>
        <w:t xml:space="preserve">) y a las autoridades de </w:t>
      </w:r>
      <w:r w:rsidR="004719F1" w:rsidRPr="00831079">
        <w:rPr>
          <w:bCs/>
        </w:rPr>
        <w:t>los Emiratos Árabes Unidos</w:t>
      </w:r>
      <w:r w:rsidRPr="00831079">
        <w:rPr>
          <w:rFonts w:cs="Calibri"/>
          <w:bCs/>
          <w:szCs w:val="24"/>
        </w:rPr>
        <w:t xml:space="preserve"> </w:t>
      </w:r>
      <w:r w:rsidRPr="00831079">
        <w:rPr>
          <w:bCs/>
        </w:rPr>
        <w:t>por organizar la Conferencia de Plenipotenciarios</w:t>
      </w:r>
      <w:r w:rsidR="003D161E">
        <w:rPr>
          <w:bCs/>
        </w:rPr>
        <w:t> </w:t>
      </w:r>
      <w:r w:rsidRPr="00831079">
        <w:rPr>
          <w:rFonts w:cs="Calibri"/>
          <w:bCs/>
          <w:szCs w:val="24"/>
        </w:rPr>
        <w:t xml:space="preserve">2018 </w:t>
      </w:r>
      <w:r w:rsidR="004719F1" w:rsidRPr="00831079">
        <w:rPr>
          <w:rFonts w:cs="Calibri"/>
          <w:bCs/>
          <w:szCs w:val="24"/>
        </w:rPr>
        <w:t xml:space="preserve">de la </w:t>
      </w:r>
      <w:proofErr w:type="spellStart"/>
      <w:r w:rsidR="004719F1" w:rsidRPr="00831079">
        <w:rPr>
          <w:rFonts w:cs="Calibri"/>
          <w:bCs/>
          <w:szCs w:val="24"/>
        </w:rPr>
        <w:t>UIT</w:t>
      </w:r>
      <w:proofErr w:type="spellEnd"/>
      <w:r w:rsidRPr="00831079">
        <w:rPr>
          <w:rFonts w:cs="Calibri"/>
          <w:bCs/>
          <w:szCs w:val="24"/>
        </w:rPr>
        <w:t xml:space="preserve"> (PP-18).</w:t>
      </w:r>
    </w:p>
    <w:p w:rsidR="00EB0441" w:rsidRPr="00831079" w:rsidRDefault="00EB0441">
      <w:r w:rsidRPr="00831079">
        <w:rPr>
          <w:rFonts w:asciiTheme="minorHAnsi" w:eastAsia="SimSun" w:hAnsiTheme="minorHAnsi"/>
          <w:szCs w:val="24"/>
        </w:rPr>
        <w:t>En esta contribución se presentan las Propuestas Comunes Europeas (PCE) para la PP-</w:t>
      </w:r>
      <w:r w:rsidRPr="00831079">
        <w:t>18</w:t>
      </w:r>
      <w:r w:rsidRPr="00831079">
        <w:rPr>
          <w:rFonts w:asciiTheme="minorHAnsi" w:eastAsia="SimSun" w:hAnsiTheme="minorHAnsi"/>
          <w:szCs w:val="24"/>
        </w:rPr>
        <w:t xml:space="preserve">, elaboradas por la Comisión para la Política de la </w:t>
      </w:r>
      <w:proofErr w:type="spellStart"/>
      <w:r w:rsidRPr="00831079">
        <w:rPr>
          <w:rFonts w:asciiTheme="minorHAnsi" w:eastAsia="SimSun" w:hAnsiTheme="minorHAnsi"/>
          <w:szCs w:val="24"/>
        </w:rPr>
        <w:t>UIT</w:t>
      </w:r>
      <w:proofErr w:type="spellEnd"/>
      <w:r w:rsidRPr="00831079">
        <w:rPr>
          <w:rFonts w:asciiTheme="minorHAnsi" w:eastAsia="SimSun" w:hAnsiTheme="minorHAnsi"/>
          <w:szCs w:val="24"/>
        </w:rPr>
        <w:t xml:space="preserve"> (</w:t>
      </w:r>
      <w:proofErr w:type="spellStart"/>
      <w:r w:rsidRPr="00831079">
        <w:rPr>
          <w:rFonts w:asciiTheme="minorHAnsi" w:eastAsia="SimSun" w:hAnsiTheme="minorHAnsi"/>
          <w:szCs w:val="24"/>
        </w:rPr>
        <w:t>Com-ITU</w:t>
      </w:r>
      <w:proofErr w:type="spellEnd"/>
      <w:r w:rsidRPr="00831079">
        <w:rPr>
          <w:rFonts w:asciiTheme="minorHAnsi" w:eastAsia="SimSun" w:hAnsiTheme="minorHAnsi"/>
          <w:szCs w:val="24"/>
        </w:rPr>
        <w:t xml:space="preserve">) de la </w:t>
      </w:r>
      <w:proofErr w:type="spellStart"/>
      <w:r w:rsidRPr="00831079">
        <w:rPr>
          <w:rFonts w:asciiTheme="minorHAnsi" w:eastAsia="SimSun" w:hAnsiTheme="minorHAnsi"/>
          <w:szCs w:val="24"/>
        </w:rPr>
        <w:t>CEPT</w:t>
      </w:r>
      <w:proofErr w:type="spellEnd"/>
      <w:r w:rsidRPr="00831079">
        <w:rPr>
          <w:rFonts w:asciiTheme="minorHAnsi" w:eastAsia="SimSun" w:hAnsiTheme="minorHAnsi"/>
          <w:szCs w:val="24"/>
        </w:rPr>
        <w:t>.</w:t>
      </w:r>
    </w:p>
    <w:p w:rsidR="00EB0441" w:rsidRPr="00831079" w:rsidRDefault="00EB0441" w:rsidP="001F42D5">
      <w:pPr>
        <w:rPr>
          <w:rFonts w:cs="Calibri"/>
          <w:bCs/>
          <w:szCs w:val="24"/>
        </w:rPr>
      </w:pPr>
      <w:r w:rsidRPr="00831079">
        <w:rPr>
          <w:rFonts w:cs="Calibri"/>
          <w:bCs/>
          <w:szCs w:val="24"/>
        </w:rPr>
        <w:t>Las siguientes propuestas para la PP-</w:t>
      </w:r>
      <w:r w:rsidRPr="00831079">
        <w:t>18</w:t>
      </w:r>
      <w:r w:rsidRPr="00831079">
        <w:rPr>
          <w:rFonts w:cs="Calibri"/>
          <w:bCs/>
          <w:szCs w:val="24"/>
        </w:rPr>
        <w:t xml:space="preserve"> reflejan las prioridades europeas para la </w:t>
      </w:r>
      <w:proofErr w:type="spellStart"/>
      <w:r w:rsidRPr="00831079">
        <w:rPr>
          <w:rFonts w:cs="Calibri"/>
          <w:bCs/>
          <w:szCs w:val="24"/>
        </w:rPr>
        <w:t>UIT</w:t>
      </w:r>
      <w:proofErr w:type="spellEnd"/>
      <w:r w:rsidRPr="00831079">
        <w:rPr>
          <w:rFonts w:cs="Calibri"/>
          <w:bCs/>
          <w:szCs w:val="24"/>
        </w:rPr>
        <w:t xml:space="preserve"> durante los cuatro próximos años. La </w:t>
      </w:r>
      <w:proofErr w:type="spellStart"/>
      <w:r w:rsidRPr="00831079">
        <w:rPr>
          <w:rFonts w:cs="Calibri"/>
          <w:bCs/>
          <w:szCs w:val="24"/>
        </w:rPr>
        <w:t>CEPT</w:t>
      </w:r>
      <w:proofErr w:type="spellEnd"/>
      <w:r w:rsidRPr="00831079">
        <w:rPr>
          <w:rFonts w:cs="Calibri"/>
          <w:bCs/>
          <w:szCs w:val="24"/>
        </w:rPr>
        <w:t xml:space="preserve"> confía en que la PP-</w:t>
      </w:r>
      <w:r w:rsidRPr="00831079">
        <w:t>18</w:t>
      </w:r>
      <w:r w:rsidRPr="00831079">
        <w:rPr>
          <w:rFonts w:cs="Calibri"/>
          <w:bCs/>
          <w:szCs w:val="24"/>
        </w:rPr>
        <w:t xml:space="preserve"> sea un éxito y contribuya de manera positiva al desarrollo de las telecomunicaciones en todo el planeta.</w:t>
      </w:r>
    </w:p>
    <w:p w:rsidR="00EB0441" w:rsidRPr="00831079" w:rsidRDefault="00EB0441">
      <w:r w:rsidRPr="00831079">
        <w:t xml:space="preserve">Las Administraciones europeas aprovechan la oportunidad que ofrece la PP-18 de debatir en profundidad con los otros Miembros de la </w:t>
      </w:r>
      <w:proofErr w:type="spellStart"/>
      <w:r w:rsidRPr="00831079">
        <w:t>UIT</w:t>
      </w:r>
      <w:proofErr w:type="spellEnd"/>
      <w:r w:rsidRPr="00831079">
        <w:t xml:space="preserve"> las cuestiones que se van a abordar en esta Conferencia. A tal efecto, se han designado coordinadores para cada punto del orden del día, que servirán de enlace con los demás participantes a fin de contribuir a los esfuerzos de la Conferencia para llegar a decisiones que puedan obtener el respaldo de todos los Miembros de la </w:t>
      </w:r>
      <w:proofErr w:type="spellStart"/>
      <w:r w:rsidRPr="00831079">
        <w:t>UIT</w:t>
      </w:r>
      <w:proofErr w:type="spellEnd"/>
      <w:r w:rsidRPr="00831079">
        <w:t>.</w:t>
      </w:r>
    </w:p>
    <w:p w:rsidR="00EB0441" w:rsidRPr="00831079" w:rsidRDefault="00EB0441">
      <w:r w:rsidRPr="00831079">
        <w:t xml:space="preserve">En el </w:t>
      </w:r>
      <w:r w:rsidRPr="00831079">
        <w:rPr>
          <w:b/>
          <w:bCs/>
        </w:rPr>
        <w:t>Anexo 1</w:t>
      </w:r>
      <w:r w:rsidRPr="00831079">
        <w:t xml:space="preserve"> pueden encontrarse la estructura de las Propuestas Comunes Europeas a la PP-18 y la lista de coordinadores europeos para cada una de esas propuestas.</w:t>
      </w:r>
    </w:p>
    <w:p w:rsidR="00EB0441" w:rsidRPr="00831079" w:rsidRDefault="00EB0441" w:rsidP="00584934">
      <w:pPr>
        <w:tabs>
          <w:tab w:val="left" w:pos="8164"/>
        </w:tabs>
        <w:rPr>
          <w:rFonts w:asciiTheme="minorHAnsi" w:hAnsiTheme="minorHAnsi"/>
          <w:szCs w:val="24"/>
        </w:rPr>
      </w:pPr>
      <w:r w:rsidRPr="00831079">
        <w:rPr>
          <w:rFonts w:asciiTheme="minorHAnsi" w:hAnsiTheme="minorHAnsi"/>
          <w:szCs w:val="24"/>
        </w:rPr>
        <w:t xml:space="preserve">En el </w:t>
      </w:r>
      <w:r w:rsidRPr="00831079">
        <w:rPr>
          <w:rFonts w:asciiTheme="minorHAnsi" w:hAnsiTheme="minorHAnsi"/>
          <w:b/>
          <w:bCs/>
          <w:szCs w:val="24"/>
        </w:rPr>
        <w:t>Anexo 2</w:t>
      </w:r>
      <w:r w:rsidRPr="00831079">
        <w:rPr>
          <w:rFonts w:asciiTheme="minorHAnsi" w:hAnsiTheme="minorHAnsi"/>
          <w:szCs w:val="24"/>
        </w:rPr>
        <w:t xml:space="preserve"> se presenta la lista de Administraciones europeas cosignatarias.</w:t>
      </w:r>
    </w:p>
    <w:p w:rsidR="00EB0441" w:rsidRPr="00831079" w:rsidRDefault="004719F1" w:rsidP="00584934">
      <w:pPr>
        <w:jc w:val="both"/>
      </w:pPr>
      <w:r w:rsidRPr="00831079">
        <w:t xml:space="preserve">Las propuestas detalladas se incluyen en el </w:t>
      </w:r>
      <w:proofErr w:type="spellStart"/>
      <w:r w:rsidRPr="00831079">
        <w:t>Addéndum</w:t>
      </w:r>
      <w:proofErr w:type="spellEnd"/>
      <w:r w:rsidRPr="00831079">
        <w:t xml:space="preserve"> al presente </w:t>
      </w:r>
      <w:r w:rsidR="001F42D5" w:rsidRPr="00831079">
        <w:t>documento</w:t>
      </w:r>
      <w:r w:rsidR="00EB0441" w:rsidRPr="00831079">
        <w:t>.</w:t>
      </w:r>
    </w:p>
    <w:p w:rsidR="00EB0441" w:rsidRPr="00831079" w:rsidRDefault="00EB0441" w:rsidP="00584934">
      <w:pPr>
        <w:tabs>
          <w:tab w:val="left" w:pos="8164"/>
        </w:tabs>
        <w:rPr>
          <w:rFonts w:asciiTheme="minorHAnsi" w:hAnsiTheme="minorHAnsi"/>
          <w:szCs w:val="24"/>
        </w:rPr>
      </w:pPr>
    </w:p>
    <w:p w:rsidR="00EB0441" w:rsidRPr="00831079" w:rsidRDefault="00EB0441" w:rsidP="00453C47">
      <w:pPr>
        <w:tabs>
          <w:tab w:val="clear" w:pos="567"/>
          <w:tab w:val="clear" w:pos="1134"/>
          <w:tab w:val="clear" w:pos="1701"/>
          <w:tab w:val="clear" w:pos="2268"/>
          <w:tab w:val="clear" w:pos="2835"/>
        </w:tabs>
        <w:overflowPunct/>
        <w:autoSpaceDE/>
        <w:autoSpaceDN/>
        <w:adjustRightInd/>
        <w:spacing w:before="0"/>
        <w:textAlignment w:val="auto"/>
      </w:pPr>
      <w:r w:rsidRPr="00831079">
        <w:br w:type="page"/>
      </w:r>
    </w:p>
    <w:p w:rsidR="00EB0441" w:rsidRPr="00831079" w:rsidRDefault="00EB0441" w:rsidP="001F42D5">
      <w:pPr>
        <w:pStyle w:val="AnnexNo"/>
      </w:pPr>
      <w:r w:rsidRPr="00831079">
        <w:lastRenderedPageBreak/>
        <w:t>Anexo 1</w:t>
      </w:r>
    </w:p>
    <w:p w:rsidR="00EB0441" w:rsidRPr="00831079" w:rsidRDefault="00EB0441" w:rsidP="00453C47">
      <w:pPr>
        <w:pStyle w:val="Annextitle"/>
      </w:pPr>
      <w:r w:rsidRPr="00831079">
        <w:t xml:space="preserve">Coordinación de la </w:t>
      </w:r>
      <w:proofErr w:type="spellStart"/>
      <w:r w:rsidRPr="00831079">
        <w:t>CEPT</w:t>
      </w:r>
      <w:proofErr w:type="spellEnd"/>
      <w:r w:rsidRPr="00831079">
        <w:t xml:space="preserve"> para la PP-18</w:t>
      </w:r>
    </w:p>
    <w:p w:rsidR="00EB0441" w:rsidRPr="00FA4839" w:rsidRDefault="00EB0441" w:rsidP="00FA4839">
      <w:pPr>
        <w:pStyle w:val="Annextitle"/>
        <w:spacing w:before="0" w:after="120"/>
      </w:pPr>
      <w:r w:rsidRPr="00FA4839">
        <w:t xml:space="preserve">Coordinadores de la </w:t>
      </w:r>
      <w:proofErr w:type="spellStart"/>
      <w:r w:rsidRPr="00FA4839">
        <w:t>CEPT</w:t>
      </w:r>
      <w:proofErr w:type="spellEnd"/>
      <w:r w:rsidRPr="00FA4839">
        <w:t xml:space="preserve"> para los asuntos relativos a las PCE</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3388"/>
        <w:gridCol w:w="2634"/>
        <w:gridCol w:w="3119"/>
      </w:tblGrid>
      <w:tr w:rsidR="00EB0441" w:rsidRPr="00831079" w:rsidTr="003D161E">
        <w:trPr>
          <w:tblHeader/>
        </w:trPr>
        <w:tc>
          <w:tcPr>
            <w:tcW w:w="953" w:type="dxa"/>
            <w:shd w:val="clear" w:color="auto" w:fill="D9D9D9" w:themeFill="background1" w:themeFillShade="D9"/>
          </w:tcPr>
          <w:p w:rsidR="00EB0441" w:rsidRPr="00831079" w:rsidRDefault="00EB0441" w:rsidP="003F2C0F">
            <w:pPr>
              <w:pStyle w:val="Tablehead0"/>
              <w:spacing w:before="80" w:after="80"/>
              <w:jc w:val="center"/>
              <w:rPr>
                <w:sz w:val="22"/>
                <w:szCs w:val="22"/>
                <w:lang w:val="es-ES_tradnl"/>
              </w:rPr>
            </w:pPr>
            <w:r w:rsidRPr="00831079">
              <w:rPr>
                <w:sz w:val="22"/>
                <w:szCs w:val="22"/>
                <w:lang w:val="es-ES_tradnl"/>
              </w:rPr>
              <w:t>PCE Nº</w:t>
            </w:r>
          </w:p>
        </w:tc>
        <w:tc>
          <w:tcPr>
            <w:tcW w:w="3388" w:type="dxa"/>
            <w:shd w:val="clear" w:color="auto" w:fill="D9D9D9" w:themeFill="background1" w:themeFillShade="D9"/>
          </w:tcPr>
          <w:p w:rsidR="00EB0441" w:rsidRPr="00831079" w:rsidRDefault="00EB0441" w:rsidP="00453C47">
            <w:pPr>
              <w:pStyle w:val="Tablehead0"/>
              <w:spacing w:before="80" w:after="80"/>
              <w:jc w:val="center"/>
              <w:rPr>
                <w:sz w:val="22"/>
                <w:szCs w:val="22"/>
                <w:lang w:val="es-ES_tradnl"/>
              </w:rPr>
            </w:pPr>
            <w:r w:rsidRPr="00831079">
              <w:rPr>
                <w:sz w:val="22"/>
                <w:szCs w:val="22"/>
                <w:lang w:val="es-ES_tradnl"/>
              </w:rPr>
              <w:t>Tema</w:t>
            </w:r>
          </w:p>
        </w:tc>
        <w:tc>
          <w:tcPr>
            <w:tcW w:w="2634" w:type="dxa"/>
            <w:shd w:val="clear" w:color="auto" w:fill="D9D9D9" w:themeFill="background1" w:themeFillShade="D9"/>
          </w:tcPr>
          <w:p w:rsidR="00EB0441" w:rsidRPr="00831079" w:rsidRDefault="00EB0441" w:rsidP="00453C47">
            <w:pPr>
              <w:pStyle w:val="Tablehead0"/>
              <w:spacing w:before="80" w:after="80"/>
              <w:jc w:val="center"/>
              <w:rPr>
                <w:sz w:val="22"/>
                <w:szCs w:val="22"/>
                <w:lang w:val="es-ES_tradnl"/>
              </w:rPr>
            </w:pPr>
            <w:r w:rsidRPr="00831079">
              <w:rPr>
                <w:sz w:val="22"/>
                <w:szCs w:val="22"/>
                <w:lang w:val="es-ES_tradnl"/>
              </w:rPr>
              <w:t xml:space="preserve">Coordinador de la </w:t>
            </w:r>
            <w:proofErr w:type="spellStart"/>
            <w:r w:rsidRPr="00831079">
              <w:rPr>
                <w:sz w:val="22"/>
                <w:szCs w:val="22"/>
                <w:lang w:val="es-ES_tradnl"/>
              </w:rPr>
              <w:t>CEPT</w:t>
            </w:r>
            <w:proofErr w:type="spellEnd"/>
          </w:p>
        </w:tc>
        <w:tc>
          <w:tcPr>
            <w:tcW w:w="3119" w:type="dxa"/>
            <w:shd w:val="clear" w:color="auto" w:fill="D9D9D9" w:themeFill="background1" w:themeFillShade="D9"/>
          </w:tcPr>
          <w:p w:rsidR="00EB0441" w:rsidRPr="00831079" w:rsidRDefault="00EB0441" w:rsidP="00453C47">
            <w:pPr>
              <w:pStyle w:val="Tablehead0"/>
              <w:spacing w:before="80" w:after="80"/>
              <w:jc w:val="center"/>
              <w:rPr>
                <w:sz w:val="22"/>
                <w:szCs w:val="22"/>
                <w:lang w:val="es-ES_tradnl"/>
              </w:rPr>
            </w:pPr>
            <w:r w:rsidRPr="00831079">
              <w:rPr>
                <w:sz w:val="22"/>
                <w:szCs w:val="22"/>
                <w:lang w:val="es-ES_tradnl"/>
              </w:rPr>
              <w:t>Dirección de correo-e</w:t>
            </w:r>
          </w:p>
        </w:tc>
      </w:tr>
      <w:tr w:rsidR="00EB0441" w:rsidRPr="00831079" w:rsidTr="003D161E">
        <w:tc>
          <w:tcPr>
            <w:tcW w:w="953" w:type="dxa"/>
          </w:tcPr>
          <w:p w:rsidR="00EB0441" w:rsidRPr="00831079" w:rsidRDefault="00E50D26" w:rsidP="00C30DF0">
            <w:pPr>
              <w:spacing w:before="40" w:after="40"/>
              <w:rPr>
                <w:rFonts w:asciiTheme="minorHAnsi" w:hAnsiTheme="minorHAnsi"/>
                <w:sz w:val="20"/>
                <w:lang w:eastAsia="sv-SE"/>
              </w:rPr>
            </w:pPr>
            <w:r w:rsidRPr="00E50D26">
              <w:rPr>
                <w:rFonts w:asciiTheme="minorHAnsi" w:hAnsiTheme="minorHAnsi"/>
                <w:sz w:val="20"/>
                <w:lang w:eastAsia="sv-SE"/>
              </w:rPr>
              <w:t>–</w:t>
            </w:r>
          </w:p>
        </w:tc>
        <w:tc>
          <w:tcPr>
            <w:tcW w:w="3388" w:type="dxa"/>
          </w:tcPr>
          <w:p w:rsidR="00EB0441" w:rsidRPr="00831079" w:rsidRDefault="00EB0441" w:rsidP="00C30DF0">
            <w:pPr>
              <w:pStyle w:val="Tabletext"/>
              <w:tabs>
                <w:tab w:val="left" w:pos="794"/>
                <w:tab w:val="left" w:pos="1191"/>
                <w:tab w:val="left" w:pos="1588"/>
                <w:tab w:val="left" w:pos="1985"/>
              </w:tabs>
              <w:spacing w:before="40" w:after="40"/>
              <w:rPr>
                <w:rFonts w:asciiTheme="minorHAnsi" w:hAnsiTheme="minorHAnsi"/>
                <w:sz w:val="20"/>
                <w:lang w:eastAsia="sv-SE"/>
              </w:rPr>
            </w:pPr>
            <w:r w:rsidRPr="00831079">
              <w:rPr>
                <w:rFonts w:asciiTheme="minorHAnsi" w:hAnsiTheme="minorHAnsi"/>
                <w:sz w:val="20"/>
              </w:rPr>
              <w:t>Coordinación general</w:t>
            </w:r>
          </w:p>
        </w:tc>
        <w:tc>
          <w:tcPr>
            <w:tcW w:w="2634" w:type="dxa"/>
          </w:tcPr>
          <w:p w:rsidR="00EB0441" w:rsidRPr="003D161E" w:rsidRDefault="003D161E" w:rsidP="003D161E">
            <w:pPr>
              <w:pStyle w:val="TableTEXT0"/>
              <w:tabs>
                <w:tab w:val="left" w:pos="239"/>
              </w:tabs>
              <w:ind w:left="239" w:hanging="239"/>
              <w:rPr>
                <w:rFonts w:asciiTheme="minorHAnsi" w:hAnsiTheme="minorHAnsi"/>
                <w:sz w:val="20"/>
                <w:lang w:val="es-ES"/>
              </w:rPr>
            </w:pPr>
            <w:r w:rsidRPr="003D161E">
              <w:rPr>
                <w:lang w:val="es-ES"/>
              </w:rPr>
              <w:t>–</w:t>
            </w:r>
            <w:r w:rsidRPr="003D161E">
              <w:rPr>
                <w:lang w:val="es-ES"/>
              </w:rPr>
              <w:tab/>
            </w:r>
            <w:r w:rsidR="00EB0441" w:rsidRPr="003D161E">
              <w:rPr>
                <w:rFonts w:asciiTheme="minorHAnsi" w:hAnsiTheme="minorHAnsi"/>
                <w:sz w:val="20"/>
                <w:lang w:val="es-ES"/>
              </w:rPr>
              <w:t xml:space="preserve">Cristiana </w:t>
            </w:r>
            <w:proofErr w:type="spellStart"/>
            <w:r w:rsidR="00EB0441" w:rsidRPr="003D161E">
              <w:rPr>
                <w:rFonts w:asciiTheme="minorHAnsi" w:hAnsiTheme="minorHAnsi"/>
                <w:sz w:val="20"/>
                <w:lang w:val="es-ES"/>
              </w:rPr>
              <w:t>Flutur</w:t>
            </w:r>
            <w:proofErr w:type="spellEnd"/>
            <w:r w:rsidR="00EB0441" w:rsidRPr="003D161E">
              <w:rPr>
                <w:rFonts w:asciiTheme="minorHAnsi" w:hAnsiTheme="minorHAnsi"/>
                <w:sz w:val="20"/>
                <w:lang w:val="es-ES"/>
              </w:rPr>
              <w:t xml:space="preserve"> (</w:t>
            </w:r>
            <w:proofErr w:type="spellStart"/>
            <w:r w:rsidR="00EB0441" w:rsidRPr="003D161E">
              <w:rPr>
                <w:rFonts w:asciiTheme="minorHAnsi" w:hAnsiTheme="minorHAnsi"/>
                <w:sz w:val="20"/>
                <w:lang w:val="es-ES"/>
              </w:rPr>
              <w:t>ROU</w:t>
            </w:r>
            <w:proofErr w:type="spellEnd"/>
            <w:r w:rsidR="00EB0441" w:rsidRPr="003D161E">
              <w:rPr>
                <w:rFonts w:asciiTheme="minorHAnsi" w:hAnsiTheme="minorHAnsi"/>
                <w:sz w:val="20"/>
                <w:lang w:val="es-ES"/>
              </w:rPr>
              <w:t xml:space="preserve">, </w:t>
            </w:r>
            <w:r w:rsidR="004719F1" w:rsidRPr="003D161E">
              <w:rPr>
                <w:rFonts w:asciiTheme="minorHAnsi" w:hAnsiTheme="minorHAnsi"/>
                <w:sz w:val="20"/>
                <w:lang w:val="es-ES"/>
              </w:rPr>
              <w:t xml:space="preserve">Presidenta de la </w:t>
            </w:r>
            <w:proofErr w:type="spellStart"/>
            <w:r w:rsidR="00EB0441" w:rsidRPr="003D161E">
              <w:rPr>
                <w:rFonts w:asciiTheme="minorHAnsi" w:hAnsiTheme="minorHAnsi"/>
                <w:sz w:val="20"/>
                <w:lang w:val="es-ES"/>
              </w:rPr>
              <w:t>Com-ITU</w:t>
            </w:r>
            <w:proofErr w:type="spellEnd"/>
            <w:r w:rsidR="00EB0441" w:rsidRPr="003D161E">
              <w:rPr>
                <w:rFonts w:asciiTheme="minorHAnsi" w:hAnsiTheme="minorHAnsi"/>
                <w:sz w:val="20"/>
                <w:lang w:val="es-ES"/>
              </w:rPr>
              <w:t>)</w:t>
            </w:r>
          </w:p>
          <w:p w:rsidR="00EB0441" w:rsidRPr="003D161E" w:rsidRDefault="003D161E" w:rsidP="003D161E">
            <w:pPr>
              <w:pStyle w:val="TableTEXT0"/>
              <w:tabs>
                <w:tab w:val="left" w:pos="239"/>
              </w:tabs>
              <w:ind w:left="239" w:hanging="239"/>
              <w:rPr>
                <w:rFonts w:asciiTheme="minorHAnsi" w:hAnsiTheme="minorHAnsi"/>
                <w:sz w:val="20"/>
                <w:lang w:val="es-ES"/>
              </w:rPr>
            </w:pPr>
            <w:r w:rsidRPr="003D161E">
              <w:rPr>
                <w:rFonts w:asciiTheme="minorHAnsi" w:hAnsiTheme="minorHAnsi"/>
                <w:sz w:val="20"/>
                <w:lang w:val="es-ES"/>
              </w:rPr>
              <w:t>–</w:t>
            </w:r>
            <w:r>
              <w:rPr>
                <w:rFonts w:asciiTheme="minorHAnsi" w:hAnsiTheme="minorHAnsi"/>
                <w:sz w:val="20"/>
                <w:lang w:val="es-ES"/>
              </w:rPr>
              <w:tab/>
            </w:r>
            <w:proofErr w:type="spellStart"/>
            <w:r w:rsidR="00EB0441" w:rsidRPr="003D161E">
              <w:rPr>
                <w:rFonts w:asciiTheme="minorHAnsi" w:hAnsiTheme="minorHAnsi"/>
                <w:sz w:val="20"/>
                <w:lang w:val="es-ES"/>
              </w:rPr>
              <w:t>Vilém</w:t>
            </w:r>
            <w:proofErr w:type="spellEnd"/>
            <w:r w:rsidR="00EB0441" w:rsidRPr="003D161E">
              <w:rPr>
                <w:rFonts w:asciiTheme="minorHAnsi" w:hAnsiTheme="minorHAnsi"/>
                <w:sz w:val="20"/>
                <w:lang w:val="es-ES"/>
              </w:rPr>
              <w:t xml:space="preserve"> </w:t>
            </w:r>
            <w:proofErr w:type="spellStart"/>
            <w:r w:rsidR="00EB0441" w:rsidRPr="003D161E">
              <w:rPr>
                <w:rFonts w:asciiTheme="minorHAnsi" w:hAnsiTheme="minorHAnsi"/>
                <w:sz w:val="20"/>
                <w:lang w:val="es-ES"/>
              </w:rPr>
              <w:t>Veselý</w:t>
            </w:r>
            <w:proofErr w:type="spellEnd"/>
            <w:r w:rsidR="00EB0441" w:rsidRPr="003D161E">
              <w:rPr>
                <w:rFonts w:asciiTheme="minorHAnsi" w:hAnsiTheme="minorHAnsi"/>
                <w:sz w:val="20"/>
                <w:lang w:val="es-ES"/>
              </w:rPr>
              <w:t xml:space="preserve"> (</w:t>
            </w:r>
            <w:proofErr w:type="spellStart"/>
            <w:r w:rsidR="00EB0441" w:rsidRPr="003D161E">
              <w:rPr>
                <w:rFonts w:asciiTheme="minorHAnsi" w:hAnsiTheme="minorHAnsi"/>
                <w:sz w:val="20"/>
                <w:lang w:val="es-ES"/>
              </w:rPr>
              <w:t>CZE</w:t>
            </w:r>
            <w:proofErr w:type="spellEnd"/>
            <w:r w:rsidR="00EB0441" w:rsidRPr="003D161E">
              <w:rPr>
                <w:rFonts w:asciiTheme="minorHAnsi" w:hAnsiTheme="minorHAnsi"/>
                <w:sz w:val="20"/>
                <w:lang w:val="es-ES"/>
              </w:rPr>
              <w:t xml:space="preserve">, </w:t>
            </w:r>
            <w:r w:rsidR="004719F1" w:rsidRPr="003D161E">
              <w:rPr>
                <w:rFonts w:asciiTheme="minorHAnsi" w:hAnsiTheme="minorHAnsi"/>
                <w:sz w:val="20"/>
                <w:lang w:val="es-ES"/>
              </w:rPr>
              <w:t>coordinación general de las cuestiones financieras, de gestión y organizativas</w:t>
            </w:r>
            <w:r w:rsidR="00EB0441" w:rsidRPr="003D161E">
              <w:rPr>
                <w:rFonts w:asciiTheme="minorHAnsi" w:hAnsiTheme="minorHAnsi"/>
                <w:sz w:val="20"/>
                <w:lang w:val="es-ES"/>
              </w:rPr>
              <w:t>)</w:t>
            </w:r>
          </w:p>
          <w:p w:rsidR="00EB0441" w:rsidRPr="003D161E" w:rsidRDefault="003D161E" w:rsidP="003D161E">
            <w:pPr>
              <w:pStyle w:val="TableTEXT0"/>
              <w:tabs>
                <w:tab w:val="left" w:pos="239"/>
              </w:tabs>
              <w:ind w:left="239" w:hanging="239"/>
              <w:rPr>
                <w:rFonts w:asciiTheme="minorHAnsi" w:hAnsiTheme="minorHAnsi"/>
                <w:sz w:val="20"/>
                <w:lang w:val="es-ES"/>
              </w:rPr>
            </w:pPr>
            <w:r w:rsidRPr="003D161E">
              <w:rPr>
                <w:rFonts w:asciiTheme="minorHAnsi" w:hAnsiTheme="minorHAnsi"/>
                <w:sz w:val="20"/>
                <w:lang w:val="es-ES"/>
              </w:rPr>
              <w:t>–</w:t>
            </w:r>
            <w:r>
              <w:rPr>
                <w:rFonts w:asciiTheme="minorHAnsi" w:hAnsiTheme="minorHAnsi"/>
                <w:sz w:val="20"/>
                <w:lang w:val="es-ES"/>
              </w:rPr>
              <w:tab/>
            </w:r>
            <w:r w:rsidR="00EB0441" w:rsidRPr="003D161E">
              <w:rPr>
                <w:rFonts w:asciiTheme="minorHAnsi" w:hAnsiTheme="minorHAnsi"/>
                <w:sz w:val="20"/>
                <w:lang w:val="es-ES"/>
              </w:rPr>
              <w:t xml:space="preserve">Paul </w:t>
            </w:r>
            <w:proofErr w:type="spellStart"/>
            <w:r w:rsidR="00EB0441" w:rsidRPr="003D161E">
              <w:rPr>
                <w:rFonts w:asciiTheme="minorHAnsi" w:hAnsiTheme="minorHAnsi"/>
                <w:sz w:val="20"/>
                <w:lang w:val="es-ES"/>
              </w:rPr>
              <w:t>Blaker</w:t>
            </w:r>
            <w:proofErr w:type="spellEnd"/>
            <w:r w:rsidR="00EB0441" w:rsidRPr="003D161E">
              <w:rPr>
                <w:rFonts w:asciiTheme="minorHAnsi" w:hAnsiTheme="minorHAnsi"/>
                <w:sz w:val="20"/>
                <w:lang w:val="es-ES"/>
              </w:rPr>
              <w:t xml:space="preserve"> (G, </w:t>
            </w:r>
            <w:r w:rsidR="004719F1" w:rsidRPr="003D161E">
              <w:rPr>
                <w:rFonts w:asciiTheme="minorHAnsi" w:hAnsiTheme="minorHAnsi"/>
                <w:sz w:val="20"/>
                <w:lang w:val="es-ES"/>
              </w:rPr>
              <w:t xml:space="preserve">Vicepresidente de la </w:t>
            </w:r>
            <w:proofErr w:type="spellStart"/>
            <w:r>
              <w:rPr>
                <w:rFonts w:asciiTheme="minorHAnsi" w:hAnsiTheme="minorHAnsi"/>
                <w:sz w:val="20"/>
                <w:lang w:val="es-ES"/>
              </w:rPr>
              <w:t>Com</w:t>
            </w:r>
            <w:r>
              <w:rPr>
                <w:rFonts w:asciiTheme="minorHAnsi" w:hAnsiTheme="minorHAnsi"/>
                <w:sz w:val="20"/>
                <w:lang w:val="es-ES"/>
              </w:rPr>
              <w:noBreakHyphen/>
            </w:r>
            <w:r w:rsidR="00EB0441" w:rsidRPr="003D161E">
              <w:rPr>
                <w:rFonts w:asciiTheme="minorHAnsi" w:hAnsiTheme="minorHAnsi"/>
                <w:sz w:val="20"/>
                <w:lang w:val="es-ES"/>
              </w:rPr>
              <w:t>ITU</w:t>
            </w:r>
            <w:proofErr w:type="spellEnd"/>
            <w:r w:rsidR="00EB0441" w:rsidRPr="003D161E">
              <w:rPr>
                <w:rFonts w:asciiTheme="minorHAnsi" w:hAnsiTheme="minorHAnsi"/>
                <w:sz w:val="20"/>
                <w:lang w:val="es-ES"/>
              </w:rPr>
              <w:t>)</w:t>
            </w:r>
          </w:p>
          <w:p w:rsidR="00EB0441" w:rsidRPr="003D161E" w:rsidRDefault="003D161E" w:rsidP="003D161E">
            <w:pPr>
              <w:pStyle w:val="TableTEXT0"/>
              <w:tabs>
                <w:tab w:val="left" w:pos="239"/>
              </w:tabs>
              <w:ind w:left="239" w:hanging="239"/>
              <w:rPr>
                <w:rFonts w:asciiTheme="minorHAnsi" w:hAnsiTheme="minorHAnsi"/>
                <w:sz w:val="20"/>
                <w:lang w:val="es-ES"/>
              </w:rPr>
            </w:pPr>
            <w:r w:rsidRPr="003D161E">
              <w:rPr>
                <w:rFonts w:asciiTheme="minorHAnsi" w:hAnsiTheme="minorHAnsi"/>
                <w:sz w:val="20"/>
                <w:lang w:val="es-ES"/>
              </w:rPr>
              <w:t>–</w:t>
            </w:r>
            <w:r w:rsidRPr="003D161E">
              <w:rPr>
                <w:rFonts w:asciiTheme="minorHAnsi" w:hAnsiTheme="minorHAnsi"/>
                <w:sz w:val="20"/>
                <w:lang w:val="es-ES"/>
              </w:rPr>
              <w:tab/>
            </w:r>
            <w:proofErr w:type="spellStart"/>
            <w:r w:rsidR="00EB0441" w:rsidRPr="003D161E">
              <w:rPr>
                <w:rFonts w:asciiTheme="minorHAnsi" w:hAnsiTheme="minorHAnsi"/>
                <w:sz w:val="20"/>
                <w:lang w:val="es-ES"/>
              </w:rPr>
              <w:t>Dirk</w:t>
            </w:r>
            <w:proofErr w:type="spellEnd"/>
            <w:r w:rsidR="00EB0441" w:rsidRPr="003D161E">
              <w:rPr>
                <w:rFonts w:asciiTheme="minorHAnsi" w:hAnsiTheme="minorHAnsi"/>
                <w:sz w:val="20"/>
                <w:lang w:val="es-ES"/>
              </w:rPr>
              <w:t xml:space="preserve">-Oliver von der </w:t>
            </w:r>
            <w:proofErr w:type="spellStart"/>
            <w:r w:rsidR="00EB0441" w:rsidRPr="003D161E">
              <w:rPr>
                <w:rFonts w:asciiTheme="minorHAnsi" w:hAnsiTheme="minorHAnsi"/>
                <w:sz w:val="20"/>
                <w:lang w:val="es-ES"/>
              </w:rPr>
              <w:t>Emden</w:t>
            </w:r>
            <w:proofErr w:type="spellEnd"/>
            <w:r w:rsidR="00EB0441" w:rsidRPr="003D161E">
              <w:rPr>
                <w:rFonts w:asciiTheme="minorHAnsi" w:hAnsiTheme="minorHAnsi"/>
                <w:sz w:val="20"/>
                <w:lang w:val="es-ES"/>
              </w:rPr>
              <w:t xml:space="preserve"> (SUI, </w:t>
            </w:r>
            <w:r w:rsidR="004719F1" w:rsidRPr="003D161E">
              <w:rPr>
                <w:rFonts w:asciiTheme="minorHAnsi" w:hAnsiTheme="minorHAnsi"/>
                <w:sz w:val="20"/>
                <w:lang w:val="es-ES"/>
              </w:rPr>
              <w:t xml:space="preserve">Vicepresidente de la </w:t>
            </w:r>
            <w:proofErr w:type="spellStart"/>
            <w:r w:rsidR="00EB0441" w:rsidRPr="003D161E">
              <w:rPr>
                <w:rFonts w:asciiTheme="minorHAnsi" w:hAnsiTheme="minorHAnsi"/>
                <w:sz w:val="20"/>
                <w:lang w:val="es-ES"/>
              </w:rPr>
              <w:t>Com-ITU</w:t>
            </w:r>
            <w:proofErr w:type="spellEnd"/>
            <w:r w:rsidR="00EB0441" w:rsidRPr="003D161E">
              <w:rPr>
                <w:rFonts w:asciiTheme="minorHAnsi" w:hAnsiTheme="minorHAnsi"/>
                <w:sz w:val="20"/>
                <w:lang w:val="es-ES"/>
              </w:rPr>
              <w:t>)</w:t>
            </w:r>
          </w:p>
        </w:tc>
        <w:tc>
          <w:tcPr>
            <w:tcW w:w="3119" w:type="dxa"/>
          </w:tcPr>
          <w:p w:rsidR="00EB0441" w:rsidRPr="003D161E" w:rsidRDefault="00F03BF4" w:rsidP="00DE01EE">
            <w:pPr>
              <w:pStyle w:val="Tabletext"/>
              <w:tabs>
                <w:tab w:val="left" w:pos="147"/>
                <w:tab w:val="left" w:pos="1191"/>
                <w:tab w:val="left" w:pos="1588"/>
                <w:tab w:val="left" w:pos="1985"/>
              </w:tabs>
              <w:rPr>
                <w:rFonts w:asciiTheme="minorHAnsi" w:hAnsiTheme="minorHAnsi"/>
                <w:color w:val="0000FF"/>
                <w:sz w:val="20"/>
                <w:u w:val="single"/>
                <w:lang w:val="es-ES"/>
              </w:rPr>
            </w:pPr>
            <w:hyperlink r:id="rId8" w:history="1">
              <w:proofErr w:type="spellStart"/>
              <w:r w:rsidR="00EB0441" w:rsidRPr="003D161E">
                <w:rPr>
                  <w:rStyle w:val="Hyperlink"/>
                  <w:rFonts w:asciiTheme="minorHAnsi" w:hAnsiTheme="minorHAnsi"/>
                  <w:sz w:val="20"/>
                  <w:lang w:val="es-ES"/>
                </w:rPr>
                <w:t>cristiana.flutur@ancom.org.ro</w:t>
              </w:r>
              <w:proofErr w:type="spellEnd"/>
            </w:hyperlink>
          </w:p>
          <w:p w:rsidR="00EB0441" w:rsidRPr="003D161E" w:rsidRDefault="00F03BF4" w:rsidP="00DE01EE">
            <w:pPr>
              <w:pStyle w:val="Tabletext"/>
              <w:tabs>
                <w:tab w:val="left" w:pos="147"/>
                <w:tab w:val="left" w:pos="1191"/>
                <w:tab w:val="left" w:pos="1588"/>
                <w:tab w:val="left" w:pos="1985"/>
              </w:tabs>
              <w:spacing w:before="360"/>
              <w:rPr>
                <w:rFonts w:asciiTheme="minorHAnsi" w:hAnsiTheme="minorHAnsi"/>
                <w:sz w:val="20"/>
                <w:lang w:val="fr-FR"/>
              </w:rPr>
            </w:pPr>
            <w:hyperlink r:id="rId9" w:history="1">
              <w:r w:rsidR="00EB0441" w:rsidRPr="003D161E">
                <w:rPr>
                  <w:rStyle w:val="Hyperlink"/>
                  <w:rFonts w:asciiTheme="minorHAnsi" w:hAnsiTheme="minorHAnsi"/>
                  <w:sz w:val="20"/>
                  <w:lang w:val="es-ES"/>
                </w:rPr>
                <w:t>vi</w:t>
              </w:r>
              <w:r w:rsidR="00EB0441" w:rsidRPr="003D161E">
                <w:rPr>
                  <w:rStyle w:val="Hyperlink"/>
                  <w:rFonts w:asciiTheme="minorHAnsi" w:hAnsiTheme="minorHAnsi"/>
                  <w:sz w:val="20"/>
                  <w:lang w:val="fr-FR"/>
                </w:rPr>
                <w:t>lem.vesely@mpo.cz</w:t>
              </w:r>
            </w:hyperlink>
          </w:p>
          <w:p w:rsidR="00EB0441" w:rsidRPr="003D161E" w:rsidRDefault="00EB0441" w:rsidP="00F03BF4">
            <w:pPr>
              <w:pStyle w:val="Tabletext"/>
              <w:tabs>
                <w:tab w:val="left" w:pos="147"/>
                <w:tab w:val="left" w:pos="1191"/>
                <w:tab w:val="left" w:pos="1588"/>
                <w:tab w:val="left" w:pos="1985"/>
              </w:tabs>
              <w:spacing w:before="780"/>
              <w:rPr>
                <w:rFonts w:asciiTheme="minorHAnsi" w:hAnsiTheme="minorHAnsi"/>
                <w:sz w:val="20"/>
                <w:lang w:val="fr-FR"/>
              </w:rPr>
            </w:pPr>
            <w:proofErr w:type="spellStart"/>
            <w:r w:rsidRPr="003D161E">
              <w:rPr>
                <w:rStyle w:val="Hyperlink"/>
                <w:rFonts w:asciiTheme="minorHAnsi" w:hAnsiTheme="minorHAnsi"/>
                <w:sz w:val="20"/>
                <w:lang w:val="fr-FR"/>
              </w:rPr>
              <w:t>paul.blaker@culture.gov.uk</w:t>
            </w:r>
            <w:proofErr w:type="spellEnd"/>
          </w:p>
          <w:p w:rsidR="00EB0441" w:rsidRPr="00831079" w:rsidRDefault="00EB0441" w:rsidP="00F03BF4">
            <w:pPr>
              <w:pStyle w:val="Tabletext"/>
              <w:tabs>
                <w:tab w:val="left" w:pos="794"/>
                <w:tab w:val="left" w:pos="1191"/>
                <w:tab w:val="left" w:pos="1588"/>
                <w:tab w:val="left" w:pos="1985"/>
              </w:tabs>
              <w:spacing w:before="500" w:after="40"/>
              <w:rPr>
                <w:rFonts w:asciiTheme="minorHAnsi" w:hAnsiTheme="minorHAnsi"/>
                <w:sz w:val="20"/>
                <w:lang w:eastAsia="sv-SE"/>
              </w:rPr>
            </w:pPr>
            <w:r w:rsidRPr="00831079">
              <w:rPr>
                <w:rStyle w:val="Hyperlink"/>
                <w:rFonts w:asciiTheme="minorHAnsi" w:hAnsiTheme="minorHAnsi"/>
                <w:sz w:val="20"/>
              </w:rPr>
              <w:t>d</w:t>
            </w:r>
            <w:bookmarkStart w:id="7" w:name="_GoBack"/>
            <w:bookmarkEnd w:id="7"/>
            <w:r w:rsidRPr="00831079">
              <w:rPr>
                <w:rStyle w:val="Hyperlink"/>
                <w:rFonts w:asciiTheme="minorHAnsi" w:hAnsiTheme="minorHAnsi"/>
                <w:sz w:val="20"/>
              </w:rPr>
              <w:t>irk-olivier.vonderemden@bakom.admin.ch</w:t>
            </w:r>
          </w:p>
        </w:tc>
      </w:tr>
      <w:tr w:rsidR="00EB0441" w:rsidRPr="00831079" w:rsidTr="003D161E">
        <w:tc>
          <w:tcPr>
            <w:tcW w:w="953" w:type="dxa"/>
          </w:tcPr>
          <w:p w:rsidR="00EB0441" w:rsidRPr="00831079" w:rsidRDefault="00EB0441" w:rsidP="00C30DF0">
            <w:pPr>
              <w:spacing w:before="40" w:after="40"/>
              <w:rPr>
                <w:rFonts w:asciiTheme="minorHAnsi" w:hAnsiTheme="minorHAnsi"/>
                <w:sz w:val="20"/>
                <w:lang w:eastAsia="sv-SE"/>
              </w:rPr>
            </w:pPr>
            <w:r w:rsidRPr="00831079">
              <w:rPr>
                <w:rFonts w:asciiTheme="minorHAnsi" w:hAnsiTheme="minorHAnsi"/>
                <w:sz w:val="20"/>
                <w:lang w:eastAsia="sv-SE"/>
              </w:rPr>
              <w:t>PCE 1</w:t>
            </w:r>
          </w:p>
        </w:tc>
        <w:tc>
          <w:tcPr>
            <w:tcW w:w="3388" w:type="dxa"/>
          </w:tcPr>
          <w:p w:rsidR="00EB0441" w:rsidRPr="00831079" w:rsidRDefault="00EB0441" w:rsidP="004719F1">
            <w:pPr>
              <w:spacing w:before="40" w:after="40"/>
              <w:ind w:right="662"/>
              <w:rPr>
                <w:rFonts w:asciiTheme="minorHAnsi" w:hAnsiTheme="minorHAnsi"/>
                <w:sz w:val="20"/>
              </w:rPr>
            </w:pPr>
            <w:r w:rsidRPr="00831079">
              <w:rPr>
                <w:rFonts w:asciiTheme="minorHAnsi" w:hAnsiTheme="minorHAnsi"/>
                <w:sz w:val="20"/>
              </w:rPr>
              <w:t xml:space="preserve">Revisión de la Resolución 133: Función de las Administraciones de los Estados Miembros en la gestión de los nombres de dominio internacionalizados (plurilingües) </w:t>
            </w:r>
          </w:p>
        </w:tc>
        <w:tc>
          <w:tcPr>
            <w:tcW w:w="2634" w:type="dxa"/>
          </w:tcPr>
          <w:p w:rsidR="00EB0441" w:rsidRPr="00831079" w:rsidRDefault="00EB0441" w:rsidP="00C30DF0">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Matthias</w:t>
            </w:r>
            <w:proofErr w:type="spellEnd"/>
            <w:r w:rsidRPr="00831079">
              <w:rPr>
                <w:rFonts w:asciiTheme="minorHAnsi" w:hAnsiTheme="minorHAnsi"/>
                <w:sz w:val="20"/>
              </w:rPr>
              <w:t xml:space="preserve"> </w:t>
            </w:r>
            <w:proofErr w:type="spellStart"/>
            <w:r w:rsidRPr="00831079">
              <w:rPr>
                <w:rFonts w:asciiTheme="minorHAnsi" w:hAnsiTheme="minorHAnsi"/>
                <w:sz w:val="20"/>
              </w:rPr>
              <w:t>Loehrl</w:t>
            </w:r>
            <w:proofErr w:type="spellEnd"/>
            <w:r w:rsidRPr="00831079">
              <w:rPr>
                <w:rFonts w:asciiTheme="minorHAnsi" w:hAnsiTheme="minorHAnsi"/>
                <w:sz w:val="20"/>
              </w:rPr>
              <w:t xml:space="preserve"> (D)</w:t>
            </w:r>
          </w:p>
        </w:tc>
        <w:tc>
          <w:tcPr>
            <w:tcW w:w="3119" w:type="dxa"/>
          </w:tcPr>
          <w:p w:rsidR="00EB0441" w:rsidRPr="00831079" w:rsidRDefault="00EB0441" w:rsidP="00C30DF0">
            <w:pPr>
              <w:spacing w:before="40" w:after="40"/>
              <w:rPr>
                <w:rStyle w:val="Hyperlink"/>
                <w:rFonts w:asciiTheme="minorHAnsi" w:hAnsiTheme="minorHAnsi"/>
                <w:sz w:val="20"/>
              </w:rPr>
            </w:pPr>
            <w:proofErr w:type="spellStart"/>
            <w:r w:rsidRPr="00831079">
              <w:rPr>
                <w:rFonts w:asciiTheme="minorHAnsi" w:hAnsiTheme="minorHAnsi"/>
                <w:color w:val="0000FF"/>
                <w:sz w:val="20"/>
                <w:u w:val="single"/>
              </w:rPr>
              <w:t>matthias.loehrl@bmwi.bund.de</w:t>
            </w:r>
            <w:proofErr w:type="spellEnd"/>
          </w:p>
        </w:tc>
      </w:tr>
      <w:tr w:rsidR="00EB0441" w:rsidRPr="00831079" w:rsidTr="003D161E">
        <w:tc>
          <w:tcPr>
            <w:tcW w:w="953" w:type="dxa"/>
          </w:tcPr>
          <w:p w:rsidR="00EB0441" w:rsidRPr="00831079" w:rsidRDefault="00EB0441" w:rsidP="00C30DF0">
            <w:pPr>
              <w:spacing w:before="40" w:after="40"/>
              <w:rPr>
                <w:rFonts w:asciiTheme="minorHAnsi" w:hAnsiTheme="minorHAnsi"/>
                <w:sz w:val="20"/>
              </w:rPr>
            </w:pPr>
            <w:r w:rsidRPr="00831079">
              <w:rPr>
                <w:rFonts w:asciiTheme="minorHAnsi" w:hAnsiTheme="minorHAnsi"/>
                <w:sz w:val="20"/>
              </w:rPr>
              <w:t>PCE 2</w:t>
            </w:r>
          </w:p>
        </w:tc>
        <w:tc>
          <w:tcPr>
            <w:tcW w:w="3388" w:type="dxa"/>
          </w:tcPr>
          <w:p w:rsidR="00EB0441" w:rsidRPr="00831079" w:rsidRDefault="00EB0441" w:rsidP="00F370BF">
            <w:pPr>
              <w:spacing w:before="40" w:after="40"/>
              <w:ind w:right="662"/>
              <w:rPr>
                <w:rFonts w:asciiTheme="minorHAnsi" w:hAnsiTheme="minorHAnsi"/>
                <w:sz w:val="20"/>
              </w:rPr>
            </w:pPr>
            <w:r w:rsidRPr="00831079">
              <w:rPr>
                <w:rFonts w:asciiTheme="minorHAnsi" w:hAnsiTheme="minorHAnsi"/>
                <w:sz w:val="20"/>
              </w:rPr>
              <w:t xml:space="preserve">Revisión de la Resolución 130: Fortalecimiento del papel de la </w:t>
            </w:r>
            <w:proofErr w:type="spellStart"/>
            <w:r w:rsidRPr="00831079">
              <w:rPr>
                <w:rFonts w:asciiTheme="minorHAnsi" w:hAnsiTheme="minorHAnsi"/>
                <w:sz w:val="20"/>
              </w:rPr>
              <w:t>UIT</w:t>
            </w:r>
            <w:proofErr w:type="spellEnd"/>
            <w:r w:rsidRPr="00831079">
              <w:rPr>
                <w:rFonts w:asciiTheme="minorHAnsi" w:hAnsiTheme="minorHAnsi"/>
                <w:sz w:val="20"/>
              </w:rPr>
              <w:t xml:space="preserve"> en la creación de confianza y seguridad en la utilización de las tecnologías de la información y la comunicación</w:t>
            </w:r>
          </w:p>
        </w:tc>
        <w:tc>
          <w:tcPr>
            <w:tcW w:w="2634" w:type="dxa"/>
          </w:tcPr>
          <w:p w:rsidR="00EB0441" w:rsidRPr="00831079" w:rsidRDefault="00EB0441" w:rsidP="00C30DF0">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Gavin</w:t>
            </w:r>
            <w:proofErr w:type="spellEnd"/>
            <w:r w:rsidRPr="00831079">
              <w:rPr>
                <w:rFonts w:asciiTheme="minorHAnsi" w:hAnsiTheme="minorHAnsi"/>
                <w:sz w:val="20"/>
              </w:rPr>
              <w:t xml:space="preserve"> Willis (G)</w:t>
            </w:r>
          </w:p>
        </w:tc>
        <w:tc>
          <w:tcPr>
            <w:tcW w:w="3119" w:type="dxa"/>
          </w:tcPr>
          <w:p w:rsidR="00EB0441" w:rsidRPr="00831079" w:rsidRDefault="00EB0441" w:rsidP="00C30DF0">
            <w:pPr>
              <w:spacing w:before="40" w:after="40"/>
              <w:rPr>
                <w:rStyle w:val="Hyperlink"/>
                <w:rFonts w:asciiTheme="minorHAnsi" w:hAnsiTheme="minorHAnsi"/>
                <w:sz w:val="20"/>
              </w:rPr>
            </w:pPr>
            <w:proofErr w:type="spellStart"/>
            <w:r w:rsidRPr="00831079">
              <w:rPr>
                <w:rStyle w:val="Hyperlink"/>
                <w:rFonts w:asciiTheme="minorHAnsi" w:hAnsiTheme="minorHAnsi"/>
                <w:sz w:val="20"/>
              </w:rPr>
              <w:t>gavin.willis@cesg.gsi.gov.uk</w:t>
            </w:r>
            <w:proofErr w:type="spellEnd"/>
          </w:p>
        </w:tc>
      </w:tr>
      <w:tr w:rsidR="00EB0441" w:rsidRPr="00831079" w:rsidTr="003D161E">
        <w:tc>
          <w:tcPr>
            <w:tcW w:w="953" w:type="dxa"/>
          </w:tcPr>
          <w:p w:rsidR="00EB0441" w:rsidRPr="00831079" w:rsidRDefault="00EB0441" w:rsidP="00C30DF0">
            <w:pPr>
              <w:spacing w:before="40" w:after="40"/>
              <w:rPr>
                <w:rFonts w:asciiTheme="minorHAnsi" w:hAnsiTheme="minorHAnsi"/>
                <w:sz w:val="20"/>
              </w:rPr>
            </w:pPr>
            <w:r w:rsidRPr="00831079">
              <w:rPr>
                <w:rFonts w:asciiTheme="minorHAnsi" w:hAnsiTheme="minorHAnsi"/>
                <w:sz w:val="20"/>
              </w:rPr>
              <w:t>PCE 3</w:t>
            </w:r>
          </w:p>
        </w:tc>
        <w:tc>
          <w:tcPr>
            <w:tcW w:w="3388" w:type="dxa"/>
          </w:tcPr>
          <w:p w:rsidR="00EB0441" w:rsidRPr="00831079" w:rsidRDefault="00EB0441" w:rsidP="00C30DF0">
            <w:pPr>
              <w:spacing w:before="40" w:after="40"/>
              <w:ind w:right="662"/>
              <w:rPr>
                <w:rFonts w:asciiTheme="minorHAnsi" w:hAnsiTheme="minorHAnsi"/>
                <w:sz w:val="20"/>
              </w:rPr>
            </w:pPr>
            <w:r w:rsidRPr="00831079">
              <w:rPr>
                <w:sz w:val="20"/>
              </w:rPr>
              <w:t xml:space="preserve">Revisión de la Resolución 180: Facilitar la transición de </w:t>
            </w:r>
            <w:proofErr w:type="spellStart"/>
            <w:r w:rsidRPr="00831079">
              <w:rPr>
                <w:sz w:val="20"/>
              </w:rPr>
              <w:t>IPv4</w:t>
            </w:r>
            <w:proofErr w:type="spellEnd"/>
            <w:r w:rsidRPr="00831079">
              <w:rPr>
                <w:sz w:val="20"/>
              </w:rPr>
              <w:t xml:space="preserve"> a </w:t>
            </w:r>
            <w:proofErr w:type="spellStart"/>
            <w:r w:rsidRPr="00831079">
              <w:rPr>
                <w:sz w:val="20"/>
              </w:rPr>
              <w:t>IPv6</w:t>
            </w:r>
            <w:proofErr w:type="spellEnd"/>
          </w:p>
        </w:tc>
        <w:tc>
          <w:tcPr>
            <w:tcW w:w="2634" w:type="dxa"/>
          </w:tcPr>
          <w:p w:rsidR="00EB0441" w:rsidRPr="00831079" w:rsidRDefault="00EB0441" w:rsidP="00C30DF0">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Paul </w:t>
            </w:r>
            <w:proofErr w:type="spellStart"/>
            <w:r w:rsidRPr="00831079">
              <w:rPr>
                <w:rFonts w:asciiTheme="minorHAnsi" w:hAnsiTheme="minorHAnsi"/>
                <w:sz w:val="20"/>
              </w:rPr>
              <w:t>Blaker</w:t>
            </w:r>
            <w:proofErr w:type="spellEnd"/>
            <w:r w:rsidRPr="00831079">
              <w:rPr>
                <w:rFonts w:asciiTheme="minorHAnsi" w:hAnsiTheme="minorHAnsi"/>
                <w:sz w:val="20"/>
              </w:rPr>
              <w:t xml:space="preserve"> (G)</w:t>
            </w:r>
          </w:p>
        </w:tc>
        <w:tc>
          <w:tcPr>
            <w:tcW w:w="3119" w:type="dxa"/>
          </w:tcPr>
          <w:p w:rsidR="00EB0441" w:rsidRPr="00831079" w:rsidRDefault="00EB0441" w:rsidP="00C30DF0">
            <w:pPr>
              <w:spacing w:before="40" w:after="40"/>
              <w:rPr>
                <w:rStyle w:val="Hyperlink"/>
                <w:rFonts w:asciiTheme="minorHAnsi" w:hAnsiTheme="minorHAnsi"/>
                <w:sz w:val="20"/>
              </w:rPr>
            </w:pPr>
            <w:proofErr w:type="spellStart"/>
            <w:r w:rsidRPr="00831079">
              <w:rPr>
                <w:rStyle w:val="Hyperlink"/>
                <w:rFonts w:asciiTheme="minorHAnsi" w:hAnsiTheme="minorHAnsi"/>
                <w:sz w:val="20"/>
              </w:rPr>
              <w:t>paul.blaker@culture.gov.uk</w:t>
            </w:r>
            <w:proofErr w:type="spellEnd"/>
          </w:p>
        </w:tc>
      </w:tr>
      <w:tr w:rsidR="00EB0441" w:rsidRPr="00831079" w:rsidTr="003D161E">
        <w:tc>
          <w:tcPr>
            <w:tcW w:w="953" w:type="dxa"/>
          </w:tcPr>
          <w:p w:rsidR="00EB0441" w:rsidRPr="00831079" w:rsidRDefault="00EB0441" w:rsidP="00D20A51">
            <w:pPr>
              <w:spacing w:before="40" w:after="40"/>
              <w:rPr>
                <w:rFonts w:asciiTheme="minorHAnsi" w:hAnsiTheme="minorHAnsi"/>
                <w:sz w:val="20"/>
              </w:rPr>
            </w:pPr>
            <w:r w:rsidRPr="00831079">
              <w:rPr>
                <w:rFonts w:asciiTheme="minorHAnsi" w:hAnsiTheme="minorHAnsi"/>
                <w:sz w:val="20"/>
              </w:rPr>
              <w:t>PCE 4</w:t>
            </w:r>
          </w:p>
        </w:tc>
        <w:tc>
          <w:tcPr>
            <w:tcW w:w="3388" w:type="dxa"/>
          </w:tcPr>
          <w:p w:rsidR="00EB0441" w:rsidRPr="00831079" w:rsidRDefault="00EB0441" w:rsidP="00D20A51">
            <w:pPr>
              <w:spacing w:before="40" w:after="40"/>
              <w:rPr>
                <w:rFonts w:asciiTheme="minorHAnsi" w:hAnsiTheme="minorHAnsi"/>
                <w:sz w:val="20"/>
              </w:rPr>
            </w:pPr>
            <w:r w:rsidRPr="00831079">
              <w:rPr>
                <w:sz w:val="20"/>
              </w:rPr>
              <w:t>Revisión de la Resolución 188: Lucha contra la falsificación de dispositivos de telecomunicaciones/tecnologías de la información y la comunicación</w:t>
            </w:r>
          </w:p>
        </w:tc>
        <w:tc>
          <w:tcPr>
            <w:tcW w:w="2634" w:type="dxa"/>
          </w:tcPr>
          <w:p w:rsidR="00EB0441" w:rsidRPr="00831079" w:rsidRDefault="00EB0441" w:rsidP="00D20A51">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Gavin</w:t>
            </w:r>
            <w:proofErr w:type="spellEnd"/>
            <w:r w:rsidRPr="00831079">
              <w:rPr>
                <w:rFonts w:asciiTheme="minorHAnsi" w:hAnsiTheme="minorHAnsi"/>
                <w:sz w:val="20"/>
              </w:rPr>
              <w:t xml:space="preserve"> Willis (G)</w:t>
            </w:r>
          </w:p>
        </w:tc>
        <w:tc>
          <w:tcPr>
            <w:tcW w:w="3119" w:type="dxa"/>
          </w:tcPr>
          <w:p w:rsidR="00EB0441" w:rsidRPr="00831079" w:rsidRDefault="00EB0441" w:rsidP="00D20A51">
            <w:pPr>
              <w:rPr>
                <w:rStyle w:val="Hyperlink"/>
                <w:rFonts w:asciiTheme="minorHAnsi" w:hAnsiTheme="minorHAnsi"/>
                <w:sz w:val="20"/>
              </w:rPr>
            </w:pPr>
            <w:proofErr w:type="spellStart"/>
            <w:r w:rsidRPr="00831079">
              <w:rPr>
                <w:rStyle w:val="Hyperlink"/>
                <w:rFonts w:asciiTheme="minorHAnsi" w:hAnsiTheme="minorHAnsi"/>
                <w:sz w:val="20"/>
              </w:rPr>
              <w:t>gavin.willis@cesg.gsi.gov.uk</w:t>
            </w:r>
            <w:proofErr w:type="spellEnd"/>
          </w:p>
        </w:tc>
      </w:tr>
      <w:tr w:rsidR="00EB0441" w:rsidRPr="00831079" w:rsidTr="003D161E">
        <w:tc>
          <w:tcPr>
            <w:tcW w:w="953" w:type="dxa"/>
          </w:tcPr>
          <w:p w:rsidR="00EB0441" w:rsidRPr="00831079" w:rsidRDefault="00EB0441" w:rsidP="00D20A51">
            <w:pPr>
              <w:spacing w:before="40" w:after="40"/>
              <w:rPr>
                <w:rFonts w:asciiTheme="minorHAnsi" w:hAnsiTheme="minorHAnsi"/>
                <w:sz w:val="20"/>
              </w:rPr>
            </w:pPr>
            <w:r w:rsidRPr="00831079">
              <w:rPr>
                <w:rFonts w:asciiTheme="minorHAnsi" w:hAnsiTheme="minorHAnsi"/>
                <w:sz w:val="20"/>
              </w:rPr>
              <w:t>PCE 5</w:t>
            </w:r>
          </w:p>
        </w:tc>
        <w:tc>
          <w:tcPr>
            <w:tcW w:w="3388" w:type="dxa"/>
          </w:tcPr>
          <w:p w:rsidR="00EB0441" w:rsidRPr="00831079" w:rsidRDefault="00EB0441" w:rsidP="00D20A51">
            <w:pPr>
              <w:spacing w:before="40" w:after="40"/>
              <w:rPr>
                <w:rFonts w:asciiTheme="minorHAnsi" w:hAnsiTheme="minorHAnsi"/>
                <w:sz w:val="20"/>
              </w:rPr>
            </w:pPr>
            <w:r w:rsidRPr="00831079">
              <w:rPr>
                <w:sz w:val="20"/>
              </w:rPr>
              <w:t>Revisión de la Resolución 197: Facilitación de la Internet de las cosas como preparación para un mundo globalmente conectado</w:t>
            </w:r>
          </w:p>
        </w:tc>
        <w:tc>
          <w:tcPr>
            <w:tcW w:w="2634" w:type="dxa"/>
          </w:tcPr>
          <w:p w:rsidR="00EB0441" w:rsidRPr="00831079" w:rsidRDefault="00EB0441" w:rsidP="00D20A51">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Paul </w:t>
            </w:r>
            <w:proofErr w:type="spellStart"/>
            <w:r w:rsidRPr="00831079">
              <w:rPr>
                <w:rFonts w:asciiTheme="minorHAnsi" w:hAnsiTheme="minorHAnsi"/>
                <w:sz w:val="20"/>
              </w:rPr>
              <w:t>Blaker</w:t>
            </w:r>
            <w:proofErr w:type="spellEnd"/>
            <w:r w:rsidRPr="00831079">
              <w:rPr>
                <w:rFonts w:asciiTheme="minorHAnsi" w:hAnsiTheme="minorHAnsi"/>
                <w:sz w:val="20"/>
              </w:rPr>
              <w:t xml:space="preserve"> (G)</w:t>
            </w:r>
          </w:p>
        </w:tc>
        <w:tc>
          <w:tcPr>
            <w:tcW w:w="3119" w:type="dxa"/>
          </w:tcPr>
          <w:p w:rsidR="00EB0441" w:rsidRPr="00831079" w:rsidRDefault="00EB0441" w:rsidP="00D20A51">
            <w:pPr>
              <w:spacing w:before="40" w:after="40"/>
              <w:rPr>
                <w:rFonts w:asciiTheme="minorHAnsi" w:hAnsiTheme="minorHAnsi"/>
                <w:sz w:val="20"/>
              </w:rPr>
            </w:pPr>
            <w:proofErr w:type="spellStart"/>
            <w:r w:rsidRPr="00831079">
              <w:rPr>
                <w:rStyle w:val="Hyperlink"/>
                <w:rFonts w:asciiTheme="minorHAnsi" w:hAnsiTheme="minorHAnsi"/>
                <w:sz w:val="20"/>
              </w:rPr>
              <w:t>paul.blaker@culture.gov.uk</w:t>
            </w:r>
            <w:proofErr w:type="spellEnd"/>
          </w:p>
        </w:tc>
      </w:tr>
      <w:tr w:rsidR="00EB0441" w:rsidRPr="00831079" w:rsidTr="003D161E">
        <w:tc>
          <w:tcPr>
            <w:tcW w:w="953" w:type="dxa"/>
          </w:tcPr>
          <w:p w:rsidR="00EB0441" w:rsidRPr="00831079" w:rsidRDefault="00EB0441" w:rsidP="00D20A51">
            <w:pPr>
              <w:spacing w:before="40" w:after="40"/>
              <w:rPr>
                <w:rFonts w:asciiTheme="minorHAnsi" w:hAnsiTheme="minorHAnsi"/>
                <w:sz w:val="20"/>
              </w:rPr>
            </w:pPr>
            <w:r w:rsidRPr="00831079">
              <w:rPr>
                <w:rFonts w:asciiTheme="minorHAnsi" w:hAnsiTheme="minorHAnsi"/>
                <w:sz w:val="20"/>
              </w:rPr>
              <w:t>PCE 6</w:t>
            </w:r>
          </w:p>
        </w:tc>
        <w:tc>
          <w:tcPr>
            <w:tcW w:w="3388" w:type="dxa"/>
          </w:tcPr>
          <w:p w:rsidR="00EB0441" w:rsidRPr="00831079" w:rsidRDefault="00EB0441" w:rsidP="00D20A51">
            <w:pPr>
              <w:spacing w:before="40" w:after="40"/>
              <w:rPr>
                <w:rFonts w:asciiTheme="minorHAnsi" w:hAnsiTheme="minorHAnsi"/>
                <w:sz w:val="20"/>
              </w:rPr>
            </w:pPr>
            <w:r w:rsidRPr="00831079">
              <w:rPr>
                <w:sz w:val="20"/>
              </w:rPr>
              <w:t>Supresión de la Resolución 185: Seguimiento mundial de vuelos de la aviación civil</w:t>
            </w:r>
          </w:p>
        </w:tc>
        <w:tc>
          <w:tcPr>
            <w:tcW w:w="2634" w:type="dxa"/>
          </w:tcPr>
          <w:p w:rsidR="00EB0441" w:rsidRPr="00831079" w:rsidRDefault="00EB0441" w:rsidP="00D20A51">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Andrei</w:t>
            </w:r>
            <w:proofErr w:type="spellEnd"/>
            <w:r w:rsidRPr="00831079">
              <w:rPr>
                <w:rFonts w:asciiTheme="minorHAnsi" w:hAnsiTheme="minorHAnsi"/>
                <w:sz w:val="20"/>
              </w:rPr>
              <w:t xml:space="preserve"> </w:t>
            </w:r>
            <w:proofErr w:type="spellStart"/>
            <w:r w:rsidRPr="00831079">
              <w:rPr>
                <w:rFonts w:asciiTheme="minorHAnsi" w:hAnsiTheme="minorHAnsi"/>
                <w:sz w:val="20"/>
              </w:rPr>
              <w:t>Zhivov</w:t>
            </w:r>
            <w:proofErr w:type="spellEnd"/>
            <w:r w:rsidRPr="00831079">
              <w:rPr>
                <w:rFonts w:asciiTheme="minorHAnsi" w:hAnsiTheme="minorHAnsi"/>
                <w:sz w:val="20"/>
              </w:rPr>
              <w:t xml:space="preserve"> (RUS)</w:t>
            </w:r>
          </w:p>
        </w:tc>
        <w:tc>
          <w:tcPr>
            <w:tcW w:w="3119" w:type="dxa"/>
          </w:tcPr>
          <w:p w:rsidR="00EB0441" w:rsidRPr="00831079" w:rsidRDefault="00F03BF4" w:rsidP="00D20A51">
            <w:pPr>
              <w:spacing w:before="40" w:after="40"/>
              <w:rPr>
                <w:rFonts w:asciiTheme="minorHAnsi" w:hAnsiTheme="minorHAnsi"/>
                <w:sz w:val="20"/>
              </w:rPr>
            </w:pPr>
            <w:hyperlink r:id="rId10" w:history="1">
              <w:proofErr w:type="spellStart"/>
              <w:r w:rsidR="00EB0441" w:rsidRPr="00831079">
                <w:rPr>
                  <w:rStyle w:val="Hyperlink"/>
                  <w:rFonts w:asciiTheme="minorHAnsi" w:hAnsiTheme="minorHAnsi"/>
                  <w:sz w:val="20"/>
                </w:rPr>
                <w:t>a.zhivov@minsvyaz.ru</w:t>
              </w:r>
              <w:proofErr w:type="spellEnd"/>
            </w:hyperlink>
          </w:p>
        </w:tc>
      </w:tr>
      <w:tr w:rsidR="00EB0441" w:rsidRPr="00831079" w:rsidTr="003D161E">
        <w:tc>
          <w:tcPr>
            <w:tcW w:w="953" w:type="dxa"/>
          </w:tcPr>
          <w:p w:rsidR="00EB0441" w:rsidRPr="00831079" w:rsidRDefault="00EB0441" w:rsidP="00D20A51">
            <w:pPr>
              <w:spacing w:before="40" w:after="40"/>
              <w:rPr>
                <w:rFonts w:asciiTheme="minorHAnsi" w:hAnsiTheme="minorHAnsi"/>
                <w:sz w:val="20"/>
              </w:rPr>
            </w:pPr>
            <w:r w:rsidRPr="00831079">
              <w:rPr>
                <w:rFonts w:asciiTheme="minorHAnsi" w:hAnsiTheme="minorHAnsi"/>
                <w:sz w:val="20"/>
              </w:rPr>
              <w:t>PCE 7</w:t>
            </w:r>
          </w:p>
        </w:tc>
        <w:tc>
          <w:tcPr>
            <w:tcW w:w="3388" w:type="dxa"/>
          </w:tcPr>
          <w:p w:rsidR="00EB0441" w:rsidRPr="00831079" w:rsidRDefault="00EB0441" w:rsidP="00D20A51">
            <w:pPr>
              <w:spacing w:before="40" w:after="40"/>
              <w:rPr>
                <w:rFonts w:asciiTheme="minorHAnsi" w:hAnsiTheme="minorHAnsi"/>
                <w:sz w:val="20"/>
              </w:rPr>
            </w:pPr>
            <w:r w:rsidRPr="00831079">
              <w:rPr>
                <w:sz w:val="20"/>
              </w:rPr>
              <w:t>Revisión de la Resolución 101: Redes basadas en el protocolo Internet</w:t>
            </w:r>
          </w:p>
        </w:tc>
        <w:tc>
          <w:tcPr>
            <w:tcW w:w="2634" w:type="dxa"/>
          </w:tcPr>
          <w:p w:rsidR="00EB0441" w:rsidRPr="00831079" w:rsidRDefault="00EB0441" w:rsidP="00D20A51">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Paul </w:t>
            </w:r>
            <w:proofErr w:type="spellStart"/>
            <w:r w:rsidRPr="00831079">
              <w:rPr>
                <w:rFonts w:asciiTheme="minorHAnsi" w:hAnsiTheme="minorHAnsi"/>
                <w:sz w:val="20"/>
              </w:rPr>
              <w:t>Blaker</w:t>
            </w:r>
            <w:proofErr w:type="spellEnd"/>
            <w:r w:rsidRPr="00831079">
              <w:rPr>
                <w:rFonts w:asciiTheme="minorHAnsi" w:hAnsiTheme="minorHAnsi"/>
                <w:sz w:val="20"/>
              </w:rPr>
              <w:t xml:space="preserve"> (G)</w:t>
            </w:r>
          </w:p>
        </w:tc>
        <w:tc>
          <w:tcPr>
            <w:tcW w:w="3119" w:type="dxa"/>
          </w:tcPr>
          <w:p w:rsidR="00EB0441" w:rsidRPr="00831079" w:rsidRDefault="00EB0441" w:rsidP="00D20A51">
            <w:pPr>
              <w:spacing w:before="40" w:after="40"/>
              <w:rPr>
                <w:rFonts w:asciiTheme="minorHAnsi" w:hAnsiTheme="minorHAnsi"/>
                <w:sz w:val="20"/>
              </w:rPr>
            </w:pPr>
            <w:proofErr w:type="spellStart"/>
            <w:r w:rsidRPr="00831079">
              <w:rPr>
                <w:rStyle w:val="Hyperlink"/>
                <w:rFonts w:asciiTheme="minorHAnsi" w:hAnsiTheme="minorHAnsi"/>
                <w:sz w:val="20"/>
              </w:rPr>
              <w:t>paul.blaker@culture.gov.uk</w:t>
            </w:r>
            <w:proofErr w:type="spellEnd"/>
          </w:p>
        </w:tc>
      </w:tr>
      <w:tr w:rsidR="00EB0441" w:rsidRPr="00831079" w:rsidTr="003D161E">
        <w:tc>
          <w:tcPr>
            <w:tcW w:w="953" w:type="dxa"/>
          </w:tcPr>
          <w:p w:rsidR="00EB0441" w:rsidRPr="00831079" w:rsidRDefault="00EB0441" w:rsidP="00D20A51">
            <w:pPr>
              <w:spacing w:before="40" w:after="40"/>
              <w:rPr>
                <w:rFonts w:asciiTheme="minorHAnsi" w:hAnsiTheme="minorHAnsi"/>
                <w:sz w:val="20"/>
              </w:rPr>
            </w:pPr>
            <w:r w:rsidRPr="00831079">
              <w:rPr>
                <w:rFonts w:asciiTheme="minorHAnsi" w:hAnsiTheme="minorHAnsi"/>
                <w:sz w:val="20"/>
              </w:rPr>
              <w:lastRenderedPageBreak/>
              <w:t>PCE 8</w:t>
            </w:r>
          </w:p>
        </w:tc>
        <w:tc>
          <w:tcPr>
            <w:tcW w:w="3388" w:type="dxa"/>
          </w:tcPr>
          <w:p w:rsidR="00EB0441" w:rsidRPr="00831079" w:rsidRDefault="00EB0441" w:rsidP="003D161E">
            <w:pPr>
              <w:keepLines/>
              <w:spacing w:before="40" w:after="40"/>
              <w:rPr>
                <w:rFonts w:asciiTheme="minorHAnsi" w:hAnsiTheme="minorHAnsi"/>
                <w:sz w:val="20"/>
              </w:rPr>
            </w:pPr>
            <w:r w:rsidRPr="00831079">
              <w:rPr>
                <w:sz w:val="20"/>
              </w:rPr>
              <w:t xml:space="preserve">Revisión de la Resolución 102: Función de la </w:t>
            </w:r>
            <w:proofErr w:type="spellStart"/>
            <w:r w:rsidRPr="00831079">
              <w:rPr>
                <w:sz w:val="20"/>
              </w:rPr>
              <w:t>UIT</w:t>
            </w:r>
            <w:proofErr w:type="spellEnd"/>
            <w:r w:rsidRPr="00831079">
              <w:rPr>
                <w:sz w:val="20"/>
              </w:rPr>
              <w:t xml:space="preserve"> con respecto a las cuestiones de política pública internacional relacionadas con Internet y la gestión de los recursos de Internet, incluidos los nombres de dominio y las direcciones</w:t>
            </w:r>
          </w:p>
        </w:tc>
        <w:tc>
          <w:tcPr>
            <w:tcW w:w="2634" w:type="dxa"/>
          </w:tcPr>
          <w:p w:rsidR="00EB0441" w:rsidRPr="00831079" w:rsidRDefault="00EB0441" w:rsidP="00D20A51">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Paul </w:t>
            </w:r>
            <w:proofErr w:type="spellStart"/>
            <w:r w:rsidRPr="00831079">
              <w:rPr>
                <w:rFonts w:asciiTheme="minorHAnsi" w:hAnsiTheme="minorHAnsi"/>
                <w:sz w:val="20"/>
              </w:rPr>
              <w:t>Blaker</w:t>
            </w:r>
            <w:proofErr w:type="spellEnd"/>
            <w:r w:rsidRPr="00831079">
              <w:rPr>
                <w:rFonts w:asciiTheme="minorHAnsi" w:hAnsiTheme="minorHAnsi"/>
                <w:sz w:val="20"/>
              </w:rPr>
              <w:t xml:space="preserve"> (G)</w:t>
            </w:r>
          </w:p>
        </w:tc>
        <w:tc>
          <w:tcPr>
            <w:tcW w:w="3119" w:type="dxa"/>
          </w:tcPr>
          <w:p w:rsidR="00EB0441" w:rsidRPr="00831079" w:rsidRDefault="00F03BF4" w:rsidP="00D20A51">
            <w:pPr>
              <w:spacing w:before="40" w:after="40"/>
              <w:rPr>
                <w:rFonts w:asciiTheme="minorHAnsi" w:hAnsiTheme="minorHAnsi"/>
                <w:b/>
                <w:bCs/>
                <w:sz w:val="20"/>
              </w:rPr>
            </w:pPr>
            <w:hyperlink r:id="rId11" w:history="1">
              <w:proofErr w:type="spellStart"/>
              <w:r w:rsidR="00EB0441" w:rsidRPr="00831079">
                <w:rPr>
                  <w:rStyle w:val="Hyperlink"/>
                  <w:rFonts w:asciiTheme="minorHAnsi" w:hAnsiTheme="minorHAnsi"/>
                  <w:sz w:val="20"/>
                </w:rPr>
                <w:t>paul.blaker@culture.gov.uk</w:t>
              </w:r>
              <w:proofErr w:type="spellEnd"/>
            </w:hyperlink>
          </w:p>
        </w:tc>
      </w:tr>
      <w:tr w:rsidR="00EB0441" w:rsidRPr="00831079" w:rsidTr="003D161E">
        <w:trPr>
          <w:cantSplit/>
        </w:trPr>
        <w:tc>
          <w:tcPr>
            <w:tcW w:w="953" w:type="dxa"/>
          </w:tcPr>
          <w:p w:rsidR="00EB0441" w:rsidRPr="00831079" w:rsidRDefault="00EB0441" w:rsidP="00D20A51">
            <w:pPr>
              <w:spacing w:before="40" w:after="40"/>
              <w:rPr>
                <w:rFonts w:asciiTheme="minorHAnsi" w:hAnsiTheme="minorHAnsi"/>
                <w:sz w:val="20"/>
              </w:rPr>
            </w:pPr>
            <w:r w:rsidRPr="00831079">
              <w:rPr>
                <w:rFonts w:asciiTheme="minorHAnsi" w:hAnsiTheme="minorHAnsi"/>
                <w:sz w:val="20"/>
              </w:rPr>
              <w:t>PCE 9</w:t>
            </w:r>
          </w:p>
        </w:tc>
        <w:tc>
          <w:tcPr>
            <w:tcW w:w="3388" w:type="dxa"/>
          </w:tcPr>
          <w:p w:rsidR="00EB0441" w:rsidRPr="00831079" w:rsidRDefault="00EB0441" w:rsidP="00D20A51">
            <w:pPr>
              <w:spacing w:before="40" w:after="40"/>
              <w:rPr>
                <w:rFonts w:asciiTheme="minorHAnsi" w:hAnsiTheme="minorHAnsi"/>
                <w:sz w:val="20"/>
              </w:rPr>
            </w:pPr>
            <w:r w:rsidRPr="00831079">
              <w:rPr>
                <w:sz w:val="20"/>
              </w:rPr>
              <w:t xml:space="preserve">Revisión de la Resolución 140: Función de la </w:t>
            </w:r>
            <w:proofErr w:type="spellStart"/>
            <w:r w:rsidRPr="00831079">
              <w:rPr>
                <w:sz w:val="20"/>
              </w:rPr>
              <w:t>UIT</w:t>
            </w:r>
            <w:proofErr w:type="spellEnd"/>
            <w:r w:rsidRPr="00831079">
              <w:rPr>
                <w:sz w:val="20"/>
              </w:rPr>
              <w:t xml:space="preserve"> en la puesta en práctica de los resultados de la Cumbre Mundial sobre la Sociedad de la Información</w:t>
            </w:r>
          </w:p>
        </w:tc>
        <w:tc>
          <w:tcPr>
            <w:tcW w:w="2634" w:type="dxa"/>
          </w:tcPr>
          <w:p w:rsidR="00EB0441" w:rsidRPr="00831079" w:rsidRDefault="00EB0441" w:rsidP="00D20A51">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Ghislain</w:t>
            </w:r>
            <w:proofErr w:type="spellEnd"/>
            <w:r w:rsidRPr="00831079">
              <w:rPr>
                <w:rFonts w:asciiTheme="minorHAnsi" w:hAnsiTheme="minorHAnsi"/>
                <w:sz w:val="20"/>
              </w:rPr>
              <w:t xml:space="preserve"> de </w:t>
            </w:r>
            <w:proofErr w:type="spellStart"/>
            <w:r w:rsidRPr="00831079">
              <w:rPr>
                <w:rFonts w:asciiTheme="minorHAnsi" w:hAnsiTheme="minorHAnsi"/>
                <w:sz w:val="20"/>
              </w:rPr>
              <w:t>Salins</w:t>
            </w:r>
            <w:proofErr w:type="spellEnd"/>
            <w:r w:rsidRPr="00831079">
              <w:rPr>
                <w:rFonts w:asciiTheme="minorHAnsi" w:hAnsiTheme="minorHAnsi"/>
                <w:sz w:val="20"/>
              </w:rPr>
              <w:t xml:space="preserve"> (F)</w:t>
            </w:r>
          </w:p>
        </w:tc>
        <w:tc>
          <w:tcPr>
            <w:tcW w:w="3119" w:type="dxa"/>
          </w:tcPr>
          <w:p w:rsidR="00EB0441" w:rsidRPr="00831079" w:rsidRDefault="00EB0441" w:rsidP="00D20A51">
            <w:pPr>
              <w:spacing w:before="40" w:after="40"/>
              <w:rPr>
                <w:rFonts w:asciiTheme="minorHAnsi" w:hAnsiTheme="minorHAnsi"/>
                <w:sz w:val="20"/>
              </w:rPr>
            </w:pPr>
            <w:proofErr w:type="spellStart"/>
            <w:r w:rsidRPr="00831079">
              <w:rPr>
                <w:rStyle w:val="Hyperlink"/>
                <w:rFonts w:asciiTheme="minorHAnsi" w:hAnsiTheme="minorHAnsi"/>
                <w:sz w:val="20"/>
              </w:rPr>
              <w:t>ghislain.de-salins@finances.gouv.fr</w:t>
            </w:r>
            <w:proofErr w:type="spellEnd"/>
          </w:p>
        </w:tc>
      </w:tr>
      <w:tr w:rsidR="00EB0441" w:rsidRPr="00831079" w:rsidTr="003D161E">
        <w:tc>
          <w:tcPr>
            <w:tcW w:w="953" w:type="dxa"/>
          </w:tcPr>
          <w:p w:rsidR="00EB0441" w:rsidRPr="00831079" w:rsidRDefault="00EB0441" w:rsidP="00D20A51">
            <w:pPr>
              <w:spacing w:before="40" w:after="40"/>
              <w:rPr>
                <w:rFonts w:asciiTheme="minorHAnsi" w:hAnsiTheme="minorHAnsi"/>
                <w:sz w:val="20"/>
              </w:rPr>
            </w:pPr>
            <w:r w:rsidRPr="00831079">
              <w:rPr>
                <w:rFonts w:asciiTheme="minorHAnsi" w:hAnsiTheme="minorHAnsi"/>
                <w:sz w:val="20"/>
              </w:rPr>
              <w:t>PCE 10</w:t>
            </w:r>
          </w:p>
        </w:tc>
        <w:tc>
          <w:tcPr>
            <w:tcW w:w="3388" w:type="dxa"/>
          </w:tcPr>
          <w:p w:rsidR="00EB0441" w:rsidRPr="00831079" w:rsidRDefault="00EB0441" w:rsidP="00D20A51">
            <w:pPr>
              <w:spacing w:before="40" w:after="40"/>
              <w:rPr>
                <w:rFonts w:asciiTheme="minorHAnsi" w:hAnsiTheme="minorHAnsi"/>
                <w:sz w:val="20"/>
              </w:rPr>
            </w:pPr>
            <w:r w:rsidRPr="00831079">
              <w:rPr>
                <w:sz w:val="20"/>
              </w:rPr>
              <w:t xml:space="preserve">Revisión de la Resolución 70: Incorporación de una perspectiva de género en la </w:t>
            </w:r>
            <w:proofErr w:type="spellStart"/>
            <w:r w:rsidRPr="00831079">
              <w:rPr>
                <w:sz w:val="20"/>
              </w:rPr>
              <w:t>UIT</w:t>
            </w:r>
            <w:proofErr w:type="spellEnd"/>
            <w:r w:rsidRPr="00831079">
              <w:rPr>
                <w:sz w:val="20"/>
              </w:rPr>
              <w:t xml:space="preserve"> y promoción de la igualdad de género y el empoderamiento de la mujer por medio de las tecnologías de la información y la comunicación</w:t>
            </w:r>
          </w:p>
        </w:tc>
        <w:tc>
          <w:tcPr>
            <w:tcW w:w="2634" w:type="dxa"/>
          </w:tcPr>
          <w:p w:rsidR="00EB0441" w:rsidRPr="00831079" w:rsidRDefault="00EB0441" w:rsidP="00D20A51">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Cristiana </w:t>
            </w:r>
            <w:proofErr w:type="spellStart"/>
            <w:r w:rsidRPr="00831079">
              <w:rPr>
                <w:rFonts w:asciiTheme="minorHAnsi" w:hAnsiTheme="minorHAnsi"/>
                <w:sz w:val="20"/>
              </w:rPr>
              <w:t>Flutur</w:t>
            </w:r>
            <w:proofErr w:type="spellEnd"/>
            <w:r w:rsidRPr="00831079">
              <w:rPr>
                <w:rFonts w:asciiTheme="minorHAnsi" w:hAnsiTheme="minorHAnsi"/>
                <w:sz w:val="20"/>
              </w:rPr>
              <w:t xml:space="preserve"> (</w:t>
            </w:r>
            <w:proofErr w:type="spellStart"/>
            <w:r w:rsidRPr="00831079">
              <w:rPr>
                <w:rFonts w:asciiTheme="minorHAnsi" w:hAnsiTheme="minorHAnsi"/>
                <w:sz w:val="20"/>
              </w:rPr>
              <w:t>ROU</w:t>
            </w:r>
            <w:proofErr w:type="spellEnd"/>
            <w:r w:rsidRPr="00831079">
              <w:rPr>
                <w:rFonts w:asciiTheme="minorHAnsi" w:hAnsiTheme="minorHAnsi"/>
                <w:sz w:val="20"/>
              </w:rPr>
              <w:t>)</w:t>
            </w:r>
          </w:p>
        </w:tc>
        <w:tc>
          <w:tcPr>
            <w:tcW w:w="3119" w:type="dxa"/>
          </w:tcPr>
          <w:p w:rsidR="00EB0441" w:rsidRPr="00831079" w:rsidRDefault="00F03BF4" w:rsidP="00D20A51">
            <w:pPr>
              <w:spacing w:before="40" w:after="40"/>
              <w:rPr>
                <w:rFonts w:asciiTheme="minorHAnsi" w:hAnsiTheme="minorHAnsi"/>
                <w:sz w:val="20"/>
              </w:rPr>
            </w:pPr>
            <w:hyperlink r:id="rId12" w:history="1">
              <w:proofErr w:type="spellStart"/>
              <w:r w:rsidR="00EB0441" w:rsidRPr="00831079">
                <w:rPr>
                  <w:rStyle w:val="Hyperlink"/>
                  <w:rFonts w:asciiTheme="minorHAnsi" w:hAnsiTheme="minorHAnsi"/>
                  <w:sz w:val="20"/>
                </w:rPr>
                <w:t>cristiana.flutur@ancom.org.ro</w:t>
              </w:r>
              <w:proofErr w:type="spellEnd"/>
            </w:hyperlink>
          </w:p>
          <w:p w:rsidR="00EB0441" w:rsidRPr="00831079" w:rsidRDefault="00EB0441" w:rsidP="00D20A51">
            <w:pPr>
              <w:spacing w:before="40" w:after="40"/>
              <w:jc w:val="center"/>
              <w:rPr>
                <w:rFonts w:asciiTheme="minorHAnsi" w:hAnsiTheme="minorHAnsi"/>
                <w:sz w:val="20"/>
              </w:rPr>
            </w:pPr>
          </w:p>
        </w:tc>
      </w:tr>
    </w:tbl>
    <w:p w:rsidR="00EB0441" w:rsidRPr="00831079" w:rsidRDefault="00EB0441" w:rsidP="00453C47">
      <w:pPr>
        <w:tabs>
          <w:tab w:val="clear" w:pos="567"/>
          <w:tab w:val="clear" w:pos="1134"/>
          <w:tab w:val="clear" w:pos="1701"/>
          <w:tab w:val="clear" w:pos="2268"/>
          <w:tab w:val="clear" w:pos="2835"/>
        </w:tabs>
        <w:overflowPunct/>
        <w:autoSpaceDE/>
        <w:autoSpaceDN/>
        <w:adjustRightInd/>
        <w:spacing w:before="0"/>
        <w:textAlignment w:val="auto"/>
      </w:pPr>
    </w:p>
    <w:p w:rsidR="00EB0441" w:rsidRPr="00831079" w:rsidRDefault="00EB0441">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831079">
        <w:br w:type="page"/>
      </w:r>
    </w:p>
    <w:p w:rsidR="00EB0441" w:rsidRPr="00831079" w:rsidRDefault="00EB0441" w:rsidP="004719F1">
      <w:pPr>
        <w:pStyle w:val="AnnexNo"/>
        <w:keepNext/>
        <w:keepLines/>
        <w:spacing w:before="0"/>
      </w:pPr>
      <w:r w:rsidRPr="00831079">
        <w:lastRenderedPageBreak/>
        <w:t xml:space="preserve">ANEXO 2 </w:t>
      </w:r>
    </w:p>
    <w:p w:rsidR="00EB0441" w:rsidRPr="00831079" w:rsidRDefault="00EB0441" w:rsidP="006D7CF2">
      <w:pPr>
        <w:pStyle w:val="Annextitle"/>
        <w:keepNext/>
        <w:keepLines/>
        <w:spacing w:before="40" w:after="40"/>
      </w:pPr>
      <w:r w:rsidRPr="00831079">
        <w:t>Lista de Administraciones cosignatarias de las Propuestas Comunes Europeas (PCE)</w:t>
      </w:r>
    </w:p>
    <w:tbl>
      <w:tblPr>
        <w:tblW w:w="9346" w:type="dxa"/>
        <w:jc w:val="center"/>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tblGrid>
      <w:tr w:rsidR="00EB0441" w:rsidRPr="00831079" w:rsidTr="00803AF4">
        <w:trPr>
          <w:trHeight w:val="20"/>
          <w:tblHeader/>
          <w:jc w:val="center"/>
        </w:trPr>
        <w:tc>
          <w:tcPr>
            <w:tcW w:w="984" w:type="dxa"/>
            <w:tcBorders>
              <w:top w:val="single" w:sz="4" w:space="0" w:color="auto"/>
              <w:left w:val="single" w:sz="8" w:space="0" w:color="auto"/>
              <w:bottom w:val="single" w:sz="8" w:space="0" w:color="auto"/>
              <w:right w:val="nil"/>
            </w:tcBorders>
            <w:vAlign w:val="bottom"/>
          </w:tcPr>
          <w:p w:rsidR="00EB0441" w:rsidRPr="00831079" w:rsidRDefault="004719F1" w:rsidP="004719F1">
            <w:pPr>
              <w:overflowPunct/>
              <w:autoSpaceDE/>
              <w:autoSpaceDN/>
              <w:adjustRightInd/>
              <w:spacing w:before="0"/>
              <w:textAlignment w:val="auto"/>
              <w:rPr>
                <w:b/>
                <w:sz w:val="19"/>
                <w:szCs w:val="19"/>
                <w:lang w:eastAsia="sv-SE"/>
              </w:rPr>
            </w:pPr>
            <w:r w:rsidRPr="00831079">
              <w:rPr>
                <w:b/>
                <w:sz w:val="19"/>
                <w:szCs w:val="19"/>
                <w:lang w:eastAsia="sv-SE"/>
              </w:rPr>
              <w:t>PCE núm.</w:t>
            </w:r>
          </w:p>
        </w:tc>
        <w:tc>
          <w:tcPr>
            <w:tcW w:w="464" w:type="dxa"/>
            <w:tcBorders>
              <w:top w:val="single" w:sz="4"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
                <w:sz w:val="19"/>
                <w:szCs w:val="19"/>
                <w:lang w:eastAsia="sv-SE"/>
              </w:rPr>
            </w:pPr>
            <w:r w:rsidRPr="00831079">
              <w:rPr>
                <w:b/>
                <w:sz w:val="19"/>
                <w:szCs w:val="19"/>
                <w:lang w:eastAsia="sv-SE"/>
              </w:rPr>
              <w:t>1</w:t>
            </w:r>
          </w:p>
        </w:tc>
        <w:tc>
          <w:tcPr>
            <w:tcW w:w="464" w:type="dxa"/>
            <w:tcBorders>
              <w:top w:val="single" w:sz="4"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
                <w:sz w:val="19"/>
                <w:szCs w:val="19"/>
                <w:lang w:eastAsia="sv-SE"/>
              </w:rPr>
            </w:pPr>
            <w:r w:rsidRPr="00831079">
              <w:rPr>
                <w:b/>
                <w:sz w:val="19"/>
                <w:szCs w:val="19"/>
                <w:lang w:eastAsia="sv-SE"/>
              </w:rPr>
              <w:t>2</w:t>
            </w:r>
          </w:p>
        </w:tc>
        <w:tc>
          <w:tcPr>
            <w:tcW w:w="464" w:type="dxa"/>
            <w:tcBorders>
              <w:top w:val="single" w:sz="4"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
                <w:sz w:val="19"/>
                <w:szCs w:val="19"/>
                <w:lang w:eastAsia="sv-SE"/>
              </w:rPr>
            </w:pPr>
            <w:r w:rsidRPr="00831079">
              <w:rPr>
                <w:b/>
                <w:sz w:val="19"/>
                <w:szCs w:val="19"/>
                <w:lang w:eastAsia="sv-SE"/>
              </w:rPr>
              <w:t>3</w:t>
            </w:r>
          </w:p>
        </w:tc>
        <w:tc>
          <w:tcPr>
            <w:tcW w:w="464" w:type="dxa"/>
            <w:tcBorders>
              <w:top w:val="single" w:sz="4"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
                <w:sz w:val="19"/>
                <w:szCs w:val="19"/>
                <w:lang w:eastAsia="sv-SE"/>
              </w:rPr>
            </w:pPr>
            <w:r w:rsidRPr="00831079">
              <w:rPr>
                <w:b/>
                <w:sz w:val="19"/>
                <w:szCs w:val="19"/>
                <w:lang w:eastAsia="sv-SE"/>
              </w:rPr>
              <w:t>4</w:t>
            </w:r>
          </w:p>
        </w:tc>
        <w:tc>
          <w:tcPr>
            <w:tcW w:w="464" w:type="dxa"/>
            <w:tcBorders>
              <w:top w:val="single" w:sz="4"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
                <w:sz w:val="19"/>
                <w:szCs w:val="19"/>
                <w:lang w:eastAsia="sv-SE"/>
              </w:rPr>
            </w:pPr>
            <w:r w:rsidRPr="00831079">
              <w:rPr>
                <w:b/>
                <w:sz w:val="19"/>
                <w:szCs w:val="19"/>
                <w:lang w:eastAsia="sv-SE"/>
              </w:rPr>
              <w:t>5</w:t>
            </w:r>
          </w:p>
        </w:tc>
        <w:tc>
          <w:tcPr>
            <w:tcW w:w="464" w:type="dxa"/>
            <w:tcBorders>
              <w:top w:val="single" w:sz="4"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
                <w:sz w:val="19"/>
                <w:szCs w:val="19"/>
                <w:lang w:eastAsia="sv-SE"/>
              </w:rPr>
            </w:pPr>
            <w:r w:rsidRPr="00831079">
              <w:rPr>
                <w:b/>
                <w:sz w:val="19"/>
                <w:szCs w:val="19"/>
                <w:lang w:eastAsia="sv-SE"/>
              </w:rPr>
              <w:t>6</w:t>
            </w:r>
          </w:p>
        </w:tc>
        <w:tc>
          <w:tcPr>
            <w:tcW w:w="464" w:type="dxa"/>
            <w:tcBorders>
              <w:top w:val="single" w:sz="4"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
                <w:sz w:val="19"/>
                <w:szCs w:val="19"/>
                <w:lang w:eastAsia="sv-SE"/>
              </w:rPr>
            </w:pPr>
            <w:r w:rsidRPr="00831079">
              <w:rPr>
                <w:b/>
                <w:sz w:val="19"/>
                <w:szCs w:val="19"/>
                <w:lang w:eastAsia="sv-SE"/>
              </w:rPr>
              <w:t>7</w:t>
            </w:r>
          </w:p>
        </w:tc>
        <w:tc>
          <w:tcPr>
            <w:tcW w:w="464" w:type="dxa"/>
            <w:tcBorders>
              <w:top w:val="single" w:sz="4"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
                <w:sz w:val="19"/>
                <w:szCs w:val="19"/>
                <w:lang w:eastAsia="sv-SE"/>
              </w:rPr>
            </w:pPr>
            <w:r w:rsidRPr="00831079">
              <w:rPr>
                <w:b/>
                <w:sz w:val="19"/>
                <w:szCs w:val="19"/>
                <w:lang w:eastAsia="sv-SE"/>
              </w:rPr>
              <w:t>8</w:t>
            </w:r>
          </w:p>
        </w:tc>
        <w:tc>
          <w:tcPr>
            <w:tcW w:w="465" w:type="dxa"/>
            <w:tcBorders>
              <w:top w:val="single" w:sz="4"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
                <w:sz w:val="19"/>
                <w:szCs w:val="19"/>
                <w:lang w:eastAsia="sv-SE"/>
              </w:rPr>
            </w:pPr>
            <w:r w:rsidRPr="00831079">
              <w:rPr>
                <w:b/>
                <w:sz w:val="19"/>
                <w:szCs w:val="19"/>
                <w:lang w:eastAsia="sv-SE"/>
              </w:rPr>
              <w:t>9</w:t>
            </w:r>
          </w:p>
        </w:tc>
        <w:tc>
          <w:tcPr>
            <w:tcW w:w="465" w:type="dxa"/>
            <w:tcBorders>
              <w:top w:val="single" w:sz="4"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
                <w:sz w:val="19"/>
                <w:szCs w:val="19"/>
                <w:lang w:eastAsia="sv-SE"/>
              </w:rPr>
            </w:pPr>
            <w:r w:rsidRPr="00831079">
              <w:rPr>
                <w:b/>
                <w:sz w:val="19"/>
                <w:szCs w:val="19"/>
                <w:lang w:eastAsia="sv-SE"/>
              </w:rPr>
              <w:t>10</w:t>
            </w:r>
          </w:p>
        </w:tc>
        <w:tc>
          <w:tcPr>
            <w:tcW w:w="465" w:type="dxa"/>
            <w:tcBorders>
              <w:top w:val="single" w:sz="4"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
                <w:sz w:val="19"/>
                <w:szCs w:val="19"/>
                <w:lang w:eastAsia="sv-SE"/>
              </w:rPr>
            </w:pPr>
          </w:p>
        </w:tc>
        <w:tc>
          <w:tcPr>
            <w:tcW w:w="465" w:type="dxa"/>
            <w:tcBorders>
              <w:top w:val="single" w:sz="4"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
                <w:sz w:val="19"/>
                <w:szCs w:val="19"/>
                <w:lang w:eastAsia="sv-SE"/>
              </w:rPr>
            </w:pPr>
          </w:p>
        </w:tc>
        <w:tc>
          <w:tcPr>
            <w:tcW w:w="465" w:type="dxa"/>
            <w:tcBorders>
              <w:top w:val="single" w:sz="4"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
                <w:sz w:val="19"/>
                <w:szCs w:val="19"/>
                <w:lang w:eastAsia="sv-SE"/>
              </w:rPr>
            </w:pPr>
          </w:p>
        </w:tc>
        <w:tc>
          <w:tcPr>
            <w:tcW w:w="465" w:type="dxa"/>
            <w:tcBorders>
              <w:top w:val="single" w:sz="4"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
                <w:sz w:val="19"/>
                <w:szCs w:val="19"/>
                <w:lang w:eastAsia="sv-SE"/>
              </w:rPr>
            </w:pPr>
          </w:p>
        </w:tc>
        <w:tc>
          <w:tcPr>
            <w:tcW w:w="465" w:type="dxa"/>
            <w:tcBorders>
              <w:top w:val="single" w:sz="4"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
                <w:sz w:val="19"/>
                <w:szCs w:val="19"/>
                <w:lang w:eastAsia="sv-SE"/>
              </w:rPr>
            </w:pPr>
          </w:p>
        </w:tc>
        <w:tc>
          <w:tcPr>
            <w:tcW w:w="465" w:type="dxa"/>
            <w:tcBorders>
              <w:top w:val="single" w:sz="4"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
                <w:sz w:val="19"/>
                <w:szCs w:val="19"/>
                <w:lang w:eastAsia="sv-SE"/>
              </w:rPr>
            </w:pPr>
          </w:p>
        </w:tc>
        <w:tc>
          <w:tcPr>
            <w:tcW w:w="465" w:type="dxa"/>
            <w:tcBorders>
              <w:top w:val="single" w:sz="4"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
                <w:sz w:val="19"/>
                <w:szCs w:val="19"/>
                <w:lang w:eastAsia="sv-SE"/>
              </w:rPr>
            </w:pPr>
          </w:p>
        </w:tc>
        <w:tc>
          <w:tcPr>
            <w:tcW w:w="465" w:type="dxa"/>
            <w:tcBorders>
              <w:top w:val="single" w:sz="4"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ALB</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r w:rsidRPr="00831079">
              <w:rPr>
                <w:b/>
                <w:sz w:val="19"/>
                <w:szCs w:val="19"/>
                <w:lang w:eastAsia="sv-SE"/>
              </w:rPr>
              <w:t>AND</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AUT</w:t>
            </w:r>
            <w:proofErr w:type="spellEnd"/>
          </w:p>
        </w:tc>
        <w:tc>
          <w:tcPr>
            <w:tcW w:w="464" w:type="dxa"/>
            <w:tcBorders>
              <w:top w:val="single" w:sz="8" w:space="0" w:color="auto"/>
              <w:left w:val="single" w:sz="8" w:space="0" w:color="auto"/>
              <w:bottom w:val="single" w:sz="8" w:space="0" w:color="auto"/>
              <w:right w:val="nil"/>
            </w:tcBorders>
            <w:shd w:val="clear" w:color="auto" w:fill="auto"/>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AZE</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r w:rsidRPr="00831079">
              <w:rPr>
                <w:b/>
                <w:sz w:val="19"/>
                <w:szCs w:val="19"/>
                <w:lang w:eastAsia="sv-SE"/>
              </w:rPr>
              <w:t>BEL</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BIH</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BLR</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BUL</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CVA</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CYP</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63"/>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CZE</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EB0441" w:rsidRPr="00831079" w:rsidRDefault="00EB0441" w:rsidP="00FB2613">
            <w:pPr>
              <w:overflowPunct/>
              <w:autoSpaceDE/>
              <w:autoSpaceDN/>
              <w:adjustRightInd/>
              <w:spacing w:before="0"/>
              <w:textAlignment w:val="auto"/>
              <w:rPr>
                <w:b/>
                <w:sz w:val="19"/>
                <w:szCs w:val="19"/>
                <w:lang w:eastAsia="sv-SE"/>
              </w:rPr>
            </w:pPr>
            <w:r w:rsidRPr="00831079">
              <w:rPr>
                <w:b/>
                <w:sz w:val="19"/>
                <w:szCs w:val="19"/>
                <w:lang w:eastAsia="sv-SE"/>
              </w:rPr>
              <w:t>D</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DNK</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color w:val="000000"/>
                <w:sz w:val="19"/>
                <w:szCs w:val="19"/>
                <w:lang w:eastAsia="sv-SE"/>
              </w:rPr>
            </w:pPr>
            <w:r w:rsidRPr="00831079">
              <w:rPr>
                <w:b/>
                <w:color w:val="000000"/>
                <w:sz w:val="19"/>
                <w:szCs w:val="19"/>
                <w:lang w:eastAsia="sv-SE"/>
              </w:rPr>
              <w:t xml:space="preserve">E </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EST</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EB0441" w:rsidRPr="00831079" w:rsidRDefault="00EB0441" w:rsidP="00FB2613">
            <w:pPr>
              <w:overflowPunct/>
              <w:autoSpaceDE/>
              <w:autoSpaceDN/>
              <w:adjustRightInd/>
              <w:spacing w:before="0"/>
              <w:textAlignment w:val="auto"/>
              <w:rPr>
                <w:b/>
                <w:sz w:val="19"/>
                <w:szCs w:val="19"/>
                <w:lang w:eastAsia="sv-SE"/>
              </w:rPr>
            </w:pPr>
            <w:r w:rsidRPr="00831079">
              <w:rPr>
                <w:b/>
                <w:sz w:val="19"/>
                <w:szCs w:val="19"/>
                <w:lang w:eastAsia="sv-SE"/>
              </w:rPr>
              <w:t xml:space="preserve">F </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r w:rsidRPr="00831079">
              <w:rPr>
                <w:b/>
                <w:sz w:val="19"/>
                <w:szCs w:val="19"/>
                <w:lang w:eastAsia="sv-SE"/>
              </w:rPr>
              <w:t>FIN</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r w:rsidRPr="00831079">
              <w:rPr>
                <w:b/>
                <w:sz w:val="19"/>
                <w:szCs w:val="19"/>
                <w:lang w:eastAsia="sv-SE"/>
              </w:rPr>
              <w:t>G</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r w:rsidRPr="00831079">
              <w:rPr>
                <w:b/>
                <w:sz w:val="19"/>
                <w:szCs w:val="19"/>
                <w:lang w:eastAsia="sv-SE"/>
              </w:rPr>
              <w:t>GEO</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GRC</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shd w:val="clear" w:color="auto" w:fill="auto"/>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HNG</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HOL</w:t>
            </w:r>
            <w:proofErr w:type="spellEnd"/>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HRV</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r w:rsidRPr="00831079">
              <w:rPr>
                <w:b/>
                <w:sz w:val="19"/>
                <w:szCs w:val="19"/>
                <w:lang w:eastAsia="sv-SE"/>
              </w:rPr>
              <w:t>I</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shd w:val="clear" w:color="auto" w:fill="FFFFFF" w:themeFill="background1"/>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shd w:val="clear" w:color="auto" w:fill="FFFFFF" w:themeFill="background1"/>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shd w:val="clear" w:color="auto" w:fill="FFFFFF" w:themeFill="background1"/>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IRL</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ISL</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r w:rsidRPr="00831079">
              <w:rPr>
                <w:b/>
                <w:sz w:val="19"/>
                <w:szCs w:val="19"/>
                <w:lang w:eastAsia="sv-SE"/>
              </w:rPr>
              <w:t>LIE</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LTU</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r w:rsidRPr="00831079">
              <w:rPr>
                <w:b/>
                <w:sz w:val="19"/>
                <w:szCs w:val="19"/>
                <w:lang w:eastAsia="sv-SE"/>
              </w:rPr>
              <w:t>LUX</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LVA</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MCO</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MDA</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r w:rsidRPr="00831079">
              <w:rPr>
                <w:b/>
                <w:sz w:val="19"/>
                <w:szCs w:val="19"/>
                <w:lang w:eastAsia="sv-SE"/>
              </w:rPr>
              <w:t>MKD</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MLT</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MNE</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NOR</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r w:rsidRPr="00831079">
              <w:rPr>
                <w:b/>
                <w:sz w:val="19"/>
                <w:szCs w:val="19"/>
                <w:lang w:eastAsia="sv-SE"/>
              </w:rPr>
              <w:t>POL</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r w:rsidRPr="00831079">
              <w:rPr>
                <w:b/>
                <w:sz w:val="19"/>
                <w:szCs w:val="19"/>
                <w:lang w:eastAsia="sv-SE"/>
              </w:rPr>
              <w:t>POR</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ROU</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r w:rsidRPr="00831079">
              <w:rPr>
                <w:b/>
                <w:sz w:val="19"/>
                <w:szCs w:val="19"/>
                <w:lang w:eastAsia="sv-SE"/>
              </w:rPr>
              <w:t>RUS</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r w:rsidRPr="00831079">
              <w:rPr>
                <w:b/>
                <w:sz w:val="19"/>
                <w:szCs w:val="19"/>
                <w:lang w:eastAsia="sv-SE"/>
              </w:rPr>
              <w:t>S</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SMR</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SRB</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shd w:val="clear" w:color="auto" w:fill="FFFFFF" w:themeFill="background1"/>
          </w:tcPr>
          <w:p w:rsidR="00EB0441" w:rsidRPr="00831079" w:rsidRDefault="00EB0441" w:rsidP="00FB2613">
            <w:pPr>
              <w:overflowPunct/>
              <w:autoSpaceDE/>
              <w:autoSpaceDN/>
              <w:adjustRightInd/>
              <w:spacing w:before="0"/>
              <w:textAlignment w:val="auto"/>
              <w:rPr>
                <w:b/>
                <w:sz w:val="19"/>
                <w:szCs w:val="19"/>
                <w:lang w:eastAsia="sv-SE"/>
              </w:rPr>
            </w:pPr>
            <w:r w:rsidRPr="00831079">
              <w:rPr>
                <w:b/>
                <w:sz w:val="19"/>
                <w:szCs w:val="19"/>
                <w:lang w:eastAsia="sv-SE"/>
              </w:rPr>
              <w:t>SUI</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SVK</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SVN</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r w:rsidRPr="00831079">
              <w:rPr>
                <w:b/>
                <w:sz w:val="19"/>
                <w:szCs w:val="19"/>
                <w:lang w:eastAsia="sv-SE"/>
              </w:rPr>
              <w:t>TUR</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
                <w:sz w:val="19"/>
                <w:szCs w:val="19"/>
                <w:lang w:eastAsia="sv-SE"/>
              </w:rPr>
            </w:pPr>
            <w:proofErr w:type="spellStart"/>
            <w:r w:rsidRPr="00831079">
              <w:rPr>
                <w:b/>
                <w:sz w:val="19"/>
                <w:szCs w:val="19"/>
                <w:lang w:eastAsia="sv-SE"/>
              </w:rPr>
              <w:t>UKR</w:t>
            </w:r>
            <w:proofErr w:type="spellEnd"/>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4"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nil"/>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r>
      <w:tr w:rsidR="00EB0441" w:rsidRPr="00831079" w:rsidTr="00803AF4">
        <w:trPr>
          <w:trHeight w:val="20"/>
          <w:jc w:val="center"/>
        </w:trPr>
        <w:tc>
          <w:tcPr>
            <w:tcW w:w="984" w:type="dxa"/>
            <w:tcBorders>
              <w:top w:val="single" w:sz="8" w:space="0" w:color="auto"/>
              <w:left w:val="single" w:sz="8" w:space="0" w:color="auto"/>
              <w:bottom w:val="single" w:sz="8" w:space="0" w:color="auto"/>
              <w:right w:val="single" w:sz="8" w:space="0" w:color="auto"/>
            </w:tcBorders>
            <w:noWrap/>
            <w:vAlign w:val="bottom"/>
          </w:tcPr>
          <w:p w:rsidR="00EB0441" w:rsidRPr="00831079" w:rsidRDefault="00EB0441" w:rsidP="00FB2613">
            <w:pPr>
              <w:overflowPunct/>
              <w:autoSpaceDE/>
              <w:autoSpaceDN/>
              <w:adjustRightInd/>
              <w:spacing w:before="0"/>
              <w:textAlignment w:val="auto"/>
              <w:rPr>
                <w:rFonts w:ascii="Arial" w:hAnsi="Arial" w:cs="Arial"/>
                <w:b/>
                <w:sz w:val="19"/>
                <w:szCs w:val="19"/>
                <w:lang w:eastAsia="sv-SE"/>
              </w:rPr>
            </w:pPr>
            <w:r w:rsidRPr="00831079">
              <w:rPr>
                <w:rFonts w:ascii="Arial" w:hAnsi="Arial" w:cs="Arial"/>
                <w:b/>
                <w:sz w:val="19"/>
                <w:szCs w:val="19"/>
                <w:lang w:eastAsia="sv-SE"/>
              </w:rPr>
              <w:t>Total</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25</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24</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24</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25</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25</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26</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22</w:t>
            </w:r>
          </w:p>
        </w:tc>
        <w:tc>
          <w:tcPr>
            <w:tcW w:w="464"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21</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25</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jc w:val="center"/>
              <w:textAlignment w:val="auto"/>
              <w:rPr>
                <w:bCs/>
                <w:sz w:val="19"/>
                <w:szCs w:val="19"/>
                <w:lang w:eastAsia="sv-SE"/>
              </w:rPr>
            </w:pPr>
            <w:r w:rsidRPr="00831079">
              <w:rPr>
                <w:bCs/>
                <w:sz w:val="19"/>
                <w:szCs w:val="19"/>
                <w:lang w:eastAsia="sv-SE"/>
              </w:rPr>
              <w:t>26</w:t>
            </w: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c>
          <w:tcPr>
            <w:tcW w:w="465" w:type="dxa"/>
            <w:tcBorders>
              <w:top w:val="single" w:sz="8" w:space="0" w:color="auto"/>
              <w:left w:val="single" w:sz="8" w:space="0" w:color="auto"/>
              <w:bottom w:val="single" w:sz="8" w:space="0" w:color="auto"/>
              <w:right w:val="single" w:sz="8" w:space="0" w:color="auto"/>
            </w:tcBorders>
          </w:tcPr>
          <w:p w:rsidR="00EB0441" w:rsidRPr="00831079" w:rsidRDefault="00EB0441" w:rsidP="00FB2613">
            <w:pPr>
              <w:overflowPunct/>
              <w:autoSpaceDE/>
              <w:autoSpaceDN/>
              <w:adjustRightInd/>
              <w:spacing w:before="0"/>
              <w:textAlignment w:val="auto"/>
              <w:rPr>
                <w:bCs/>
                <w:sz w:val="19"/>
                <w:szCs w:val="19"/>
                <w:lang w:eastAsia="sv-SE"/>
              </w:rPr>
            </w:pPr>
          </w:p>
        </w:tc>
      </w:tr>
    </w:tbl>
    <w:p w:rsidR="00504FD4" w:rsidRPr="00831079" w:rsidRDefault="00EB0441" w:rsidP="00EB0441">
      <w:pPr>
        <w:jc w:val="center"/>
      </w:pPr>
      <w:r w:rsidRPr="00831079">
        <w:t>______________</w:t>
      </w:r>
    </w:p>
    <w:sectPr w:rsidR="00504FD4" w:rsidRPr="00831079" w:rsidSect="00A70E95">
      <w:headerReference w:type="default" r:id="rId13"/>
      <w:foot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441" w:rsidRDefault="00EB0441">
      <w:r>
        <w:separator/>
      </w:r>
    </w:p>
  </w:endnote>
  <w:endnote w:type="continuationSeparator" w:id="0">
    <w:p w:rsidR="00EB0441" w:rsidRDefault="00EB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68" w:rsidRDefault="00911268" w:rsidP="00911268">
    <w:pPr>
      <w:pStyle w:val="Footer"/>
      <w:rPr>
        <w:lang w:val="en-GB"/>
      </w:rPr>
    </w:pPr>
    <w:r w:rsidRPr="00911268">
      <w:rPr>
        <w:lang w:val="en-GB"/>
      </w:rPr>
      <w:fldChar w:fldCharType="begin"/>
    </w:r>
    <w:r w:rsidRPr="00911268">
      <w:rPr>
        <w:lang w:val="en-GB"/>
      </w:rPr>
      <w:instrText xml:space="preserve"> FILENAME \p  \* MERGEFORMAT </w:instrText>
    </w:r>
    <w:r w:rsidRPr="00911268">
      <w:rPr>
        <w:lang w:val="en-GB"/>
      </w:rPr>
      <w:fldChar w:fldCharType="separate"/>
    </w:r>
    <w:r w:rsidR="00E50D26">
      <w:rPr>
        <w:lang w:val="en-GB"/>
      </w:rPr>
      <w:t>P:\ESP\SG\CONF-SG\PP18\000\048S.docx</w:t>
    </w:r>
    <w:r w:rsidRPr="00911268">
      <w:rPr>
        <w:lang w:val="en-GB"/>
      </w:rPr>
      <w:fldChar w:fldCharType="end"/>
    </w:r>
    <w:r>
      <w:rPr>
        <w:lang w:val="en-GB"/>
      </w:rPr>
      <w:t xml:space="preserve"> (441718</w:t>
    </w:r>
    <w:r w:rsidRPr="00911268">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441" w:rsidRDefault="00EB0441">
      <w:r>
        <w:t>____________________</w:t>
      </w:r>
    </w:p>
  </w:footnote>
  <w:footnote w:type="continuationSeparator" w:id="0">
    <w:p w:rsidR="00EB0441" w:rsidRDefault="00EB0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F03BF4">
      <w:rPr>
        <w:noProof/>
      </w:rPr>
      <w:t>3</w:t>
    </w:r>
    <w:r>
      <w:fldChar w:fldCharType="end"/>
    </w:r>
  </w:p>
  <w:p w:rsidR="00255FA1" w:rsidRDefault="00255FA1" w:rsidP="00342E04">
    <w:pPr>
      <w:pStyle w:val="Header"/>
    </w:pPr>
    <w:r>
      <w:rPr>
        <w:lang w:val="en-US"/>
      </w:rPr>
      <w:t>PP1</w:t>
    </w:r>
    <w:r w:rsidR="00C43474">
      <w:rPr>
        <w:lang w:val="en-US"/>
      </w:rPr>
      <w:t>8</w:t>
    </w:r>
    <w:r w:rsidR="00006EAE">
      <w:t>/</w:t>
    </w:r>
    <w:r w:rsidR="00342E04">
      <w:t>48</w:t>
    </w:r>
    <w:r w:rsidR="00006EAE">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64D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85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E67A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044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1AB4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1"/>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41"/>
    <w:rsid w:val="0000188C"/>
    <w:rsid w:val="00006EAE"/>
    <w:rsid w:val="000863AB"/>
    <w:rsid w:val="000A1523"/>
    <w:rsid w:val="000B1752"/>
    <w:rsid w:val="0010546D"/>
    <w:rsid w:val="00135F93"/>
    <w:rsid w:val="001632E3"/>
    <w:rsid w:val="001729A9"/>
    <w:rsid w:val="001D4983"/>
    <w:rsid w:val="001D6EC3"/>
    <w:rsid w:val="001D787B"/>
    <w:rsid w:val="001E3D06"/>
    <w:rsid w:val="001F42D5"/>
    <w:rsid w:val="00225F6B"/>
    <w:rsid w:val="00237C17"/>
    <w:rsid w:val="00242376"/>
    <w:rsid w:val="00255FA1"/>
    <w:rsid w:val="00262FF4"/>
    <w:rsid w:val="002C6527"/>
    <w:rsid w:val="002E44FC"/>
    <w:rsid w:val="00342E04"/>
    <w:rsid w:val="003707E5"/>
    <w:rsid w:val="00391611"/>
    <w:rsid w:val="003D0027"/>
    <w:rsid w:val="003D161E"/>
    <w:rsid w:val="003E6E73"/>
    <w:rsid w:val="003F1313"/>
    <w:rsid w:val="004719F1"/>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5F7F"/>
    <w:rsid w:val="00567ED5"/>
    <w:rsid w:val="005A6B1A"/>
    <w:rsid w:val="005D1164"/>
    <w:rsid w:val="005D6488"/>
    <w:rsid w:val="005F6278"/>
    <w:rsid w:val="00601280"/>
    <w:rsid w:val="006375E0"/>
    <w:rsid w:val="00641DBD"/>
    <w:rsid w:val="006455D2"/>
    <w:rsid w:val="006537F3"/>
    <w:rsid w:val="006B5512"/>
    <w:rsid w:val="006C190D"/>
    <w:rsid w:val="007103C9"/>
    <w:rsid w:val="00720686"/>
    <w:rsid w:val="00737EFF"/>
    <w:rsid w:val="00750806"/>
    <w:rsid w:val="007875D2"/>
    <w:rsid w:val="007A604A"/>
    <w:rsid w:val="007F6EBC"/>
    <w:rsid w:val="00831079"/>
    <w:rsid w:val="00882773"/>
    <w:rsid w:val="008A2A7E"/>
    <w:rsid w:val="008B4706"/>
    <w:rsid w:val="008B6676"/>
    <w:rsid w:val="008E51C5"/>
    <w:rsid w:val="008F7109"/>
    <w:rsid w:val="009107B0"/>
    <w:rsid w:val="00911268"/>
    <w:rsid w:val="009220DE"/>
    <w:rsid w:val="00930E84"/>
    <w:rsid w:val="0099270D"/>
    <w:rsid w:val="0099551E"/>
    <w:rsid w:val="009A1A86"/>
    <w:rsid w:val="009E0C42"/>
    <w:rsid w:val="00A70E95"/>
    <w:rsid w:val="00A93901"/>
    <w:rsid w:val="00AA1F73"/>
    <w:rsid w:val="00AB34CA"/>
    <w:rsid w:val="00AD400E"/>
    <w:rsid w:val="00AF0DC5"/>
    <w:rsid w:val="00B501AB"/>
    <w:rsid w:val="00B71BF3"/>
    <w:rsid w:val="00B73978"/>
    <w:rsid w:val="00B77C4D"/>
    <w:rsid w:val="00BB13FE"/>
    <w:rsid w:val="00BC7EE2"/>
    <w:rsid w:val="00BF5475"/>
    <w:rsid w:val="00C42D2D"/>
    <w:rsid w:val="00C43474"/>
    <w:rsid w:val="00C61A48"/>
    <w:rsid w:val="00C64338"/>
    <w:rsid w:val="00C80F8F"/>
    <w:rsid w:val="00C84355"/>
    <w:rsid w:val="00CA3051"/>
    <w:rsid w:val="00CD20D9"/>
    <w:rsid w:val="00CD701A"/>
    <w:rsid w:val="00D05AAE"/>
    <w:rsid w:val="00D05E6B"/>
    <w:rsid w:val="00D254A6"/>
    <w:rsid w:val="00D42B55"/>
    <w:rsid w:val="00D57D70"/>
    <w:rsid w:val="00E05D81"/>
    <w:rsid w:val="00E50D26"/>
    <w:rsid w:val="00E53DFC"/>
    <w:rsid w:val="00E66FC3"/>
    <w:rsid w:val="00E677DD"/>
    <w:rsid w:val="00E77F17"/>
    <w:rsid w:val="00E921EC"/>
    <w:rsid w:val="00EB0441"/>
    <w:rsid w:val="00EB23D0"/>
    <w:rsid w:val="00EC395A"/>
    <w:rsid w:val="00F01632"/>
    <w:rsid w:val="00F03BF4"/>
    <w:rsid w:val="00F04858"/>
    <w:rsid w:val="00F271A2"/>
    <w:rsid w:val="00F3510D"/>
    <w:rsid w:val="00F43C07"/>
    <w:rsid w:val="00F43D44"/>
    <w:rsid w:val="00F80E6E"/>
    <w:rsid w:val="00FA4839"/>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1D2ED29-4456-4625-9D13-923776FF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uiPriority w:val="99"/>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uiPriority w:val="99"/>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uiPriority w:val="99"/>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uiPriority w:val="99"/>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FollowedHyperlink">
    <w:name w:val="FollowedHyperlink"/>
    <w:basedOn w:val="DefaultParagraphFont"/>
    <w:rsid w:val="00EB0441"/>
    <w:rPr>
      <w:color w:val="800080"/>
      <w:u w:val="single"/>
    </w:rPr>
  </w:style>
  <w:style w:type="paragraph" w:customStyle="1" w:styleId="SpecialFooter">
    <w:name w:val="Special Footer"/>
    <w:basedOn w:val="Footer"/>
    <w:rsid w:val="00EB0441"/>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StyleCommitteeAfter0ptLinespacingsingle">
    <w:name w:val="Style Committee + After:  0 pt Line spacing:  single"/>
    <w:basedOn w:val="Committee"/>
    <w:rsid w:val="00EB0441"/>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mallCaps w:val="0"/>
      <w:szCs w:val="20"/>
      <w:lang w:eastAsia="zh-CN"/>
    </w:rPr>
  </w:style>
  <w:style w:type="paragraph" w:styleId="ListParagraph">
    <w:name w:val="List Paragraph"/>
    <w:basedOn w:val="Normal"/>
    <w:uiPriority w:val="34"/>
    <w:qFormat/>
    <w:rsid w:val="00EB0441"/>
    <w:pPr>
      <w:ind w:left="720"/>
      <w:contextualSpacing/>
    </w:pPr>
    <w:rPr>
      <w:lang w:val="en-GB"/>
    </w:rPr>
  </w:style>
  <w:style w:type="paragraph" w:customStyle="1" w:styleId="Norml">
    <w:name w:val="Norml"/>
    <w:basedOn w:val="Reasons"/>
    <w:rsid w:val="00EB0441"/>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EB0441"/>
    <w:rPr>
      <w:rFonts w:ascii="Calibri" w:hAnsi="Calibri"/>
      <w:sz w:val="24"/>
      <w:lang w:val="es-ES_tradnl" w:eastAsia="en-US"/>
    </w:rPr>
  </w:style>
  <w:style w:type="paragraph" w:customStyle="1" w:styleId="Norma">
    <w:name w:val="Norma"/>
    <w:basedOn w:val="Proposal"/>
    <w:rsid w:val="00EB0441"/>
  </w:style>
  <w:style w:type="character" w:customStyle="1" w:styleId="CallChar">
    <w:name w:val="Call Char"/>
    <w:link w:val="Call"/>
    <w:uiPriority w:val="99"/>
    <w:locked/>
    <w:rsid w:val="00EB0441"/>
    <w:rPr>
      <w:rFonts w:ascii="Calibri" w:hAnsi="Calibri"/>
      <w:i/>
      <w:sz w:val="24"/>
      <w:lang w:val="es-ES_tradnl" w:eastAsia="en-US"/>
    </w:rPr>
  </w:style>
  <w:style w:type="character" w:customStyle="1" w:styleId="NormalaftertitleChar">
    <w:name w:val="Normal after title Char"/>
    <w:link w:val="Normalaftertitle"/>
    <w:uiPriority w:val="99"/>
    <w:locked/>
    <w:rsid w:val="00EB0441"/>
    <w:rPr>
      <w:rFonts w:ascii="Calibri" w:hAnsi="Calibri"/>
      <w:sz w:val="24"/>
      <w:lang w:val="es-ES_tradnl" w:eastAsia="en-US"/>
    </w:rPr>
  </w:style>
  <w:style w:type="paragraph" w:customStyle="1" w:styleId="MEP">
    <w:name w:val="MEP"/>
    <w:basedOn w:val="Normal"/>
    <w:rsid w:val="00EB0441"/>
    <w:pPr>
      <w:tabs>
        <w:tab w:val="clear" w:pos="567"/>
        <w:tab w:val="clear" w:pos="1701"/>
        <w:tab w:val="clear" w:pos="2835"/>
        <w:tab w:val="left" w:pos="1871"/>
      </w:tabs>
      <w:jc w:val="both"/>
      <w:textAlignment w:val="auto"/>
    </w:pPr>
    <w:rPr>
      <w:lang w:val="en-GB"/>
    </w:rPr>
  </w:style>
  <w:style w:type="character" w:customStyle="1" w:styleId="href">
    <w:name w:val="href"/>
    <w:basedOn w:val="DefaultParagraphFont"/>
    <w:rsid w:val="00EB0441"/>
    <w:rPr>
      <w:color w:val="auto"/>
    </w:rPr>
  </w:style>
  <w:style w:type="paragraph" w:customStyle="1" w:styleId="Tablehead0">
    <w:name w:val="Table head"/>
    <w:basedOn w:val="Normal"/>
    <w:uiPriority w:val="99"/>
    <w:rsid w:val="00EB044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lang w:val="en-GB"/>
    </w:rPr>
  </w:style>
  <w:style w:type="character" w:customStyle="1" w:styleId="FooterChar">
    <w:name w:val="Footer Char"/>
    <w:basedOn w:val="DefaultParagraphFont"/>
    <w:link w:val="Footer"/>
    <w:rsid w:val="00EB0441"/>
    <w:rPr>
      <w:rFonts w:ascii="Calibri" w:hAnsi="Calibri"/>
      <w:caps/>
      <w:noProof/>
      <w:sz w:val="16"/>
      <w:lang w:val="es-ES_tradnl" w:eastAsia="en-US"/>
    </w:rPr>
  </w:style>
  <w:style w:type="paragraph" w:customStyle="1" w:styleId="TableTEXT0">
    <w:name w:val="Table TEXT"/>
    <w:basedOn w:val="Tabletext"/>
    <w:rsid w:val="003D161E"/>
    <w:rPr>
      <w:lang w:val="fr-FR"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ana.flutur@ancom.org.r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ristiana.flutur@ancom.org.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blaker@culture.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zhivov@minsvyaz.ru" TargetMode="External"/><Relationship Id="rId4" Type="http://schemas.openxmlformats.org/officeDocument/2006/relationships/webSettings" Target="webSettings.xml"/><Relationship Id="rId9" Type="http://schemas.openxmlformats.org/officeDocument/2006/relationships/hyperlink" Target="mailto:vilem.vesely@mpo.cz"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PS_PP18.dotx</Template>
  <TotalTime>26</TotalTime>
  <Pages>4</Pages>
  <Words>965</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6073</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Spanish</dc:creator>
  <cp:keywords/>
  <dc:description/>
  <cp:lastModifiedBy>Spanish</cp:lastModifiedBy>
  <cp:revision>12</cp:revision>
  <cp:lastPrinted>2018-08-21T10:15:00Z</cp:lastPrinted>
  <dcterms:created xsi:type="dcterms:W3CDTF">2018-08-17T14:57:00Z</dcterms:created>
  <dcterms:modified xsi:type="dcterms:W3CDTF">2018-08-21T10:53:00Z</dcterms:modified>
  <cp:category>Conference document</cp:category>
</cp:coreProperties>
</file>