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2A6F8F" w:rsidTr="006A046E">
        <w:trPr>
          <w:cantSplit/>
        </w:trPr>
        <w:tc>
          <w:tcPr>
            <w:tcW w:w="6911" w:type="dxa"/>
          </w:tcPr>
          <w:p w:rsidR="00BD1614" w:rsidRPr="00960D89" w:rsidRDefault="00BD1614" w:rsidP="001E2226">
            <w:pPr>
              <w:rPr>
                <w:b/>
                <w:bCs/>
                <w:position w:val="6"/>
                <w:szCs w:val="24"/>
                <w:lang w:val="fr-CH"/>
              </w:rPr>
            </w:pPr>
            <w:bookmarkStart w:id="0" w:name="dbreak"/>
            <w:bookmarkStart w:id="1" w:name="dpp"/>
            <w:bookmarkEnd w:id="0"/>
            <w:bookmarkEnd w:id="1"/>
            <w:r w:rsidRPr="000F6395">
              <w:rPr>
                <w:rFonts w:cs="Times"/>
                <w:b/>
                <w:sz w:val="30"/>
                <w:szCs w:val="30"/>
                <w:lang w:val="fr-CH"/>
              </w:rPr>
              <w:t>Conférence de plénipotentiaires</w:t>
            </w:r>
            <w:r w:rsidRPr="000F6395">
              <w:rPr>
                <w:b/>
                <w:smallCaps/>
                <w:sz w:val="30"/>
                <w:szCs w:val="30"/>
                <w:lang w:val="fr-CH"/>
              </w:rPr>
              <w:t xml:space="preserve"> (PP-1</w:t>
            </w:r>
            <w:r w:rsidR="001E2226">
              <w:rPr>
                <w:b/>
                <w:smallCaps/>
                <w:sz w:val="30"/>
                <w:szCs w:val="30"/>
                <w:lang w:val="fr-CH"/>
              </w:rPr>
              <w:t>8</w:t>
            </w:r>
            <w:proofErr w:type="gramStart"/>
            <w:r w:rsidRPr="000F6395">
              <w:rPr>
                <w:b/>
                <w:smallCaps/>
                <w:sz w:val="30"/>
                <w:szCs w:val="30"/>
                <w:lang w:val="fr-CH"/>
              </w:rPr>
              <w:t>)</w:t>
            </w:r>
            <w:proofErr w:type="gramEnd"/>
            <w:r w:rsidRPr="000F6395">
              <w:rPr>
                <w:b/>
                <w:smallCaps/>
                <w:sz w:val="36"/>
                <w:lang w:val="fr-CH"/>
              </w:rPr>
              <w:br/>
            </w:r>
            <w:r w:rsidR="001E2226" w:rsidRPr="001E2226">
              <w:rPr>
                <w:rFonts w:cs="Times New Roman Bold"/>
                <w:b/>
                <w:bCs/>
                <w:szCs w:val="24"/>
                <w:lang w:val="fr-CH"/>
              </w:rPr>
              <w:t>Dubaï</w:t>
            </w:r>
            <w:r w:rsidRPr="000F6395">
              <w:rPr>
                <w:rFonts w:cs="Times New Roman Bold"/>
                <w:b/>
                <w:bCs/>
                <w:szCs w:val="24"/>
                <w:lang w:val="fr-CH"/>
              </w:rPr>
              <w:t xml:space="preserve">, </w:t>
            </w:r>
            <w:r>
              <w:rPr>
                <w:rFonts w:cs="Times New Roman Bold"/>
                <w:b/>
                <w:bCs/>
                <w:szCs w:val="24"/>
                <w:lang w:val="fr-CH"/>
              </w:rPr>
              <w:t>2</w:t>
            </w:r>
            <w:r w:rsidR="001E2226">
              <w:rPr>
                <w:rFonts w:cs="Times New Roman Bold"/>
                <w:b/>
                <w:bCs/>
                <w:szCs w:val="24"/>
                <w:lang w:val="fr-CH"/>
              </w:rPr>
              <w:t>9</w:t>
            </w:r>
            <w:r w:rsidRPr="000F6395">
              <w:rPr>
                <w:rFonts w:cs="Times New Roman Bold"/>
                <w:b/>
                <w:bCs/>
                <w:szCs w:val="24"/>
                <w:lang w:val="fr-CH"/>
              </w:rPr>
              <w:t xml:space="preserve"> octobre </w:t>
            </w:r>
            <w:r w:rsidR="001E2226">
              <w:rPr>
                <w:rFonts w:cs="Times New Roman Bold"/>
                <w:b/>
                <w:bCs/>
                <w:szCs w:val="24"/>
                <w:lang w:val="fr-CH"/>
              </w:rPr>
              <w:t>–</w:t>
            </w:r>
            <w:r>
              <w:rPr>
                <w:rFonts w:cs="Times New Roman Bold"/>
                <w:b/>
                <w:bCs/>
                <w:szCs w:val="24"/>
                <w:lang w:val="fr-CH"/>
              </w:rPr>
              <w:t xml:space="preserve"> </w:t>
            </w:r>
            <w:r w:rsidR="001E2226">
              <w:rPr>
                <w:rFonts w:cs="Times New Roman Bold"/>
                <w:b/>
                <w:bCs/>
                <w:szCs w:val="24"/>
                <w:lang w:val="fr-CH"/>
              </w:rPr>
              <w:t>16</w:t>
            </w:r>
            <w:r>
              <w:rPr>
                <w:rFonts w:cs="Times New Roman Bold"/>
                <w:b/>
                <w:bCs/>
                <w:szCs w:val="24"/>
                <w:lang w:val="fr-CH"/>
              </w:rPr>
              <w:t xml:space="preserve"> novembre 201</w:t>
            </w:r>
            <w:r w:rsidR="001E2226">
              <w:rPr>
                <w:rFonts w:cs="Times New Roman Bold"/>
                <w:b/>
                <w:bCs/>
                <w:szCs w:val="24"/>
                <w:lang w:val="fr-CH"/>
              </w:rPr>
              <w:t>8</w:t>
            </w:r>
          </w:p>
        </w:tc>
        <w:tc>
          <w:tcPr>
            <w:tcW w:w="3120" w:type="dxa"/>
          </w:tcPr>
          <w:p w:rsidR="00BD1614" w:rsidRPr="008C10D9" w:rsidRDefault="00BD1614" w:rsidP="006A046E">
            <w:pPr>
              <w:spacing w:before="0" w:line="240" w:lineRule="atLeast"/>
              <w:rPr>
                <w:rFonts w:cstheme="minorHAnsi"/>
                <w:lang w:val="en-US"/>
              </w:rPr>
            </w:pPr>
            <w:bookmarkStart w:id="2" w:name="ditulogo"/>
            <w:bookmarkEnd w:id="2"/>
            <w:r w:rsidRPr="008C10D9">
              <w:rPr>
                <w:rFonts w:cstheme="minorHAnsi"/>
                <w:b/>
                <w:bCs/>
                <w:noProof/>
                <w:lang w:val="en-GB" w:eastAsia="zh-CN"/>
              </w:rPr>
              <w:drawing>
                <wp:inline distT="0" distB="0" distL="0" distR="0" wp14:anchorId="17972A46" wp14:editId="1D3D841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D1614" w:rsidRPr="000F58F7" w:rsidTr="006A046E">
        <w:trPr>
          <w:cantSplit/>
        </w:trPr>
        <w:tc>
          <w:tcPr>
            <w:tcW w:w="6911" w:type="dxa"/>
            <w:tcBorders>
              <w:bottom w:val="single" w:sz="12" w:space="0" w:color="auto"/>
            </w:tcBorders>
          </w:tcPr>
          <w:p w:rsidR="00BD1614" w:rsidRPr="008C10D9" w:rsidRDefault="00BD1614" w:rsidP="006A046E">
            <w:pPr>
              <w:spacing w:before="0" w:after="48" w:line="240" w:lineRule="atLeast"/>
              <w:rPr>
                <w:rFonts w:cstheme="minorHAnsi"/>
                <w:b/>
                <w:smallCaps/>
                <w:szCs w:val="24"/>
                <w:lang w:val="en-US"/>
              </w:rPr>
            </w:pPr>
            <w:bookmarkStart w:id="3" w:name="dhead"/>
          </w:p>
        </w:tc>
        <w:tc>
          <w:tcPr>
            <w:tcW w:w="3120" w:type="dxa"/>
            <w:tcBorders>
              <w:bottom w:val="single" w:sz="12" w:space="0" w:color="auto"/>
            </w:tcBorders>
          </w:tcPr>
          <w:p w:rsidR="00BD1614" w:rsidRPr="000F58F7" w:rsidRDefault="00BD1614" w:rsidP="000F58F7">
            <w:pPr>
              <w:spacing w:before="0" w:after="48" w:line="240" w:lineRule="atLeast"/>
              <w:rPr>
                <w:rFonts w:cstheme="minorHAnsi"/>
                <w:b/>
                <w:smallCaps/>
                <w:szCs w:val="24"/>
                <w:lang w:val="en-US"/>
              </w:rPr>
            </w:pPr>
          </w:p>
        </w:tc>
      </w:tr>
      <w:tr w:rsidR="00BD1614" w:rsidRPr="002A6F8F" w:rsidTr="006A046E">
        <w:trPr>
          <w:cantSplit/>
        </w:trPr>
        <w:tc>
          <w:tcPr>
            <w:tcW w:w="6911" w:type="dxa"/>
            <w:tcBorders>
              <w:top w:val="single" w:sz="12" w:space="0" w:color="auto"/>
            </w:tcBorders>
          </w:tcPr>
          <w:p w:rsidR="00BD1614" w:rsidRPr="008C10D9" w:rsidRDefault="00BD1614" w:rsidP="003D637A">
            <w:pPr>
              <w:spacing w:before="0"/>
              <w:rPr>
                <w:rFonts w:cstheme="minorHAnsi"/>
                <w:b/>
                <w:smallCaps/>
                <w:szCs w:val="24"/>
                <w:lang w:val="en-US"/>
              </w:rPr>
            </w:pPr>
          </w:p>
        </w:tc>
        <w:tc>
          <w:tcPr>
            <w:tcW w:w="3120" w:type="dxa"/>
            <w:tcBorders>
              <w:top w:val="single" w:sz="12" w:space="0" w:color="auto"/>
            </w:tcBorders>
          </w:tcPr>
          <w:p w:rsidR="00BD1614" w:rsidRPr="008C10D9" w:rsidRDefault="00BD1614" w:rsidP="003D637A">
            <w:pPr>
              <w:spacing w:before="0"/>
              <w:rPr>
                <w:rFonts w:cstheme="minorHAnsi"/>
                <w:szCs w:val="24"/>
                <w:lang w:val="en-US"/>
              </w:rPr>
            </w:pPr>
          </w:p>
        </w:tc>
      </w:tr>
      <w:tr w:rsidR="00BD1614" w:rsidRPr="002A6F8F" w:rsidTr="006A046E">
        <w:trPr>
          <w:cantSplit/>
        </w:trPr>
        <w:tc>
          <w:tcPr>
            <w:tcW w:w="6911" w:type="dxa"/>
          </w:tcPr>
          <w:p w:rsidR="00BD1614" w:rsidRPr="008C10D9" w:rsidRDefault="00417658" w:rsidP="003D637A">
            <w:pPr>
              <w:pStyle w:val="Committee"/>
              <w:framePr w:hSpace="0" w:wrap="auto" w:hAnchor="text" w:yAlign="inline"/>
              <w:spacing w:after="0" w:line="240" w:lineRule="auto"/>
            </w:pPr>
            <w:r w:rsidRPr="008C10D9">
              <w:t>SÉANCE PLÉNIÈRE</w:t>
            </w:r>
          </w:p>
        </w:tc>
        <w:tc>
          <w:tcPr>
            <w:tcW w:w="3120" w:type="dxa"/>
          </w:tcPr>
          <w:p w:rsidR="00BD1614" w:rsidRPr="008C10D9" w:rsidRDefault="00417658" w:rsidP="005710DF">
            <w:pPr>
              <w:spacing w:before="0"/>
              <w:rPr>
                <w:rFonts w:cstheme="minorHAnsi"/>
                <w:szCs w:val="24"/>
                <w:lang w:val="en-US"/>
              </w:rPr>
            </w:pPr>
            <w:r>
              <w:rPr>
                <w:rFonts w:cstheme="minorHAnsi"/>
                <w:b/>
                <w:szCs w:val="24"/>
                <w:lang w:val="en-US"/>
              </w:rPr>
              <w:t xml:space="preserve">Document </w:t>
            </w:r>
            <w:r w:rsidR="005710DF">
              <w:rPr>
                <w:rFonts w:cstheme="minorHAnsi"/>
                <w:b/>
                <w:szCs w:val="24"/>
                <w:lang w:val="en-US"/>
              </w:rPr>
              <w:t>47</w:t>
            </w:r>
            <w:r>
              <w:rPr>
                <w:rFonts w:cstheme="minorHAnsi"/>
                <w:b/>
                <w:szCs w:val="24"/>
                <w:lang w:val="en-US"/>
              </w:rPr>
              <w:t>-F</w:t>
            </w:r>
          </w:p>
        </w:tc>
      </w:tr>
      <w:tr w:rsidR="00BD1614" w:rsidRPr="002A6F8F" w:rsidTr="006A046E">
        <w:trPr>
          <w:cantSplit/>
        </w:trPr>
        <w:tc>
          <w:tcPr>
            <w:tcW w:w="6911" w:type="dxa"/>
          </w:tcPr>
          <w:p w:rsidR="00BD1614" w:rsidRPr="00D0464B" w:rsidRDefault="00BD1614" w:rsidP="003D637A">
            <w:pPr>
              <w:spacing w:before="0"/>
              <w:rPr>
                <w:rFonts w:cstheme="minorHAnsi"/>
                <w:b/>
                <w:szCs w:val="24"/>
                <w:lang w:val="en-US"/>
              </w:rPr>
            </w:pPr>
          </w:p>
        </w:tc>
        <w:tc>
          <w:tcPr>
            <w:tcW w:w="3120" w:type="dxa"/>
          </w:tcPr>
          <w:p w:rsidR="00BD1614" w:rsidRPr="008C10D9" w:rsidRDefault="005710DF" w:rsidP="003D637A">
            <w:pPr>
              <w:spacing w:before="0"/>
              <w:rPr>
                <w:rFonts w:cstheme="minorHAnsi"/>
                <w:b/>
                <w:szCs w:val="24"/>
                <w:lang w:val="en-US"/>
              </w:rPr>
            </w:pPr>
            <w:r>
              <w:rPr>
                <w:rFonts w:cstheme="minorHAnsi"/>
                <w:b/>
                <w:szCs w:val="24"/>
              </w:rPr>
              <w:t>25 juillet 2018</w:t>
            </w:r>
          </w:p>
        </w:tc>
      </w:tr>
      <w:tr w:rsidR="00BD1614" w:rsidRPr="002A6F8F" w:rsidTr="006A046E">
        <w:trPr>
          <w:cantSplit/>
        </w:trPr>
        <w:tc>
          <w:tcPr>
            <w:tcW w:w="6911" w:type="dxa"/>
          </w:tcPr>
          <w:p w:rsidR="00BD1614" w:rsidRPr="008C10D9" w:rsidRDefault="00BD1614" w:rsidP="003D637A">
            <w:pPr>
              <w:spacing w:before="0"/>
              <w:rPr>
                <w:rFonts w:cstheme="minorHAnsi"/>
                <w:b/>
                <w:smallCaps/>
                <w:szCs w:val="24"/>
                <w:lang w:val="en-US"/>
              </w:rPr>
            </w:pPr>
          </w:p>
        </w:tc>
        <w:tc>
          <w:tcPr>
            <w:tcW w:w="3120" w:type="dxa"/>
          </w:tcPr>
          <w:p w:rsidR="00BD1614" w:rsidRPr="008C10D9" w:rsidRDefault="00417658" w:rsidP="003D637A">
            <w:pPr>
              <w:spacing w:before="0"/>
              <w:rPr>
                <w:rFonts w:cstheme="minorHAnsi"/>
                <w:b/>
                <w:szCs w:val="24"/>
                <w:lang w:val="en-US"/>
              </w:rPr>
            </w:pPr>
            <w:r w:rsidRPr="008C10D9">
              <w:rPr>
                <w:rFonts w:cstheme="minorHAnsi"/>
                <w:b/>
                <w:szCs w:val="24"/>
                <w:lang w:val="en-US"/>
              </w:rPr>
              <w:t xml:space="preserve">Original: </w:t>
            </w:r>
            <w:proofErr w:type="spellStart"/>
            <w:r w:rsidRPr="008C10D9">
              <w:rPr>
                <w:rFonts w:cstheme="minorHAnsi"/>
                <w:b/>
                <w:szCs w:val="24"/>
                <w:lang w:val="en-US"/>
              </w:rPr>
              <w:t>anglais</w:t>
            </w:r>
            <w:proofErr w:type="spellEnd"/>
          </w:p>
        </w:tc>
      </w:tr>
      <w:tr w:rsidR="00BD1614" w:rsidRPr="002A6F8F" w:rsidTr="006A046E">
        <w:trPr>
          <w:cantSplit/>
        </w:trPr>
        <w:tc>
          <w:tcPr>
            <w:tcW w:w="10031" w:type="dxa"/>
            <w:gridSpan w:val="2"/>
          </w:tcPr>
          <w:p w:rsidR="00BD1614" w:rsidRPr="008C10D9" w:rsidRDefault="00BD1614" w:rsidP="006A046E">
            <w:pPr>
              <w:spacing w:before="0" w:line="240" w:lineRule="atLeast"/>
              <w:rPr>
                <w:rFonts w:cstheme="minorHAnsi"/>
                <w:b/>
                <w:szCs w:val="24"/>
                <w:lang w:val="en-US"/>
              </w:rPr>
            </w:pPr>
          </w:p>
        </w:tc>
      </w:tr>
      <w:tr w:rsidR="00BD1614" w:rsidRPr="002A6F8F" w:rsidTr="006A046E">
        <w:trPr>
          <w:cantSplit/>
        </w:trPr>
        <w:tc>
          <w:tcPr>
            <w:tcW w:w="10031" w:type="dxa"/>
            <w:gridSpan w:val="2"/>
          </w:tcPr>
          <w:p w:rsidR="00BD1614" w:rsidRPr="002A6F8F" w:rsidRDefault="005710DF" w:rsidP="005710DF">
            <w:pPr>
              <w:pStyle w:val="Source"/>
              <w:rPr>
                <w:lang w:val="en-US"/>
              </w:rPr>
            </w:pPr>
            <w:bookmarkStart w:id="4" w:name="dsource" w:colFirst="0" w:colLast="0"/>
            <w:bookmarkEnd w:id="3"/>
            <w:r w:rsidRPr="008838D4">
              <w:t>Note</w:t>
            </w:r>
            <w:r w:rsidRPr="00120FE2">
              <w:t xml:space="preserve"> </w:t>
            </w:r>
            <w:r>
              <w:t>du Secrétaire g</w:t>
            </w:r>
            <w:r w:rsidRPr="00120FE2">
              <w:t>énéral</w:t>
            </w:r>
          </w:p>
        </w:tc>
      </w:tr>
      <w:tr w:rsidR="00BD1614" w:rsidRPr="002A6F8F" w:rsidTr="006A046E">
        <w:trPr>
          <w:cantSplit/>
        </w:trPr>
        <w:tc>
          <w:tcPr>
            <w:tcW w:w="10031" w:type="dxa"/>
            <w:gridSpan w:val="2"/>
          </w:tcPr>
          <w:p w:rsidR="00BD1614" w:rsidRPr="005710DF" w:rsidRDefault="005710DF" w:rsidP="006A046E">
            <w:pPr>
              <w:pStyle w:val="Title1"/>
              <w:rPr>
                <w:lang w:val="fr-CH"/>
              </w:rPr>
            </w:pPr>
            <w:bookmarkStart w:id="5" w:name="dtitle1" w:colFirst="0" w:colLast="0"/>
            <w:bookmarkEnd w:id="4"/>
            <w:r w:rsidRPr="00840E18">
              <w:rPr>
                <w:lang w:val="fr-CH"/>
              </w:rPr>
              <w:t>ACCORD DE COOPÉRATION ENTRE</w:t>
            </w:r>
            <w:r w:rsidRPr="00840E18">
              <w:rPr>
                <w:lang w:val="fr-CH"/>
              </w:rPr>
              <w:br/>
              <w:t>L</w:t>
            </w:r>
            <w:r w:rsidR="00657EA9">
              <w:rPr>
                <w:lang w:val="fr-CH"/>
              </w:rPr>
              <w:t>'</w:t>
            </w:r>
            <w:r w:rsidRPr="00840E18">
              <w:rPr>
                <w:lang w:val="fr-CH"/>
              </w:rPr>
              <w:t xml:space="preserve">ORGANISATION INTERNATIONALE DE POLICE CRIMINELLE (INTERPOL) </w:t>
            </w:r>
            <w:r w:rsidRPr="00840E18">
              <w:rPr>
                <w:lang w:val="fr-CH"/>
              </w:rPr>
              <w:br/>
            </w:r>
            <w:r>
              <w:rPr>
                <w:lang w:val="fr-CH"/>
              </w:rPr>
              <w:t>ET</w:t>
            </w:r>
            <w:r w:rsidRPr="00840E18">
              <w:rPr>
                <w:lang w:val="fr-CH"/>
              </w:rPr>
              <w:t xml:space="preserve"> </w:t>
            </w:r>
            <w:r>
              <w:rPr>
                <w:lang w:val="fr-CH"/>
              </w:rPr>
              <w:t>L</w:t>
            </w:r>
            <w:r w:rsidR="00657EA9">
              <w:rPr>
                <w:lang w:val="fr-CH"/>
              </w:rPr>
              <w:t>'</w:t>
            </w:r>
            <w:r w:rsidRPr="00840E18">
              <w:rPr>
                <w:lang w:val="fr-CH"/>
              </w:rPr>
              <w:t xml:space="preserve">UNION </w:t>
            </w:r>
            <w:r>
              <w:rPr>
                <w:lang w:val="fr-CH"/>
              </w:rPr>
              <w:t>INTERNATIONALE DES TéLéCOMMUNICATIONS (</w:t>
            </w:r>
            <w:r w:rsidRPr="00840E18">
              <w:rPr>
                <w:lang w:val="fr-CH"/>
              </w:rPr>
              <w:t>U</w:t>
            </w:r>
            <w:r>
              <w:rPr>
                <w:lang w:val="fr-CH"/>
              </w:rPr>
              <w:t>IT</w:t>
            </w:r>
            <w:r w:rsidRPr="00840E18">
              <w:rPr>
                <w:lang w:val="fr-CH"/>
              </w:rPr>
              <w:t>)</w:t>
            </w:r>
          </w:p>
        </w:tc>
      </w:tr>
      <w:tr w:rsidR="00BD1614" w:rsidTr="006A046E">
        <w:trPr>
          <w:cantSplit/>
        </w:trPr>
        <w:tc>
          <w:tcPr>
            <w:tcW w:w="10031" w:type="dxa"/>
            <w:gridSpan w:val="2"/>
          </w:tcPr>
          <w:p w:rsidR="00BD1614" w:rsidRPr="00A10000" w:rsidRDefault="00BD1614" w:rsidP="006A046E">
            <w:pPr>
              <w:pStyle w:val="Agendaitem"/>
              <w:rPr>
                <w:sz w:val="16"/>
                <w:szCs w:val="16"/>
              </w:rPr>
            </w:pPr>
            <w:bookmarkStart w:id="6" w:name="dtitle3" w:colFirst="0" w:colLast="0"/>
            <w:bookmarkEnd w:id="5"/>
          </w:p>
        </w:tc>
      </w:tr>
      <w:bookmarkEnd w:id="6"/>
    </w:tbl>
    <w:p w:rsidR="005710DF" w:rsidRPr="00840E18" w:rsidRDefault="005710DF" w:rsidP="005710DF">
      <w:pPr>
        <w:rPr>
          <w:lang w:val="fr-CH"/>
        </w:rPr>
      </w:pPr>
    </w:p>
    <w:tbl>
      <w:tblPr>
        <w:tblStyle w:val="TableGrid"/>
        <w:tblW w:w="0" w:type="auto"/>
        <w:tblInd w:w="340" w:type="dxa"/>
        <w:tblLook w:val="04A0" w:firstRow="1" w:lastRow="0" w:firstColumn="1" w:lastColumn="0" w:noHBand="0" w:noVBand="1"/>
      </w:tblPr>
      <w:tblGrid>
        <w:gridCol w:w="9295"/>
      </w:tblGrid>
      <w:tr w:rsidR="005710DF" w:rsidTr="00333C25">
        <w:tc>
          <w:tcPr>
            <w:tcW w:w="9635" w:type="dxa"/>
          </w:tcPr>
          <w:p w:rsidR="005710DF" w:rsidRPr="0050480F" w:rsidRDefault="005710DF" w:rsidP="00333C25">
            <w:pPr>
              <w:rPr>
                <w:b/>
                <w:bCs/>
                <w:lang w:val="fr-CH"/>
              </w:rPr>
            </w:pPr>
            <w:r w:rsidRPr="0050480F">
              <w:rPr>
                <w:b/>
                <w:bCs/>
                <w:lang w:val="fr-CH"/>
              </w:rPr>
              <w:t>Résumé</w:t>
            </w:r>
          </w:p>
          <w:p w:rsidR="005710DF" w:rsidRPr="00D57601" w:rsidRDefault="005710DF" w:rsidP="00333C25">
            <w:pPr>
              <w:rPr>
                <w:lang w:val="fr-CH"/>
              </w:rPr>
            </w:pPr>
            <w:r w:rsidRPr="00D57601">
              <w:rPr>
                <w:lang w:val="fr-CH"/>
              </w:rPr>
              <w:t>Conformément au numéro 58 de la Constitution de l</w:t>
            </w:r>
            <w:r w:rsidR="00657EA9">
              <w:rPr>
                <w:lang w:val="fr-CH"/>
              </w:rPr>
              <w:t>'</w:t>
            </w:r>
            <w:r w:rsidRPr="00D57601">
              <w:rPr>
                <w:lang w:val="fr-CH"/>
              </w:rPr>
              <w:t xml:space="preserve">Union internationale des télécommunications et à la Décision 598 du Conseil </w:t>
            </w:r>
            <w:r>
              <w:rPr>
                <w:lang w:val="fr-CH"/>
              </w:rPr>
              <w:t xml:space="preserve">à sa session </w:t>
            </w:r>
            <w:r w:rsidRPr="00D57601">
              <w:rPr>
                <w:lang w:val="fr-CH"/>
              </w:rPr>
              <w:t>de 2017, le texte de l</w:t>
            </w:r>
            <w:r w:rsidR="00657EA9">
              <w:rPr>
                <w:lang w:val="fr-CH"/>
              </w:rPr>
              <w:t>'</w:t>
            </w:r>
            <w:r w:rsidRPr="00D57601">
              <w:rPr>
                <w:lang w:val="fr-CH"/>
              </w:rPr>
              <w:t xml:space="preserve">Accord </w:t>
            </w:r>
            <w:r w:rsidR="005A4D4D">
              <w:rPr>
                <w:lang w:val="fr-CH"/>
              </w:rPr>
              <w:t xml:space="preserve">mentionné </w:t>
            </w:r>
            <w:r w:rsidRPr="00D57601">
              <w:rPr>
                <w:lang w:val="fr-CH"/>
              </w:rPr>
              <w:t xml:space="preserve">ci-dessus </w:t>
            </w:r>
            <w:r>
              <w:rPr>
                <w:lang w:val="fr-CH"/>
              </w:rPr>
              <w:t>est soumis à la</w:t>
            </w:r>
            <w:r w:rsidRPr="00D57601">
              <w:rPr>
                <w:lang w:val="fr-CH"/>
              </w:rPr>
              <w:t xml:space="preserve"> </w:t>
            </w:r>
            <w:r>
              <w:rPr>
                <w:lang w:val="fr-CH"/>
              </w:rPr>
              <w:t>Conférence pour examen et</w:t>
            </w:r>
            <w:r w:rsidRPr="00D57601">
              <w:rPr>
                <w:lang w:val="fr-CH"/>
              </w:rPr>
              <w:t xml:space="preserve">, </w:t>
            </w:r>
            <w:r>
              <w:rPr>
                <w:lang w:val="fr-CH"/>
              </w:rPr>
              <w:t>le cas échéant</w:t>
            </w:r>
            <w:r w:rsidRPr="00D57601">
              <w:rPr>
                <w:lang w:val="fr-CH"/>
              </w:rPr>
              <w:t xml:space="preserve">, </w:t>
            </w:r>
            <w:r>
              <w:rPr>
                <w:lang w:val="fr-CH"/>
              </w:rPr>
              <w:t>approbation</w:t>
            </w:r>
            <w:r w:rsidRPr="00D57601">
              <w:rPr>
                <w:lang w:val="fr-CH"/>
              </w:rPr>
              <w:t>.</w:t>
            </w:r>
          </w:p>
          <w:p w:rsidR="005710DF" w:rsidRPr="008A6B10" w:rsidRDefault="005710DF" w:rsidP="005A4D4D">
            <w:pPr>
              <w:rPr>
                <w:lang w:val="fr-CH"/>
              </w:rPr>
            </w:pPr>
            <w:r w:rsidRPr="008A6B10">
              <w:rPr>
                <w:lang w:val="fr-CH"/>
              </w:rPr>
              <w:t>Conformément au numéro 80 de la Convention de l</w:t>
            </w:r>
            <w:r w:rsidR="00657EA9">
              <w:rPr>
                <w:lang w:val="fr-CH"/>
              </w:rPr>
              <w:t>'</w:t>
            </w:r>
            <w:r w:rsidRPr="008A6B10">
              <w:rPr>
                <w:lang w:val="fr-CH"/>
              </w:rPr>
              <w:t xml:space="preserve">UIT, la conclusion, à titre provisoire, </w:t>
            </w:r>
            <w:r w:rsidR="005A4D4D">
              <w:rPr>
                <w:lang w:val="fr-CH"/>
              </w:rPr>
              <w:t>de cet</w:t>
            </w:r>
            <w:r w:rsidRPr="008A6B10">
              <w:rPr>
                <w:lang w:val="fr-CH"/>
              </w:rPr>
              <w:t xml:space="preserve"> Accord </w:t>
            </w:r>
            <w:r>
              <w:rPr>
                <w:lang w:val="fr-CH"/>
              </w:rPr>
              <w:t>a été approuvée par le Conseil</w:t>
            </w:r>
            <w:r w:rsidRPr="008A6B10">
              <w:rPr>
                <w:lang w:val="fr-CH"/>
              </w:rPr>
              <w:t xml:space="preserve"> </w:t>
            </w:r>
            <w:r>
              <w:rPr>
                <w:lang w:val="fr-CH"/>
              </w:rPr>
              <w:t>à sa</w:t>
            </w:r>
            <w:r w:rsidRPr="008A6B10">
              <w:rPr>
                <w:lang w:val="fr-CH"/>
              </w:rPr>
              <w:t xml:space="preserve"> session </w:t>
            </w:r>
            <w:r>
              <w:rPr>
                <w:lang w:val="fr-CH"/>
              </w:rPr>
              <w:t>de</w:t>
            </w:r>
            <w:r w:rsidRPr="008A6B10">
              <w:rPr>
                <w:lang w:val="fr-CH"/>
              </w:rPr>
              <w:t xml:space="preserve"> 2017 (D</w:t>
            </w:r>
            <w:r>
              <w:rPr>
                <w:lang w:val="fr-CH"/>
              </w:rPr>
              <w:t>é</w:t>
            </w:r>
            <w:r w:rsidRPr="008A6B10">
              <w:rPr>
                <w:lang w:val="fr-CH"/>
              </w:rPr>
              <w:t xml:space="preserve">cision 598 </w:t>
            </w:r>
            <w:r>
              <w:rPr>
                <w:lang w:val="fr-CH"/>
              </w:rPr>
              <w:t>reproduite dans l</w:t>
            </w:r>
            <w:r w:rsidR="00657EA9">
              <w:rPr>
                <w:lang w:val="fr-CH"/>
              </w:rPr>
              <w:t>'</w:t>
            </w:r>
            <w:r>
              <w:rPr>
                <w:lang w:val="fr-CH"/>
              </w:rPr>
              <w:t>Annexe</w:t>
            </w:r>
            <w:r w:rsidRPr="008A6B10">
              <w:rPr>
                <w:lang w:val="fr-CH"/>
              </w:rPr>
              <w:t xml:space="preserve"> B </w:t>
            </w:r>
            <w:r w:rsidR="005A4D4D">
              <w:rPr>
                <w:lang w:val="fr-CH"/>
              </w:rPr>
              <w:t>d</w:t>
            </w:r>
            <w:r>
              <w:rPr>
                <w:lang w:val="fr-CH"/>
              </w:rPr>
              <w:t>u présent</w:t>
            </w:r>
            <w:r w:rsidRPr="008A6B10">
              <w:rPr>
                <w:lang w:val="fr-CH"/>
              </w:rPr>
              <w:t xml:space="preserve"> document) (</w:t>
            </w:r>
            <w:r>
              <w:rPr>
                <w:lang w:val="fr-CH"/>
              </w:rPr>
              <w:t>voir également les documents</w:t>
            </w:r>
            <w:r w:rsidRPr="008A6B10">
              <w:rPr>
                <w:lang w:val="fr-CH"/>
              </w:rPr>
              <w:t xml:space="preserve"> </w:t>
            </w:r>
            <w:hyperlink r:id="rId8" w:history="1">
              <w:r w:rsidRPr="008A6B10">
                <w:rPr>
                  <w:rStyle w:val="Hyperlink"/>
                  <w:lang w:val="fr-CH"/>
                </w:rPr>
                <w:t>C17/126</w:t>
              </w:r>
            </w:hyperlink>
            <w:r w:rsidRPr="008A6B10">
              <w:rPr>
                <w:lang w:val="fr-CH"/>
              </w:rPr>
              <w:t xml:space="preserve">, </w:t>
            </w:r>
            <w:hyperlink r:id="rId9" w:history="1">
              <w:r w:rsidRPr="008A6B10">
                <w:rPr>
                  <w:rStyle w:val="Hyperlink"/>
                  <w:lang w:val="fr-CH"/>
                </w:rPr>
                <w:t>C17/65</w:t>
              </w:r>
            </w:hyperlink>
            <w:r w:rsidRPr="008A6B10">
              <w:rPr>
                <w:lang w:val="fr-CH"/>
              </w:rPr>
              <w:t>).</w:t>
            </w:r>
          </w:p>
          <w:p w:rsidR="005710DF" w:rsidRPr="00437535" w:rsidRDefault="005710DF" w:rsidP="004A0A60">
            <w:pPr>
              <w:rPr>
                <w:lang w:val="fr-CH"/>
              </w:rPr>
            </w:pPr>
            <w:r w:rsidRPr="007C4DF5">
              <w:rPr>
                <w:lang w:val="fr-CH"/>
              </w:rPr>
              <w:t>Le texte de l</w:t>
            </w:r>
            <w:r w:rsidR="00657EA9">
              <w:rPr>
                <w:lang w:val="fr-CH"/>
              </w:rPr>
              <w:t>'</w:t>
            </w:r>
            <w:r w:rsidRPr="007C4DF5">
              <w:rPr>
                <w:lang w:val="fr-CH"/>
              </w:rPr>
              <w:t>Accord entre l</w:t>
            </w:r>
            <w:r w:rsidR="00657EA9">
              <w:rPr>
                <w:lang w:val="fr-CH"/>
              </w:rPr>
              <w:t>'</w:t>
            </w:r>
            <w:r w:rsidRPr="007C4DF5">
              <w:rPr>
                <w:lang w:val="fr-CH"/>
              </w:rPr>
              <w:t xml:space="preserve">UIT et INTERPOL a été approuvé par INTERPOL </w:t>
            </w:r>
            <w:r>
              <w:rPr>
                <w:lang w:val="fr-CH"/>
              </w:rPr>
              <w:t>à sa</w:t>
            </w:r>
            <w:r w:rsidRPr="007C4DF5">
              <w:rPr>
                <w:lang w:val="fr-CH"/>
              </w:rPr>
              <w:t xml:space="preserve"> 86</w:t>
            </w:r>
            <w:r w:rsidR="004A0A60">
              <w:rPr>
                <w:lang w:val="fr-CH"/>
              </w:rPr>
              <w:t>ème</w:t>
            </w:r>
            <w:r w:rsidRPr="007C4DF5">
              <w:rPr>
                <w:lang w:val="fr-CH"/>
              </w:rPr>
              <w:t xml:space="preserve"> </w:t>
            </w:r>
            <w:r>
              <w:rPr>
                <w:lang w:val="fr-CH"/>
              </w:rPr>
              <w:t>session de l</w:t>
            </w:r>
            <w:r w:rsidR="00657EA9">
              <w:rPr>
                <w:lang w:val="fr-CH"/>
              </w:rPr>
              <w:t>'</w:t>
            </w:r>
            <w:r>
              <w:rPr>
                <w:lang w:val="fr-CH"/>
              </w:rPr>
              <w:t>Assemblée générale</w:t>
            </w:r>
            <w:r w:rsidRPr="007C4DF5">
              <w:rPr>
                <w:lang w:val="fr-CH"/>
              </w:rPr>
              <w:t xml:space="preserve"> </w:t>
            </w:r>
            <w:r>
              <w:rPr>
                <w:lang w:val="fr-CH"/>
              </w:rPr>
              <w:t>tenue en</w:t>
            </w:r>
            <w:r w:rsidRPr="007C4DF5">
              <w:rPr>
                <w:lang w:val="fr-CH"/>
              </w:rPr>
              <w:t xml:space="preserve"> </w:t>
            </w:r>
            <w:r>
              <w:rPr>
                <w:lang w:val="fr-CH"/>
              </w:rPr>
              <w:t>septembre</w:t>
            </w:r>
            <w:r w:rsidRPr="007C4DF5">
              <w:rPr>
                <w:lang w:val="fr-CH"/>
              </w:rPr>
              <w:t xml:space="preserve"> 2017. </w:t>
            </w:r>
            <w:r w:rsidRPr="000A3DE6">
              <w:rPr>
                <w:color w:val="000000"/>
                <w:lang w:val="fr-CH"/>
              </w:rPr>
              <w:t xml:space="preserve">Suite à </w:t>
            </w:r>
            <w:r w:rsidR="005A4D4D">
              <w:rPr>
                <w:color w:val="000000"/>
                <w:lang w:val="fr-CH"/>
              </w:rPr>
              <w:t xml:space="preserve">son </w:t>
            </w:r>
            <w:r w:rsidRPr="000A3DE6">
              <w:rPr>
                <w:color w:val="000000"/>
                <w:lang w:val="fr-CH"/>
              </w:rPr>
              <w:t xml:space="preserve">approbation </w:t>
            </w:r>
            <w:r w:rsidR="005A4D4D">
              <w:rPr>
                <w:color w:val="000000"/>
                <w:lang w:val="fr-CH"/>
              </w:rPr>
              <w:t>par le</w:t>
            </w:r>
            <w:r w:rsidRPr="000A3DE6">
              <w:rPr>
                <w:color w:val="000000"/>
                <w:lang w:val="fr-CH"/>
              </w:rPr>
              <w:t xml:space="preserve"> Conseil de l</w:t>
            </w:r>
            <w:r w:rsidR="00657EA9">
              <w:rPr>
                <w:color w:val="000000"/>
                <w:lang w:val="fr-CH"/>
              </w:rPr>
              <w:t>'</w:t>
            </w:r>
            <w:r w:rsidRPr="000A3DE6">
              <w:rPr>
                <w:color w:val="000000"/>
                <w:lang w:val="fr-CH"/>
              </w:rPr>
              <w:t>UIT, cet Accord a été signé le</w:t>
            </w:r>
            <w:r w:rsidRPr="000A3DE6">
              <w:rPr>
                <w:lang w:val="fr-CH"/>
              </w:rPr>
              <w:t xml:space="preserve"> 26 </w:t>
            </w:r>
            <w:r>
              <w:rPr>
                <w:lang w:val="fr-CH"/>
              </w:rPr>
              <w:t>mars</w:t>
            </w:r>
            <w:r w:rsidRPr="000A3DE6">
              <w:rPr>
                <w:lang w:val="fr-CH"/>
              </w:rPr>
              <w:t xml:space="preserve"> 2018 </w:t>
            </w:r>
            <w:r>
              <w:rPr>
                <w:lang w:val="fr-CH"/>
              </w:rPr>
              <w:t>par le Secrétaire général</w:t>
            </w:r>
            <w:r w:rsidRPr="000A3DE6">
              <w:rPr>
                <w:lang w:val="fr-CH"/>
              </w:rPr>
              <w:t xml:space="preserve"> </w:t>
            </w:r>
            <w:r>
              <w:rPr>
                <w:lang w:val="fr-CH"/>
              </w:rPr>
              <w:t>d</w:t>
            </w:r>
            <w:r w:rsidR="00657EA9">
              <w:rPr>
                <w:lang w:val="fr-CH"/>
              </w:rPr>
              <w:t>'</w:t>
            </w:r>
            <w:r w:rsidRPr="000A3DE6">
              <w:rPr>
                <w:lang w:val="fr-CH"/>
              </w:rPr>
              <w:t xml:space="preserve">INTERPOL </w:t>
            </w:r>
            <w:r>
              <w:rPr>
                <w:lang w:val="fr-CH"/>
              </w:rPr>
              <w:t>et le Secrétaire général</w:t>
            </w:r>
            <w:r w:rsidRPr="000A3DE6">
              <w:rPr>
                <w:lang w:val="fr-CH"/>
              </w:rPr>
              <w:t xml:space="preserve"> </w:t>
            </w:r>
            <w:r>
              <w:rPr>
                <w:lang w:val="fr-CH"/>
              </w:rPr>
              <w:t>de l</w:t>
            </w:r>
            <w:r w:rsidR="00657EA9">
              <w:rPr>
                <w:lang w:val="fr-CH"/>
              </w:rPr>
              <w:t>'</w:t>
            </w:r>
            <w:r w:rsidRPr="000A3DE6">
              <w:rPr>
                <w:lang w:val="fr-CH"/>
              </w:rPr>
              <w:t>U</w:t>
            </w:r>
            <w:r>
              <w:rPr>
                <w:lang w:val="fr-CH"/>
              </w:rPr>
              <w:t>IT</w:t>
            </w:r>
            <w:r w:rsidRPr="000A3DE6">
              <w:rPr>
                <w:lang w:val="fr-CH"/>
              </w:rPr>
              <w:t xml:space="preserve">. </w:t>
            </w:r>
            <w:r w:rsidRPr="00437535">
              <w:rPr>
                <w:color w:val="000000"/>
                <w:lang w:val="fr-CH"/>
              </w:rPr>
              <w:t>Pour de plus amples renseignements, la Conférence est priée de se reporter à la section intitulée</w:t>
            </w:r>
            <w:r>
              <w:rPr>
                <w:lang w:val="fr-CH"/>
              </w:rPr>
              <w:t xml:space="preserve"> "Rappel" figurant à</w:t>
            </w:r>
            <w:r w:rsidRPr="00437535">
              <w:rPr>
                <w:lang w:val="fr-CH"/>
              </w:rPr>
              <w:t xml:space="preserve"> </w:t>
            </w:r>
            <w:r>
              <w:rPr>
                <w:lang w:val="fr-CH"/>
              </w:rPr>
              <w:t>l</w:t>
            </w:r>
            <w:r w:rsidR="00657EA9">
              <w:rPr>
                <w:lang w:val="fr-CH"/>
              </w:rPr>
              <w:t>'</w:t>
            </w:r>
            <w:r w:rsidRPr="00437535">
              <w:rPr>
                <w:lang w:val="fr-CH"/>
              </w:rPr>
              <w:t>Appendi</w:t>
            </w:r>
            <w:r>
              <w:rPr>
                <w:lang w:val="fr-CH"/>
              </w:rPr>
              <w:t>ce</w:t>
            </w:r>
            <w:r w:rsidRPr="00437535">
              <w:rPr>
                <w:lang w:val="fr-CH"/>
              </w:rPr>
              <w:t xml:space="preserve"> 1 </w:t>
            </w:r>
            <w:r w:rsidR="005A4D4D">
              <w:rPr>
                <w:lang w:val="fr-CH"/>
              </w:rPr>
              <w:t>d</w:t>
            </w:r>
            <w:r>
              <w:rPr>
                <w:lang w:val="fr-CH"/>
              </w:rPr>
              <w:t>u présent</w:t>
            </w:r>
            <w:r w:rsidRPr="00437535">
              <w:rPr>
                <w:lang w:val="fr-CH"/>
              </w:rPr>
              <w:t xml:space="preserve"> document.</w:t>
            </w:r>
          </w:p>
          <w:p w:rsidR="005710DF" w:rsidRPr="00EE6BF6" w:rsidRDefault="005710DF" w:rsidP="00333C25">
            <w:pPr>
              <w:rPr>
                <w:b/>
                <w:bCs/>
                <w:lang w:val="fr-CH"/>
              </w:rPr>
            </w:pPr>
            <w:r w:rsidRPr="00EE6BF6">
              <w:rPr>
                <w:b/>
                <w:bCs/>
                <w:lang w:val="fr-CH"/>
              </w:rPr>
              <w:t>Suite à donner</w:t>
            </w:r>
          </w:p>
          <w:p w:rsidR="005710DF" w:rsidRPr="00EE6BF6" w:rsidRDefault="005710DF" w:rsidP="00333C25">
            <w:pPr>
              <w:rPr>
                <w:lang w:val="fr-CH"/>
              </w:rPr>
            </w:pPr>
            <w:r w:rsidRPr="00EE6BF6">
              <w:rPr>
                <w:lang w:val="fr-CH"/>
              </w:rPr>
              <w:t>La Conférence est invitée à examiner cet Accord et, si elle l</w:t>
            </w:r>
            <w:r w:rsidR="00657EA9">
              <w:rPr>
                <w:lang w:val="fr-CH"/>
              </w:rPr>
              <w:t>'</w:t>
            </w:r>
            <w:r w:rsidRPr="00EE6BF6">
              <w:rPr>
                <w:lang w:val="fr-CH"/>
              </w:rPr>
              <w:t>estime approprié, à en approuver définitivement la conclusion en vertu d</w:t>
            </w:r>
            <w:r w:rsidR="00A10000">
              <w:rPr>
                <w:lang w:val="fr-CH"/>
              </w:rPr>
              <w:t>u numéro 58 de la Constitution.</w:t>
            </w:r>
            <w:r w:rsidRPr="00EE6BF6">
              <w:rPr>
                <w:lang w:val="fr-CH"/>
              </w:rPr>
              <w:t xml:space="preserve"> Si tel était le cas, cette approbation serait notifiée dans les meilleurs délais aux autorités compétentes </w:t>
            </w:r>
            <w:r>
              <w:rPr>
                <w:lang w:val="fr-CH"/>
              </w:rPr>
              <w:t>d</w:t>
            </w:r>
            <w:r w:rsidR="00657EA9">
              <w:rPr>
                <w:lang w:val="fr-CH"/>
              </w:rPr>
              <w:t>'</w:t>
            </w:r>
            <w:r w:rsidRPr="00EE6BF6">
              <w:rPr>
                <w:lang w:val="fr-CH"/>
              </w:rPr>
              <w:t xml:space="preserve">INTERPOL </w:t>
            </w:r>
            <w:r>
              <w:rPr>
                <w:lang w:val="fr-CH"/>
              </w:rPr>
              <w:t>par le Secrétaire général</w:t>
            </w:r>
            <w:r w:rsidRPr="00EE6BF6">
              <w:rPr>
                <w:lang w:val="fr-CH"/>
              </w:rPr>
              <w:t>.</w:t>
            </w:r>
          </w:p>
          <w:p w:rsidR="005710DF" w:rsidRPr="004B5282" w:rsidRDefault="005710DF" w:rsidP="00333C25">
            <w:pPr>
              <w:rPr>
                <w:b/>
                <w:bCs/>
              </w:rPr>
            </w:pPr>
            <w:r w:rsidRPr="00876D55">
              <w:rPr>
                <w:b/>
                <w:bCs/>
                <w:lang w:val="fr-CH"/>
              </w:rPr>
              <w:t>Références</w:t>
            </w:r>
          </w:p>
          <w:p w:rsidR="005710DF" w:rsidRDefault="005710DF" w:rsidP="00C27450">
            <w:pPr>
              <w:spacing w:after="120"/>
            </w:pPr>
            <w:r>
              <w:t xml:space="preserve">Documents </w:t>
            </w:r>
            <w:hyperlink r:id="rId10" w:history="1">
              <w:r w:rsidRPr="00CA436B">
                <w:rPr>
                  <w:rStyle w:val="Hyperlink"/>
                </w:rPr>
                <w:t>C17/126</w:t>
              </w:r>
            </w:hyperlink>
            <w:r>
              <w:t xml:space="preserve">, </w:t>
            </w:r>
            <w:hyperlink r:id="rId11" w:history="1">
              <w:r w:rsidRPr="00CA436B">
                <w:rPr>
                  <w:rStyle w:val="Hyperlink"/>
                </w:rPr>
                <w:t>C17/65</w:t>
              </w:r>
            </w:hyperlink>
          </w:p>
        </w:tc>
      </w:tr>
    </w:tbl>
    <w:p w:rsidR="005710DF" w:rsidRDefault="005710DF" w:rsidP="005710DF"/>
    <w:p w:rsidR="005710DF" w:rsidRDefault="005710DF" w:rsidP="005710DF">
      <w:pPr>
        <w:tabs>
          <w:tab w:val="clear" w:pos="567"/>
          <w:tab w:val="clear" w:pos="1134"/>
          <w:tab w:val="clear" w:pos="1701"/>
          <w:tab w:val="clear" w:pos="2268"/>
          <w:tab w:val="clear" w:pos="2835"/>
          <w:tab w:val="center" w:pos="6804"/>
          <w:tab w:val="center" w:pos="8505"/>
        </w:tabs>
        <w:spacing w:before="0"/>
      </w:pPr>
      <w:r>
        <w:tab/>
        <w:t xml:space="preserve">Houlin Zhao </w:t>
      </w:r>
    </w:p>
    <w:p w:rsidR="005710DF" w:rsidRDefault="005710DF" w:rsidP="005710DF">
      <w:pPr>
        <w:tabs>
          <w:tab w:val="clear" w:pos="567"/>
          <w:tab w:val="clear" w:pos="1134"/>
          <w:tab w:val="clear" w:pos="1701"/>
          <w:tab w:val="clear" w:pos="2268"/>
          <w:tab w:val="clear" w:pos="2835"/>
          <w:tab w:val="center" w:pos="6804"/>
          <w:tab w:val="center" w:pos="8505"/>
        </w:tabs>
        <w:spacing w:before="0"/>
      </w:pPr>
      <w:r>
        <w:tab/>
        <w:t>Secrétaire général</w:t>
      </w:r>
    </w:p>
    <w:p w:rsidR="005710DF" w:rsidRPr="00F65174" w:rsidRDefault="005710DF" w:rsidP="005710DF">
      <w:pPr>
        <w:pStyle w:val="AppendixNo"/>
      </w:pPr>
      <w:r>
        <w:lastRenderedPageBreak/>
        <w:t>appendice 1</w:t>
      </w:r>
    </w:p>
    <w:p w:rsidR="005710DF" w:rsidRPr="008B4EDE" w:rsidRDefault="005710DF" w:rsidP="005710DF">
      <w:pPr>
        <w:pStyle w:val="Heading1"/>
      </w:pPr>
      <w:r>
        <w:rPr>
          <w:lang w:val="en-US"/>
        </w:rPr>
        <w:t>1</w:t>
      </w:r>
      <w:r w:rsidRPr="00744D59">
        <w:rPr>
          <w:lang w:val="en-US"/>
        </w:rPr>
        <w:tab/>
      </w:r>
      <w:r>
        <w:t>Rappel</w:t>
      </w:r>
    </w:p>
    <w:p w:rsidR="005710DF" w:rsidRPr="009B7C57" w:rsidRDefault="005710DF" w:rsidP="005710DF">
      <w:r w:rsidRPr="009B7C57">
        <w:rPr>
          <w:lang w:val="fr-CH"/>
        </w:rPr>
        <w:t>1.1.</w:t>
      </w:r>
      <w:r w:rsidRPr="009B7C57">
        <w:rPr>
          <w:lang w:val="fr-CH"/>
        </w:rPr>
        <w:tab/>
        <w:t xml:space="preserve">Pendant la session de 2016 du Conseil, </w:t>
      </w:r>
      <w:r w:rsidRPr="009B7C57">
        <w:t xml:space="preserve">un Groupe de travail ad hoc a été créé pour tenir compte de problèmes soulevés par certains Etats Membres au sujet de la </w:t>
      </w:r>
      <w:hyperlink r:id="rId12" w:history="1">
        <w:r w:rsidRPr="009B7C57">
          <w:rPr>
            <w:rStyle w:val="Hyperlink"/>
          </w:rPr>
          <w:t>Contribution 71</w:t>
        </w:r>
      </w:hyperlink>
      <w:r w:rsidRPr="009B7C57">
        <w:t>, intitulée "Accord de coopération entre l</w:t>
      </w:r>
      <w:r w:rsidR="00657EA9">
        <w:t>'</w:t>
      </w:r>
      <w:r w:rsidRPr="009B7C57">
        <w:t>UIT et INTERPOL".</w:t>
      </w:r>
    </w:p>
    <w:p w:rsidR="005710DF" w:rsidRPr="009B7C57" w:rsidRDefault="005710DF" w:rsidP="005710DF">
      <w:r w:rsidRPr="009B7C57">
        <w:t>1.2</w:t>
      </w:r>
      <w:r w:rsidRPr="009B7C57">
        <w:tab/>
        <w:t xml:space="preserve">Compte tenu des conclusions de ce Groupe de travail ad hoc, le Conseil a adopté la </w:t>
      </w:r>
      <w:r w:rsidR="00A10000">
        <w:rPr>
          <w:u w:val="single"/>
        </w:rPr>
        <w:t>Décision </w:t>
      </w:r>
      <w:r w:rsidRPr="00D35274">
        <w:rPr>
          <w:u w:val="single"/>
        </w:rPr>
        <w:t>590</w:t>
      </w:r>
      <w:r w:rsidRPr="009B7C57">
        <w:t>, intitulée "Accord de coopération entre l</w:t>
      </w:r>
      <w:r w:rsidR="00657EA9">
        <w:t>'</w:t>
      </w:r>
      <w:r w:rsidRPr="009B7C57">
        <w:t>UIT et INTERPOL".</w:t>
      </w:r>
    </w:p>
    <w:p w:rsidR="005710DF" w:rsidRPr="009B7C57" w:rsidRDefault="005710DF" w:rsidP="005710DF">
      <w:r w:rsidRPr="009B7C57">
        <w:t>1.3</w:t>
      </w:r>
      <w:r w:rsidRPr="009B7C57">
        <w:tab/>
        <w:t>En vertu de cette Décision, il a été décidé de charger le Secrétaire général de l</w:t>
      </w:r>
      <w:r w:rsidR="00657EA9">
        <w:t>'</w:t>
      </w:r>
      <w:r w:rsidRPr="009B7C57">
        <w:t>UIT de continuer à renforcer la coopération avec INTERPOL, afin d</w:t>
      </w:r>
      <w:r w:rsidR="00657EA9">
        <w:t>'</w:t>
      </w:r>
      <w:r w:rsidRPr="009B7C57">
        <w:t>instaurer la confiance et la sécurité dans l</w:t>
      </w:r>
      <w:r w:rsidR="00657EA9">
        <w:t>'</w:t>
      </w:r>
      <w:r w:rsidRPr="009B7C57">
        <w:t>utilisation des TIC, conformément à la Résolution 130 (Rév. Busan, 2014) de la Conférence de plénipotentiaires.</w:t>
      </w:r>
    </w:p>
    <w:p w:rsidR="005710DF" w:rsidRPr="00C27450" w:rsidRDefault="005710DF" w:rsidP="00A10000">
      <w:pPr>
        <w:pStyle w:val="Heading1"/>
        <w:rPr>
          <w:lang w:val="fr-CH"/>
        </w:rPr>
      </w:pPr>
      <w:r w:rsidRPr="00C27450">
        <w:rPr>
          <w:lang w:val="fr-CH"/>
        </w:rPr>
        <w:t>2</w:t>
      </w:r>
      <w:r w:rsidRPr="00C27450">
        <w:rPr>
          <w:lang w:val="fr-CH"/>
        </w:rPr>
        <w:tab/>
        <w:t xml:space="preserve">Mise en </w:t>
      </w:r>
      <w:proofErr w:type="spellStart"/>
      <w:r w:rsidR="00A10000" w:rsidRPr="00C27450">
        <w:rPr>
          <w:lang w:val="fr-CH"/>
        </w:rPr>
        <w:t>oe</w:t>
      </w:r>
      <w:r w:rsidRPr="00C27450">
        <w:rPr>
          <w:lang w:val="fr-CH"/>
        </w:rPr>
        <w:t>uvre</w:t>
      </w:r>
      <w:proofErr w:type="spellEnd"/>
      <w:r w:rsidRPr="00C27450">
        <w:rPr>
          <w:lang w:val="fr-CH"/>
        </w:rPr>
        <w:t xml:space="preserve"> de la Décision 590</w:t>
      </w:r>
    </w:p>
    <w:p w:rsidR="005710DF" w:rsidRPr="005B5CB8" w:rsidRDefault="00FE4165" w:rsidP="00C27450">
      <w:pPr>
        <w:rPr>
          <w:lang w:val="fr-CH" w:eastAsia="zh-CN"/>
        </w:rPr>
      </w:pPr>
      <w:r>
        <w:rPr>
          <w:lang w:val="fr-CH" w:eastAsia="zh-CN"/>
        </w:rPr>
        <w:t>2.1</w:t>
      </w:r>
      <w:r w:rsidR="005710DF" w:rsidRPr="005B5CB8">
        <w:rPr>
          <w:lang w:val="fr-CH" w:eastAsia="zh-CN"/>
        </w:rPr>
        <w:tab/>
      </w:r>
      <w:r w:rsidR="005710DF" w:rsidRPr="005B5CB8">
        <w:rPr>
          <w:lang w:eastAsia="zh-CN"/>
        </w:rPr>
        <w:t>Ainsi qu</w:t>
      </w:r>
      <w:r w:rsidR="00657EA9">
        <w:rPr>
          <w:lang w:eastAsia="zh-CN"/>
        </w:rPr>
        <w:t>'</w:t>
      </w:r>
      <w:r w:rsidR="005710DF" w:rsidRPr="005B5CB8">
        <w:rPr>
          <w:lang w:eastAsia="zh-CN"/>
        </w:rPr>
        <w:t>il en avait été chargé par le Conseil, et sous la supervision du Secrétaire général de l</w:t>
      </w:r>
      <w:r w:rsidR="00657EA9">
        <w:rPr>
          <w:lang w:eastAsia="zh-CN"/>
        </w:rPr>
        <w:t>'</w:t>
      </w:r>
      <w:r w:rsidR="005710DF" w:rsidRPr="005B5CB8">
        <w:rPr>
          <w:lang w:eastAsia="zh-CN"/>
        </w:rPr>
        <w:t>UIT, le secrétariat de l</w:t>
      </w:r>
      <w:r w:rsidR="00657EA9">
        <w:rPr>
          <w:lang w:eastAsia="zh-CN"/>
        </w:rPr>
        <w:t>'</w:t>
      </w:r>
      <w:r w:rsidR="005710DF" w:rsidRPr="005B5CB8">
        <w:rPr>
          <w:lang w:eastAsia="zh-CN"/>
        </w:rPr>
        <w:t>UIT a examiné les éléments visés dans la Décision 590 avec le personnel du Secrétariat général d</w:t>
      </w:r>
      <w:r w:rsidR="00657EA9">
        <w:rPr>
          <w:lang w:eastAsia="zh-CN"/>
        </w:rPr>
        <w:t>'</w:t>
      </w:r>
      <w:r w:rsidR="005710DF" w:rsidRPr="005B5CB8">
        <w:rPr>
          <w:lang w:eastAsia="zh-CN"/>
        </w:rPr>
        <w:t>INTERPOL au cours d</w:t>
      </w:r>
      <w:r w:rsidR="00657EA9">
        <w:rPr>
          <w:lang w:eastAsia="zh-CN"/>
        </w:rPr>
        <w:t>'</w:t>
      </w:r>
      <w:r w:rsidR="005710DF" w:rsidRPr="005B5CB8">
        <w:rPr>
          <w:lang w:eastAsia="zh-CN"/>
        </w:rPr>
        <w:t>une réunion tenue le 5 septembre 2016 au siège d</w:t>
      </w:r>
      <w:r w:rsidR="00657EA9">
        <w:rPr>
          <w:lang w:eastAsia="zh-CN"/>
        </w:rPr>
        <w:t>'</w:t>
      </w:r>
      <w:r w:rsidR="005710DF" w:rsidRPr="005B5CB8">
        <w:rPr>
          <w:lang w:eastAsia="zh-CN"/>
        </w:rPr>
        <w:t>INTERPOL à Lyon (France). Les secrétariats de l</w:t>
      </w:r>
      <w:r w:rsidR="00657EA9">
        <w:rPr>
          <w:lang w:eastAsia="zh-CN"/>
        </w:rPr>
        <w:t>'</w:t>
      </w:r>
      <w:r w:rsidR="005710DF" w:rsidRPr="005B5CB8">
        <w:rPr>
          <w:lang w:eastAsia="zh-CN"/>
        </w:rPr>
        <w:t>UIT et d</w:t>
      </w:r>
      <w:r w:rsidR="00657EA9">
        <w:rPr>
          <w:lang w:eastAsia="zh-CN"/>
        </w:rPr>
        <w:t>'</w:t>
      </w:r>
      <w:r w:rsidR="005710DF" w:rsidRPr="005B5CB8">
        <w:rPr>
          <w:lang w:eastAsia="zh-CN"/>
        </w:rPr>
        <w:t>INTERPOL ont approuvé des modifications à apporter au texte de l</w:t>
      </w:r>
      <w:r w:rsidR="00657EA9">
        <w:rPr>
          <w:lang w:eastAsia="zh-CN"/>
        </w:rPr>
        <w:t>'</w:t>
      </w:r>
      <w:r w:rsidR="005710DF" w:rsidRPr="005B5CB8">
        <w:rPr>
          <w:lang w:eastAsia="zh-CN"/>
        </w:rPr>
        <w:t>Accord de coopération. Par la suite, le secrétariat de l</w:t>
      </w:r>
      <w:r w:rsidR="00657EA9">
        <w:rPr>
          <w:lang w:eastAsia="zh-CN"/>
        </w:rPr>
        <w:t>'</w:t>
      </w:r>
      <w:r w:rsidR="005710DF" w:rsidRPr="005B5CB8">
        <w:rPr>
          <w:lang w:eastAsia="zh-CN"/>
        </w:rPr>
        <w:t>UIT a proposé d</w:t>
      </w:r>
      <w:r w:rsidR="00657EA9">
        <w:rPr>
          <w:lang w:eastAsia="zh-CN"/>
        </w:rPr>
        <w:t>'</w:t>
      </w:r>
      <w:r w:rsidR="005710DF" w:rsidRPr="005B5CB8">
        <w:rPr>
          <w:lang w:eastAsia="zh-CN"/>
        </w:rPr>
        <w:t>organiser une consultation informelle avec des représentants des Etats Membres ayant participé aux travaux du Groupe de travail ad hoc du Co</w:t>
      </w:r>
      <w:r w:rsidR="0066156E">
        <w:rPr>
          <w:lang w:eastAsia="zh-CN"/>
        </w:rPr>
        <w:t>nseil à sa session de 2016. Les</w:t>
      </w:r>
      <w:r w:rsidR="00C27450">
        <w:rPr>
          <w:lang w:eastAsia="zh-CN"/>
        </w:rPr>
        <w:t xml:space="preserve"> </w:t>
      </w:r>
      <w:r w:rsidR="005710DF" w:rsidRPr="005B5CB8">
        <w:rPr>
          <w:lang w:eastAsia="zh-CN"/>
        </w:rPr>
        <w:t>informations recueillies dans le cadre de cette consultation informelle ont été intégrées dans une version révisée, qui a par la suite été transmise au Secrétariat général d</w:t>
      </w:r>
      <w:r w:rsidR="00657EA9">
        <w:rPr>
          <w:lang w:eastAsia="zh-CN"/>
        </w:rPr>
        <w:t>'</w:t>
      </w:r>
      <w:r w:rsidR="005710DF" w:rsidRPr="005B5CB8">
        <w:rPr>
          <w:lang w:eastAsia="zh-CN"/>
        </w:rPr>
        <w:t>INTERPOL pour accord final, accord qui a été reçu le 1</w:t>
      </w:r>
      <w:r w:rsidR="00A10000">
        <w:rPr>
          <w:lang w:eastAsia="zh-CN"/>
        </w:rPr>
        <w:t>er</w:t>
      </w:r>
      <w:r w:rsidR="005710DF" w:rsidRPr="005B5CB8">
        <w:rPr>
          <w:lang w:eastAsia="zh-CN"/>
        </w:rPr>
        <w:t xml:space="preserve"> mars 2017</w:t>
      </w:r>
      <w:r w:rsidR="005710DF" w:rsidRPr="005B5CB8">
        <w:rPr>
          <w:lang w:val="fr-CH" w:eastAsia="zh-CN"/>
        </w:rPr>
        <w:t>.</w:t>
      </w:r>
    </w:p>
    <w:p w:rsidR="005710DF" w:rsidRPr="00F67ABB" w:rsidRDefault="005710DF" w:rsidP="008A2291">
      <w:pPr>
        <w:rPr>
          <w:lang w:val="fr-CH" w:eastAsia="zh-CN"/>
        </w:rPr>
      </w:pPr>
      <w:r w:rsidRPr="005B5CB8">
        <w:rPr>
          <w:lang w:val="fr-CH" w:eastAsia="zh-CN"/>
        </w:rPr>
        <w:t>2.2</w:t>
      </w:r>
      <w:r w:rsidRPr="005B5CB8">
        <w:rPr>
          <w:lang w:val="fr-CH" w:eastAsia="zh-CN"/>
        </w:rPr>
        <w:tab/>
      </w:r>
      <w:r w:rsidR="008A2291">
        <w:rPr>
          <w:lang w:val="fr-CH" w:eastAsia="zh-CN"/>
        </w:rPr>
        <w:t>A</w:t>
      </w:r>
      <w:r w:rsidRPr="005B5CB8">
        <w:rPr>
          <w:lang w:val="fr-CH" w:eastAsia="zh-CN"/>
        </w:rPr>
        <w:t xml:space="preserve"> sa session de 2017, le Conseil a adopté la </w:t>
      </w:r>
      <w:hyperlink r:id="rId13" w:history="1">
        <w:r w:rsidRPr="005B5CB8">
          <w:rPr>
            <w:rStyle w:val="Hyperlink"/>
            <w:lang w:val="fr-CH" w:eastAsia="zh-CN"/>
          </w:rPr>
          <w:t>D</w:t>
        </w:r>
        <w:r>
          <w:rPr>
            <w:rStyle w:val="Hyperlink"/>
            <w:lang w:val="fr-CH" w:eastAsia="zh-CN"/>
          </w:rPr>
          <w:t>é</w:t>
        </w:r>
        <w:r w:rsidRPr="005B5CB8">
          <w:rPr>
            <w:rStyle w:val="Hyperlink"/>
            <w:lang w:val="fr-CH" w:eastAsia="zh-CN"/>
          </w:rPr>
          <w:t>cision 598</w:t>
        </w:r>
      </w:hyperlink>
      <w:r>
        <w:rPr>
          <w:lang w:val="fr-CH" w:eastAsia="zh-CN"/>
        </w:rPr>
        <w:t>, par laquelle il a</w:t>
      </w:r>
      <w:r w:rsidR="00551E2E">
        <w:rPr>
          <w:lang w:val="fr-CH" w:eastAsia="zh-CN"/>
        </w:rPr>
        <w:t xml:space="preserve"> décidé</w:t>
      </w:r>
      <w:r w:rsidRPr="00F67ABB">
        <w:rPr>
          <w:lang w:val="fr-CH" w:eastAsia="zh-CN"/>
        </w:rPr>
        <w:t>:</w:t>
      </w:r>
    </w:p>
    <w:p w:rsidR="005710DF" w:rsidRPr="0095308D" w:rsidRDefault="005710DF" w:rsidP="00D27019">
      <w:pPr>
        <w:pStyle w:val="enumlev1"/>
        <w:rPr>
          <w:lang w:val="fr-CH"/>
        </w:rPr>
      </w:pPr>
      <w:r w:rsidRPr="0095308D">
        <w:rPr>
          <w:lang w:val="fr-CH"/>
        </w:rPr>
        <w:t>1</w:t>
      </w:r>
      <w:r w:rsidR="00C27450">
        <w:rPr>
          <w:lang w:val="fr-CH"/>
        </w:rPr>
        <w:t>)</w:t>
      </w:r>
      <w:r w:rsidRPr="0095308D">
        <w:rPr>
          <w:lang w:val="fr-CH"/>
        </w:rPr>
        <w:tab/>
      </w:r>
      <w:r w:rsidR="00D27019">
        <w:rPr>
          <w:lang w:val="fr-CH"/>
        </w:rPr>
        <w:t>d'</w:t>
      </w:r>
      <w:r>
        <w:rPr>
          <w:lang w:val="fr-CH"/>
        </w:rPr>
        <w:t>approuv</w:t>
      </w:r>
      <w:r w:rsidR="00D27019">
        <w:rPr>
          <w:lang w:val="fr-CH"/>
        </w:rPr>
        <w:t>er</w:t>
      </w:r>
      <w:r w:rsidRPr="0095308D">
        <w:rPr>
          <w:lang w:val="fr-CH"/>
        </w:rPr>
        <w:t xml:space="preserve"> la conclusion, à titre provisoire,</w:t>
      </w:r>
      <w:r w:rsidR="00D27019">
        <w:rPr>
          <w:lang w:val="fr-CH"/>
        </w:rPr>
        <w:t xml:space="preserve"> de</w:t>
      </w:r>
      <w:r w:rsidRPr="0095308D">
        <w:rPr>
          <w:lang w:val="fr-CH"/>
        </w:rPr>
        <w:t xml:space="preserve"> l</w:t>
      </w:r>
      <w:r w:rsidR="00657EA9">
        <w:rPr>
          <w:lang w:val="fr-CH"/>
        </w:rPr>
        <w:t>'</w:t>
      </w:r>
      <w:r w:rsidRPr="0095308D">
        <w:rPr>
          <w:lang w:val="fr-CH"/>
        </w:rPr>
        <w:t xml:space="preserve">Accord de coopération entre </w:t>
      </w:r>
      <w:r>
        <w:rPr>
          <w:lang w:val="fr-CH"/>
        </w:rPr>
        <w:t>l</w:t>
      </w:r>
      <w:r w:rsidR="00657EA9">
        <w:rPr>
          <w:lang w:val="fr-CH"/>
        </w:rPr>
        <w:t>'</w:t>
      </w:r>
      <w:r w:rsidRPr="0095308D">
        <w:rPr>
          <w:lang w:val="fr-CH"/>
        </w:rPr>
        <w:t>U</w:t>
      </w:r>
      <w:r>
        <w:rPr>
          <w:lang w:val="fr-CH"/>
        </w:rPr>
        <w:t>IT</w:t>
      </w:r>
      <w:r w:rsidRPr="0095308D">
        <w:rPr>
          <w:lang w:val="fr-CH"/>
        </w:rPr>
        <w:t xml:space="preserve"> </w:t>
      </w:r>
      <w:r>
        <w:rPr>
          <w:lang w:val="fr-CH"/>
        </w:rPr>
        <w:t>et</w:t>
      </w:r>
      <w:r w:rsidRPr="0095308D">
        <w:rPr>
          <w:lang w:val="fr-CH"/>
        </w:rPr>
        <w:t xml:space="preserve"> INTERPOL, tel qu</w:t>
      </w:r>
      <w:r w:rsidR="00657EA9">
        <w:rPr>
          <w:lang w:val="fr-CH"/>
        </w:rPr>
        <w:t>'</w:t>
      </w:r>
      <w:r w:rsidRPr="0095308D">
        <w:rPr>
          <w:lang w:val="fr-CH"/>
        </w:rPr>
        <w:t>il figure dans l</w:t>
      </w:r>
      <w:r w:rsidR="00657EA9">
        <w:rPr>
          <w:lang w:val="fr-CH"/>
        </w:rPr>
        <w:t>'</w:t>
      </w:r>
      <w:r w:rsidRPr="0095308D">
        <w:rPr>
          <w:lang w:val="fr-CH"/>
        </w:rPr>
        <w:t>Annexe A du document susmentionné;</w:t>
      </w:r>
    </w:p>
    <w:p w:rsidR="005710DF" w:rsidRPr="0095308D" w:rsidRDefault="005710DF" w:rsidP="00A10000">
      <w:pPr>
        <w:pStyle w:val="enumlev1"/>
        <w:rPr>
          <w:lang w:val="fr-CH"/>
        </w:rPr>
      </w:pPr>
      <w:r w:rsidRPr="0095308D">
        <w:rPr>
          <w:lang w:val="fr-CH"/>
        </w:rPr>
        <w:t>2</w:t>
      </w:r>
      <w:r w:rsidR="00C27450">
        <w:rPr>
          <w:lang w:val="fr-CH"/>
        </w:rPr>
        <w:t>)</w:t>
      </w:r>
      <w:r w:rsidRPr="0095308D">
        <w:rPr>
          <w:lang w:val="fr-CH"/>
        </w:rPr>
        <w:tab/>
      </w:r>
      <w:r w:rsidR="00D27019">
        <w:rPr>
          <w:lang w:val="fr-CH"/>
        </w:rPr>
        <w:t>d'</w:t>
      </w:r>
      <w:r w:rsidRPr="0095308D">
        <w:rPr>
          <w:lang w:val="fr-CH"/>
        </w:rPr>
        <w:t>autoris</w:t>
      </w:r>
      <w:r w:rsidR="00D27019">
        <w:rPr>
          <w:lang w:val="fr-CH"/>
        </w:rPr>
        <w:t>er</w:t>
      </w:r>
      <w:r w:rsidRPr="0095308D">
        <w:rPr>
          <w:lang w:val="fr-CH"/>
        </w:rPr>
        <w:t xml:space="preserve"> le Secrétaire général à signer l</w:t>
      </w:r>
      <w:r w:rsidR="00657EA9">
        <w:rPr>
          <w:lang w:val="fr-CH"/>
        </w:rPr>
        <w:t>'</w:t>
      </w:r>
      <w:r w:rsidRPr="0095308D">
        <w:rPr>
          <w:lang w:val="fr-CH"/>
        </w:rPr>
        <w:t>Accord au nom de l</w:t>
      </w:r>
      <w:r w:rsidR="00657EA9">
        <w:rPr>
          <w:lang w:val="fr-CH"/>
        </w:rPr>
        <w:t>'</w:t>
      </w:r>
      <w:r w:rsidRPr="0095308D">
        <w:rPr>
          <w:lang w:val="fr-CH"/>
        </w:rPr>
        <w:t xml:space="preserve">Union; </w:t>
      </w:r>
      <w:r>
        <w:rPr>
          <w:lang w:val="fr-CH"/>
        </w:rPr>
        <w:t>et</w:t>
      </w:r>
    </w:p>
    <w:p w:rsidR="005710DF" w:rsidRPr="00EE7651" w:rsidRDefault="005710DF" w:rsidP="00D27019">
      <w:pPr>
        <w:pStyle w:val="enumlev1"/>
        <w:rPr>
          <w:lang w:val="fr-CH"/>
        </w:rPr>
      </w:pPr>
      <w:r w:rsidRPr="00EE7651">
        <w:rPr>
          <w:lang w:val="fr-CH"/>
        </w:rPr>
        <w:t>3</w:t>
      </w:r>
      <w:r w:rsidR="00C27450">
        <w:rPr>
          <w:lang w:val="fr-CH"/>
        </w:rPr>
        <w:t>)</w:t>
      </w:r>
      <w:r w:rsidRPr="00EE7651">
        <w:rPr>
          <w:lang w:val="fr-CH"/>
        </w:rPr>
        <w:tab/>
      </w:r>
      <w:r w:rsidR="00D27019">
        <w:rPr>
          <w:lang w:val="fr-CH"/>
        </w:rPr>
        <w:t xml:space="preserve">de </w:t>
      </w:r>
      <w:r>
        <w:rPr>
          <w:lang w:val="fr-CH"/>
        </w:rPr>
        <w:t>charg</w:t>
      </w:r>
      <w:r w:rsidR="00D27019">
        <w:rPr>
          <w:lang w:val="fr-CH"/>
        </w:rPr>
        <w:t>er</w:t>
      </w:r>
      <w:r>
        <w:rPr>
          <w:lang w:val="fr-CH"/>
        </w:rPr>
        <w:t xml:space="preserve"> le</w:t>
      </w:r>
      <w:r w:rsidRPr="00EE7651">
        <w:rPr>
          <w:lang w:val="fr-CH"/>
        </w:rPr>
        <w:t xml:space="preserve"> Secrétaire général de soumettre l</w:t>
      </w:r>
      <w:r w:rsidR="00657EA9">
        <w:rPr>
          <w:lang w:val="fr-CH"/>
        </w:rPr>
        <w:t>'</w:t>
      </w:r>
      <w:r w:rsidRPr="00EE7651">
        <w:rPr>
          <w:lang w:val="fr-CH"/>
        </w:rPr>
        <w:t>Accord à la Conférence de plénipotentiaires de l</w:t>
      </w:r>
      <w:r w:rsidR="00657EA9">
        <w:rPr>
          <w:lang w:val="fr-CH"/>
        </w:rPr>
        <w:t>'</w:t>
      </w:r>
      <w:r w:rsidRPr="00EE7651">
        <w:rPr>
          <w:lang w:val="fr-CH"/>
        </w:rPr>
        <w:t>Union prévue pour 2018 pour qu</w:t>
      </w:r>
      <w:r w:rsidR="00657EA9">
        <w:rPr>
          <w:lang w:val="fr-CH"/>
        </w:rPr>
        <w:t>'</w:t>
      </w:r>
      <w:r w:rsidRPr="00EE7651">
        <w:rPr>
          <w:lang w:val="fr-CH"/>
        </w:rPr>
        <w:t>elle l</w:t>
      </w:r>
      <w:r w:rsidR="00657EA9">
        <w:rPr>
          <w:lang w:val="fr-CH"/>
        </w:rPr>
        <w:t>'</w:t>
      </w:r>
      <w:r w:rsidRPr="00EE7651">
        <w:rPr>
          <w:lang w:val="fr-CH"/>
        </w:rPr>
        <w:t>examine et lui donne la suite qu</w:t>
      </w:r>
      <w:r w:rsidR="00657EA9">
        <w:rPr>
          <w:lang w:val="fr-CH"/>
        </w:rPr>
        <w:t>'</w:t>
      </w:r>
      <w:r w:rsidRPr="00EE7651">
        <w:rPr>
          <w:lang w:val="fr-CH"/>
        </w:rPr>
        <w:t>elle jugera appropriée.</w:t>
      </w:r>
    </w:p>
    <w:p w:rsidR="005710DF" w:rsidRPr="005707C9" w:rsidRDefault="005710DF" w:rsidP="005710DF">
      <w:pPr>
        <w:pStyle w:val="Heading1"/>
        <w:rPr>
          <w:lang w:val="fr-CH"/>
        </w:rPr>
      </w:pPr>
      <w:r w:rsidRPr="005707C9">
        <w:rPr>
          <w:lang w:val="fr-CH"/>
        </w:rPr>
        <w:t>3</w:t>
      </w:r>
      <w:r w:rsidRPr="005707C9">
        <w:rPr>
          <w:lang w:val="fr-CH"/>
        </w:rPr>
        <w:tab/>
        <w:t>Approbation de l</w:t>
      </w:r>
      <w:r w:rsidR="00657EA9">
        <w:rPr>
          <w:lang w:val="fr-CH"/>
        </w:rPr>
        <w:t>'</w:t>
      </w:r>
      <w:r w:rsidRPr="005707C9">
        <w:rPr>
          <w:lang w:val="fr-CH"/>
        </w:rPr>
        <w:t>Accord par INTERPOL</w:t>
      </w:r>
    </w:p>
    <w:p w:rsidR="005710DF" w:rsidRPr="00EE7651" w:rsidRDefault="005710DF" w:rsidP="00D72DDF">
      <w:pPr>
        <w:rPr>
          <w:lang w:val="fr-CH"/>
        </w:rPr>
      </w:pPr>
      <w:r w:rsidRPr="00EE7651">
        <w:rPr>
          <w:lang w:val="fr-CH"/>
        </w:rPr>
        <w:t>3.1</w:t>
      </w:r>
      <w:r w:rsidRPr="00EE7651">
        <w:rPr>
          <w:lang w:val="fr-CH"/>
        </w:rPr>
        <w:tab/>
      </w:r>
      <w:r w:rsidRPr="00EE7651">
        <w:t>Après réception de la notification du Secrétaire général concernant l</w:t>
      </w:r>
      <w:r w:rsidR="00657EA9">
        <w:t>'</w:t>
      </w:r>
      <w:r w:rsidRPr="00EE7651">
        <w:t>approbation par le Conseil, le Secrétariat général d</w:t>
      </w:r>
      <w:r w:rsidR="00657EA9">
        <w:t>'</w:t>
      </w:r>
      <w:r w:rsidRPr="00EE7651">
        <w:t xml:space="preserve">INTERPOL </w:t>
      </w:r>
      <w:r>
        <w:t>a soumis</w:t>
      </w:r>
      <w:r w:rsidRPr="00EE7651">
        <w:t xml:space="preserve"> l</w:t>
      </w:r>
      <w:r w:rsidR="00657EA9">
        <w:t>'</w:t>
      </w:r>
      <w:r w:rsidRPr="00EE7651">
        <w:t>Accord à sa 86</w:t>
      </w:r>
      <w:r w:rsidR="00F43E94">
        <w:t>ème</w:t>
      </w:r>
      <w:r w:rsidRPr="00EE7651">
        <w:t xml:space="preserve"> Assemblée générale, qui s</w:t>
      </w:r>
      <w:r w:rsidR="00657EA9">
        <w:t>'</w:t>
      </w:r>
      <w:r>
        <w:t>est t</w:t>
      </w:r>
      <w:r w:rsidRPr="00EE7651">
        <w:t>en</w:t>
      </w:r>
      <w:r>
        <w:t>ue</w:t>
      </w:r>
      <w:r w:rsidRPr="00EE7651">
        <w:t xml:space="preserve"> à Beijing (Chine) en </w:t>
      </w:r>
      <w:r>
        <w:t xml:space="preserve">septembre </w:t>
      </w:r>
      <w:r w:rsidRPr="00EE7651">
        <w:t>2017</w:t>
      </w:r>
      <w:r w:rsidRPr="00EE7651">
        <w:rPr>
          <w:lang w:val="fr-CH"/>
        </w:rPr>
        <w:t>. L</w:t>
      </w:r>
      <w:r w:rsidR="00657EA9">
        <w:rPr>
          <w:lang w:val="fr-CH"/>
        </w:rPr>
        <w:t>'</w:t>
      </w:r>
      <w:r w:rsidRPr="00EE7651">
        <w:rPr>
          <w:lang w:val="fr-CH"/>
        </w:rPr>
        <w:t xml:space="preserve">Assemblée a adopté la Résolution 8, </w:t>
      </w:r>
      <w:r w:rsidR="00F43E94">
        <w:rPr>
          <w:lang w:val="fr-CH"/>
        </w:rPr>
        <w:t>par laquelle elle a autorisé</w:t>
      </w:r>
      <w:r w:rsidRPr="00EE7651">
        <w:rPr>
          <w:lang w:val="fr-CH"/>
        </w:rPr>
        <w:t xml:space="preserve"> le Secrétaire général </w:t>
      </w:r>
      <w:r>
        <w:rPr>
          <w:lang w:val="fr-CH"/>
        </w:rPr>
        <w:t>d</w:t>
      </w:r>
      <w:r w:rsidR="00657EA9">
        <w:rPr>
          <w:lang w:val="fr-CH"/>
        </w:rPr>
        <w:t>'</w:t>
      </w:r>
      <w:r w:rsidRPr="00EE7651">
        <w:rPr>
          <w:lang w:val="fr-CH"/>
        </w:rPr>
        <w:t xml:space="preserve">INTERPOL </w:t>
      </w:r>
      <w:r>
        <w:rPr>
          <w:lang w:val="fr-CH"/>
        </w:rPr>
        <w:t>à signer</w:t>
      </w:r>
      <w:r w:rsidRPr="00EE7651">
        <w:rPr>
          <w:lang w:val="fr-CH"/>
        </w:rPr>
        <w:t xml:space="preserve"> </w:t>
      </w:r>
      <w:r w:rsidR="007E389D">
        <w:rPr>
          <w:lang w:val="fr-CH"/>
        </w:rPr>
        <w:t>l</w:t>
      </w:r>
      <w:r w:rsidR="00657EA9">
        <w:rPr>
          <w:lang w:val="fr-CH"/>
        </w:rPr>
        <w:t>'</w:t>
      </w:r>
      <w:r w:rsidR="00D72DDF">
        <w:rPr>
          <w:lang w:val="fr-CH"/>
        </w:rPr>
        <w:t>A</w:t>
      </w:r>
      <w:bookmarkStart w:id="7" w:name="_GoBack"/>
      <w:bookmarkEnd w:id="7"/>
      <w:r>
        <w:rPr>
          <w:lang w:val="fr-CH"/>
        </w:rPr>
        <w:t>ccord révisé et approuvé par le Conseil de</w:t>
      </w:r>
      <w:r w:rsidRPr="00EE7651">
        <w:rPr>
          <w:lang w:val="fr-CH"/>
        </w:rPr>
        <w:t xml:space="preserve"> </w:t>
      </w:r>
      <w:r>
        <w:rPr>
          <w:lang w:val="fr-CH"/>
        </w:rPr>
        <w:t>l</w:t>
      </w:r>
      <w:r w:rsidR="00657EA9">
        <w:rPr>
          <w:lang w:val="fr-CH"/>
        </w:rPr>
        <w:t>'</w:t>
      </w:r>
      <w:r w:rsidRPr="00EE7651">
        <w:rPr>
          <w:lang w:val="fr-CH"/>
        </w:rPr>
        <w:t>U</w:t>
      </w:r>
      <w:r>
        <w:rPr>
          <w:lang w:val="fr-CH"/>
        </w:rPr>
        <w:t>IT</w:t>
      </w:r>
      <w:r w:rsidRPr="00EE7651">
        <w:rPr>
          <w:lang w:val="fr-CH"/>
        </w:rPr>
        <w:t xml:space="preserve"> </w:t>
      </w:r>
      <w:r>
        <w:rPr>
          <w:lang w:val="fr-CH"/>
        </w:rPr>
        <w:t>à sa session de</w:t>
      </w:r>
      <w:r w:rsidRPr="00EE7651">
        <w:rPr>
          <w:lang w:val="fr-CH"/>
        </w:rPr>
        <w:t xml:space="preserve"> 2017. </w:t>
      </w:r>
    </w:p>
    <w:p w:rsidR="005710DF" w:rsidRPr="00903967" w:rsidRDefault="005710DF" w:rsidP="00903967">
      <w:pPr>
        <w:pStyle w:val="Heading1"/>
      </w:pPr>
      <w:r w:rsidRPr="00903967">
        <w:lastRenderedPageBreak/>
        <w:t>4</w:t>
      </w:r>
      <w:r w:rsidRPr="00903967">
        <w:tab/>
        <w:t>Procédures d</w:t>
      </w:r>
      <w:r w:rsidR="00657EA9" w:rsidRPr="00903967">
        <w:t>'</w:t>
      </w:r>
      <w:r w:rsidRPr="00903967">
        <w:t>approbation par l</w:t>
      </w:r>
      <w:r w:rsidR="00657EA9" w:rsidRPr="00903967">
        <w:t>'</w:t>
      </w:r>
      <w:r w:rsidRPr="00903967">
        <w:t>UIT</w:t>
      </w:r>
    </w:p>
    <w:p w:rsidR="005710DF" w:rsidRPr="000A6517" w:rsidRDefault="005710DF" w:rsidP="005710DF">
      <w:pPr>
        <w:rPr>
          <w:lang w:val="fr-CH"/>
        </w:rPr>
      </w:pPr>
      <w:r w:rsidRPr="000A6517">
        <w:rPr>
          <w:lang w:val="fr-CH"/>
        </w:rPr>
        <w:t>4.1</w:t>
      </w:r>
      <w:r w:rsidRPr="000A6517">
        <w:rPr>
          <w:lang w:val="fr-CH"/>
        </w:rPr>
        <w:tab/>
        <w:t>En vertu du numéro 80 de la Convention de l</w:t>
      </w:r>
      <w:r w:rsidR="00657EA9">
        <w:rPr>
          <w:lang w:val="fr-CH"/>
        </w:rPr>
        <w:t>'</w:t>
      </w:r>
      <w:r w:rsidRPr="000A6517">
        <w:rPr>
          <w:lang w:val="fr-CH"/>
        </w:rPr>
        <w:t>UIT, le Conseil de l</w:t>
      </w:r>
      <w:r w:rsidR="00657EA9">
        <w:rPr>
          <w:lang w:val="fr-CH"/>
        </w:rPr>
        <w:t>'</w:t>
      </w:r>
      <w:r w:rsidRPr="000A6517">
        <w:rPr>
          <w:lang w:val="fr-CH"/>
        </w:rPr>
        <w:t>UIT</w:t>
      </w:r>
      <w:r>
        <w:rPr>
          <w:lang w:val="fr-CH"/>
        </w:rPr>
        <w:t>,</w:t>
      </w:r>
      <w:r w:rsidRPr="000A6517">
        <w:rPr>
          <w:lang w:val="fr-CH"/>
        </w:rPr>
        <w:t xml:space="preserve"> lors de sa session de mai 2017, a décidé d</w:t>
      </w:r>
      <w:r w:rsidR="00657EA9">
        <w:rPr>
          <w:lang w:val="fr-CH"/>
        </w:rPr>
        <w:t>'</w:t>
      </w:r>
      <w:r w:rsidRPr="000A6517">
        <w:rPr>
          <w:lang w:val="fr-CH"/>
        </w:rPr>
        <w:t>approuver la conclusion, à titre provisoire, de l</w:t>
      </w:r>
      <w:r w:rsidR="00657EA9">
        <w:rPr>
          <w:lang w:val="fr-CH"/>
        </w:rPr>
        <w:t>'</w:t>
      </w:r>
      <w:r w:rsidRPr="000A6517">
        <w:rPr>
          <w:lang w:val="fr-CH"/>
        </w:rPr>
        <w:t>Accord de coopération entre l</w:t>
      </w:r>
      <w:r w:rsidR="00657EA9">
        <w:rPr>
          <w:lang w:val="fr-CH"/>
        </w:rPr>
        <w:t>'</w:t>
      </w:r>
      <w:r w:rsidRPr="000A6517">
        <w:rPr>
          <w:lang w:val="fr-CH"/>
        </w:rPr>
        <w:t xml:space="preserve">UIT et INTERPOL </w:t>
      </w:r>
      <w:r>
        <w:rPr>
          <w:lang w:val="fr-CH"/>
        </w:rPr>
        <w:t>dans les termes qui figurent à l</w:t>
      </w:r>
      <w:r w:rsidR="00657EA9">
        <w:rPr>
          <w:lang w:val="fr-CH"/>
        </w:rPr>
        <w:t>'</w:t>
      </w:r>
      <w:r>
        <w:rPr>
          <w:lang w:val="fr-CH"/>
        </w:rPr>
        <w:t xml:space="preserve">Annexe 1 du présent document (voir, à cet égard, la </w:t>
      </w:r>
      <w:hyperlink r:id="rId14" w:history="1">
        <w:r>
          <w:rPr>
            <w:rStyle w:val="Hyperlink"/>
            <w:lang w:val="fr-CH" w:eastAsia="zh-CN"/>
          </w:rPr>
          <w:t>Dé</w:t>
        </w:r>
        <w:r w:rsidRPr="000A6517">
          <w:rPr>
            <w:rStyle w:val="Hyperlink"/>
            <w:lang w:val="fr-CH" w:eastAsia="zh-CN"/>
          </w:rPr>
          <w:t>cision 598</w:t>
        </w:r>
      </w:hyperlink>
      <w:r w:rsidRPr="000A6517">
        <w:rPr>
          <w:lang w:val="fr-CH" w:eastAsia="zh-CN"/>
        </w:rPr>
        <w:t xml:space="preserve"> </w:t>
      </w:r>
      <w:r>
        <w:rPr>
          <w:lang w:val="fr-CH"/>
        </w:rPr>
        <w:t>du Conseil</w:t>
      </w:r>
      <w:r w:rsidRPr="000A6517">
        <w:rPr>
          <w:lang w:val="fr-CH"/>
        </w:rPr>
        <w:t>). Le Conseil a, en outre, autorisé le Secrétaire général à signer l</w:t>
      </w:r>
      <w:r w:rsidR="00657EA9">
        <w:rPr>
          <w:lang w:val="fr-CH"/>
        </w:rPr>
        <w:t>'</w:t>
      </w:r>
      <w:r w:rsidRPr="000A6517">
        <w:rPr>
          <w:lang w:val="fr-CH"/>
        </w:rPr>
        <w:t>Accord, au nom de l</w:t>
      </w:r>
      <w:r w:rsidR="00657EA9">
        <w:rPr>
          <w:lang w:val="fr-CH"/>
        </w:rPr>
        <w:t>'</w:t>
      </w:r>
      <w:r w:rsidRPr="000A6517">
        <w:rPr>
          <w:lang w:val="fr-CH"/>
        </w:rPr>
        <w:t>Union</w:t>
      </w:r>
      <w:r>
        <w:rPr>
          <w:lang w:val="fr-CH"/>
        </w:rPr>
        <w:t>,</w:t>
      </w:r>
      <w:r w:rsidRPr="000A6517">
        <w:rPr>
          <w:lang w:val="fr-CH"/>
        </w:rPr>
        <w:t xml:space="preserve"> </w:t>
      </w:r>
      <w:r>
        <w:rPr>
          <w:lang w:val="fr-CH"/>
        </w:rPr>
        <w:t>ce qui a été fait, à</w:t>
      </w:r>
      <w:r w:rsidRPr="000A6517">
        <w:rPr>
          <w:lang w:val="fr-CH"/>
        </w:rPr>
        <w:t xml:space="preserve"> Lyon</w:t>
      </w:r>
      <w:r>
        <w:rPr>
          <w:lang w:val="fr-CH"/>
        </w:rPr>
        <w:t>,</w:t>
      </w:r>
      <w:r w:rsidRPr="000A6517">
        <w:rPr>
          <w:lang w:val="fr-CH"/>
        </w:rPr>
        <w:t xml:space="preserve"> </w:t>
      </w:r>
      <w:r>
        <w:rPr>
          <w:lang w:val="fr-CH"/>
        </w:rPr>
        <w:t>le</w:t>
      </w:r>
      <w:r w:rsidRPr="000A6517">
        <w:rPr>
          <w:lang w:val="fr-CH"/>
        </w:rPr>
        <w:t xml:space="preserve"> 26 </w:t>
      </w:r>
      <w:r>
        <w:rPr>
          <w:lang w:val="fr-CH"/>
        </w:rPr>
        <w:t>mars</w:t>
      </w:r>
      <w:r w:rsidRPr="000A6517">
        <w:rPr>
          <w:lang w:val="fr-CH"/>
        </w:rPr>
        <w:t xml:space="preserve"> 2018.</w:t>
      </w:r>
      <w:r>
        <w:rPr>
          <w:lang w:val="fr-CH"/>
        </w:rPr>
        <w:t xml:space="preserve"> </w:t>
      </w:r>
    </w:p>
    <w:p w:rsidR="005710DF" w:rsidRPr="000A6517" w:rsidRDefault="005710DF" w:rsidP="005710DF">
      <w:pPr>
        <w:rPr>
          <w:lang w:val="fr-CH"/>
        </w:rPr>
      </w:pPr>
      <w:r w:rsidRPr="000A6517">
        <w:rPr>
          <w:lang w:val="fr-CH"/>
        </w:rPr>
        <w:t>4.2</w:t>
      </w:r>
      <w:r w:rsidRPr="000A6517">
        <w:rPr>
          <w:lang w:val="fr-CH"/>
        </w:rPr>
        <w:tab/>
        <w:t>Conformément au numéro 58 de la Constitution</w:t>
      </w:r>
      <w:r w:rsidR="001D203F">
        <w:rPr>
          <w:lang w:val="fr-CH"/>
        </w:rPr>
        <w:t>,</w:t>
      </w:r>
      <w:r w:rsidRPr="000A6517">
        <w:rPr>
          <w:lang w:val="fr-CH"/>
        </w:rPr>
        <w:t xml:space="preserve"> qui stipule en particulier que la Conférence de plénipotentiaires "examine tout accord provisoire conclu par le Conseil au nom de l</w:t>
      </w:r>
      <w:r w:rsidR="00657EA9">
        <w:rPr>
          <w:lang w:val="fr-CH"/>
        </w:rPr>
        <w:t>'</w:t>
      </w:r>
      <w:r w:rsidRPr="000A6517">
        <w:rPr>
          <w:lang w:val="fr-CH"/>
        </w:rPr>
        <w:t>Union ... et lui donne la suite qu</w:t>
      </w:r>
      <w:r w:rsidR="00657EA9">
        <w:rPr>
          <w:lang w:val="fr-CH"/>
        </w:rPr>
        <w:t>'</w:t>
      </w:r>
      <w:r w:rsidRPr="000A6517">
        <w:rPr>
          <w:lang w:val="fr-CH"/>
        </w:rPr>
        <w:t>elle juge appropriée", la présente Conférence est donc invitée à examiner cet Accord et, si elle l</w:t>
      </w:r>
      <w:r w:rsidR="00657EA9">
        <w:rPr>
          <w:lang w:val="fr-CH"/>
        </w:rPr>
        <w:t>'</w:t>
      </w:r>
      <w:r w:rsidRPr="000A6517">
        <w:rPr>
          <w:lang w:val="fr-CH"/>
        </w:rPr>
        <w:t xml:space="preserve">estime approprié, à en approuver définitivement la conclusion. </w:t>
      </w:r>
    </w:p>
    <w:p w:rsidR="005710DF" w:rsidRPr="000A6517" w:rsidRDefault="005710DF" w:rsidP="005710DF">
      <w:pPr>
        <w:rPr>
          <w:lang w:val="fr-CH"/>
        </w:rPr>
      </w:pPr>
    </w:p>
    <w:p w:rsidR="005710DF" w:rsidRDefault="005710DF" w:rsidP="005710DF">
      <w:pPr>
        <w:pStyle w:val="AnnexNo"/>
      </w:pPr>
      <w:r w:rsidRPr="000A6517">
        <w:rPr>
          <w:lang w:val="fr-CH"/>
        </w:rPr>
        <w:br w:type="page"/>
      </w:r>
      <w:r w:rsidRPr="007E40D2">
        <w:lastRenderedPageBreak/>
        <w:t>ANNEX</w:t>
      </w:r>
      <w:r>
        <w:t>E A</w:t>
      </w:r>
    </w:p>
    <w:p w:rsidR="005710DF" w:rsidRDefault="005710DF" w:rsidP="005710DF">
      <w:pPr>
        <w:rPr>
          <w:rFonts w:cs="Calibri"/>
          <w:b/>
          <w:bCs/>
          <w:color w:val="00437A"/>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424"/>
      </w:tblGrid>
      <w:tr w:rsidR="005710DF" w:rsidTr="00333C25">
        <w:tc>
          <w:tcPr>
            <w:tcW w:w="4786" w:type="dxa"/>
          </w:tcPr>
          <w:p w:rsidR="005710DF" w:rsidRPr="002565BD" w:rsidRDefault="005710DF" w:rsidP="00333C25">
            <w:pPr>
              <w:ind w:left="993"/>
              <w:jc w:val="right"/>
              <w:rPr>
                <w:rFonts w:cs="Calibri"/>
                <w:b/>
                <w:bCs/>
                <w:color w:val="00437A"/>
                <w:sz w:val="16"/>
                <w:szCs w:val="16"/>
              </w:rPr>
            </w:pPr>
            <w:r>
              <w:rPr>
                <w:noProof/>
                <w:lang w:val="en-GB" w:eastAsia="zh-CN"/>
              </w:rPr>
              <w:drawing>
                <wp:inline distT="0" distB="0" distL="0" distR="0" wp14:anchorId="1535ED24" wp14:editId="50D72ACF">
                  <wp:extent cx="1981139" cy="1652168"/>
                  <wp:effectExtent l="0" t="0" r="635" b="571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006643" cy="1673437"/>
                          </a:xfrm>
                          <a:prstGeom prst="rect">
                            <a:avLst/>
                          </a:prstGeom>
                        </pic:spPr>
                      </pic:pic>
                    </a:graphicData>
                  </a:graphic>
                </wp:inline>
              </w:drawing>
            </w:r>
          </w:p>
        </w:tc>
        <w:tc>
          <w:tcPr>
            <w:tcW w:w="4424" w:type="dxa"/>
            <w:vAlign w:val="center"/>
          </w:tcPr>
          <w:p w:rsidR="005710DF" w:rsidRPr="002565BD" w:rsidRDefault="005710DF" w:rsidP="00333C25">
            <w:pPr>
              <w:jc w:val="center"/>
              <w:rPr>
                <w:rFonts w:cs="Calibri"/>
                <w:b/>
                <w:bCs/>
                <w:color w:val="00437A"/>
                <w:sz w:val="44"/>
                <w:szCs w:val="44"/>
              </w:rPr>
            </w:pPr>
            <w:r>
              <w:rPr>
                <w:rFonts w:ascii="Arial" w:hAnsi="Arial" w:cs="Arial"/>
                <w:noProof/>
                <w:color w:val="44546A"/>
                <w:sz w:val="20"/>
                <w:lang w:val="en-GB" w:eastAsia="zh-CN"/>
              </w:rPr>
              <w:drawing>
                <wp:inline distT="0" distB="0" distL="0" distR="0" wp14:anchorId="699231E5" wp14:editId="28911135">
                  <wp:extent cx="652887" cy="738532"/>
                  <wp:effectExtent l="0" t="0" r="0" b="4445"/>
                  <wp:docPr id="4" name="Picture 4" descr="cid:image001.png@01D0FA14.8931B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id:image001.png@01D0FA14.8931B31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683352" cy="772993"/>
                          </a:xfrm>
                          <a:prstGeom prst="rect">
                            <a:avLst/>
                          </a:prstGeom>
                          <a:noFill/>
                          <a:ln>
                            <a:noFill/>
                          </a:ln>
                        </pic:spPr>
                      </pic:pic>
                    </a:graphicData>
                  </a:graphic>
                </wp:inline>
              </w:drawing>
            </w:r>
          </w:p>
        </w:tc>
      </w:tr>
    </w:tbl>
    <w:p w:rsidR="005710DF" w:rsidRDefault="005710DF" w:rsidP="005710DF">
      <w:pPr>
        <w:jc w:val="center"/>
        <w:rPr>
          <w:rFonts w:cs="Calibri"/>
          <w:b/>
          <w:bCs/>
          <w:color w:val="00437A"/>
          <w:sz w:val="28"/>
          <w:szCs w:val="28"/>
        </w:rPr>
      </w:pPr>
    </w:p>
    <w:p w:rsidR="005710DF" w:rsidRDefault="005710DF" w:rsidP="005710DF">
      <w:pPr>
        <w:jc w:val="center"/>
        <w:rPr>
          <w:rFonts w:cs="Calibri"/>
          <w:b/>
          <w:bCs/>
          <w:color w:val="00437A"/>
          <w:sz w:val="28"/>
          <w:szCs w:val="28"/>
        </w:rPr>
      </w:pPr>
    </w:p>
    <w:p w:rsidR="005710DF" w:rsidRPr="00A6336E" w:rsidRDefault="005710DF" w:rsidP="005710DF">
      <w:pPr>
        <w:jc w:val="center"/>
        <w:rPr>
          <w:rFonts w:cs="Calibri"/>
          <w:b/>
          <w:bCs/>
          <w:color w:val="00437A"/>
          <w:sz w:val="28"/>
          <w:szCs w:val="28"/>
        </w:rPr>
      </w:pPr>
    </w:p>
    <w:p w:rsidR="005710DF" w:rsidRPr="00A6336E" w:rsidRDefault="005710DF" w:rsidP="005710DF">
      <w:pPr>
        <w:jc w:val="center"/>
        <w:rPr>
          <w:rFonts w:cs="Calibri"/>
          <w:b/>
          <w:bCs/>
          <w:color w:val="00437A"/>
          <w:sz w:val="28"/>
          <w:szCs w:val="28"/>
        </w:rPr>
      </w:pPr>
    </w:p>
    <w:p w:rsidR="005710DF" w:rsidRPr="005707C9" w:rsidRDefault="005710DF" w:rsidP="005710DF">
      <w:pPr>
        <w:jc w:val="center"/>
        <w:rPr>
          <w:rFonts w:cs="Calibri"/>
          <w:b/>
          <w:bCs/>
          <w:color w:val="00437A"/>
          <w:sz w:val="28"/>
          <w:szCs w:val="28"/>
          <w:lang w:val="fr-CH"/>
        </w:rPr>
      </w:pPr>
      <w:r w:rsidRPr="005707C9">
        <w:rPr>
          <w:rFonts w:cs="Calibri"/>
          <w:b/>
          <w:bCs/>
          <w:color w:val="00437A"/>
          <w:sz w:val="28"/>
          <w:szCs w:val="28"/>
          <w:lang w:val="fr-CH"/>
        </w:rPr>
        <w:t>ACCORD DE COOPÉRATION</w:t>
      </w:r>
    </w:p>
    <w:p w:rsidR="005710DF" w:rsidRPr="005707C9" w:rsidRDefault="005710DF" w:rsidP="005710DF">
      <w:pPr>
        <w:jc w:val="center"/>
        <w:rPr>
          <w:rFonts w:cs="Calibri"/>
          <w:b/>
          <w:bCs/>
          <w:color w:val="00437A"/>
          <w:sz w:val="28"/>
          <w:szCs w:val="28"/>
          <w:lang w:val="fr-CH"/>
        </w:rPr>
      </w:pPr>
    </w:p>
    <w:p w:rsidR="005710DF" w:rsidRPr="005707C9" w:rsidRDefault="005710DF" w:rsidP="005710DF">
      <w:pPr>
        <w:jc w:val="center"/>
        <w:rPr>
          <w:rFonts w:cs="Calibri"/>
          <w:b/>
          <w:bCs/>
          <w:color w:val="00437A"/>
          <w:sz w:val="28"/>
          <w:szCs w:val="28"/>
          <w:lang w:val="fr-CH"/>
        </w:rPr>
      </w:pPr>
    </w:p>
    <w:p w:rsidR="005710DF" w:rsidRPr="00876D55" w:rsidRDefault="005710DF" w:rsidP="005710DF">
      <w:pPr>
        <w:jc w:val="center"/>
        <w:rPr>
          <w:rFonts w:cs="Calibri"/>
          <w:b/>
          <w:bCs/>
          <w:color w:val="00437A"/>
          <w:sz w:val="28"/>
          <w:szCs w:val="28"/>
          <w:lang w:val="fr-CH"/>
        </w:rPr>
      </w:pPr>
      <w:r w:rsidRPr="00876D55">
        <w:rPr>
          <w:rFonts w:cs="Calibri"/>
          <w:b/>
          <w:bCs/>
          <w:color w:val="00437A"/>
          <w:sz w:val="28"/>
          <w:szCs w:val="28"/>
          <w:lang w:val="fr-CH"/>
        </w:rPr>
        <w:t>ENTRE</w:t>
      </w:r>
    </w:p>
    <w:p w:rsidR="005710DF" w:rsidRPr="00876D55" w:rsidRDefault="005710DF" w:rsidP="005710DF">
      <w:pPr>
        <w:jc w:val="center"/>
        <w:rPr>
          <w:rFonts w:cs="Calibri"/>
          <w:b/>
          <w:bCs/>
          <w:color w:val="00437A"/>
          <w:sz w:val="28"/>
          <w:szCs w:val="28"/>
          <w:lang w:val="fr-CH"/>
        </w:rPr>
      </w:pPr>
    </w:p>
    <w:p w:rsidR="005710DF" w:rsidRPr="00876D55" w:rsidRDefault="005710DF" w:rsidP="005710DF">
      <w:pPr>
        <w:jc w:val="center"/>
        <w:rPr>
          <w:rFonts w:cs="Calibri"/>
          <w:b/>
          <w:bCs/>
          <w:color w:val="00437A"/>
          <w:sz w:val="28"/>
          <w:szCs w:val="28"/>
          <w:lang w:val="fr-CH"/>
        </w:rPr>
      </w:pPr>
    </w:p>
    <w:p w:rsidR="005710DF" w:rsidRPr="00876D55" w:rsidRDefault="005710DF" w:rsidP="005710DF">
      <w:pPr>
        <w:jc w:val="center"/>
        <w:rPr>
          <w:rFonts w:cs="Calibri"/>
          <w:b/>
          <w:bCs/>
          <w:color w:val="00437A"/>
          <w:sz w:val="28"/>
          <w:szCs w:val="28"/>
          <w:lang w:val="fr-CH"/>
        </w:rPr>
      </w:pPr>
      <w:r w:rsidRPr="00876D55">
        <w:rPr>
          <w:rFonts w:cs="Calibri"/>
          <w:b/>
          <w:bCs/>
          <w:color w:val="00437A"/>
          <w:sz w:val="28"/>
          <w:szCs w:val="28"/>
          <w:lang w:val="fr-CH"/>
        </w:rPr>
        <w:t>L</w:t>
      </w:r>
      <w:r w:rsidR="00657EA9">
        <w:rPr>
          <w:rFonts w:cs="Calibri"/>
          <w:b/>
          <w:bCs/>
          <w:color w:val="00437A"/>
          <w:sz w:val="28"/>
          <w:szCs w:val="28"/>
          <w:lang w:val="fr-CH"/>
        </w:rPr>
        <w:t>'</w:t>
      </w:r>
      <w:r w:rsidRPr="00876D55">
        <w:rPr>
          <w:rFonts w:cs="Calibri"/>
          <w:b/>
          <w:bCs/>
          <w:color w:val="00437A"/>
          <w:sz w:val="28"/>
          <w:szCs w:val="28"/>
          <w:lang w:val="fr-CH"/>
        </w:rPr>
        <w:t>ORGANISATION INTERNATIONALE DE POLICE CRIMINELLE – INTERPOL</w:t>
      </w:r>
    </w:p>
    <w:p w:rsidR="005710DF" w:rsidRPr="00876D55" w:rsidRDefault="005710DF" w:rsidP="005710DF">
      <w:pPr>
        <w:jc w:val="center"/>
        <w:rPr>
          <w:rFonts w:cs="Calibri"/>
          <w:b/>
          <w:bCs/>
          <w:color w:val="00437A"/>
          <w:sz w:val="28"/>
          <w:szCs w:val="28"/>
          <w:lang w:val="fr-CH"/>
        </w:rPr>
      </w:pPr>
    </w:p>
    <w:p w:rsidR="005710DF" w:rsidRPr="00876D55" w:rsidRDefault="005710DF" w:rsidP="005710DF">
      <w:pPr>
        <w:jc w:val="center"/>
        <w:rPr>
          <w:rFonts w:cs="Calibri"/>
          <w:b/>
          <w:bCs/>
          <w:color w:val="00437A"/>
          <w:sz w:val="28"/>
          <w:szCs w:val="28"/>
          <w:lang w:val="fr-CH"/>
        </w:rPr>
      </w:pPr>
    </w:p>
    <w:p w:rsidR="005710DF" w:rsidRPr="00876D55" w:rsidRDefault="005710DF" w:rsidP="005710DF">
      <w:pPr>
        <w:jc w:val="center"/>
        <w:rPr>
          <w:rFonts w:cs="Calibri"/>
          <w:b/>
          <w:bCs/>
          <w:color w:val="00437A"/>
          <w:sz w:val="28"/>
          <w:szCs w:val="28"/>
          <w:lang w:val="fr-CH"/>
        </w:rPr>
      </w:pPr>
      <w:r w:rsidRPr="00876D55">
        <w:rPr>
          <w:rFonts w:cs="Calibri"/>
          <w:b/>
          <w:bCs/>
          <w:color w:val="00437A"/>
          <w:sz w:val="28"/>
          <w:szCs w:val="28"/>
          <w:lang w:val="fr-CH"/>
        </w:rPr>
        <w:t>ET</w:t>
      </w:r>
    </w:p>
    <w:p w:rsidR="005710DF" w:rsidRPr="00876D55" w:rsidRDefault="005710DF" w:rsidP="005710DF">
      <w:pPr>
        <w:jc w:val="center"/>
        <w:rPr>
          <w:rFonts w:cs="Calibri"/>
          <w:b/>
          <w:bCs/>
          <w:color w:val="00437A"/>
          <w:sz w:val="28"/>
          <w:szCs w:val="28"/>
          <w:lang w:val="fr-CH"/>
        </w:rPr>
      </w:pPr>
    </w:p>
    <w:p w:rsidR="005710DF" w:rsidRPr="00876D55" w:rsidRDefault="005710DF" w:rsidP="005710DF">
      <w:pPr>
        <w:jc w:val="center"/>
        <w:rPr>
          <w:rFonts w:cs="Calibri"/>
          <w:b/>
          <w:bCs/>
          <w:color w:val="00437A"/>
          <w:sz w:val="28"/>
          <w:szCs w:val="28"/>
          <w:lang w:val="fr-CH"/>
        </w:rPr>
      </w:pPr>
    </w:p>
    <w:p w:rsidR="005710DF" w:rsidRPr="00876D55" w:rsidRDefault="005710DF" w:rsidP="005710DF">
      <w:pPr>
        <w:jc w:val="center"/>
        <w:rPr>
          <w:rFonts w:cs="Calibri"/>
          <w:b/>
          <w:bCs/>
          <w:color w:val="00437A"/>
          <w:sz w:val="28"/>
          <w:szCs w:val="28"/>
          <w:lang w:val="fr-CH"/>
        </w:rPr>
      </w:pPr>
      <w:r w:rsidRPr="00876D55">
        <w:rPr>
          <w:rFonts w:cs="Calibri"/>
          <w:b/>
          <w:bCs/>
          <w:color w:val="00437A"/>
          <w:sz w:val="28"/>
          <w:szCs w:val="28"/>
          <w:lang w:val="fr-CH"/>
        </w:rPr>
        <w:t>L</w:t>
      </w:r>
      <w:r w:rsidR="00657EA9">
        <w:rPr>
          <w:rFonts w:cs="Calibri"/>
          <w:b/>
          <w:bCs/>
          <w:color w:val="00437A"/>
          <w:sz w:val="28"/>
          <w:szCs w:val="28"/>
          <w:lang w:val="fr-CH"/>
        </w:rPr>
        <w:t>'</w:t>
      </w:r>
      <w:r w:rsidRPr="00876D55">
        <w:rPr>
          <w:rFonts w:cs="Calibri"/>
          <w:b/>
          <w:bCs/>
          <w:color w:val="00437A"/>
          <w:sz w:val="28"/>
          <w:szCs w:val="28"/>
          <w:lang w:val="fr-CH"/>
        </w:rPr>
        <w:t>UNION INTERNATIONALE DES TÉLÉCOMMUNICATIONS</w:t>
      </w:r>
    </w:p>
    <w:p w:rsidR="005710DF" w:rsidRPr="00876D55" w:rsidRDefault="005710DF" w:rsidP="005710DF">
      <w:pPr>
        <w:tabs>
          <w:tab w:val="left" w:pos="1995"/>
        </w:tabs>
        <w:jc w:val="both"/>
        <w:rPr>
          <w:rFonts w:cs="Calibri"/>
          <w:b/>
          <w:bCs/>
          <w:spacing w:val="-4"/>
          <w:sz w:val="23"/>
          <w:szCs w:val="23"/>
          <w:lang w:val="fr-CH"/>
        </w:rPr>
      </w:pPr>
    </w:p>
    <w:p w:rsidR="005710DF" w:rsidRPr="00876D55" w:rsidRDefault="005710DF" w:rsidP="005710DF">
      <w:pPr>
        <w:tabs>
          <w:tab w:val="left" w:pos="1995"/>
        </w:tabs>
        <w:jc w:val="both"/>
        <w:rPr>
          <w:rFonts w:cs="Calibri"/>
          <w:b/>
          <w:bCs/>
          <w:spacing w:val="-4"/>
          <w:sz w:val="23"/>
          <w:szCs w:val="23"/>
          <w:lang w:val="fr-CH"/>
        </w:rPr>
      </w:pPr>
    </w:p>
    <w:p w:rsidR="00A653CD" w:rsidRDefault="00A653CD" w:rsidP="005710DF">
      <w:pPr>
        <w:tabs>
          <w:tab w:val="left" w:pos="1995"/>
        </w:tabs>
        <w:jc w:val="both"/>
        <w:rPr>
          <w:b/>
          <w:bCs/>
          <w:szCs w:val="24"/>
        </w:rPr>
      </w:pPr>
      <w:r>
        <w:rPr>
          <w:b/>
          <w:bCs/>
          <w:szCs w:val="24"/>
        </w:rPr>
        <w:br w:type="page"/>
      </w:r>
    </w:p>
    <w:p w:rsidR="005710DF" w:rsidRPr="00876D55" w:rsidRDefault="005710DF" w:rsidP="005710DF">
      <w:pPr>
        <w:tabs>
          <w:tab w:val="left" w:pos="1995"/>
        </w:tabs>
        <w:jc w:val="both"/>
        <w:rPr>
          <w:rFonts w:cs="Calibri"/>
          <w:spacing w:val="-4"/>
          <w:szCs w:val="24"/>
        </w:rPr>
      </w:pPr>
      <w:r w:rsidRPr="00876D55">
        <w:rPr>
          <w:b/>
          <w:bCs/>
          <w:szCs w:val="24"/>
        </w:rPr>
        <w:lastRenderedPageBreak/>
        <w:t>L</w:t>
      </w:r>
      <w:r w:rsidR="00657EA9">
        <w:rPr>
          <w:b/>
          <w:bCs/>
          <w:szCs w:val="24"/>
        </w:rPr>
        <w:t>'</w:t>
      </w:r>
      <w:r w:rsidRPr="00876D55">
        <w:rPr>
          <w:b/>
          <w:bCs/>
          <w:szCs w:val="24"/>
        </w:rPr>
        <w:t>Organisation internationale de police criminelle – INTERPOL</w:t>
      </w:r>
      <w:r w:rsidRPr="00876D55">
        <w:rPr>
          <w:szCs w:val="24"/>
        </w:rPr>
        <w:t>, ci-après dénommée "INTERPOL"</w:t>
      </w:r>
      <w:r w:rsidRPr="00876D55">
        <w:rPr>
          <w:rFonts w:cs="Calibri"/>
          <w:bCs/>
          <w:spacing w:val="-4"/>
          <w:szCs w:val="24"/>
        </w:rPr>
        <w:t xml:space="preserve">, </w:t>
      </w:r>
    </w:p>
    <w:p w:rsidR="005710DF" w:rsidRPr="00876D55" w:rsidRDefault="005710DF" w:rsidP="005710DF">
      <w:pPr>
        <w:jc w:val="both"/>
        <w:rPr>
          <w:rFonts w:cs="Calibri"/>
          <w:szCs w:val="24"/>
        </w:rPr>
      </w:pPr>
      <w:r w:rsidRPr="00876D55">
        <w:rPr>
          <w:rFonts w:cs="Calibri"/>
          <w:szCs w:val="24"/>
        </w:rPr>
        <w:t>Et</w:t>
      </w:r>
    </w:p>
    <w:p w:rsidR="005710DF" w:rsidRPr="00876D55" w:rsidRDefault="005710DF" w:rsidP="005710DF">
      <w:pPr>
        <w:tabs>
          <w:tab w:val="left" w:pos="1995"/>
        </w:tabs>
        <w:jc w:val="both"/>
        <w:rPr>
          <w:rFonts w:cs="Calibri"/>
          <w:b/>
          <w:bCs/>
          <w:szCs w:val="24"/>
        </w:rPr>
      </w:pPr>
      <w:proofErr w:type="gramStart"/>
      <w:r w:rsidRPr="00876D55">
        <w:rPr>
          <w:b/>
          <w:bCs/>
          <w:szCs w:val="24"/>
        </w:rPr>
        <w:t>l</w:t>
      </w:r>
      <w:r w:rsidR="00657EA9">
        <w:rPr>
          <w:b/>
          <w:bCs/>
          <w:szCs w:val="24"/>
        </w:rPr>
        <w:t>'</w:t>
      </w:r>
      <w:r w:rsidRPr="00876D55">
        <w:rPr>
          <w:b/>
          <w:bCs/>
          <w:szCs w:val="24"/>
        </w:rPr>
        <w:t>Union</w:t>
      </w:r>
      <w:proofErr w:type="gramEnd"/>
      <w:r w:rsidRPr="00876D55">
        <w:rPr>
          <w:b/>
          <w:bCs/>
          <w:szCs w:val="24"/>
        </w:rPr>
        <w:t xml:space="preserve"> internationale des télécommunications</w:t>
      </w:r>
      <w:r w:rsidRPr="00876D55">
        <w:rPr>
          <w:szCs w:val="24"/>
        </w:rPr>
        <w:t>, ci</w:t>
      </w:r>
      <w:r w:rsidRPr="00876D55">
        <w:rPr>
          <w:szCs w:val="24"/>
        </w:rPr>
        <w:noBreakHyphen/>
        <w:t>après dénommée "l</w:t>
      </w:r>
      <w:r w:rsidR="00657EA9">
        <w:rPr>
          <w:szCs w:val="24"/>
        </w:rPr>
        <w:t>'</w:t>
      </w:r>
      <w:r w:rsidRPr="00876D55">
        <w:rPr>
          <w:szCs w:val="24"/>
        </w:rPr>
        <w:t>UIT" ou "l</w:t>
      </w:r>
      <w:r w:rsidR="00657EA9">
        <w:rPr>
          <w:szCs w:val="24"/>
        </w:rPr>
        <w:t>'</w:t>
      </w:r>
      <w:r w:rsidRPr="00876D55">
        <w:rPr>
          <w:szCs w:val="24"/>
        </w:rPr>
        <w:t>Union",</w:t>
      </w:r>
    </w:p>
    <w:p w:rsidR="005710DF" w:rsidRPr="00876D55" w:rsidRDefault="005710DF" w:rsidP="005710DF">
      <w:pPr>
        <w:jc w:val="both"/>
        <w:rPr>
          <w:rFonts w:cs="Calibri"/>
          <w:szCs w:val="24"/>
        </w:rPr>
      </w:pPr>
      <w:proofErr w:type="gramStart"/>
      <w:r w:rsidRPr="00876D55">
        <w:rPr>
          <w:szCs w:val="24"/>
        </w:rPr>
        <w:t>ci-après</w:t>
      </w:r>
      <w:proofErr w:type="gramEnd"/>
      <w:r w:rsidRPr="00876D55">
        <w:rPr>
          <w:szCs w:val="24"/>
        </w:rPr>
        <w:t xml:space="preserve"> dénommées collectivement par "</w:t>
      </w:r>
      <w:r w:rsidRPr="00876D55">
        <w:rPr>
          <w:rFonts w:cs="Calibri"/>
          <w:szCs w:val="24"/>
        </w:rPr>
        <w:t>Parties</w:t>
      </w:r>
      <w:r w:rsidRPr="00876D55">
        <w:rPr>
          <w:szCs w:val="24"/>
        </w:rPr>
        <w:t xml:space="preserve"> et individuellement</w:t>
      </w:r>
      <w:r w:rsidRPr="00876D55">
        <w:rPr>
          <w:rFonts w:cs="Calibri"/>
          <w:szCs w:val="24"/>
        </w:rPr>
        <w:t>" par "Partie", respectivement,</w:t>
      </w:r>
    </w:p>
    <w:p w:rsidR="005710DF" w:rsidRPr="00876D55" w:rsidRDefault="005710DF" w:rsidP="005710DF">
      <w:pPr>
        <w:rPr>
          <w:szCs w:val="24"/>
        </w:rPr>
      </w:pPr>
      <w:proofErr w:type="gramStart"/>
      <w:r w:rsidRPr="00876D55">
        <w:rPr>
          <w:b/>
          <w:bCs/>
          <w:szCs w:val="24"/>
        </w:rPr>
        <w:t>qui</w:t>
      </w:r>
      <w:proofErr w:type="gramEnd"/>
      <w:r w:rsidRPr="00876D55">
        <w:rPr>
          <w:b/>
          <w:bCs/>
          <w:szCs w:val="24"/>
        </w:rPr>
        <w:t xml:space="preserve"> souhaitent</w:t>
      </w:r>
      <w:r w:rsidRPr="00876D55">
        <w:rPr>
          <w:szCs w:val="24"/>
        </w:rPr>
        <w:t xml:space="preserve"> coordonner leurs efforts dans le cadre des missions qui leur sont respectivement confiées,</w:t>
      </w:r>
    </w:p>
    <w:p w:rsidR="005710DF" w:rsidRPr="00876D55" w:rsidRDefault="005710DF" w:rsidP="005710DF">
      <w:pPr>
        <w:jc w:val="both"/>
        <w:rPr>
          <w:szCs w:val="24"/>
        </w:rPr>
      </w:pPr>
      <w:r w:rsidRPr="00876D55">
        <w:rPr>
          <w:b/>
          <w:bCs/>
          <w:szCs w:val="24"/>
        </w:rPr>
        <w:t xml:space="preserve">reconnaissant </w:t>
      </w:r>
      <w:r w:rsidRPr="00876D55">
        <w:rPr>
          <w:szCs w:val="24"/>
        </w:rPr>
        <w:t>qu</w:t>
      </w:r>
      <w:r w:rsidR="00657EA9">
        <w:rPr>
          <w:szCs w:val="24"/>
        </w:rPr>
        <w:t>'</w:t>
      </w:r>
      <w:r w:rsidRPr="00876D55">
        <w:rPr>
          <w:szCs w:val="24"/>
        </w:rPr>
        <w:t>INTERPOL est une organisation internationale indépendante qui a pour but d</w:t>
      </w:r>
      <w:r w:rsidR="00657EA9">
        <w:rPr>
          <w:szCs w:val="24"/>
        </w:rPr>
        <w:t>'</w:t>
      </w:r>
      <w:r w:rsidRPr="00876D55">
        <w:rPr>
          <w:szCs w:val="24"/>
        </w:rPr>
        <w:t>assurer et de développer l</w:t>
      </w:r>
      <w:r w:rsidR="00657EA9">
        <w:rPr>
          <w:szCs w:val="24"/>
        </w:rPr>
        <w:t>'</w:t>
      </w:r>
      <w:r w:rsidRPr="00876D55">
        <w:rPr>
          <w:szCs w:val="24"/>
        </w:rPr>
        <w:t>assistance réciproque la plus large de toutes les autorités de police criminelle, dans le cadre des lois existant dans les différents pays et dans l</w:t>
      </w:r>
      <w:r w:rsidR="00657EA9">
        <w:rPr>
          <w:szCs w:val="24"/>
        </w:rPr>
        <w:t>'</w:t>
      </w:r>
      <w:r w:rsidRPr="00876D55">
        <w:rPr>
          <w:szCs w:val="24"/>
        </w:rPr>
        <w:t>esprit de la Déclaration universelle des droits de l</w:t>
      </w:r>
      <w:r w:rsidR="00657EA9">
        <w:rPr>
          <w:szCs w:val="24"/>
        </w:rPr>
        <w:t>'</w:t>
      </w:r>
      <w:r w:rsidRPr="00876D55">
        <w:rPr>
          <w:szCs w:val="24"/>
        </w:rPr>
        <w:t>homme, et d</w:t>
      </w:r>
      <w:r w:rsidR="00657EA9">
        <w:rPr>
          <w:szCs w:val="24"/>
        </w:rPr>
        <w:t>'</w:t>
      </w:r>
      <w:r w:rsidRPr="00876D55">
        <w:rPr>
          <w:szCs w:val="24"/>
        </w:rPr>
        <w:t xml:space="preserve">établir toutes les institutions capables de contribuer efficacement à la prévention et à la répression des infractions de droit commun, </w:t>
      </w:r>
    </w:p>
    <w:p w:rsidR="005710DF" w:rsidRPr="00876D55" w:rsidRDefault="005710DF" w:rsidP="005710DF">
      <w:pPr>
        <w:jc w:val="both"/>
        <w:rPr>
          <w:rFonts w:cs="Calibri"/>
          <w:szCs w:val="24"/>
        </w:rPr>
      </w:pPr>
      <w:r w:rsidRPr="00876D55">
        <w:rPr>
          <w:b/>
          <w:bCs/>
          <w:szCs w:val="24"/>
        </w:rPr>
        <w:t>reconnaissant</w:t>
      </w:r>
      <w:r w:rsidRPr="00876D55">
        <w:t xml:space="preserve"> que l</w:t>
      </w:r>
      <w:r w:rsidR="00657EA9">
        <w:t>'</w:t>
      </w:r>
      <w:r w:rsidRPr="00876D55">
        <w:t>UIT a entre autres pour objet de maintenir et d</w:t>
      </w:r>
      <w:r w:rsidR="00657EA9">
        <w:t>'</w:t>
      </w:r>
      <w:r w:rsidRPr="00876D55">
        <w:t>étendre la coopération internationale entre tous ses Etats Membres pour l</w:t>
      </w:r>
      <w:r w:rsidR="00657EA9">
        <w:t>'</w:t>
      </w:r>
      <w:r w:rsidRPr="00876D55">
        <w:t>amélioration et l</w:t>
      </w:r>
      <w:r w:rsidR="00657EA9">
        <w:t>'</w:t>
      </w:r>
      <w:r w:rsidRPr="00876D55">
        <w:t>emploi rationnel des télécommunications de toutes sortes et d</w:t>
      </w:r>
      <w:r w:rsidR="00657EA9">
        <w:t>'</w:t>
      </w:r>
      <w:r w:rsidRPr="00876D55">
        <w:t>encourager la participation des entités concernées aux activités de l</w:t>
      </w:r>
      <w:r w:rsidR="00657EA9">
        <w:t>'</w:t>
      </w:r>
      <w:r w:rsidRPr="00876D55">
        <w:t>Union et la coopération avec les organisations régionales ou autres en vue de répondre à l</w:t>
      </w:r>
      <w:r w:rsidR="00657EA9">
        <w:t>'</w:t>
      </w:r>
      <w:r w:rsidRPr="00876D55">
        <w:t>objet de l</w:t>
      </w:r>
      <w:r w:rsidR="00657EA9">
        <w:t>'</w:t>
      </w:r>
      <w:r w:rsidRPr="00876D55">
        <w:t>Union,</w:t>
      </w:r>
    </w:p>
    <w:p w:rsidR="005710DF" w:rsidRPr="00876D55" w:rsidRDefault="005710DF" w:rsidP="005710DF">
      <w:pPr>
        <w:jc w:val="both"/>
        <w:rPr>
          <w:rFonts w:cs="Calibri"/>
          <w:bCs/>
          <w:szCs w:val="24"/>
        </w:rPr>
      </w:pPr>
      <w:proofErr w:type="gramStart"/>
      <w:r w:rsidRPr="00876D55">
        <w:rPr>
          <w:b/>
          <w:bCs/>
        </w:rPr>
        <w:t>tenant</w:t>
      </w:r>
      <w:proofErr w:type="gramEnd"/>
      <w:r w:rsidRPr="00876D55">
        <w:rPr>
          <w:b/>
          <w:bCs/>
        </w:rPr>
        <w:t xml:space="preserve"> compte de</w:t>
      </w:r>
      <w:r w:rsidRPr="00876D55">
        <w:t xml:space="preserve"> ce que l</w:t>
      </w:r>
      <w:r w:rsidR="00657EA9">
        <w:t>'</w:t>
      </w:r>
      <w:r w:rsidRPr="00876D55">
        <w:t>UIT, en tant qu</w:t>
      </w:r>
      <w:r w:rsidR="00657EA9">
        <w:t>'</w:t>
      </w:r>
      <w:r w:rsidRPr="00876D55">
        <w:t>institution spécialisée des Nations Unies pour les technologies de l</w:t>
      </w:r>
      <w:r w:rsidR="00657EA9">
        <w:t>'</w:t>
      </w:r>
      <w:r w:rsidRPr="00876D55">
        <w:t>information et de la communication (TIC), est appelée à jouer un rôle dans l</w:t>
      </w:r>
      <w:r w:rsidR="00657EA9">
        <w:t>'</w:t>
      </w:r>
      <w:r w:rsidRPr="00876D55">
        <w:t>instauration de la confiance et de la sécurité dans l</w:t>
      </w:r>
      <w:r w:rsidR="00657EA9">
        <w:t>'</w:t>
      </w:r>
      <w:r w:rsidRPr="00876D55">
        <w:t xml:space="preserve">utilisation des TIC en tant que coordonnateur pour la grande orientation C5 du SMSI et, conformément à la </w:t>
      </w:r>
      <w:r w:rsidRPr="00876D55">
        <w:rPr>
          <w:rFonts w:cs="Calibri"/>
          <w:bCs/>
          <w:szCs w:val="24"/>
        </w:rPr>
        <w:t>Résolution 179 (Rév. Busan, 2014) de la Conférence de plénipotentiaires, qu</w:t>
      </w:r>
      <w:r w:rsidR="00657EA9">
        <w:rPr>
          <w:rFonts w:cs="Calibri"/>
          <w:bCs/>
          <w:szCs w:val="24"/>
        </w:rPr>
        <w:t>'</w:t>
      </w:r>
      <w:r w:rsidRPr="00876D55">
        <w:rPr>
          <w:rFonts w:cs="Calibri"/>
          <w:bCs/>
          <w:szCs w:val="24"/>
        </w:rPr>
        <w:t xml:space="preserve">elle a un rôle à jouer en sensibilisant </w:t>
      </w:r>
      <w:r w:rsidRPr="00876D55">
        <w:t>davantage l</w:t>
      </w:r>
      <w:r w:rsidR="00657EA9">
        <w:t>'</w:t>
      </w:r>
      <w:r w:rsidRPr="00876D55">
        <w:t>opinion à la sécurité en ligne des enfants et en échangeant de bonnes pratiques en la matière,</w:t>
      </w:r>
      <w:r w:rsidRPr="00876D55">
        <w:rPr>
          <w:rFonts w:cs="Calibri"/>
          <w:bCs/>
          <w:szCs w:val="24"/>
        </w:rPr>
        <w:t xml:space="preserve"> </w:t>
      </w:r>
    </w:p>
    <w:p w:rsidR="005710DF" w:rsidRPr="00876D55" w:rsidRDefault="005710DF" w:rsidP="005710DF">
      <w:pPr>
        <w:jc w:val="both"/>
      </w:pPr>
      <w:proofErr w:type="gramStart"/>
      <w:r w:rsidRPr="00876D55">
        <w:rPr>
          <w:b/>
          <w:bCs/>
        </w:rPr>
        <w:t>ayant</w:t>
      </w:r>
      <w:proofErr w:type="gramEnd"/>
      <w:r w:rsidRPr="00876D55">
        <w:rPr>
          <w:b/>
          <w:bCs/>
        </w:rPr>
        <w:t xml:space="preserve"> à l</w:t>
      </w:r>
      <w:r w:rsidR="00657EA9">
        <w:rPr>
          <w:b/>
          <w:bCs/>
        </w:rPr>
        <w:t>'</w:t>
      </w:r>
      <w:r w:rsidRPr="00876D55">
        <w:rPr>
          <w:b/>
          <w:bCs/>
        </w:rPr>
        <w:t>esprit</w:t>
      </w:r>
      <w:r w:rsidRPr="00876D55">
        <w:t xml:space="preserve"> l</w:t>
      </w:r>
      <w:r w:rsidR="00657EA9">
        <w:t>'</w:t>
      </w:r>
      <w:r w:rsidRPr="00876D55">
        <w:t>initiative prise par INTERPOL pour élargir l</w:t>
      </w:r>
      <w:r w:rsidR="00657EA9">
        <w:t>'</w:t>
      </w:r>
      <w:r w:rsidRPr="00876D55">
        <w:t>appui innovant qu</w:t>
      </w:r>
      <w:r w:rsidR="00657EA9">
        <w:t>'</w:t>
      </w:r>
      <w:r w:rsidRPr="00876D55">
        <w:t>elle fournit à ses Membres dans leur combat contre la cybercriminalité, y compris l</w:t>
      </w:r>
      <w:r w:rsidR="00657EA9">
        <w:t>'</w:t>
      </w:r>
      <w:r w:rsidRPr="00876D55">
        <w:t>exploitation en ligne des enfants,</w:t>
      </w:r>
    </w:p>
    <w:p w:rsidR="005710DF" w:rsidRPr="00876D55" w:rsidRDefault="005710DF" w:rsidP="005710DF">
      <w:pPr>
        <w:jc w:val="both"/>
        <w:rPr>
          <w:rFonts w:cs="Calibri"/>
          <w:szCs w:val="24"/>
        </w:rPr>
      </w:pPr>
    </w:p>
    <w:p w:rsidR="005710DF" w:rsidRPr="00876D55" w:rsidRDefault="005710DF" w:rsidP="005710DF">
      <w:pPr>
        <w:jc w:val="both"/>
        <w:rPr>
          <w:rFonts w:cs="Calibri"/>
          <w:b/>
          <w:bCs/>
          <w:sz w:val="23"/>
          <w:szCs w:val="23"/>
          <w:lang w:val="fr-CH"/>
        </w:rPr>
      </w:pPr>
      <w:proofErr w:type="gramStart"/>
      <w:r w:rsidRPr="00876D55">
        <w:rPr>
          <w:b/>
          <w:bCs/>
        </w:rPr>
        <w:t>sont</w:t>
      </w:r>
      <w:proofErr w:type="gramEnd"/>
      <w:r w:rsidRPr="00876D55">
        <w:rPr>
          <w:b/>
          <w:bCs/>
        </w:rPr>
        <w:t xml:space="preserve"> convenues </w:t>
      </w:r>
      <w:r w:rsidRPr="00876D55">
        <w:t>de ce qui suit:</w:t>
      </w:r>
    </w:p>
    <w:p w:rsidR="005710DF" w:rsidRPr="00876D55" w:rsidRDefault="005710DF" w:rsidP="005710DF">
      <w:pPr>
        <w:spacing w:after="160"/>
        <w:rPr>
          <w:rFonts w:cs="Calibri"/>
          <w:sz w:val="23"/>
          <w:szCs w:val="23"/>
          <w:lang w:val="fr-CH" w:eastAsia="es-ES"/>
        </w:rPr>
      </w:pPr>
      <w:r w:rsidRPr="00876D55">
        <w:rPr>
          <w:rFonts w:cs="Calibri"/>
          <w:sz w:val="23"/>
          <w:szCs w:val="23"/>
          <w:lang w:val="fr-CH" w:eastAsia="es-ES"/>
        </w:rPr>
        <w:br w:type="page"/>
      </w:r>
    </w:p>
    <w:p w:rsidR="005710DF" w:rsidRPr="00876D55" w:rsidRDefault="005710DF" w:rsidP="005710DF">
      <w:pPr>
        <w:jc w:val="center"/>
        <w:rPr>
          <w:rFonts w:cs="Calibri"/>
          <w:b/>
          <w:color w:val="00437A"/>
          <w:szCs w:val="24"/>
          <w:u w:val="single"/>
        </w:rPr>
      </w:pPr>
      <w:r w:rsidRPr="00876D55">
        <w:rPr>
          <w:rFonts w:cs="Calibri"/>
          <w:b/>
          <w:bCs/>
          <w:color w:val="00437A"/>
          <w:szCs w:val="24"/>
          <w:u w:val="single"/>
          <w:lang w:eastAsia="es-ES"/>
        </w:rPr>
        <w:lastRenderedPageBreak/>
        <w:t>Article</w:t>
      </w:r>
      <w:r w:rsidRPr="00876D55">
        <w:rPr>
          <w:rFonts w:cs="Calibri"/>
          <w:b/>
          <w:color w:val="00437A"/>
          <w:szCs w:val="24"/>
          <w:u w:val="single"/>
        </w:rPr>
        <w:t xml:space="preserve"> 1</w:t>
      </w:r>
    </w:p>
    <w:p w:rsidR="005710DF" w:rsidRPr="00876D55" w:rsidRDefault="005710DF" w:rsidP="005710DF">
      <w:pPr>
        <w:spacing w:before="60" w:after="480"/>
        <w:jc w:val="center"/>
        <w:rPr>
          <w:rFonts w:cs="Calibri"/>
          <w:b/>
          <w:color w:val="00437A"/>
          <w:szCs w:val="24"/>
        </w:rPr>
      </w:pPr>
      <w:r w:rsidRPr="00876D55">
        <w:rPr>
          <w:rFonts w:cs="Calibri"/>
          <w:b/>
          <w:bCs/>
          <w:color w:val="00437A"/>
          <w:szCs w:val="24"/>
          <w:lang w:eastAsia="es-ES"/>
        </w:rPr>
        <w:t>Objet de l</w:t>
      </w:r>
      <w:r w:rsidR="00657EA9">
        <w:rPr>
          <w:rFonts w:cs="Calibri"/>
          <w:b/>
          <w:bCs/>
          <w:color w:val="00437A"/>
          <w:szCs w:val="24"/>
          <w:lang w:eastAsia="es-ES"/>
        </w:rPr>
        <w:t>'</w:t>
      </w:r>
      <w:r w:rsidRPr="00876D55">
        <w:rPr>
          <w:rFonts w:cs="Calibri"/>
          <w:b/>
          <w:bCs/>
          <w:color w:val="00437A"/>
          <w:szCs w:val="24"/>
          <w:lang w:eastAsia="es-ES"/>
        </w:rPr>
        <w:t xml:space="preserve">Accord </w:t>
      </w:r>
    </w:p>
    <w:p w:rsidR="005710DF" w:rsidRPr="00876D55" w:rsidRDefault="005710DF" w:rsidP="005710DF">
      <w:pPr>
        <w:spacing w:before="86"/>
        <w:ind w:left="567" w:hanging="567"/>
        <w:jc w:val="both"/>
      </w:pPr>
      <w:r w:rsidRPr="00876D55">
        <w:t>1</w:t>
      </w:r>
      <w:r w:rsidR="0097155C">
        <w:t>)</w:t>
      </w:r>
      <w:r w:rsidRPr="00876D55">
        <w:tab/>
        <w:t>INTERPOL et l</w:t>
      </w:r>
      <w:r w:rsidR="00657EA9">
        <w:t>'</w:t>
      </w:r>
      <w:r w:rsidRPr="00876D55">
        <w:t>UIT conviennent de coopérer, dans les limites de leurs mandats et de leurs ressources respectifs, en vue d</w:t>
      </w:r>
      <w:r w:rsidR="00657EA9">
        <w:t>'</w:t>
      </w:r>
      <w:r w:rsidRPr="00876D55">
        <w:t>instaurer la confiance et la sécurité dans l</w:t>
      </w:r>
      <w:r w:rsidR="00657EA9">
        <w:t>'</w:t>
      </w:r>
      <w:r w:rsidRPr="00876D55">
        <w:t>utilisation des TIC, en participant aux activités décrites de manière détaillée dans l</w:t>
      </w:r>
      <w:r w:rsidR="00657EA9">
        <w:t>'</w:t>
      </w:r>
      <w:r w:rsidRPr="00876D55">
        <w:t>Article 2 du présent Accord.</w:t>
      </w:r>
    </w:p>
    <w:p w:rsidR="005710DF" w:rsidRPr="00876D55" w:rsidRDefault="005710DF" w:rsidP="005710DF">
      <w:pPr>
        <w:spacing w:before="86"/>
        <w:ind w:left="567" w:hanging="567"/>
        <w:jc w:val="both"/>
      </w:pPr>
      <w:r w:rsidRPr="00876D55">
        <w:t>2</w:t>
      </w:r>
      <w:r w:rsidR="0097155C">
        <w:t>)</w:t>
      </w:r>
      <w:r w:rsidRPr="00876D55">
        <w:tab/>
        <w:t xml:space="preserve">Pour mettre en </w:t>
      </w:r>
      <w:r w:rsidR="00A10000">
        <w:t>oe</w:t>
      </w:r>
      <w:r w:rsidRPr="00876D55">
        <w:t>uvre l</w:t>
      </w:r>
      <w:r w:rsidR="00657EA9">
        <w:t>'</w:t>
      </w:r>
      <w:r w:rsidRPr="00876D55">
        <w:t xml:space="preserve">Accord, chaque Partie agit dans son domaine de compétence respectif. Plus précisément, dans la mise en </w:t>
      </w:r>
      <w:r w:rsidR="00A10000">
        <w:t>oe</w:t>
      </w:r>
      <w:r w:rsidRPr="00876D55">
        <w:t>uvre de l</w:t>
      </w:r>
      <w:r w:rsidR="00657EA9">
        <w:t>'</w:t>
      </w:r>
      <w:r w:rsidRPr="00876D55">
        <w:t>Accord, l</w:t>
      </w:r>
      <w:r w:rsidR="00657EA9">
        <w:t>'</w:t>
      </w:r>
      <w:r w:rsidRPr="00876D55">
        <w:t>UIT ne doit pas aller au-delà de son mandat s</w:t>
      </w:r>
      <w:r w:rsidR="00657EA9">
        <w:t>'</w:t>
      </w:r>
      <w:r w:rsidRPr="00876D55">
        <w:t>agissant de l</w:t>
      </w:r>
      <w:r w:rsidR="00657EA9">
        <w:t>'</w:t>
      </w:r>
      <w:r w:rsidRPr="00876D55">
        <w:t>instauration de la confiance et de la sécurité dans l</w:t>
      </w:r>
      <w:r w:rsidR="00657EA9">
        <w:t>'</w:t>
      </w:r>
      <w:r w:rsidRPr="00876D55">
        <w:t xml:space="preserve">utilisation des TIC, conformément à la Résolution 130 (Rév. Busan, 2014) de la Conférence de plénipotentiaires, et du rôle qui est le sien dans la protection en ligne des enfants, conformément à la Résolution 179 (Rév. Busan, 2014) de la Conférence de plénipotentiaires, tandis que dans la mise en </w:t>
      </w:r>
      <w:r w:rsidR="00A10000">
        <w:t>oe</w:t>
      </w:r>
      <w:r w:rsidRPr="00876D55">
        <w:t>uvre de l</w:t>
      </w:r>
      <w:r w:rsidR="00657EA9">
        <w:t>'</w:t>
      </w:r>
      <w:r w:rsidRPr="00876D55">
        <w:t>Accord, INTERPOL ne doit pas aller au-delà de son mandat tel qu</w:t>
      </w:r>
      <w:r w:rsidR="00657EA9">
        <w:t>'</w:t>
      </w:r>
      <w:r w:rsidRPr="00876D55">
        <w:t>il est défini dans l</w:t>
      </w:r>
      <w:r w:rsidR="00657EA9">
        <w:t>'</w:t>
      </w:r>
      <w:r w:rsidRPr="00876D55">
        <w:t>article 2 de sa Constitution, qui prévoit des activités relatives à la cybercriminalité et à l</w:t>
      </w:r>
      <w:r w:rsidR="00657EA9">
        <w:t>'</w:t>
      </w:r>
      <w:r w:rsidRPr="00876D55">
        <w:t>exploitation en ligne des enfants.</w:t>
      </w:r>
    </w:p>
    <w:p w:rsidR="005710DF" w:rsidRPr="00876D55" w:rsidRDefault="005710DF" w:rsidP="005710DF">
      <w:pPr>
        <w:spacing w:before="480"/>
        <w:jc w:val="center"/>
        <w:rPr>
          <w:rFonts w:cs="Calibri"/>
          <w:b/>
          <w:bCs/>
          <w:color w:val="00437A"/>
          <w:szCs w:val="24"/>
          <w:u w:val="single"/>
          <w:lang w:eastAsia="es-ES"/>
        </w:rPr>
      </w:pPr>
      <w:r w:rsidRPr="00876D55">
        <w:rPr>
          <w:rFonts w:cs="Calibri"/>
          <w:b/>
          <w:bCs/>
          <w:color w:val="00437A"/>
          <w:szCs w:val="24"/>
          <w:u w:val="single"/>
          <w:lang w:eastAsia="es-ES"/>
        </w:rPr>
        <w:t>Article 2</w:t>
      </w:r>
    </w:p>
    <w:p w:rsidR="005710DF" w:rsidRPr="00876D55" w:rsidRDefault="005710DF" w:rsidP="005710DF">
      <w:pPr>
        <w:spacing w:before="60" w:after="480"/>
        <w:jc w:val="center"/>
        <w:rPr>
          <w:rFonts w:cs="Calibri"/>
          <w:b/>
          <w:bCs/>
          <w:color w:val="00437A"/>
          <w:szCs w:val="24"/>
          <w:lang w:eastAsia="es-ES"/>
        </w:rPr>
      </w:pPr>
      <w:r w:rsidRPr="00876D55">
        <w:rPr>
          <w:rFonts w:cs="Calibri"/>
          <w:b/>
          <w:bCs/>
          <w:color w:val="00437A"/>
          <w:szCs w:val="24"/>
          <w:lang w:eastAsia="es-ES"/>
        </w:rPr>
        <w:t>Etendue des activités</w:t>
      </w:r>
    </w:p>
    <w:p w:rsidR="005710DF" w:rsidRPr="00876D55" w:rsidRDefault="005710DF" w:rsidP="005710DF">
      <w:pPr>
        <w:jc w:val="both"/>
      </w:pPr>
      <w:r w:rsidRPr="00876D55">
        <w:t xml:space="preserve">Compte dûment tenu de leurs compétences et de leurs cadres institutionnels et opérationnels respectifs, et aux fins de de la mise en </w:t>
      </w:r>
      <w:r w:rsidR="00A10000">
        <w:t>oe</w:t>
      </w:r>
      <w:r w:rsidRPr="00876D55">
        <w:t>uvre du présent Accord, INTERPOL et l</w:t>
      </w:r>
      <w:r w:rsidR="00657EA9">
        <w:t>'</w:t>
      </w:r>
      <w:r w:rsidRPr="00876D55">
        <w:t>UIT envisagent de coopérer:</w:t>
      </w:r>
    </w:p>
    <w:p w:rsidR="005710DF" w:rsidRPr="00876D55" w:rsidRDefault="005710DF" w:rsidP="005710DF">
      <w:pPr>
        <w:spacing w:before="86"/>
        <w:ind w:left="567" w:hanging="567"/>
        <w:jc w:val="both"/>
      </w:pPr>
      <w:r w:rsidRPr="00876D55">
        <w:t>1)</w:t>
      </w:r>
      <w:r w:rsidRPr="00876D55">
        <w:tab/>
        <w:t>en désignant et en maintenant des points de contact chargés d</w:t>
      </w:r>
      <w:r w:rsidR="00657EA9">
        <w:t>'</w:t>
      </w:r>
      <w:r w:rsidRPr="00876D55">
        <w:t>assurer et de coordonner la communication entre les Parties;</w:t>
      </w:r>
    </w:p>
    <w:p w:rsidR="005710DF" w:rsidRPr="00876D55" w:rsidRDefault="005710DF" w:rsidP="005710DF">
      <w:pPr>
        <w:spacing w:before="86"/>
        <w:ind w:left="567" w:hanging="567"/>
        <w:jc w:val="both"/>
      </w:pPr>
      <w:r w:rsidRPr="00876D55">
        <w:t>2)</w:t>
      </w:r>
      <w:r w:rsidRPr="00876D55">
        <w:tab/>
        <w:t>en échangeant de bonnes pratiques, des rapports, des publications et des matériels didactiques produits par chaque organisation ou collectivement dans le cadre du présent Accord (collectivement appelés "documents"), dans des domaines d</w:t>
      </w:r>
      <w:r w:rsidR="00657EA9">
        <w:t>'</w:t>
      </w:r>
      <w:r w:rsidRPr="00876D55">
        <w:t>intérêt mutuels ou relevant de leur compétence mutuelle, se rapportant au champ d</w:t>
      </w:r>
      <w:r w:rsidR="00657EA9">
        <w:t>'</w:t>
      </w:r>
      <w:r w:rsidRPr="00876D55">
        <w:t>application du présent Accord;</w:t>
      </w:r>
    </w:p>
    <w:p w:rsidR="005710DF" w:rsidRPr="00876D55" w:rsidRDefault="005710DF" w:rsidP="005710DF">
      <w:pPr>
        <w:spacing w:before="86"/>
        <w:ind w:left="567" w:hanging="567"/>
        <w:jc w:val="both"/>
      </w:pPr>
      <w:r w:rsidRPr="00876D55">
        <w:t>3)</w:t>
      </w:r>
      <w:r w:rsidRPr="00876D55">
        <w:tab/>
        <w:t>en encourageant le renforcement des capacités par l</w:t>
      </w:r>
      <w:r w:rsidR="00657EA9">
        <w:t>'</w:t>
      </w:r>
      <w:r w:rsidRPr="00876D55">
        <w:t>assistance mutuelle, en échangeant des documents avec leurs membres respectifs et les Partie prenantes concernées, conformément aux règles et procédures en vigueur dans les organisations concernées, et en participant à des sessions de formation et à des conférences sur des questions présentant un intérêt mutuel ou relevant de leur compétence mutuelle;</w:t>
      </w:r>
    </w:p>
    <w:p w:rsidR="005710DF" w:rsidRPr="00876D55" w:rsidRDefault="005710DF" w:rsidP="005710DF">
      <w:pPr>
        <w:spacing w:before="86"/>
        <w:ind w:left="567" w:hanging="567"/>
        <w:jc w:val="both"/>
      </w:pPr>
      <w:r w:rsidRPr="00876D55">
        <w:t>4)</w:t>
      </w:r>
      <w:r w:rsidRPr="00876D55">
        <w:tab/>
        <w:t>en se concertant à intervalles réguliers, par l</w:t>
      </w:r>
      <w:r w:rsidR="00657EA9">
        <w:t>'</w:t>
      </w:r>
      <w:r w:rsidRPr="00876D55">
        <w:t>intermédiaire des points de contact désignés, sur les questions présentant un intérêt mutuel ou relevant de leur compétence mutuelle qui entrent dans le cadre du présent Accord.</w:t>
      </w:r>
    </w:p>
    <w:p w:rsidR="005710DF" w:rsidRPr="00876D55" w:rsidRDefault="005710DF" w:rsidP="005710DF">
      <w:pPr>
        <w:keepNext/>
        <w:keepLines/>
        <w:spacing w:before="480"/>
        <w:jc w:val="center"/>
        <w:rPr>
          <w:rFonts w:cs="Calibri"/>
          <w:b/>
          <w:bCs/>
          <w:color w:val="00437A"/>
          <w:szCs w:val="24"/>
          <w:u w:val="single"/>
          <w:lang w:eastAsia="es-ES"/>
        </w:rPr>
      </w:pPr>
      <w:r w:rsidRPr="00876D55">
        <w:rPr>
          <w:rFonts w:cs="Calibri"/>
          <w:b/>
          <w:bCs/>
          <w:color w:val="00437A"/>
          <w:szCs w:val="24"/>
          <w:u w:val="single"/>
          <w:lang w:eastAsia="es-ES"/>
        </w:rPr>
        <w:lastRenderedPageBreak/>
        <w:t>Article 3</w:t>
      </w:r>
    </w:p>
    <w:p w:rsidR="005710DF" w:rsidRPr="00876D55" w:rsidRDefault="005710DF" w:rsidP="005710DF">
      <w:pPr>
        <w:keepNext/>
        <w:keepLines/>
        <w:spacing w:before="60" w:after="480"/>
        <w:jc w:val="center"/>
        <w:rPr>
          <w:rFonts w:cs="Calibri"/>
          <w:b/>
          <w:bCs/>
          <w:color w:val="00437A"/>
          <w:szCs w:val="24"/>
          <w:lang w:eastAsia="es-ES"/>
        </w:rPr>
      </w:pPr>
      <w:r w:rsidRPr="00876D55">
        <w:rPr>
          <w:rFonts w:cs="Calibri"/>
          <w:b/>
          <w:bCs/>
          <w:color w:val="00437A"/>
          <w:szCs w:val="24"/>
          <w:lang w:eastAsia="es-ES"/>
        </w:rPr>
        <w:t>Dispositions applicables à l</w:t>
      </w:r>
      <w:r w:rsidR="00657EA9">
        <w:rPr>
          <w:rFonts w:cs="Calibri"/>
          <w:b/>
          <w:bCs/>
          <w:color w:val="00437A"/>
          <w:szCs w:val="24"/>
          <w:lang w:eastAsia="es-ES"/>
        </w:rPr>
        <w:t>'</w:t>
      </w:r>
      <w:r w:rsidRPr="00876D55">
        <w:rPr>
          <w:rFonts w:cs="Calibri"/>
          <w:b/>
          <w:bCs/>
          <w:color w:val="00437A"/>
          <w:szCs w:val="24"/>
          <w:lang w:eastAsia="es-ES"/>
        </w:rPr>
        <w:t>échange de documents</w:t>
      </w:r>
    </w:p>
    <w:p w:rsidR="005710DF" w:rsidRPr="00876D55" w:rsidRDefault="005710DF" w:rsidP="005710DF">
      <w:pPr>
        <w:spacing w:before="86"/>
        <w:ind w:left="567" w:hanging="567"/>
        <w:jc w:val="both"/>
      </w:pPr>
      <w:r w:rsidRPr="00876D55">
        <w:t>1)</w:t>
      </w:r>
      <w:r w:rsidRPr="00876D55">
        <w:tab/>
        <w:t>Aux fins du présent Accord, le terme "documents" n</w:t>
      </w:r>
      <w:r w:rsidR="00657EA9">
        <w:t>'</w:t>
      </w:r>
      <w:r w:rsidRPr="00876D55">
        <w:t>implique aucun échange de données et/ou d</w:t>
      </w:r>
      <w:r w:rsidR="00657EA9">
        <w:t>'</w:t>
      </w:r>
      <w:r w:rsidRPr="00876D55">
        <w:t>informations d</w:t>
      </w:r>
      <w:r w:rsidR="00657EA9">
        <w:t>'</w:t>
      </w:r>
      <w:r w:rsidRPr="00876D55">
        <w:t>identification personnelles (PII), recueillies et/ou stockées dans les bases de données d</w:t>
      </w:r>
      <w:r w:rsidR="00657EA9">
        <w:t>'</w:t>
      </w:r>
      <w:r w:rsidRPr="00876D55">
        <w:t>INTERPOL et de l</w:t>
      </w:r>
      <w:r w:rsidR="00657EA9">
        <w:t>'</w:t>
      </w:r>
      <w:r w:rsidRPr="00876D55">
        <w:t xml:space="preserve">UIT </w:t>
      </w:r>
    </w:p>
    <w:p w:rsidR="005710DF" w:rsidRPr="00876D55" w:rsidRDefault="005710DF" w:rsidP="005710DF">
      <w:pPr>
        <w:spacing w:before="86"/>
        <w:ind w:left="567" w:hanging="567"/>
        <w:jc w:val="both"/>
      </w:pPr>
      <w:r w:rsidRPr="00876D55">
        <w:t>2)</w:t>
      </w:r>
      <w:r w:rsidRPr="00876D55">
        <w:tab/>
        <w:t>La communication de documents par INTERPOL à l</w:t>
      </w:r>
      <w:r w:rsidR="00657EA9">
        <w:t>'</w:t>
      </w:r>
      <w:r w:rsidRPr="00876D55">
        <w:t>UIT est assujettie aux règles et règlements d</w:t>
      </w:r>
      <w:r w:rsidR="00657EA9">
        <w:t>'</w:t>
      </w:r>
      <w:r w:rsidRPr="00876D55">
        <w:t>INTERPOL. La communication de documents par l</w:t>
      </w:r>
      <w:r w:rsidR="00657EA9">
        <w:t>'</w:t>
      </w:r>
      <w:r w:rsidRPr="00876D55">
        <w:t>UIT à INTERPOL est assujettie aux règles et règlements de l</w:t>
      </w:r>
      <w:r w:rsidR="00657EA9">
        <w:t>'</w:t>
      </w:r>
      <w:r w:rsidRPr="00876D55">
        <w:t>l</w:t>
      </w:r>
      <w:r w:rsidR="00657EA9">
        <w:t>'</w:t>
      </w:r>
      <w:r w:rsidRPr="00876D55">
        <w:t>UIT.</w:t>
      </w:r>
    </w:p>
    <w:p w:rsidR="005710DF" w:rsidRPr="00876D55" w:rsidRDefault="005710DF" w:rsidP="005710DF">
      <w:pPr>
        <w:spacing w:before="86"/>
        <w:ind w:left="567" w:hanging="567"/>
        <w:jc w:val="both"/>
      </w:pPr>
      <w:r w:rsidRPr="00876D55">
        <w:t>3)</w:t>
      </w:r>
      <w:r w:rsidRPr="00876D55">
        <w:tab/>
        <w:t>Il incombe aux deux Parties de garantir la sécurité et la confidentialité de certains documents échangés dans le cadre du présent Accord, qui sont signalés comme étant "confidentiels" ou "protégés" par une Partie.</w:t>
      </w:r>
    </w:p>
    <w:p w:rsidR="005710DF" w:rsidRPr="00876D55" w:rsidRDefault="005710DF" w:rsidP="005710DF">
      <w:pPr>
        <w:spacing w:before="86"/>
        <w:ind w:left="567" w:hanging="567"/>
        <w:jc w:val="both"/>
      </w:pPr>
      <w:r w:rsidRPr="00876D55">
        <w:t>4)</w:t>
      </w:r>
      <w:r w:rsidRPr="00876D55">
        <w:tab/>
        <w:t>Chaque Partie détient la propriété exclusive des matériels didactiques, des publications et des autres travaux que les Parties produisent séparément dans le cadre du présent Accord, à moins qu</w:t>
      </w:r>
      <w:r w:rsidR="00657EA9">
        <w:t>'</w:t>
      </w:r>
      <w:r w:rsidRPr="00876D55">
        <w:t>il n</w:t>
      </w:r>
      <w:r w:rsidR="00657EA9">
        <w:t>'</w:t>
      </w:r>
      <w:r w:rsidRPr="00876D55">
        <w:t>en soit décidé autrement par écrit. A cet égard, chaque Partie peut, sur demande, accorder une licence à l</w:t>
      </w:r>
      <w:r w:rsidR="00657EA9">
        <w:t>'</w:t>
      </w:r>
      <w:r w:rsidRPr="00876D55">
        <w:t>autre Partie afin qu</w:t>
      </w:r>
      <w:r w:rsidR="00657EA9">
        <w:t>'</w:t>
      </w:r>
      <w:r w:rsidRPr="00876D55">
        <w:t>elle utilise ces travaux pour mener à bien les activités décrites dans l</w:t>
      </w:r>
      <w:r w:rsidR="00657EA9">
        <w:t>'</w:t>
      </w:r>
      <w:r w:rsidRPr="00876D55">
        <w:t>Article 1 ci-dessus, sous réserve que les droits de propriété intellectuelle de la Partie concernée soient dûment reconnus.</w:t>
      </w:r>
    </w:p>
    <w:p w:rsidR="005710DF" w:rsidRPr="00876D55" w:rsidRDefault="005710DF" w:rsidP="005710DF">
      <w:pPr>
        <w:spacing w:before="86"/>
        <w:ind w:left="567" w:hanging="567"/>
        <w:jc w:val="both"/>
      </w:pPr>
      <w:r w:rsidRPr="00876D55">
        <w:t>5)</w:t>
      </w:r>
      <w:r w:rsidRPr="00876D55">
        <w:tab/>
        <w:t>Les droits de propriété intellectuelle sur les travaux communs résultant des activités de collaboration menées par les Parties au titre du présent Accord, dont les deux Parties sont les auteurs, seront détenus conjointement par les Parties. Chacune des Parties peut utiliser et reproduire ces travaux séparément, sous réserve que la contribution de l</w:t>
      </w:r>
      <w:r w:rsidR="00657EA9">
        <w:t>'</w:t>
      </w:r>
      <w:r w:rsidRPr="00876D55">
        <w:t>autre Partie aux travaux soit dûment reconnue et à condition que chaque Partie obtienne l</w:t>
      </w:r>
      <w:r w:rsidR="00657EA9">
        <w:t>'</w:t>
      </w:r>
      <w:r w:rsidRPr="00876D55">
        <w:t>accord écrit de l</w:t>
      </w:r>
      <w:r w:rsidR="00657EA9">
        <w:t>'</w:t>
      </w:r>
      <w:r w:rsidRPr="00876D55">
        <w:t>autre Partie avant d</w:t>
      </w:r>
      <w:r w:rsidR="00657EA9">
        <w:t>'</w:t>
      </w:r>
      <w:r w:rsidRPr="00876D55">
        <w:t>accorder une licence à une tierce partie. Sans préjudice de ce qui précède, toute publication commune devra faire l</w:t>
      </w:r>
      <w:r w:rsidR="00657EA9">
        <w:t>'</w:t>
      </w:r>
      <w:r w:rsidRPr="00876D55">
        <w:t>objet d</w:t>
      </w:r>
      <w:r w:rsidR="00657EA9">
        <w:t>'</w:t>
      </w:r>
      <w:r w:rsidRPr="00876D55">
        <w:t>un accord écrit distinct des Parties.</w:t>
      </w:r>
    </w:p>
    <w:p w:rsidR="005710DF" w:rsidRPr="00876D55" w:rsidRDefault="005710DF" w:rsidP="005710DF">
      <w:pPr>
        <w:spacing w:before="480"/>
        <w:jc w:val="center"/>
        <w:rPr>
          <w:rFonts w:cs="Calibri"/>
          <w:b/>
          <w:bCs/>
          <w:color w:val="00437A"/>
          <w:szCs w:val="24"/>
          <w:u w:val="single"/>
          <w:lang w:eastAsia="es-ES"/>
        </w:rPr>
      </w:pPr>
      <w:r w:rsidRPr="00876D55">
        <w:rPr>
          <w:rFonts w:cs="Calibri"/>
          <w:b/>
          <w:bCs/>
          <w:color w:val="00437A"/>
          <w:szCs w:val="24"/>
          <w:u w:val="single"/>
          <w:lang w:eastAsia="es-ES"/>
        </w:rPr>
        <w:t>Article 4</w:t>
      </w:r>
    </w:p>
    <w:p w:rsidR="005710DF" w:rsidRPr="00876D55" w:rsidRDefault="005710DF" w:rsidP="005710DF">
      <w:pPr>
        <w:spacing w:before="60" w:after="480"/>
        <w:jc w:val="center"/>
        <w:rPr>
          <w:rFonts w:cs="Calibri"/>
          <w:b/>
          <w:bCs/>
          <w:color w:val="00437A"/>
          <w:szCs w:val="24"/>
          <w:lang w:eastAsia="es-ES"/>
        </w:rPr>
      </w:pPr>
      <w:r w:rsidRPr="00876D55">
        <w:rPr>
          <w:rFonts w:cs="Calibri"/>
          <w:b/>
          <w:bCs/>
          <w:color w:val="00437A"/>
          <w:szCs w:val="24"/>
          <w:lang w:eastAsia="es-ES"/>
        </w:rPr>
        <w:t>Examen Des Activités – Amendement – Dénonciation</w:t>
      </w:r>
    </w:p>
    <w:p w:rsidR="005710DF" w:rsidRPr="00876D55" w:rsidRDefault="005710DF" w:rsidP="005710DF">
      <w:pPr>
        <w:spacing w:before="86"/>
        <w:ind w:left="567" w:hanging="567"/>
        <w:jc w:val="both"/>
      </w:pPr>
      <w:r w:rsidRPr="00876D55">
        <w:t>1)</w:t>
      </w:r>
      <w:r w:rsidRPr="00876D55">
        <w:tab/>
        <w:t xml:space="preserve">Les Parties évaluent chaque année la mise en </w:t>
      </w:r>
      <w:r w:rsidR="00A10000">
        <w:t>oe</w:t>
      </w:r>
      <w:r w:rsidRPr="00876D55">
        <w:t>uvre du présent Accord et mènent des consultations aux fins de la coordination et du renforcement de l</w:t>
      </w:r>
      <w:r w:rsidR="00657EA9">
        <w:t>'</w:t>
      </w:r>
      <w:r w:rsidRPr="00876D55">
        <w:t>efficacité de la coopération et du dialogue. Ce faisant, les Parties pourront en outre proposer d</w:t>
      </w:r>
      <w:r w:rsidR="00657EA9">
        <w:t>'</w:t>
      </w:r>
      <w:r w:rsidRPr="00876D55">
        <w:t>autres domaines et modalités de coopération, dans les limites de leurs mandats et ressources respectifs, sous réserve de la consultation de leurs organes directeurs respectifs, et sur la base de l</w:t>
      </w:r>
      <w:r w:rsidR="00657EA9">
        <w:t>'</w:t>
      </w:r>
      <w:r w:rsidRPr="00876D55">
        <w:t xml:space="preserve">expérience acquise au cours de la mise en </w:t>
      </w:r>
      <w:r w:rsidR="00A10000">
        <w:t>oe</w:t>
      </w:r>
      <w:r w:rsidRPr="00876D55">
        <w:t>uvre des dispositions du présent Accord.</w:t>
      </w:r>
    </w:p>
    <w:p w:rsidR="005710DF" w:rsidRPr="00876D55" w:rsidRDefault="005710DF" w:rsidP="005710DF">
      <w:pPr>
        <w:spacing w:before="86"/>
        <w:ind w:left="567" w:hanging="567"/>
        <w:jc w:val="both"/>
      </w:pPr>
      <w:r w:rsidRPr="00876D55">
        <w:t>2)</w:t>
      </w:r>
      <w:r w:rsidRPr="00876D55">
        <w:tab/>
        <w:t>Le présent Accord ne pourra être modifié ou complété qu</w:t>
      </w:r>
      <w:r w:rsidR="00657EA9">
        <w:t>'</w:t>
      </w:r>
      <w:r w:rsidRPr="00876D55">
        <w:t>en vertu d</w:t>
      </w:r>
      <w:r w:rsidR="00657EA9">
        <w:t>'</w:t>
      </w:r>
      <w:r w:rsidRPr="00876D55">
        <w:t>un amendement écrit convenu mutuellement, signé et, selon qu</w:t>
      </w:r>
      <w:r w:rsidR="00657EA9">
        <w:t>'</w:t>
      </w:r>
      <w:r w:rsidRPr="00876D55">
        <w:t>il conviendra, approuvé par les deux Parties. Tout amendement sera annexé au présent Accord, dont il fera partie intégrante.</w:t>
      </w:r>
    </w:p>
    <w:p w:rsidR="005710DF" w:rsidRPr="00876D55" w:rsidRDefault="005710DF" w:rsidP="005710DF">
      <w:pPr>
        <w:spacing w:before="86"/>
        <w:ind w:left="567" w:hanging="567"/>
        <w:jc w:val="both"/>
        <w:rPr>
          <w:rFonts w:cs="Calibri"/>
          <w:sz w:val="23"/>
          <w:szCs w:val="23"/>
        </w:rPr>
      </w:pPr>
      <w:r w:rsidRPr="00876D55">
        <w:t>3)</w:t>
      </w:r>
      <w:r w:rsidRPr="00876D55">
        <w:tab/>
        <w:t>Le présent Accord pourra être dénoncé par l</w:t>
      </w:r>
      <w:r w:rsidR="00657EA9">
        <w:t>'</w:t>
      </w:r>
      <w:r w:rsidRPr="00876D55">
        <w:t>une ou l</w:t>
      </w:r>
      <w:r w:rsidR="00657EA9">
        <w:t>'</w:t>
      </w:r>
      <w:r w:rsidRPr="00876D55">
        <w:t>autre Partie, qui en informera par écrit l</w:t>
      </w:r>
      <w:r w:rsidR="00657EA9">
        <w:t>'</w:t>
      </w:r>
      <w:r w:rsidRPr="00876D55">
        <w:t>autre Partie au moins trente (30) jours avant la date à laquelle la dénonciation prendra effet</w:t>
      </w:r>
      <w:r w:rsidRPr="00876D55">
        <w:rPr>
          <w:rFonts w:cs="Calibri"/>
          <w:sz w:val="23"/>
          <w:szCs w:val="23"/>
        </w:rPr>
        <w:t xml:space="preserve">. </w:t>
      </w:r>
    </w:p>
    <w:p w:rsidR="005710DF" w:rsidRPr="00876D55" w:rsidRDefault="005710DF" w:rsidP="005710DF">
      <w:pPr>
        <w:keepNext/>
        <w:keepLines/>
        <w:spacing w:before="480"/>
        <w:jc w:val="center"/>
        <w:rPr>
          <w:rFonts w:cs="Calibri"/>
          <w:b/>
          <w:bCs/>
          <w:color w:val="00437A"/>
          <w:szCs w:val="24"/>
          <w:u w:val="single"/>
          <w:lang w:eastAsia="es-ES"/>
        </w:rPr>
      </w:pPr>
      <w:r w:rsidRPr="00876D55">
        <w:rPr>
          <w:rFonts w:cs="Calibri"/>
          <w:b/>
          <w:bCs/>
          <w:color w:val="00437A"/>
          <w:szCs w:val="24"/>
          <w:u w:val="single"/>
          <w:lang w:eastAsia="es-ES"/>
        </w:rPr>
        <w:lastRenderedPageBreak/>
        <w:t>Article 5</w:t>
      </w:r>
    </w:p>
    <w:p w:rsidR="005710DF" w:rsidRPr="00876D55" w:rsidRDefault="005710DF" w:rsidP="005710DF">
      <w:pPr>
        <w:keepNext/>
        <w:keepLines/>
        <w:spacing w:before="60" w:after="480"/>
        <w:jc w:val="center"/>
        <w:rPr>
          <w:rFonts w:cs="Calibri"/>
          <w:b/>
          <w:bCs/>
          <w:color w:val="00437A"/>
          <w:szCs w:val="24"/>
          <w:lang w:eastAsia="es-ES"/>
        </w:rPr>
      </w:pPr>
      <w:r w:rsidRPr="00876D55">
        <w:rPr>
          <w:rFonts w:cs="Calibri"/>
          <w:b/>
          <w:bCs/>
          <w:color w:val="00437A"/>
          <w:szCs w:val="24"/>
          <w:lang w:eastAsia="es-ES"/>
        </w:rPr>
        <w:t>Utilisation des signes distinctifs</w:t>
      </w:r>
    </w:p>
    <w:p w:rsidR="005710DF" w:rsidRPr="00876D55" w:rsidRDefault="005710DF" w:rsidP="005710DF">
      <w:pPr>
        <w:spacing w:before="86"/>
        <w:ind w:left="567" w:hanging="567"/>
        <w:jc w:val="both"/>
      </w:pPr>
      <w:r w:rsidRPr="00876D55">
        <w:t>1)</w:t>
      </w:r>
      <w:r w:rsidRPr="00876D55">
        <w:tab/>
        <w:t xml:space="preserve">Dans le cadre de la mise en </w:t>
      </w:r>
      <w:r w:rsidR="00A10000">
        <w:t>oe</w:t>
      </w:r>
      <w:r w:rsidRPr="00876D55">
        <w:t>uvre du présent Accord, l</w:t>
      </w:r>
      <w:r w:rsidR="00657EA9">
        <w:t>'</w:t>
      </w:r>
      <w:r w:rsidRPr="00876D55">
        <w:t>utilisation par l</w:t>
      </w:r>
      <w:r w:rsidR="00657EA9">
        <w:t>'</w:t>
      </w:r>
      <w:r w:rsidRPr="00876D55">
        <w:t>UIT des signes distinctifs d</w:t>
      </w:r>
      <w:r w:rsidR="00657EA9">
        <w:t>'</w:t>
      </w:r>
      <w:r w:rsidRPr="00876D55">
        <w:t>INTERPOL est soumise à l</w:t>
      </w:r>
      <w:r w:rsidR="00657EA9">
        <w:t>'</w:t>
      </w:r>
      <w:r w:rsidRPr="00876D55">
        <w:t>autorisation expresse du Secrétaire général d</w:t>
      </w:r>
      <w:r w:rsidR="00657EA9">
        <w:t>'</w:t>
      </w:r>
      <w:r w:rsidRPr="00876D55">
        <w:t>INTERPOL.</w:t>
      </w:r>
    </w:p>
    <w:p w:rsidR="005710DF" w:rsidRPr="00876D55" w:rsidRDefault="005710DF" w:rsidP="005710DF">
      <w:pPr>
        <w:spacing w:before="86"/>
        <w:ind w:left="567" w:hanging="567"/>
        <w:jc w:val="both"/>
      </w:pPr>
      <w:r w:rsidRPr="00876D55">
        <w:t>2)</w:t>
      </w:r>
      <w:r w:rsidRPr="00876D55">
        <w:tab/>
        <w:t>De même, l</w:t>
      </w:r>
      <w:r w:rsidR="00657EA9">
        <w:t>'</w:t>
      </w:r>
      <w:r w:rsidRPr="00876D55">
        <w:t>utilisation par INTERPOL des signes distinctifs de l</w:t>
      </w:r>
      <w:r w:rsidR="00657EA9">
        <w:t>'</w:t>
      </w:r>
      <w:r w:rsidRPr="00876D55">
        <w:t>UIT est soumise à l</w:t>
      </w:r>
      <w:r w:rsidR="00657EA9">
        <w:t>'</w:t>
      </w:r>
      <w:r w:rsidRPr="00876D55">
        <w:t>autorisation expresse de l</w:t>
      </w:r>
      <w:r w:rsidR="00657EA9">
        <w:t>'</w:t>
      </w:r>
      <w:r w:rsidRPr="00876D55">
        <w:t>UIT.</w:t>
      </w:r>
    </w:p>
    <w:p w:rsidR="005710DF" w:rsidRPr="00876D55" w:rsidRDefault="005710DF" w:rsidP="005710DF">
      <w:pPr>
        <w:spacing w:before="86"/>
        <w:ind w:left="567" w:hanging="567"/>
        <w:jc w:val="both"/>
      </w:pPr>
      <w:r w:rsidRPr="00876D55">
        <w:t>3)</w:t>
      </w:r>
      <w:r w:rsidRPr="00876D55">
        <w:tab/>
        <w:t>Chaque Partie pourra annuler de manière automatique son autorisation dès lors qu</w:t>
      </w:r>
      <w:r w:rsidR="00657EA9">
        <w:t>'</w:t>
      </w:r>
      <w:r w:rsidRPr="00876D55">
        <w:t>il apparaît que l</w:t>
      </w:r>
      <w:r w:rsidR="00657EA9">
        <w:t>'</w:t>
      </w:r>
      <w:r w:rsidRPr="00876D55">
        <w:t>objet pour lequel elle a donné son Accord risque de nuire à sa réputation ou à son image.</w:t>
      </w:r>
    </w:p>
    <w:p w:rsidR="005710DF" w:rsidRPr="00876D55" w:rsidRDefault="005710DF" w:rsidP="005710DF">
      <w:pPr>
        <w:spacing w:before="480"/>
        <w:jc w:val="center"/>
        <w:rPr>
          <w:rFonts w:cs="Calibri"/>
          <w:b/>
          <w:bCs/>
          <w:color w:val="00437A"/>
          <w:szCs w:val="24"/>
          <w:u w:val="single"/>
          <w:lang w:eastAsia="es-ES"/>
        </w:rPr>
      </w:pPr>
      <w:r w:rsidRPr="00876D55">
        <w:rPr>
          <w:rFonts w:cs="Calibri"/>
          <w:b/>
          <w:bCs/>
          <w:color w:val="00437A"/>
          <w:szCs w:val="24"/>
          <w:u w:val="single"/>
          <w:lang w:eastAsia="es-ES"/>
        </w:rPr>
        <w:t>Article 6</w:t>
      </w:r>
    </w:p>
    <w:p w:rsidR="005710DF" w:rsidRPr="00876D55" w:rsidRDefault="005710DF" w:rsidP="005710DF">
      <w:pPr>
        <w:spacing w:before="60" w:after="480"/>
        <w:jc w:val="center"/>
        <w:rPr>
          <w:rFonts w:cs="Calibri"/>
          <w:b/>
          <w:bCs/>
          <w:color w:val="00437A"/>
          <w:szCs w:val="24"/>
          <w:lang w:eastAsia="es-ES"/>
        </w:rPr>
      </w:pPr>
      <w:r w:rsidRPr="00876D55">
        <w:rPr>
          <w:rFonts w:cs="Calibri"/>
          <w:b/>
          <w:bCs/>
          <w:color w:val="00437A"/>
          <w:szCs w:val="24"/>
          <w:lang w:eastAsia="es-ES"/>
        </w:rPr>
        <w:t>Dépenses</w:t>
      </w:r>
    </w:p>
    <w:p w:rsidR="005710DF" w:rsidRPr="00876D55" w:rsidRDefault="005710DF" w:rsidP="005710DF">
      <w:pPr>
        <w:jc w:val="both"/>
      </w:pPr>
      <w:r w:rsidRPr="00876D55">
        <w:t>Les obligations financières liées à l</w:t>
      </w:r>
      <w:r w:rsidR="00657EA9">
        <w:t>'</w:t>
      </w:r>
      <w:r w:rsidRPr="00876D55">
        <w:t>exécution des activités définies dans le présent Accord seront déterminées par les Parties dans le cadre de consultations mutuelles et d</w:t>
      </w:r>
      <w:r w:rsidR="00657EA9">
        <w:t>'</w:t>
      </w:r>
      <w:r w:rsidRPr="00876D55">
        <w:t>un accord écrit, au cas par cas et conformément aux règles et règlements appliqués par chaque Partie. En l</w:t>
      </w:r>
      <w:r w:rsidR="00657EA9">
        <w:t>'</w:t>
      </w:r>
      <w:r w:rsidRPr="00876D55">
        <w:t>absence d</w:t>
      </w:r>
      <w:r w:rsidR="00657EA9">
        <w:t>'</w:t>
      </w:r>
      <w:r w:rsidRPr="00876D55">
        <w:t>un tel accord écrit distinct entre les Parties, le présent Accord n</w:t>
      </w:r>
      <w:r w:rsidR="00657EA9">
        <w:t>'</w:t>
      </w:r>
      <w:r w:rsidRPr="00876D55">
        <w:t>impose aucune obligation financière à l</w:t>
      </w:r>
      <w:r w:rsidR="00657EA9">
        <w:t>'</w:t>
      </w:r>
      <w:r w:rsidRPr="00876D55">
        <w:t>une ou l</w:t>
      </w:r>
      <w:r w:rsidR="00657EA9">
        <w:t>'</w:t>
      </w:r>
      <w:r w:rsidRPr="00876D55">
        <w:t>autre Partie, et toute activité qui pourra être menée au titre du présent Accord sera assujettie et subordonnée à la condition que chaque Partie dispose de ressources humaines, financières et autres suffisantes.</w:t>
      </w:r>
    </w:p>
    <w:p w:rsidR="005710DF" w:rsidRPr="00876D55" w:rsidRDefault="005710DF" w:rsidP="005710DF">
      <w:pPr>
        <w:spacing w:before="480"/>
        <w:jc w:val="center"/>
        <w:rPr>
          <w:rFonts w:cs="Calibri"/>
          <w:b/>
          <w:bCs/>
          <w:color w:val="00437A"/>
          <w:szCs w:val="24"/>
          <w:u w:val="single"/>
          <w:lang w:eastAsia="es-ES"/>
        </w:rPr>
      </w:pPr>
      <w:r w:rsidRPr="00876D55">
        <w:rPr>
          <w:rFonts w:cs="Calibri"/>
          <w:b/>
          <w:bCs/>
          <w:color w:val="00437A"/>
          <w:szCs w:val="24"/>
          <w:u w:val="single"/>
          <w:lang w:eastAsia="es-ES"/>
        </w:rPr>
        <w:t>Article 7</w:t>
      </w:r>
    </w:p>
    <w:p w:rsidR="005710DF" w:rsidRPr="00876D55" w:rsidRDefault="005710DF" w:rsidP="005710DF">
      <w:pPr>
        <w:spacing w:before="60" w:after="480"/>
        <w:jc w:val="center"/>
        <w:rPr>
          <w:rFonts w:cs="Calibri"/>
          <w:b/>
          <w:bCs/>
          <w:color w:val="00437A"/>
          <w:szCs w:val="24"/>
          <w:lang w:eastAsia="es-ES"/>
        </w:rPr>
      </w:pPr>
      <w:r w:rsidRPr="00876D55">
        <w:rPr>
          <w:rFonts w:cs="Calibri"/>
          <w:b/>
          <w:bCs/>
          <w:color w:val="00437A"/>
          <w:szCs w:val="24"/>
          <w:lang w:eastAsia="es-ES"/>
        </w:rPr>
        <w:t>Privilèges et immunités</w:t>
      </w:r>
    </w:p>
    <w:p w:rsidR="005710DF" w:rsidRPr="00876D55" w:rsidRDefault="005710DF" w:rsidP="005710DF">
      <w:pPr>
        <w:jc w:val="both"/>
      </w:pPr>
      <w:r w:rsidRPr="00876D55">
        <w:t>Aucune disposition du présent Accord ou liée audit Accord ne constituera une dérogation implicite ou explicite aux privilèges, immunités ou facilités dont jouissent les deux Parties ou l</w:t>
      </w:r>
      <w:r w:rsidR="00657EA9">
        <w:t>'</w:t>
      </w:r>
      <w:r w:rsidRPr="00876D55">
        <w:t>un quelconque de leurs fonctionnaires en vertu des accord s internationaux et des législations nationales qui leur sont applicables, ni ne sera considérée ou interprétée comme telle.</w:t>
      </w:r>
    </w:p>
    <w:p w:rsidR="005710DF" w:rsidRPr="00876D55" w:rsidRDefault="005710DF" w:rsidP="005710DF">
      <w:pPr>
        <w:spacing w:before="480"/>
        <w:jc w:val="center"/>
        <w:rPr>
          <w:rFonts w:cs="Calibri"/>
          <w:b/>
          <w:bCs/>
          <w:color w:val="00437A"/>
          <w:szCs w:val="24"/>
          <w:u w:val="single"/>
          <w:lang w:eastAsia="es-ES"/>
        </w:rPr>
      </w:pPr>
      <w:r w:rsidRPr="00876D55">
        <w:rPr>
          <w:rFonts w:cs="Calibri"/>
          <w:b/>
          <w:bCs/>
          <w:color w:val="00437A"/>
          <w:szCs w:val="24"/>
          <w:u w:val="single"/>
          <w:lang w:eastAsia="es-ES"/>
        </w:rPr>
        <w:t>Article 8</w:t>
      </w:r>
    </w:p>
    <w:p w:rsidR="005710DF" w:rsidRPr="00876D55" w:rsidRDefault="005710DF" w:rsidP="005710DF">
      <w:pPr>
        <w:spacing w:before="60" w:after="480"/>
        <w:jc w:val="center"/>
        <w:rPr>
          <w:rFonts w:cs="Calibri"/>
          <w:b/>
          <w:bCs/>
          <w:color w:val="00437A"/>
          <w:sz w:val="23"/>
          <w:szCs w:val="23"/>
          <w:lang w:eastAsia="es-ES"/>
        </w:rPr>
      </w:pPr>
      <w:r w:rsidRPr="00876D55">
        <w:rPr>
          <w:rFonts w:cs="Calibri"/>
          <w:b/>
          <w:bCs/>
          <w:color w:val="00437A"/>
          <w:szCs w:val="24"/>
          <w:lang w:eastAsia="es-ES"/>
        </w:rPr>
        <w:t>Règlement des différends</w:t>
      </w:r>
    </w:p>
    <w:p w:rsidR="005710DF" w:rsidRPr="00876D55" w:rsidRDefault="005710DF" w:rsidP="005710DF">
      <w:pPr>
        <w:jc w:val="both"/>
      </w:pPr>
      <w:r w:rsidRPr="00876D55">
        <w:t>Tout différend ou désaccord entre les Parties concernant l</w:t>
      </w:r>
      <w:r w:rsidR="00657EA9">
        <w:t>'</w:t>
      </w:r>
      <w:r w:rsidRPr="00876D55">
        <w:t xml:space="preserve">interprétation, la mise en </w:t>
      </w:r>
      <w:r w:rsidR="00A10000">
        <w:t>oe</w:t>
      </w:r>
      <w:r w:rsidRPr="00876D55">
        <w:t>uvre ou l</w:t>
      </w:r>
      <w:r w:rsidR="00657EA9">
        <w:t>'</w:t>
      </w:r>
      <w:r w:rsidRPr="00876D55">
        <w:t>application du présent Accord est réglé à l</w:t>
      </w:r>
      <w:r w:rsidR="00657EA9">
        <w:t>'</w:t>
      </w:r>
      <w:r w:rsidRPr="00876D55">
        <w:t>amiable, par voie de négociation de bonne foi entre les Parties.</w:t>
      </w:r>
    </w:p>
    <w:p w:rsidR="005710DF" w:rsidRPr="00876D55" w:rsidRDefault="005710DF" w:rsidP="005710DF">
      <w:pPr>
        <w:keepNext/>
        <w:keepLines/>
        <w:spacing w:before="480"/>
        <w:jc w:val="center"/>
        <w:rPr>
          <w:rFonts w:cs="Calibri"/>
          <w:b/>
          <w:bCs/>
          <w:color w:val="00437A"/>
          <w:szCs w:val="24"/>
          <w:u w:val="single"/>
          <w:lang w:eastAsia="es-ES"/>
        </w:rPr>
      </w:pPr>
      <w:r w:rsidRPr="00876D55">
        <w:rPr>
          <w:rFonts w:cs="Calibri"/>
          <w:b/>
          <w:bCs/>
          <w:color w:val="00437A"/>
          <w:szCs w:val="24"/>
          <w:u w:val="single"/>
          <w:lang w:eastAsia="es-ES"/>
        </w:rPr>
        <w:lastRenderedPageBreak/>
        <w:t>Article 9</w:t>
      </w:r>
    </w:p>
    <w:p w:rsidR="005710DF" w:rsidRPr="00876D55" w:rsidRDefault="005710DF" w:rsidP="005710DF">
      <w:pPr>
        <w:keepNext/>
        <w:keepLines/>
        <w:spacing w:before="60" w:after="480"/>
        <w:jc w:val="center"/>
        <w:rPr>
          <w:rFonts w:cs="Calibri"/>
          <w:b/>
          <w:bCs/>
          <w:color w:val="00437A"/>
          <w:szCs w:val="24"/>
          <w:lang w:eastAsia="es-ES"/>
        </w:rPr>
      </w:pPr>
      <w:r w:rsidRPr="00876D55">
        <w:rPr>
          <w:rFonts w:cs="Calibri"/>
          <w:b/>
          <w:bCs/>
          <w:color w:val="00437A"/>
          <w:szCs w:val="24"/>
          <w:lang w:eastAsia="es-ES"/>
        </w:rPr>
        <w:t>Application provisoire et entrée en vigueur</w:t>
      </w:r>
    </w:p>
    <w:p w:rsidR="005710DF" w:rsidRPr="00876D55" w:rsidRDefault="005710DF" w:rsidP="005710DF">
      <w:pPr>
        <w:spacing w:before="86"/>
        <w:ind w:left="567" w:hanging="567"/>
        <w:jc w:val="both"/>
      </w:pPr>
      <w:r w:rsidRPr="00876D55">
        <w:t>1)</w:t>
      </w:r>
      <w:r w:rsidRPr="00876D55">
        <w:tab/>
        <w:t>Le présent Accord s</w:t>
      </w:r>
      <w:r w:rsidR="00657EA9">
        <w:t>'</w:t>
      </w:r>
      <w:r w:rsidRPr="00876D55">
        <w:t>appliquera provisoirement à compter de la date de sa signature par le Secrétaire général d</w:t>
      </w:r>
      <w:r w:rsidR="00657EA9">
        <w:t>'</w:t>
      </w:r>
      <w:r w:rsidRPr="00876D55">
        <w:t>INTERPOL et le Secrétaire général de l</w:t>
      </w:r>
      <w:r w:rsidR="00657EA9">
        <w:t>'</w:t>
      </w:r>
      <w:r w:rsidRPr="00876D55">
        <w:t>UIT dûment autorisés.</w:t>
      </w:r>
    </w:p>
    <w:p w:rsidR="005710DF" w:rsidRPr="00876D55" w:rsidRDefault="005710DF" w:rsidP="005710DF">
      <w:pPr>
        <w:spacing w:before="86"/>
        <w:ind w:left="567" w:hanging="567"/>
        <w:jc w:val="both"/>
      </w:pPr>
      <w:r w:rsidRPr="00876D55">
        <w:t>2)</w:t>
      </w:r>
      <w:r w:rsidRPr="00876D55">
        <w:tab/>
        <w:t>Le présent Accord entrera en vigueur le jour suivant celui de l</w:t>
      </w:r>
      <w:r w:rsidR="00657EA9">
        <w:t>'</w:t>
      </w:r>
      <w:r w:rsidRPr="00876D55">
        <w:t>échange entre les Parties des instruments relatifs aux actes de confirmation formelle par l</w:t>
      </w:r>
      <w:r w:rsidR="00657EA9">
        <w:t>'</w:t>
      </w:r>
      <w:r w:rsidRPr="00876D55">
        <w:t>UIT et INTERPOL, selon le cas, et conformément aux modalités énoncées dans lesdits instruments.</w:t>
      </w:r>
    </w:p>
    <w:p w:rsidR="005710DF" w:rsidRPr="00876D55" w:rsidRDefault="005710DF" w:rsidP="005710DF">
      <w:pPr>
        <w:jc w:val="both"/>
      </w:pPr>
      <w:r w:rsidRPr="00876D55">
        <w:t>En foi de quoi, les soussignés, dûment autorisés, ont signé le présent Accord de coopération en double exemplaire, en anglais, à la date figurant sous leurs signatures respectives.</w:t>
      </w:r>
    </w:p>
    <w:p w:rsidR="005710DF" w:rsidRPr="00876D55" w:rsidRDefault="005710DF" w:rsidP="005710DF"/>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5"/>
      </w:tblGrid>
      <w:tr w:rsidR="005710DF" w:rsidRPr="005707C9" w:rsidTr="00333C25">
        <w:tc>
          <w:tcPr>
            <w:tcW w:w="4605" w:type="dxa"/>
            <w:hideMark/>
          </w:tcPr>
          <w:p w:rsidR="005710DF" w:rsidRPr="00876D55" w:rsidRDefault="005710DF" w:rsidP="00333C25">
            <w:pPr>
              <w:rPr>
                <w:rFonts w:cs="Calibri"/>
                <w:b/>
                <w:sz w:val="23"/>
                <w:szCs w:val="23"/>
              </w:rPr>
            </w:pPr>
            <w:r w:rsidRPr="00876D55">
              <w:rPr>
                <w:rFonts w:cs="Calibri"/>
                <w:b/>
                <w:sz w:val="23"/>
                <w:szCs w:val="23"/>
                <w:lang w:eastAsia="fr-FR"/>
              </w:rPr>
              <w:t>Pour l</w:t>
            </w:r>
            <w:r w:rsidR="00657EA9">
              <w:rPr>
                <w:rFonts w:cs="Calibri"/>
                <w:b/>
                <w:sz w:val="23"/>
                <w:szCs w:val="23"/>
                <w:lang w:eastAsia="fr-FR"/>
              </w:rPr>
              <w:t>'</w:t>
            </w:r>
            <w:r w:rsidRPr="00876D55">
              <w:rPr>
                <w:rFonts w:cs="Calibri"/>
                <w:b/>
                <w:sz w:val="23"/>
                <w:szCs w:val="23"/>
                <w:lang w:eastAsia="fr-FR"/>
              </w:rPr>
              <w:t xml:space="preserve">Organisation internationale </w:t>
            </w:r>
            <w:r w:rsidRPr="00876D55">
              <w:rPr>
                <w:rFonts w:cs="Calibri"/>
                <w:b/>
                <w:sz w:val="23"/>
                <w:szCs w:val="23"/>
                <w:lang w:eastAsia="fr-FR"/>
              </w:rPr>
              <w:br/>
              <w:t>de police criminelle – INTERPOL</w:t>
            </w:r>
          </w:p>
        </w:tc>
        <w:tc>
          <w:tcPr>
            <w:tcW w:w="4605" w:type="dxa"/>
            <w:hideMark/>
          </w:tcPr>
          <w:p w:rsidR="005710DF" w:rsidRPr="00876D55" w:rsidRDefault="005710DF" w:rsidP="00333C25">
            <w:pPr>
              <w:rPr>
                <w:rFonts w:cs="Calibri"/>
                <w:b/>
                <w:sz w:val="23"/>
                <w:szCs w:val="23"/>
              </w:rPr>
            </w:pPr>
            <w:r w:rsidRPr="00876D55">
              <w:rPr>
                <w:rFonts w:cs="Calibri"/>
                <w:b/>
                <w:sz w:val="23"/>
                <w:szCs w:val="23"/>
                <w:lang w:eastAsia="fr-FR"/>
              </w:rPr>
              <w:t>Pour l</w:t>
            </w:r>
            <w:r w:rsidR="00657EA9">
              <w:rPr>
                <w:rFonts w:cs="Calibri"/>
                <w:b/>
                <w:sz w:val="23"/>
                <w:szCs w:val="23"/>
                <w:lang w:eastAsia="fr-FR"/>
              </w:rPr>
              <w:t>'</w:t>
            </w:r>
            <w:r w:rsidRPr="00876D55">
              <w:rPr>
                <w:rFonts w:cs="Calibri"/>
                <w:b/>
                <w:sz w:val="23"/>
                <w:szCs w:val="23"/>
                <w:lang w:eastAsia="fr-FR"/>
              </w:rPr>
              <w:t>Union internationale des télécommunications – UIT</w:t>
            </w:r>
          </w:p>
        </w:tc>
      </w:tr>
      <w:tr w:rsidR="005710DF" w:rsidRPr="00876D55" w:rsidTr="00333C25">
        <w:tc>
          <w:tcPr>
            <w:tcW w:w="4605" w:type="dxa"/>
          </w:tcPr>
          <w:p w:rsidR="005710DF" w:rsidRPr="00876D55" w:rsidRDefault="005710DF" w:rsidP="00333C25">
            <w:pPr>
              <w:spacing w:before="2600"/>
              <w:rPr>
                <w:rFonts w:asciiTheme="minorHAnsi" w:hAnsiTheme="minorHAnsi" w:cstheme="minorHAnsi"/>
                <w:b/>
              </w:rPr>
            </w:pPr>
            <w:r w:rsidRPr="00876D55">
              <w:rPr>
                <w:rFonts w:asciiTheme="minorHAnsi" w:hAnsiTheme="minorHAnsi" w:cstheme="minorHAnsi"/>
                <w:b/>
                <w:lang w:eastAsia="fr-FR"/>
              </w:rPr>
              <w:t>Jürgen Stock</w:t>
            </w:r>
          </w:p>
          <w:p w:rsidR="005710DF" w:rsidRPr="00876D55" w:rsidRDefault="005710DF" w:rsidP="00333C25">
            <w:pPr>
              <w:rPr>
                <w:rFonts w:asciiTheme="minorHAnsi" w:hAnsiTheme="minorHAnsi" w:cstheme="minorHAnsi"/>
                <w:lang w:eastAsia="fr-FR"/>
              </w:rPr>
            </w:pPr>
            <w:r w:rsidRPr="00876D55">
              <w:rPr>
                <w:rFonts w:cs="Calibri"/>
                <w:lang w:eastAsia="fr-FR"/>
              </w:rPr>
              <w:t>Secrétaire général</w:t>
            </w:r>
          </w:p>
          <w:p w:rsidR="005710DF" w:rsidRPr="00876D55" w:rsidRDefault="005710DF" w:rsidP="00333C25">
            <w:pPr>
              <w:rPr>
                <w:rFonts w:cs="Calibri"/>
                <w:sz w:val="23"/>
                <w:szCs w:val="23"/>
              </w:rPr>
            </w:pPr>
          </w:p>
        </w:tc>
        <w:tc>
          <w:tcPr>
            <w:tcW w:w="4605" w:type="dxa"/>
          </w:tcPr>
          <w:p w:rsidR="005710DF" w:rsidRPr="00876D55" w:rsidRDefault="005710DF" w:rsidP="00333C25">
            <w:pPr>
              <w:spacing w:before="2600"/>
              <w:rPr>
                <w:rFonts w:asciiTheme="minorHAnsi" w:hAnsiTheme="minorHAnsi" w:cstheme="minorHAnsi"/>
                <w:b/>
              </w:rPr>
            </w:pPr>
            <w:r w:rsidRPr="00876D55">
              <w:rPr>
                <w:rFonts w:asciiTheme="minorHAnsi" w:hAnsiTheme="minorHAnsi" w:cstheme="minorHAnsi"/>
                <w:b/>
                <w:lang w:eastAsia="fr-FR"/>
              </w:rPr>
              <w:t>Houlin Zhao</w:t>
            </w:r>
          </w:p>
          <w:p w:rsidR="005710DF" w:rsidRPr="00876D55" w:rsidRDefault="005710DF" w:rsidP="00333C25">
            <w:pPr>
              <w:rPr>
                <w:rFonts w:asciiTheme="minorHAnsi" w:hAnsiTheme="minorHAnsi" w:cstheme="minorHAnsi"/>
                <w:lang w:eastAsia="fr-FR"/>
              </w:rPr>
            </w:pPr>
            <w:r w:rsidRPr="00876D55">
              <w:rPr>
                <w:rFonts w:cs="Calibri"/>
                <w:lang w:eastAsia="fr-FR"/>
              </w:rPr>
              <w:t>Secrétaire général</w:t>
            </w:r>
          </w:p>
          <w:p w:rsidR="005710DF" w:rsidRPr="00876D55" w:rsidRDefault="005710DF" w:rsidP="00333C25">
            <w:pPr>
              <w:rPr>
                <w:rFonts w:cs="Calibri"/>
                <w:sz w:val="23"/>
                <w:szCs w:val="23"/>
              </w:rPr>
            </w:pPr>
          </w:p>
        </w:tc>
      </w:tr>
      <w:tr w:rsidR="005710DF" w:rsidRPr="00876D55" w:rsidTr="00333C25">
        <w:tc>
          <w:tcPr>
            <w:tcW w:w="4605" w:type="dxa"/>
          </w:tcPr>
          <w:p w:rsidR="005710DF" w:rsidRPr="00876D55" w:rsidRDefault="005710DF" w:rsidP="00333C25">
            <w:pPr>
              <w:rPr>
                <w:rFonts w:cs="Calibri"/>
                <w:sz w:val="23"/>
                <w:szCs w:val="23"/>
              </w:rPr>
            </w:pPr>
          </w:p>
          <w:p w:rsidR="005710DF" w:rsidRPr="00876D55" w:rsidRDefault="005710DF" w:rsidP="00333C25">
            <w:pPr>
              <w:rPr>
                <w:rFonts w:asciiTheme="minorHAnsi" w:hAnsiTheme="minorHAnsi" w:cstheme="minorHAnsi"/>
                <w:szCs w:val="24"/>
                <w:lang w:eastAsia="fr-FR"/>
              </w:rPr>
            </w:pPr>
            <w:r w:rsidRPr="00876D55">
              <w:rPr>
                <w:rFonts w:asciiTheme="minorHAnsi" w:hAnsiTheme="minorHAnsi" w:cstheme="minorHAnsi"/>
                <w:szCs w:val="24"/>
                <w:lang w:eastAsia="fr-FR"/>
              </w:rPr>
              <w:t>le……………………………………………………….….</w:t>
            </w:r>
          </w:p>
          <w:p w:rsidR="005710DF" w:rsidRPr="00876D55" w:rsidRDefault="005710DF" w:rsidP="00333C25">
            <w:pPr>
              <w:rPr>
                <w:rFonts w:asciiTheme="minorHAnsi" w:hAnsiTheme="minorHAnsi" w:cstheme="minorHAnsi"/>
                <w:szCs w:val="24"/>
                <w:lang w:eastAsia="fr-FR"/>
              </w:rPr>
            </w:pPr>
          </w:p>
          <w:p w:rsidR="005710DF" w:rsidRPr="00876D55" w:rsidRDefault="005710DF" w:rsidP="00333C25">
            <w:pPr>
              <w:rPr>
                <w:rFonts w:cs="Calibri"/>
                <w:sz w:val="23"/>
                <w:szCs w:val="23"/>
                <w:lang w:eastAsia="fr-FR"/>
              </w:rPr>
            </w:pPr>
            <w:r w:rsidRPr="00876D55">
              <w:rPr>
                <w:rFonts w:asciiTheme="minorHAnsi" w:hAnsiTheme="minorHAnsi" w:cstheme="minorHAnsi"/>
                <w:szCs w:val="24"/>
                <w:lang w:eastAsia="fr-FR"/>
              </w:rPr>
              <w:t>à………………………………………………………………</w:t>
            </w:r>
          </w:p>
          <w:p w:rsidR="005710DF" w:rsidRPr="00876D55" w:rsidRDefault="005710DF" w:rsidP="00333C25">
            <w:pPr>
              <w:rPr>
                <w:rFonts w:cs="Calibri"/>
                <w:sz w:val="23"/>
                <w:szCs w:val="23"/>
              </w:rPr>
            </w:pPr>
          </w:p>
        </w:tc>
        <w:tc>
          <w:tcPr>
            <w:tcW w:w="4605" w:type="dxa"/>
          </w:tcPr>
          <w:p w:rsidR="005710DF" w:rsidRPr="00876D55" w:rsidRDefault="005710DF" w:rsidP="00333C25">
            <w:pPr>
              <w:rPr>
                <w:rFonts w:cs="Calibri"/>
                <w:sz w:val="23"/>
                <w:szCs w:val="23"/>
              </w:rPr>
            </w:pPr>
          </w:p>
          <w:p w:rsidR="005710DF" w:rsidRPr="00876D55" w:rsidRDefault="005710DF" w:rsidP="00333C25">
            <w:pPr>
              <w:rPr>
                <w:rFonts w:asciiTheme="minorHAnsi" w:hAnsiTheme="minorHAnsi" w:cstheme="minorHAnsi"/>
                <w:szCs w:val="24"/>
                <w:lang w:eastAsia="fr-FR"/>
              </w:rPr>
            </w:pPr>
            <w:r w:rsidRPr="00876D55">
              <w:rPr>
                <w:rFonts w:asciiTheme="minorHAnsi" w:hAnsiTheme="minorHAnsi" w:cstheme="minorHAnsi"/>
                <w:szCs w:val="24"/>
                <w:lang w:eastAsia="fr-FR"/>
              </w:rPr>
              <w:t>le……………………………………………………….….</w:t>
            </w:r>
          </w:p>
          <w:p w:rsidR="005710DF" w:rsidRPr="00876D55" w:rsidRDefault="005710DF" w:rsidP="00333C25">
            <w:pPr>
              <w:rPr>
                <w:rFonts w:asciiTheme="minorHAnsi" w:hAnsiTheme="minorHAnsi" w:cstheme="minorHAnsi"/>
                <w:szCs w:val="24"/>
                <w:lang w:eastAsia="fr-FR"/>
              </w:rPr>
            </w:pPr>
          </w:p>
          <w:p w:rsidR="005710DF" w:rsidRPr="00876D55" w:rsidRDefault="005710DF" w:rsidP="00333C25">
            <w:pPr>
              <w:rPr>
                <w:rFonts w:cs="Calibri"/>
                <w:sz w:val="23"/>
                <w:szCs w:val="23"/>
                <w:lang w:eastAsia="fr-FR"/>
              </w:rPr>
            </w:pPr>
            <w:r w:rsidRPr="00876D55">
              <w:rPr>
                <w:rFonts w:asciiTheme="minorHAnsi" w:hAnsiTheme="minorHAnsi" w:cstheme="minorHAnsi"/>
                <w:szCs w:val="24"/>
                <w:lang w:eastAsia="fr-FR"/>
              </w:rPr>
              <w:t>à………………………………………………………………</w:t>
            </w:r>
          </w:p>
          <w:p w:rsidR="005710DF" w:rsidRPr="00876D55" w:rsidRDefault="005710DF" w:rsidP="00333C25">
            <w:pPr>
              <w:rPr>
                <w:rFonts w:cs="Calibri"/>
                <w:sz w:val="23"/>
                <w:szCs w:val="23"/>
              </w:rPr>
            </w:pPr>
          </w:p>
        </w:tc>
      </w:tr>
    </w:tbl>
    <w:p w:rsidR="005710DF" w:rsidRDefault="005710DF" w:rsidP="005710DF">
      <w:pPr>
        <w:tabs>
          <w:tab w:val="clear" w:pos="567"/>
          <w:tab w:val="clear" w:pos="1134"/>
          <w:tab w:val="clear" w:pos="1701"/>
          <w:tab w:val="clear" w:pos="2268"/>
          <w:tab w:val="clear" w:pos="2835"/>
        </w:tabs>
        <w:overflowPunct/>
        <w:autoSpaceDE/>
        <w:autoSpaceDN/>
        <w:adjustRightInd/>
        <w:spacing w:before="0"/>
        <w:textAlignment w:val="auto"/>
        <w:rPr>
          <w:lang w:val="en-US"/>
        </w:rPr>
      </w:pPr>
    </w:p>
    <w:p w:rsidR="005710DF" w:rsidRDefault="005710DF" w:rsidP="005710DF">
      <w:pPr>
        <w:tabs>
          <w:tab w:val="clear" w:pos="567"/>
          <w:tab w:val="clear" w:pos="1134"/>
          <w:tab w:val="clear" w:pos="1701"/>
          <w:tab w:val="clear" w:pos="2268"/>
          <w:tab w:val="clear" w:pos="2835"/>
        </w:tabs>
        <w:overflowPunct/>
        <w:autoSpaceDE/>
        <w:autoSpaceDN/>
        <w:adjustRightInd/>
        <w:spacing w:before="0"/>
        <w:textAlignment w:val="auto"/>
        <w:rPr>
          <w:lang w:val="en-US"/>
        </w:rPr>
      </w:pPr>
      <w:r>
        <w:rPr>
          <w:lang w:val="en-US"/>
        </w:rPr>
        <w:br w:type="page"/>
      </w:r>
    </w:p>
    <w:p w:rsidR="005710DF" w:rsidRPr="005669DD" w:rsidRDefault="005710DF" w:rsidP="005710DF">
      <w:pPr>
        <w:tabs>
          <w:tab w:val="clear" w:pos="567"/>
          <w:tab w:val="clear" w:pos="1134"/>
          <w:tab w:val="clear" w:pos="1701"/>
          <w:tab w:val="clear" w:pos="2268"/>
          <w:tab w:val="clear" w:pos="2835"/>
        </w:tabs>
        <w:overflowPunct/>
        <w:autoSpaceDE/>
        <w:autoSpaceDN/>
        <w:adjustRightInd/>
        <w:spacing w:before="0"/>
        <w:jc w:val="center"/>
        <w:textAlignment w:val="auto"/>
        <w:rPr>
          <w:sz w:val="28"/>
          <w:szCs w:val="28"/>
          <w:lang w:val="en-US"/>
        </w:rPr>
      </w:pPr>
      <w:bookmarkStart w:id="8" w:name="dc06"/>
      <w:bookmarkEnd w:id="8"/>
      <w:r w:rsidRPr="005669DD">
        <w:rPr>
          <w:sz w:val="28"/>
          <w:szCs w:val="28"/>
          <w:lang w:val="en-US"/>
        </w:rPr>
        <w:lastRenderedPageBreak/>
        <w:t>ANNEX</w:t>
      </w:r>
      <w:r>
        <w:rPr>
          <w:sz w:val="28"/>
          <w:szCs w:val="28"/>
          <w:lang w:val="en-US"/>
        </w:rPr>
        <w:t>E</w:t>
      </w:r>
      <w:r w:rsidRPr="005669DD">
        <w:rPr>
          <w:sz w:val="28"/>
          <w:szCs w:val="28"/>
          <w:lang w:val="en-US"/>
        </w:rPr>
        <w:t xml:space="preserve"> B</w:t>
      </w:r>
    </w:p>
    <w:p w:rsidR="005710DF" w:rsidRDefault="005710DF" w:rsidP="005710DF">
      <w:pPr>
        <w:tabs>
          <w:tab w:val="clear" w:pos="567"/>
          <w:tab w:val="clear" w:pos="1134"/>
          <w:tab w:val="clear" w:pos="1701"/>
          <w:tab w:val="clear" w:pos="2268"/>
          <w:tab w:val="clear" w:pos="2835"/>
        </w:tabs>
        <w:overflowPunct/>
        <w:autoSpaceDE/>
        <w:autoSpaceDN/>
        <w:adjustRightInd/>
        <w:spacing w:before="0"/>
        <w:jc w:val="center"/>
        <w:textAlignment w:val="auto"/>
        <w:rPr>
          <w:sz w:val="28"/>
          <w:szCs w:val="28"/>
          <w:lang w:val="en-US"/>
        </w:rPr>
      </w:pPr>
    </w:p>
    <w:p w:rsidR="005710DF" w:rsidRDefault="005710DF" w:rsidP="005710DF">
      <w:pPr>
        <w:tabs>
          <w:tab w:val="clear" w:pos="567"/>
          <w:tab w:val="clear" w:pos="1134"/>
          <w:tab w:val="clear" w:pos="1701"/>
          <w:tab w:val="clear" w:pos="2268"/>
          <w:tab w:val="clear" w:pos="2835"/>
        </w:tabs>
        <w:overflowPunct/>
        <w:autoSpaceDE/>
        <w:autoSpaceDN/>
        <w:adjustRightInd/>
        <w:spacing w:before="0"/>
        <w:jc w:val="center"/>
        <w:textAlignment w:val="auto"/>
        <w:rPr>
          <w:sz w:val="28"/>
          <w:szCs w:val="28"/>
          <w:lang w:val="en-US"/>
        </w:rPr>
      </w:pPr>
    </w:p>
    <w:tbl>
      <w:tblPr>
        <w:tblpPr w:leftFromText="180" w:rightFromText="180" w:vertAnchor="page" w:horzAnchor="margin" w:tblpY="2676"/>
        <w:tblW w:w="10031" w:type="dxa"/>
        <w:tblLayout w:type="fixed"/>
        <w:tblLook w:val="0000" w:firstRow="0" w:lastRow="0" w:firstColumn="0" w:lastColumn="0" w:noHBand="0" w:noVBand="0"/>
      </w:tblPr>
      <w:tblGrid>
        <w:gridCol w:w="6911"/>
        <w:gridCol w:w="3120"/>
      </w:tblGrid>
      <w:tr w:rsidR="005710DF" w:rsidRPr="00813E5E" w:rsidTr="00333C25">
        <w:trPr>
          <w:cantSplit/>
        </w:trPr>
        <w:tc>
          <w:tcPr>
            <w:tcW w:w="6911" w:type="dxa"/>
          </w:tcPr>
          <w:p w:rsidR="005710DF" w:rsidRPr="00813E5E" w:rsidRDefault="005710DF" w:rsidP="00333C25">
            <w:pPr>
              <w:spacing w:before="360" w:after="48"/>
              <w:rPr>
                <w:position w:val="6"/>
              </w:rPr>
            </w:pPr>
            <w:r>
              <w:rPr>
                <w:b/>
                <w:bCs/>
                <w:position w:val="6"/>
                <w:sz w:val="30"/>
                <w:szCs w:val="30"/>
                <w:lang w:val="fr-CH"/>
              </w:rPr>
              <w:t>Conseil</w:t>
            </w:r>
            <w:r w:rsidRPr="00A761C9">
              <w:rPr>
                <w:b/>
                <w:bCs/>
                <w:position w:val="6"/>
                <w:sz w:val="30"/>
                <w:szCs w:val="30"/>
                <w:lang w:val="fr-CH"/>
              </w:rPr>
              <w:t xml:space="preserve"> 2017</w:t>
            </w:r>
            <w:r w:rsidRPr="00A761C9">
              <w:rPr>
                <w:rFonts w:cs="Times"/>
                <w:b/>
                <w:position w:val="6"/>
                <w:sz w:val="26"/>
                <w:szCs w:val="26"/>
                <w:lang w:val="en-US"/>
              </w:rPr>
              <w:br/>
            </w:r>
            <w:r>
              <w:rPr>
                <w:b/>
                <w:bCs/>
                <w:position w:val="6"/>
                <w:szCs w:val="24"/>
                <w:lang w:val="fr-CH"/>
              </w:rPr>
              <w:t>Genè</w:t>
            </w:r>
            <w:r w:rsidRPr="00A761C9">
              <w:rPr>
                <w:b/>
                <w:bCs/>
                <w:position w:val="6"/>
                <w:szCs w:val="24"/>
                <w:lang w:val="fr-CH"/>
              </w:rPr>
              <w:t>v</w:t>
            </w:r>
            <w:r>
              <w:rPr>
                <w:b/>
                <w:bCs/>
                <w:position w:val="6"/>
                <w:szCs w:val="24"/>
                <w:lang w:val="fr-CH"/>
              </w:rPr>
              <w:t>e</w:t>
            </w:r>
            <w:r w:rsidRPr="00A761C9">
              <w:rPr>
                <w:b/>
                <w:bCs/>
                <w:position w:val="6"/>
                <w:szCs w:val="24"/>
                <w:lang w:val="fr-CH"/>
              </w:rPr>
              <w:t xml:space="preserve">, 15-25 </w:t>
            </w:r>
            <w:r>
              <w:rPr>
                <w:b/>
                <w:bCs/>
                <w:position w:val="6"/>
                <w:szCs w:val="24"/>
                <w:lang w:val="fr-CH"/>
              </w:rPr>
              <w:t>mai</w:t>
            </w:r>
            <w:r w:rsidRPr="00A761C9">
              <w:rPr>
                <w:b/>
                <w:bCs/>
                <w:position w:val="6"/>
                <w:szCs w:val="24"/>
                <w:lang w:val="fr-CH"/>
              </w:rPr>
              <w:t xml:space="preserve"> 2017</w:t>
            </w:r>
          </w:p>
        </w:tc>
        <w:tc>
          <w:tcPr>
            <w:tcW w:w="3120" w:type="dxa"/>
          </w:tcPr>
          <w:p w:rsidR="005710DF" w:rsidRPr="00813E5E" w:rsidRDefault="005710DF" w:rsidP="00333C25">
            <w:pPr>
              <w:spacing w:before="0"/>
              <w:jc w:val="right"/>
            </w:pPr>
            <w:r w:rsidRPr="00F21593">
              <w:rPr>
                <w:rFonts w:ascii="Verdana" w:hAnsi="Verdana"/>
                <w:noProof/>
                <w:color w:val="FFFFFF"/>
                <w:sz w:val="26"/>
                <w:szCs w:val="26"/>
                <w:lang w:val="en-GB" w:eastAsia="zh-CN"/>
              </w:rPr>
              <w:drawing>
                <wp:inline distT="0" distB="0" distL="0" distR="0" wp14:anchorId="604DF11F" wp14:editId="29282E6B">
                  <wp:extent cx="1765300" cy="7429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5710DF" w:rsidRPr="00813E5E" w:rsidTr="00333C25">
        <w:trPr>
          <w:cantSplit/>
        </w:trPr>
        <w:tc>
          <w:tcPr>
            <w:tcW w:w="6911" w:type="dxa"/>
            <w:tcBorders>
              <w:bottom w:val="single" w:sz="12" w:space="0" w:color="auto"/>
            </w:tcBorders>
          </w:tcPr>
          <w:p w:rsidR="005710DF" w:rsidRPr="00813E5E" w:rsidRDefault="005710DF" w:rsidP="00333C25">
            <w:pPr>
              <w:spacing w:before="0" w:after="48"/>
              <w:rPr>
                <w:b/>
                <w:smallCaps/>
                <w:szCs w:val="24"/>
              </w:rPr>
            </w:pPr>
          </w:p>
        </w:tc>
        <w:tc>
          <w:tcPr>
            <w:tcW w:w="3120" w:type="dxa"/>
            <w:tcBorders>
              <w:bottom w:val="single" w:sz="12" w:space="0" w:color="auto"/>
            </w:tcBorders>
          </w:tcPr>
          <w:p w:rsidR="005710DF" w:rsidRPr="00813E5E" w:rsidRDefault="005710DF" w:rsidP="00333C25">
            <w:pPr>
              <w:spacing w:before="0"/>
              <w:rPr>
                <w:szCs w:val="24"/>
              </w:rPr>
            </w:pPr>
          </w:p>
        </w:tc>
      </w:tr>
      <w:tr w:rsidR="005710DF" w:rsidRPr="00813E5E" w:rsidTr="00333C25">
        <w:trPr>
          <w:cantSplit/>
        </w:trPr>
        <w:tc>
          <w:tcPr>
            <w:tcW w:w="6911" w:type="dxa"/>
            <w:tcBorders>
              <w:top w:val="single" w:sz="12" w:space="0" w:color="auto"/>
            </w:tcBorders>
          </w:tcPr>
          <w:p w:rsidR="005710DF" w:rsidRPr="00813E5E" w:rsidRDefault="005710DF" w:rsidP="00333C25">
            <w:pPr>
              <w:spacing w:before="0" w:after="48"/>
              <w:rPr>
                <w:b/>
                <w:smallCaps/>
                <w:szCs w:val="24"/>
              </w:rPr>
            </w:pPr>
          </w:p>
        </w:tc>
        <w:tc>
          <w:tcPr>
            <w:tcW w:w="3120" w:type="dxa"/>
            <w:tcBorders>
              <w:top w:val="single" w:sz="12" w:space="0" w:color="auto"/>
            </w:tcBorders>
          </w:tcPr>
          <w:p w:rsidR="005710DF" w:rsidRPr="00813E5E" w:rsidRDefault="005710DF" w:rsidP="00333C25">
            <w:pPr>
              <w:spacing w:before="0"/>
              <w:rPr>
                <w:szCs w:val="24"/>
              </w:rPr>
            </w:pPr>
          </w:p>
        </w:tc>
      </w:tr>
      <w:tr w:rsidR="005710DF" w:rsidRPr="00813E5E" w:rsidTr="00333C25">
        <w:trPr>
          <w:cantSplit/>
          <w:trHeight w:val="23"/>
        </w:trPr>
        <w:tc>
          <w:tcPr>
            <w:tcW w:w="6911" w:type="dxa"/>
            <w:vMerge w:val="restart"/>
          </w:tcPr>
          <w:p w:rsidR="005710DF" w:rsidRPr="00A761C9" w:rsidRDefault="005710DF" w:rsidP="00333C25">
            <w:pPr>
              <w:tabs>
                <w:tab w:val="left" w:pos="851"/>
              </w:tabs>
              <w:spacing w:before="0"/>
              <w:rPr>
                <w:b/>
              </w:rPr>
            </w:pPr>
          </w:p>
        </w:tc>
        <w:tc>
          <w:tcPr>
            <w:tcW w:w="3120" w:type="dxa"/>
          </w:tcPr>
          <w:p w:rsidR="005710DF" w:rsidRPr="00A761C9" w:rsidRDefault="005710DF" w:rsidP="00333C25">
            <w:pPr>
              <w:tabs>
                <w:tab w:val="left" w:pos="851"/>
              </w:tabs>
              <w:spacing w:before="0"/>
              <w:rPr>
                <w:b/>
              </w:rPr>
            </w:pPr>
            <w:r>
              <w:rPr>
                <w:b/>
              </w:rPr>
              <w:t>Document C17/126-F</w:t>
            </w:r>
          </w:p>
        </w:tc>
      </w:tr>
      <w:tr w:rsidR="005710DF" w:rsidRPr="00813E5E" w:rsidTr="00333C25">
        <w:trPr>
          <w:cantSplit/>
          <w:trHeight w:val="23"/>
        </w:trPr>
        <w:tc>
          <w:tcPr>
            <w:tcW w:w="6911" w:type="dxa"/>
            <w:vMerge/>
          </w:tcPr>
          <w:p w:rsidR="005710DF" w:rsidRPr="00813E5E" w:rsidRDefault="005710DF" w:rsidP="00333C25">
            <w:pPr>
              <w:tabs>
                <w:tab w:val="left" w:pos="851"/>
              </w:tabs>
              <w:rPr>
                <w:b/>
              </w:rPr>
            </w:pPr>
          </w:p>
        </w:tc>
        <w:tc>
          <w:tcPr>
            <w:tcW w:w="3120" w:type="dxa"/>
          </w:tcPr>
          <w:p w:rsidR="005710DF" w:rsidRPr="00A761C9" w:rsidRDefault="005710DF" w:rsidP="00333C25">
            <w:pPr>
              <w:tabs>
                <w:tab w:val="left" w:pos="993"/>
              </w:tabs>
              <w:spacing w:before="0"/>
              <w:rPr>
                <w:b/>
              </w:rPr>
            </w:pPr>
            <w:r>
              <w:rPr>
                <w:b/>
              </w:rPr>
              <w:t>26 mai 2017</w:t>
            </w:r>
          </w:p>
        </w:tc>
      </w:tr>
      <w:tr w:rsidR="005710DF" w:rsidRPr="00813E5E" w:rsidTr="00333C25">
        <w:trPr>
          <w:cantSplit/>
          <w:trHeight w:val="23"/>
        </w:trPr>
        <w:tc>
          <w:tcPr>
            <w:tcW w:w="6911" w:type="dxa"/>
            <w:vMerge/>
          </w:tcPr>
          <w:p w:rsidR="005710DF" w:rsidRPr="00813E5E" w:rsidRDefault="005710DF" w:rsidP="00333C25">
            <w:pPr>
              <w:tabs>
                <w:tab w:val="left" w:pos="851"/>
              </w:tabs>
              <w:rPr>
                <w:b/>
              </w:rPr>
            </w:pPr>
          </w:p>
        </w:tc>
        <w:tc>
          <w:tcPr>
            <w:tcW w:w="3120" w:type="dxa"/>
          </w:tcPr>
          <w:p w:rsidR="005710DF" w:rsidRPr="00A761C9" w:rsidRDefault="005710DF" w:rsidP="00333C25">
            <w:pPr>
              <w:tabs>
                <w:tab w:val="left" w:pos="993"/>
              </w:tabs>
              <w:spacing w:before="0"/>
              <w:rPr>
                <w:b/>
              </w:rPr>
            </w:pPr>
            <w:r>
              <w:rPr>
                <w:b/>
              </w:rPr>
              <w:t>Original: anglais</w:t>
            </w:r>
          </w:p>
        </w:tc>
      </w:tr>
    </w:tbl>
    <w:p w:rsidR="005710DF" w:rsidRDefault="005710DF" w:rsidP="005710DF">
      <w:pPr>
        <w:pStyle w:val="ResNo"/>
      </w:pPr>
      <w:r>
        <w:t>décision 598</w:t>
      </w:r>
    </w:p>
    <w:p w:rsidR="005710DF" w:rsidRPr="009942E5" w:rsidRDefault="005710DF" w:rsidP="005710DF">
      <w:pPr>
        <w:snapToGrid w:val="0"/>
        <w:jc w:val="center"/>
        <w:rPr>
          <w:caps/>
          <w:szCs w:val="24"/>
          <w:lang w:val="fr-CH"/>
        </w:rPr>
      </w:pPr>
      <w:r w:rsidRPr="009942E5">
        <w:rPr>
          <w:sz w:val="28"/>
          <w:szCs w:val="22"/>
          <w:lang w:val="fr-CH" w:eastAsia="zh-CN"/>
        </w:rPr>
        <w:t>(</w:t>
      </w:r>
      <w:proofErr w:type="gramStart"/>
      <w:r w:rsidRPr="009942E5">
        <w:rPr>
          <w:sz w:val="28"/>
          <w:szCs w:val="22"/>
          <w:lang w:val="fr-CH" w:eastAsia="zh-CN"/>
        </w:rPr>
        <w:t>adoptée</w:t>
      </w:r>
      <w:proofErr w:type="gramEnd"/>
      <w:r w:rsidRPr="009942E5">
        <w:rPr>
          <w:sz w:val="28"/>
          <w:szCs w:val="22"/>
          <w:lang w:val="fr-CH" w:eastAsia="zh-CN"/>
        </w:rPr>
        <w:t xml:space="preserve"> à la septième Séance plénière)</w:t>
      </w:r>
    </w:p>
    <w:p w:rsidR="005710DF" w:rsidRPr="009942E5" w:rsidRDefault="005710DF" w:rsidP="005710DF">
      <w:pPr>
        <w:pStyle w:val="Restitle"/>
        <w:rPr>
          <w:lang w:val="fr-CH"/>
        </w:rPr>
      </w:pPr>
      <w:r w:rsidRPr="009942E5">
        <w:rPr>
          <w:lang w:val="fr-CH"/>
        </w:rPr>
        <w:t>Conclusion, à titre provisoire, de l</w:t>
      </w:r>
      <w:r w:rsidR="00657EA9">
        <w:rPr>
          <w:lang w:val="fr-CH"/>
        </w:rPr>
        <w:t>'</w:t>
      </w:r>
      <w:r w:rsidRPr="009942E5">
        <w:rPr>
          <w:lang w:val="fr-CH"/>
        </w:rPr>
        <w:t>Accord de coopération entre l</w:t>
      </w:r>
      <w:r w:rsidR="00657EA9">
        <w:rPr>
          <w:lang w:val="fr-CH"/>
        </w:rPr>
        <w:t>'</w:t>
      </w:r>
      <w:r w:rsidRPr="009942E5">
        <w:rPr>
          <w:lang w:val="fr-CH"/>
        </w:rPr>
        <w:t>UIT et INTERPOL</w:t>
      </w:r>
    </w:p>
    <w:p w:rsidR="005710DF" w:rsidRPr="009942E5" w:rsidRDefault="005710DF" w:rsidP="005710DF">
      <w:pPr>
        <w:pStyle w:val="Normalaftertitle"/>
        <w:rPr>
          <w:lang w:val="fr-CH"/>
        </w:rPr>
      </w:pPr>
      <w:r w:rsidRPr="009942E5">
        <w:rPr>
          <w:lang w:val="fr-CH"/>
        </w:rPr>
        <w:t>Le Conseil,</w:t>
      </w:r>
    </w:p>
    <w:p w:rsidR="005710DF" w:rsidRPr="009942E5" w:rsidRDefault="005710DF" w:rsidP="005710DF">
      <w:pPr>
        <w:pStyle w:val="Call"/>
        <w:rPr>
          <w:lang w:val="fr-CH"/>
        </w:rPr>
      </w:pPr>
      <w:proofErr w:type="gramStart"/>
      <w:r w:rsidRPr="009942E5">
        <w:rPr>
          <w:lang w:val="fr-CH"/>
        </w:rPr>
        <w:t>ayant</w:t>
      </w:r>
      <w:proofErr w:type="gramEnd"/>
      <w:r w:rsidRPr="009942E5">
        <w:rPr>
          <w:lang w:val="fr-CH"/>
        </w:rPr>
        <w:t xml:space="preserve"> examiné</w:t>
      </w:r>
    </w:p>
    <w:p w:rsidR="005710DF" w:rsidRPr="009942E5" w:rsidRDefault="005710DF" w:rsidP="005710DF">
      <w:pPr>
        <w:rPr>
          <w:lang w:val="fr-CH"/>
        </w:rPr>
      </w:pPr>
      <w:r w:rsidRPr="009942E5">
        <w:rPr>
          <w:lang w:val="fr-CH"/>
        </w:rPr>
        <w:t xml:space="preserve">Le Document </w:t>
      </w:r>
      <w:hyperlink r:id="rId19" w:history="1">
        <w:r w:rsidRPr="009942E5">
          <w:rPr>
            <w:rStyle w:val="Hyperlink"/>
            <w:lang w:val="fr-CH"/>
          </w:rPr>
          <w:t>C17/65</w:t>
        </w:r>
      </w:hyperlink>
      <w:r w:rsidRPr="009942E5">
        <w:rPr>
          <w:lang w:val="fr-CH"/>
        </w:rPr>
        <w:t>, à sa session de 2017,</w:t>
      </w:r>
    </w:p>
    <w:p w:rsidR="005710DF" w:rsidRPr="009942E5" w:rsidRDefault="005710DF" w:rsidP="005710DF">
      <w:pPr>
        <w:pStyle w:val="Call"/>
        <w:rPr>
          <w:lang w:val="fr-CH"/>
        </w:rPr>
      </w:pPr>
      <w:proofErr w:type="gramStart"/>
      <w:r w:rsidRPr="009942E5">
        <w:rPr>
          <w:lang w:val="fr-CH"/>
        </w:rPr>
        <w:t>décide</w:t>
      </w:r>
      <w:proofErr w:type="gramEnd"/>
    </w:p>
    <w:p w:rsidR="005710DF" w:rsidRPr="009942E5" w:rsidRDefault="005710DF" w:rsidP="005710DF">
      <w:pPr>
        <w:rPr>
          <w:lang w:val="fr-CH"/>
        </w:rPr>
      </w:pPr>
      <w:r w:rsidRPr="009942E5">
        <w:rPr>
          <w:lang w:val="fr-CH"/>
        </w:rPr>
        <w:t>1</w:t>
      </w:r>
      <w:r w:rsidRPr="009942E5">
        <w:rPr>
          <w:lang w:val="fr-CH"/>
        </w:rPr>
        <w:tab/>
        <w:t>d</w:t>
      </w:r>
      <w:r w:rsidR="00657EA9">
        <w:rPr>
          <w:lang w:val="fr-CH"/>
        </w:rPr>
        <w:t>'</w:t>
      </w:r>
      <w:r w:rsidRPr="009942E5">
        <w:rPr>
          <w:lang w:val="fr-CH"/>
        </w:rPr>
        <w:t>approuver la conclusion, à titre provisoire, de l</w:t>
      </w:r>
      <w:r w:rsidR="00657EA9">
        <w:rPr>
          <w:lang w:val="fr-CH"/>
        </w:rPr>
        <w:t>'</w:t>
      </w:r>
      <w:r w:rsidRPr="009942E5">
        <w:rPr>
          <w:lang w:val="fr-CH"/>
        </w:rPr>
        <w:t>Accord de coopération entre l</w:t>
      </w:r>
      <w:r w:rsidR="00657EA9">
        <w:rPr>
          <w:lang w:val="fr-CH"/>
        </w:rPr>
        <w:t>'</w:t>
      </w:r>
      <w:r w:rsidRPr="009942E5">
        <w:rPr>
          <w:lang w:val="fr-CH"/>
        </w:rPr>
        <w:t>UIT et INTERPOL, tel qu</w:t>
      </w:r>
      <w:r w:rsidR="00657EA9">
        <w:rPr>
          <w:lang w:val="fr-CH"/>
        </w:rPr>
        <w:t>'</w:t>
      </w:r>
      <w:r w:rsidRPr="009942E5">
        <w:rPr>
          <w:lang w:val="fr-CH"/>
        </w:rPr>
        <w:t>il figure dans l</w:t>
      </w:r>
      <w:r w:rsidR="00657EA9">
        <w:rPr>
          <w:lang w:val="fr-CH"/>
        </w:rPr>
        <w:t>'</w:t>
      </w:r>
      <w:r w:rsidRPr="009942E5">
        <w:rPr>
          <w:lang w:val="fr-CH"/>
        </w:rPr>
        <w:t>Annexe A du document susmentionné;</w:t>
      </w:r>
    </w:p>
    <w:p w:rsidR="005710DF" w:rsidRPr="009942E5" w:rsidRDefault="005710DF" w:rsidP="005710DF">
      <w:pPr>
        <w:rPr>
          <w:lang w:val="fr-CH"/>
        </w:rPr>
      </w:pPr>
      <w:r w:rsidRPr="009942E5">
        <w:rPr>
          <w:lang w:val="fr-CH"/>
        </w:rPr>
        <w:t>2</w:t>
      </w:r>
      <w:r w:rsidRPr="009942E5">
        <w:rPr>
          <w:lang w:val="fr-CH"/>
        </w:rPr>
        <w:tab/>
        <w:t>d</w:t>
      </w:r>
      <w:r w:rsidR="00657EA9">
        <w:rPr>
          <w:lang w:val="fr-CH"/>
        </w:rPr>
        <w:t>'</w:t>
      </w:r>
      <w:r w:rsidRPr="009942E5">
        <w:rPr>
          <w:lang w:val="fr-CH"/>
        </w:rPr>
        <w:t>autoriser le Secrétaire général à signer l</w:t>
      </w:r>
      <w:r w:rsidR="00657EA9">
        <w:rPr>
          <w:lang w:val="fr-CH"/>
        </w:rPr>
        <w:t>'</w:t>
      </w:r>
      <w:r w:rsidRPr="009942E5">
        <w:rPr>
          <w:lang w:val="fr-CH"/>
        </w:rPr>
        <w:t>Accord au nom de l</w:t>
      </w:r>
      <w:r w:rsidR="00657EA9">
        <w:rPr>
          <w:lang w:val="fr-CH"/>
        </w:rPr>
        <w:t>'</w:t>
      </w:r>
      <w:r w:rsidRPr="009942E5">
        <w:rPr>
          <w:lang w:val="fr-CH"/>
        </w:rPr>
        <w:t>Union; et</w:t>
      </w:r>
    </w:p>
    <w:p w:rsidR="005710DF" w:rsidRPr="009942E5" w:rsidRDefault="005710DF" w:rsidP="005710DF">
      <w:pPr>
        <w:rPr>
          <w:b/>
          <w:szCs w:val="24"/>
          <w:lang w:val="fr-CH"/>
        </w:rPr>
      </w:pPr>
      <w:r w:rsidRPr="009942E5">
        <w:rPr>
          <w:lang w:val="fr-CH"/>
        </w:rPr>
        <w:t>3</w:t>
      </w:r>
      <w:r w:rsidRPr="009942E5">
        <w:rPr>
          <w:lang w:val="fr-CH"/>
        </w:rPr>
        <w:tab/>
        <w:t>de charger le Secrétaire général de soumettre l</w:t>
      </w:r>
      <w:r w:rsidR="00657EA9">
        <w:rPr>
          <w:lang w:val="fr-CH"/>
        </w:rPr>
        <w:t>'</w:t>
      </w:r>
      <w:r w:rsidRPr="009942E5">
        <w:rPr>
          <w:lang w:val="fr-CH"/>
        </w:rPr>
        <w:t>Accord à la Conférence de plénipotentiaires de l</w:t>
      </w:r>
      <w:r w:rsidR="00657EA9">
        <w:rPr>
          <w:lang w:val="fr-CH"/>
        </w:rPr>
        <w:t>'</w:t>
      </w:r>
      <w:r w:rsidRPr="009942E5">
        <w:rPr>
          <w:lang w:val="fr-CH"/>
        </w:rPr>
        <w:t>Union prévue pour 2018 pour qu</w:t>
      </w:r>
      <w:r w:rsidR="00657EA9">
        <w:rPr>
          <w:lang w:val="fr-CH"/>
        </w:rPr>
        <w:t>'</w:t>
      </w:r>
      <w:r w:rsidRPr="009942E5">
        <w:rPr>
          <w:lang w:val="fr-CH"/>
        </w:rPr>
        <w:t>elle l</w:t>
      </w:r>
      <w:r w:rsidR="00657EA9">
        <w:rPr>
          <w:lang w:val="fr-CH"/>
        </w:rPr>
        <w:t>'</w:t>
      </w:r>
      <w:r w:rsidRPr="009942E5">
        <w:rPr>
          <w:lang w:val="fr-CH"/>
        </w:rPr>
        <w:t>examine et lui donne la suite qu</w:t>
      </w:r>
      <w:r w:rsidR="00657EA9">
        <w:rPr>
          <w:lang w:val="fr-CH"/>
        </w:rPr>
        <w:t>'</w:t>
      </w:r>
      <w:r w:rsidRPr="009942E5">
        <w:rPr>
          <w:lang w:val="fr-CH"/>
        </w:rPr>
        <w:t>elle jugera appropriée.</w:t>
      </w:r>
    </w:p>
    <w:p w:rsidR="005710DF" w:rsidRPr="009942E5" w:rsidRDefault="005710DF" w:rsidP="005710DF">
      <w:pPr>
        <w:tabs>
          <w:tab w:val="clear" w:pos="567"/>
          <w:tab w:val="clear" w:pos="1134"/>
          <w:tab w:val="clear" w:pos="1701"/>
          <w:tab w:val="clear" w:pos="2268"/>
          <w:tab w:val="clear" w:pos="2835"/>
        </w:tabs>
        <w:overflowPunct/>
        <w:autoSpaceDE/>
        <w:autoSpaceDN/>
        <w:adjustRightInd/>
        <w:textAlignment w:val="auto"/>
        <w:rPr>
          <w:lang w:val="fr-CH"/>
        </w:rPr>
      </w:pPr>
    </w:p>
    <w:p w:rsidR="005710DF" w:rsidRPr="00861411" w:rsidRDefault="005710DF" w:rsidP="005710DF">
      <w:pPr>
        <w:tabs>
          <w:tab w:val="clear" w:pos="567"/>
          <w:tab w:val="clear" w:pos="1134"/>
          <w:tab w:val="clear" w:pos="1701"/>
          <w:tab w:val="clear" w:pos="2268"/>
          <w:tab w:val="clear" w:pos="2835"/>
        </w:tabs>
        <w:overflowPunct/>
        <w:autoSpaceDE/>
        <w:autoSpaceDN/>
        <w:adjustRightInd/>
        <w:jc w:val="center"/>
        <w:textAlignment w:val="auto"/>
      </w:pPr>
      <w:r>
        <w:t>_______________</w:t>
      </w:r>
    </w:p>
    <w:p w:rsidR="005710DF" w:rsidRPr="0008540E" w:rsidRDefault="005710DF" w:rsidP="005710DF"/>
    <w:p w:rsidR="000D15FB" w:rsidRPr="000F58F7" w:rsidRDefault="000D15FB" w:rsidP="00E60DA1">
      <w:pPr>
        <w:rPr>
          <w:lang w:val="en-US"/>
        </w:rPr>
      </w:pPr>
    </w:p>
    <w:p w:rsidR="00BD1614" w:rsidRPr="00BD1614" w:rsidRDefault="00BD1614" w:rsidP="00BD1614"/>
    <w:sectPr w:rsidR="00BD1614" w:rsidRPr="00BD1614" w:rsidSect="003A0B7D">
      <w:headerReference w:type="default" r:id="rId20"/>
      <w:footerReference w:type="default" r:id="rId21"/>
      <w:footerReference w:type="first" r:id="rId22"/>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099B" w:rsidRDefault="0077099B">
      <w:r>
        <w:separator/>
      </w:r>
    </w:p>
  </w:endnote>
  <w:endnote w:type="continuationSeparator" w:id="0">
    <w:p w:rsidR="0077099B" w:rsidRDefault="00770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67B" w:rsidRDefault="00D72DDF" w:rsidP="005710DF">
    <w:pPr>
      <w:pStyle w:val="Footer"/>
    </w:pPr>
    <w:r>
      <w:fldChar w:fldCharType="begin"/>
    </w:r>
    <w:r>
      <w:instrText xml:space="preserve"> FILENAME \p  \* MERGEFO</w:instrText>
    </w:r>
    <w:r>
      <w:instrText xml:space="preserve">RMAT </w:instrText>
    </w:r>
    <w:r>
      <w:fldChar w:fldCharType="separate"/>
    </w:r>
    <w:r>
      <w:t>P:\FRA\SG\CONF-SG\PP18\000\047V2F.docx</w:t>
    </w:r>
    <w:r>
      <w:fldChar w:fldCharType="end"/>
    </w:r>
    <w:r w:rsidR="005710DF">
      <w:t xml:space="preserve"> (441489)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5FB" w:rsidRDefault="000D15FB" w:rsidP="000D15F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0C467B" w:rsidRDefault="000C467B">
    <w:pPr>
      <w:pStyle w:val="First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099B" w:rsidRDefault="0077099B">
      <w:r>
        <w:t>____________________</w:t>
      </w:r>
    </w:p>
  </w:footnote>
  <w:footnote w:type="continuationSeparator" w:id="0">
    <w:p w:rsidR="0077099B" w:rsidRDefault="007709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614" w:rsidRDefault="00BD1614" w:rsidP="00BD1614">
    <w:pPr>
      <w:pStyle w:val="Header"/>
    </w:pPr>
    <w:r>
      <w:fldChar w:fldCharType="begin"/>
    </w:r>
    <w:r>
      <w:instrText xml:space="preserve"> PAGE </w:instrText>
    </w:r>
    <w:r>
      <w:fldChar w:fldCharType="separate"/>
    </w:r>
    <w:r w:rsidR="00D72DDF">
      <w:rPr>
        <w:noProof/>
      </w:rPr>
      <w:t>3</w:t>
    </w:r>
    <w:r>
      <w:fldChar w:fldCharType="end"/>
    </w:r>
  </w:p>
  <w:p w:rsidR="00BD1614" w:rsidRDefault="00BD1614" w:rsidP="005710DF">
    <w:pPr>
      <w:pStyle w:val="Header"/>
    </w:pPr>
    <w:r>
      <w:t>PP1</w:t>
    </w:r>
    <w:r w:rsidR="001E2226">
      <w:t>8</w:t>
    </w:r>
    <w:r w:rsidR="005710DF">
      <w:t>/47</w:t>
    </w:r>
    <w:r w:rsidR="00417658">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506A24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90A4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2CA7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06679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78AC6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390B0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FDE36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812E9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F083B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D1A6D3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DateAndTime/>
  <w:embedSystemFont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99B"/>
    <w:rsid w:val="000054D8"/>
    <w:rsid w:val="00060D74"/>
    <w:rsid w:val="00072D5C"/>
    <w:rsid w:val="0008398C"/>
    <w:rsid w:val="00084308"/>
    <w:rsid w:val="000B14B6"/>
    <w:rsid w:val="000C467B"/>
    <w:rsid w:val="000D15FB"/>
    <w:rsid w:val="000F58F7"/>
    <w:rsid w:val="001051E4"/>
    <w:rsid w:val="001354EA"/>
    <w:rsid w:val="00136FCE"/>
    <w:rsid w:val="00153BA4"/>
    <w:rsid w:val="001941AD"/>
    <w:rsid w:val="001A0682"/>
    <w:rsid w:val="001B4D8D"/>
    <w:rsid w:val="001D203F"/>
    <w:rsid w:val="001D31B2"/>
    <w:rsid w:val="001E1B9B"/>
    <w:rsid w:val="001E2226"/>
    <w:rsid w:val="001F6233"/>
    <w:rsid w:val="002355CD"/>
    <w:rsid w:val="00270B2F"/>
    <w:rsid w:val="002A0E1B"/>
    <w:rsid w:val="002C1059"/>
    <w:rsid w:val="002C2F9C"/>
    <w:rsid w:val="00322DEA"/>
    <w:rsid w:val="00355FBD"/>
    <w:rsid w:val="00381461"/>
    <w:rsid w:val="003A0B7D"/>
    <w:rsid w:val="003A45C2"/>
    <w:rsid w:val="003C4BE2"/>
    <w:rsid w:val="003D147D"/>
    <w:rsid w:val="003D637A"/>
    <w:rsid w:val="00417658"/>
    <w:rsid w:val="00430015"/>
    <w:rsid w:val="004678D0"/>
    <w:rsid w:val="00482954"/>
    <w:rsid w:val="004951C0"/>
    <w:rsid w:val="004A0A60"/>
    <w:rsid w:val="00524001"/>
    <w:rsid w:val="00551E2E"/>
    <w:rsid w:val="00564B63"/>
    <w:rsid w:val="005710DF"/>
    <w:rsid w:val="00575DC7"/>
    <w:rsid w:val="005836C2"/>
    <w:rsid w:val="005A4D4D"/>
    <w:rsid w:val="005A4EFD"/>
    <w:rsid w:val="005A5ABE"/>
    <w:rsid w:val="005C2ECC"/>
    <w:rsid w:val="005C6744"/>
    <w:rsid w:val="005E419E"/>
    <w:rsid w:val="005F63BD"/>
    <w:rsid w:val="00611CF1"/>
    <w:rsid w:val="006201D9"/>
    <w:rsid w:val="006277DB"/>
    <w:rsid w:val="00635B7B"/>
    <w:rsid w:val="00655B98"/>
    <w:rsid w:val="00657EA9"/>
    <w:rsid w:val="0066156E"/>
    <w:rsid w:val="006710E6"/>
    <w:rsid w:val="00686973"/>
    <w:rsid w:val="006A2656"/>
    <w:rsid w:val="006A6342"/>
    <w:rsid w:val="006B6C9C"/>
    <w:rsid w:val="006C7AE3"/>
    <w:rsid w:val="006D55E8"/>
    <w:rsid w:val="006E1921"/>
    <w:rsid w:val="006F36F9"/>
    <w:rsid w:val="0070576B"/>
    <w:rsid w:val="00713335"/>
    <w:rsid w:val="00727C2F"/>
    <w:rsid w:val="00735F13"/>
    <w:rsid w:val="0077099B"/>
    <w:rsid w:val="007717F2"/>
    <w:rsid w:val="00772E3B"/>
    <w:rsid w:val="0078134C"/>
    <w:rsid w:val="007A5830"/>
    <w:rsid w:val="007E389D"/>
    <w:rsid w:val="007F1F44"/>
    <w:rsid w:val="00801256"/>
    <w:rsid w:val="008703CB"/>
    <w:rsid w:val="008A2291"/>
    <w:rsid w:val="008B61AF"/>
    <w:rsid w:val="008C33C2"/>
    <w:rsid w:val="008C6137"/>
    <w:rsid w:val="008E2DB4"/>
    <w:rsid w:val="00901DD5"/>
    <w:rsid w:val="00903967"/>
    <w:rsid w:val="0090735B"/>
    <w:rsid w:val="00912D5E"/>
    <w:rsid w:val="00934340"/>
    <w:rsid w:val="00937AF0"/>
    <w:rsid w:val="00956DC7"/>
    <w:rsid w:val="00966CD3"/>
    <w:rsid w:val="0097155C"/>
    <w:rsid w:val="00987A20"/>
    <w:rsid w:val="009A0E15"/>
    <w:rsid w:val="009D4037"/>
    <w:rsid w:val="009F0592"/>
    <w:rsid w:val="00A10000"/>
    <w:rsid w:val="00A20E72"/>
    <w:rsid w:val="00A246DC"/>
    <w:rsid w:val="00A47BAF"/>
    <w:rsid w:val="00A542D3"/>
    <w:rsid w:val="00A5784F"/>
    <w:rsid w:val="00A653CD"/>
    <w:rsid w:val="00A8436E"/>
    <w:rsid w:val="00A95B66"/>
    <w:rsid w:val="00AD33A3"/>
    <w:rsid w:val="00AE0667"/>
    <w:rsid w:val="00B41E0A"/>
    <w:rsid w:val="00B56DE0"/>
    <w:rsid w:val="00B71F12"/>
    <w:rsid w:val="00B96B1E"/>
    <w:rsid w:val="00BA57A4"/>
    <w:rsid w:val="00BB2A6F"/>
    <w:rsid w:val="00BD1614"/>
    <w:rsid w:val="00BD5DA6"/>
    <w:rsid w:val="00BF7D25"/>
    <w:rsid w:val="00C010C0"/>
    <w:rsid w:val="00C02EF5"/>
    <w:rsid w:val="00C2652C"/>
    <w:rsid w:val="00C27450"/>
    <w:rsid w:val="00C40CB5"/>
    <w:rsid w:val="00C54CE6"/>
    <w:rsid w:val="00C575E2"/>
    <w:rsid w:val="00C7368B"/>
    <w:rsid w:val="00C92746"/>
    <w:rsid w:val="00CC4DC5"/>
    <w:rsid w:val="00CE1A7C"/>
    <w:rsid w:val="00D0464B"/>
    <w:rsid w:val="00D12C74"/>
    <w:rsid w:val="00D2263F"/>
    <w:rsid w:val="00D27019"/>
    <w:rsid w:val="00D56483"/>
    <w:rsid w:val="00D5658F"/>
    <w:rsid w:val="00D56AD6"/>
    <w:rsid w:val="00D70019"/>
    <w:rsid w:val="00D72DDF"/>
    <w:rsid w:val="00D74B58"/>
    <w:rsid w:val="00D82ABE"/>
    <w:rsid w:val="00DA4ABA"/>
    <w:rsid w:val="00DA685B"/>
    <w:rsid w:val="00DA742B"/>
    <w:rsid w:val="00DF25C1"/>
    <w:rsid w:val="00DF48F7"/>
    <w:rsid w:val="00DF4964"/>
    <w:rsid w:val="00DF4D73"/>
    <w:rsid w:val="00DF79B0"/>
    <w:rsid w:val="00E1047D"/>
    <w:rsid w:val="00E34BBF"/>
    <w:rsid w:val="00E443FA"/>
    <w:rsid w:val="00E54FCE"/>
    <w:rsid w:val="00E60DA1"/>
    <w:rsid w:val="00E93D35"/>
    <w:rsid w:val="00EA45DB"/>
    <w:rsid w:val="00ED2CD9"/>
    <w:rsid w:val="00F07DA7"/>
    <w:rsid w:val="00F43E94"/>
    <w:rsid w:val="00F564C1"/>
    <w:rsid w:val="00F77FA2"/>
    <w:rsid w:val="00F8357A"/>
    <w:rsid w:val="00FA1B77"/>
    <w:rsid w:val="00FB4B65"/>
    <w:rsid w:val="00FB5741"/>
    <w:rsid w:val="00FB74B8"/>
    <w:rsid w:val="00FC49E0"/>
    <w:rsid w:val="00FE4165"/>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28E15928-ED0D-488C-B601-E44D2F130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uiPriority w:val="99"/>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character" w:customStyle="1" w:styleId="Heading1Char">
    <w:name w:val="Heading 1 Char"/>
    <w:basedOn w:val="DefaultParagraphFont"/>
    <w:link w:val="Heading1"/>
    <w:uiPriority w:val="99"/>
    <w:rsid w:val="005710DF"/>
    <w:rPr>
      <w:rFonts w:ascii="Calibri" w:hAnsi="Calibri"/>
      <w:b/>
      <w:sz w:val="28"/>
      <w:lang w:val="fr-FR" w:eastAsia="en-US"/>
    </w:rPr>
  </w:style>
  <w:style w:type="table" w:styleId="TableGrid">
    <w:name w:val="Table Grid"/>
    <w:basedOn w:val="TableNormal"/>
    <w:uiPriority w:val="59"/>
    <w:rsid w:val="00571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710DF"/>
    <w:pPr>
      <w:ind w:left="720"/>
      <w:contextualSpacing/>
    </w:pPr>
    <w:rPr>
      <w:lang w:val="en-GB"/>
    </w:rPr>
  </w:style>
  <w:style w:type="character" w:customStyle="1" w:styleId="ListParagraphChar">
    <w:name w:val="List Paragraph Char"/>
    <w:basedOn w:val="DefaultParagraphFont"/>
    <w:link w:val="ListParagraph"/>
    <w:uiPriority w:val="34"/>
    <w:rsid w:val="005710DF"/>
    <w:rPr>
      <w:rFonts w:ascii="Calibri" w:hAnsi="Calibri"/>
      <w:sz w:val="24"/>
      <w:lang w:val="en-GB" w:eastAsia="en-US"/>
    </w:rPr>
  </w:style>
  <w:style w:type="table" w:customStyle="1" w:styleId="TableGrid1">
    <w:name w:val="Table Grid1"/>
    <w:basedOn w:val="TableNormal"/>
    <w:next w:val="TableGrid"/>
    <w:uiPriority w:val="59"/>
    <w:rsid w:val="005710DF"/>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4A0A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7-CL-C-0126/fr" TargetMode="External"/><Relationship Id="rId13" Type="http://schemas.openxmlformats.org/officeDocument/2006/relationships/hyperlink" Target="https://www.itu.int/md/S17-CL-C-0126/fr" TargetMode="Externa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s://www.itu.int/md/S16-CL-C-0071/fr" TargetMode="External"/><Relationship Id="rId17" Type="http://schemas.openxmlformats.org/officeDocument/2006/relationships/image" Target="cid:image001.png@01D0F9E5.06B979B0" TargetMode="Externa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17-CL-C-0065/fr"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hyperlink" Target="https://www.itu.int/md/S17-CL-C-0126/fr" TargetMode="External"/><Relationship Id="rId19" Type="http://schemas.openxmlformats.org/officeDocument/2006/relationships/hyperlink" Target="https://www.itu.int/md/S17-CL-C-0065/fr" TargetMode="External"/><Relationship Id="rId4" Type="http://schemas.openxmlformats.org/officeDocument/2006/relationships/webSettings" Target="webSettings.xml"/><Relationship Id="rId9" Type="http://schemas.openxmlformats.org/officeDocument/2006/relationships/hyperlink" Target="https://www.itu.int/md/S17-CL-C-0065/fr" TargetMode="External"/><Relationship Id="rId14" Type="http://schemas.openxmlformats.org/officeDocument/2006/relationships/hyperlink" Target="https://www.itu.int/md/S17-CL-C-0126/fr"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iencla\AppData\Roaming\Microsoft\Templates\POOL%20F%20-%20ITU\PF_PP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PF_PP18.dotx</Template>
  <TotalTime>2</TotalTime>
  <Pages>10</Pages>
  <Words>2507</Words>
  <Characters>14383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16857</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(PP-18)</dc:subject>
  <dc:creator>Acien, Clara</dc:creator>
  <cp:keywords/>
  <dc:description/>
  <cp:lastModifiedBy>Geneux, Aude</cp:lastModifiedBy>
  <cp:revision>4</cp:revision>
  <cp:lastPrinted>2018-08-01T13:39:00Z</cp:lastPrinted>
  <dcterms:created xsi:type="dcterms:W3CDTF">2018-08-02T12:46:00Z</dcterms:created>
  <dcterms:modified xsi:type="dcterms:W3CDTF">2018-08-02T12:47:00Z</dcterms:modified>
  <cp:category>Conference document</cp:category>
</cp:coreProperties>
</file>