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1E2226">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6A046E">
            <w:pPr>
              <w:spacing w:before="0" w:line="240" w:lineRule="atLeast"/>
              <w:rPr>
                <w:rFonts w:cstheme="minorHAnsi"/>
                <w:lang w:val="en-US"/>
              </w:rPr>
            </w:pPr>
            <w:bookmarkStart w:id="2" w:name="ditulogo"/>
            <w:bookmarkEnd w:id="2"/>
            <w:r w:rsidRPr="008C10D9">
              <w:rPr>
                <w:rFonts w:cstheme="minorHAnsi"/>
                <w:b/>
                <w:bCs/>
                <w:noProof/>
                <w:lang w:val="fr-CH"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6A046E">
        <w:trPr>
          <w:cantSplit/>
        </w:trPr>
        <w:tc>
          <w:tcPr>
            <w:tcW w:w="6911" w:type="dxa"/>
          </w:tcPr>
          <w:p w:rsidR="00BD1614" w:rsidRPr="008C10D9" w:rsidRDefault="00417658" w:rsidP="003D637A">
            <w:pPr>
              <w:pStyle w:val="Committee"/>
              <w:framePr w:hSpace="0" w:wrap="auto" w:hAnchor="text" w:yAlign="inline"/>
              <w:spacing w:after="0" w:line="240" w:lineRule="auto"/>
            </w:pPr>
            <w:r w:rsidRPr="008C10D9">
              <w:t>SÉANCE PLÉNIÈRE</w:t>
            </w:r>
          </w:p>
        </w:tc>
        <w:tc>
          <w:tcPr>
            <w:tcW w:w="3120" w:type="dxa"/>
          </w:tcPr>
          <w:p w:rsidR="00BD1614" w:rsidRPr="008C10D9" w:rsidRDefault="008B49C1" w:rsidP="003D637A">
            <w:pPr>
              <w:spacing w:before="0"/>
              <w:rPr>
                <w:rFonts w:cstheme="minorHAnsi"/>
                <w:szCs w:val="24"/>
                <w:lang w:val="en-US"/>
              </w:rPr>
            </w:pPr>
            <w:r>
              <w:rPr>
                <w:rFonts w:cstheme="minorHAnsi"/>
                <w:b/>
                <w:szCs w:val="24"/>
                <w:lang w:val="en-US"/>
              </w:rPr>
              <w:t xml:space="preserve">Document </w:t>
            </w:r>
            <w:r w:rsidR="00BF51C8">
              <w:rPr>
                <w:rFonts w:cstheme="minorHAnsi"/>
                <w:b/>
                <w:szCs w:val="24"/>
                <w:lang w:val="en-US"/>
              </w:rPr>
              <w:t>38</w:t>
            </w:r>
            <w:r w:rsidR="00417658">
              <w:rPr>
                <w:rFonts w:cstheme="minorHAnsi"/>
                <w:b/>
                <w:szCs w:val="24"/>
                <w:lang w:val="en-US"/>
              </w:rPr>
              <w:t>-F</w:t>
            </w:r>
          </w:p>
        </w:tc>
      </w:tr>
      <w:tr w:rsidR="00BD1614" w:rsidRPr="002A6F8F" w:rsidTr="006A046E">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3E6056" w:rsidP="003D637A">
            <w:pPr>
              <w:spacing w:before="0"/>
              <w:rPr>
                <w:rFonts w:cstheme="minorHAnsi"/>
                <w:b/>
                <w:szCs w:val="24"/>
                <w:lang w:val="en-US"/>
              </w:rPr>
            </w:pPr>
            <w:r>
              <w:rPr>
                <w:rFonts w:cstheme="minorHAnsi"/>
                <w:b/>
                <w:szCs w:val="24"/>
                <w:lang w:val="en-US"/>
              </w:rPr>
              <w:t>25 juillet</w:t>
            </w:r>
            <w:r w:rsidR="00417658" w:rsidRPr="008C10D9">
              <w:rPr>
                <w:rFonts w:cstheme="minorHAnsi"/>
                <w:b/>
                <w:szCs w:val="24"/>
                <w:lang w:val="en-US"/>
              </w:rPr>
              <w:t xml:space="preserve"> 201</w:t>
            </w:r>
            <w:r>
              <w:rPr>
                <w:rFonts w:cstheme="minorHAnsi"/>
                <w:b/>
                <w:szCs w:val="24"/>
                <w:lang w:val="en-US"/>
              </w:rPr>
              <w:t>8</w:t>
            </w:r>
          </w:p>
        </w:tc>
      </w:tr>
      <w:tr w:rsidR="00BD1614" w:rsidRPr="002A6F8F" w:rsidTr="006A046E">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417658" w:rsidP="003D637A">
            <w:pPr>
              <w:spacing w:before="0"/>
              <w:rPr>
                <w:rFonts w:cstheme="minorHAnsi"/>
                <w:b/>
                <w:szCs w:val="24"/>
                <w:lang w:val="en-US"/>
              </w:rPr>
            </w:pPr>
            <w:r w:rsidRPr="008C10D9">
              <w:rPr>
                <w:rFonts w:cstheme="minorHAnsi"/>
                <w:b/>
                <w:szCs w:val="24"/>
                <w:lang w:val="en-US"/>
              </w:rPr>
              <w:t>Original: anglais</w:t>
            </w:r>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2A6F8F" w:rsidTr="006A046E">
        <w:trPr>
          <w:cantSplit/>
        </w:trPr>
        <w:tc>
          <w:tcPr>
            <w:tcW w:w="10031" w:type="dxa"/>
            <w:gridSpan w:val="2"/>
          </w:tcPr>
          <w:p w:rsidR="00BD1614" w:rsidRPr="003E6056" w:rsidRDefault="003E6056" w:rsidP="003E6056">
            <w:pPr>
              <w:pStyle w:val="Source"/>
            </w:pPr>
            <w:bookmarkStart w:id="4" w:name="dsource" w:colFirst="0" w:colLast="0"/>
            <w:bookmarkEnd w:id="3"/>
            <w:r w:rsidRPr="003E6056">
              <w:t>Rapport du Secrétaire général</w:t>
            </w:r>
          </w:p>
        </w:tc>
      </w:tr>
      <w:tr w:rsidR="00BD1614" w:rsidRPr="002A6F8F" w:rsidTr="006A046E">
        <w:trPr>
          <w:cantSplit/>
        </w:trPr>
        <w:tc>
          <w:tcPr>
            <w:tcW w:w="10031" w:type="dxa"/>
            <w:gridSpan w:val="2"/>
          </w:tcPr>
          <w:p w:rsidR="00BD1614" w:rsidRPr="003E6056" w:rsidRDefault="003E6056" w:rsidP="003E6056">
            <w:pPr>
              <w:pStyle w:val="Title1"/>
              <w:rPr>
                <w:lang w:val="fr-CH"/>
              </w:rPr>
            </w:pPr>
            <w:bookmarkStart w:id="5" w:name="dtitle1" w:colFirst="0" w:colLast="0"/>
            <w:bookmarkEnd w:id="4"/>
            <w:r w:rsidRPr="005F6EDB">
              <w:t xml:space="preserve">OPTIMISATION DES MANIFESTATIONS DE HAUT NIVEAU </w:t>
            </w:r>
            <w:r w:rsidRPr="005F6EDB">
              <w:br/>
              <w:t>à caractère mondial DE L'UIT</w:t>
            </w:r>
          </w:p>
        </w:tc>
      </w:tr>
      <w:tr w:rsidR="00BD1614" w:rsidRPr="002A6F8F" w:rsidTr="006A046E">
        <w:trPr>
          <w:cantSplit/>
        </w:trPr>
        <w:tc>
          <w:tcPr>
            <w:tcW w:w="10031" w:type="dxa"/>
            <w:gridSpan w:val="2"/>
          </w:tcPr>
          <w:p w:rsidR="00BD1614" w:rsidRPr="004006C1" w:rsidRDefault="00BD1614" w:rsidP="006A046E">
            <w:pPr>
              <w:pStyle w:val="Title2"/>
              <w:rPr>
                <w:lang w:val="fr-CH"/>
              </w:rPr>
            </w:pPr>
            <w:bookmarkStart w:id="6" w:name="dtitle2" w:colFirst="0" w:colLast="0"/>
            <w:bookmarkEnd w:id="5"/>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F51C8" w:rsidRPr="0007504F" w:rsidTr="00B91AF4">
        <w:trPr>
          <w:trHeight w:val="3372"/>
        </w:trPr>
        <w:tc>
          <w:tcPr>
            <w:tcW w:w="8080" w:type="dxa"/>
            <w:tcBorders>
              <w:top w:val="single" w:sz="12" w:space="0" w:color="auto"/>
              <w:left w:val="single" w:sz="12" w:space="0" w:color="auto"/>
              <w:bottom w:val="single" w:sz="12" w:space="0" w:color="auto"/>
              <w:right w:val="single" w:sz="12" w:space="0" w:color="auto"/>
            </w:tcBorders>
          </w:tcPr>
          <w:bookmarkEnd w:id="6"/>
          <w:p w:rsidR="00BF51C8" w:rsidRPr="003E6056" w:rsidRDefault="00BF51C8" w:rsidP="003E6056">
            <w:pPr>
              <w:pStyle w:val="Headingb"/>
            </w:pPr>
            <w:r w:rsidRPr="003E6056">
              <w:t>Résumé</w:t>
            </w:r>
          </w:p>
          <w:p w:rsidR="00BF51C8" w:rsidRPr="00F23DBF" w:rsidRDefault="00BF51C8" w:rsidP="003E6056">
            <w:pPr>
              <w:rPr>
                <w:lang w:val="fr-CH"/>
              </w:rPr>
            </w:pPr>
            <w:r w:rsidRPr="00F23DBF">
              <w:rPr>
                <w:lang w:val="fr-CH"/>
              </w:rPr>
              <w:t>On trouvera dans le présent document des options visant à optimiser les manifestations de haut niveau à caractère mondial de l'UIT d'ici à 2020, compte tenu des considérations formulées par le Conseil de l'UIT à sa session de 2018.</w:t>
            </w:r>
          </w:p>
          <w:p w:rsidR="00BF51C8" w:rsidRPr="003E6056" w:rsidRDefault="00BF51C8" w:rsidP="003E6056">
            <w:pPr>
              <w:pStyle w:val="Headingb"/>
            </w:pPr>
            <w:r w:rsidRPr="003E6056">
              <w:t>Suite à donner</w:t>
            </w:r>
          </w:p>
          <w:p w:rsidR="00BF51C8" w:rsidRPr="00F23DBF" w:rsidRDefault="00BF51C8" w:rsidP="003E6056">
            <w:pPr>
              <w:rPr>
                <w:lang w:val="fr-CH"/>
              </w:rPr>
            </w:pPr>
            <w:r w:rsidRPr="00F23DBF">
              <w:rPr>
                <w:lang w:val="fr-CH"/>
              </w:rPr>
              <w:t xml:space="preserve">La Conférence de plénipotentiaires est invitée à </w:t>
            </w:r>
            <w:r w:rsidRPr="00F23DBF">
              <w:rPr>
                <w:b/>
                <w:bCs/>
                <w:lang w:val="fr-CH"/>
              </w:rPr>
              <w:t>examiner</w:t>
            </w:r>
            <w:r w:rsidRPr="00F23DBF">
              <w:rPr>
                <w:lang w:val="fr-CH"/>
              </w:rPr>
              <w:t xml:space="preserve"> le présent rapport.</w:t>
            </w:r>
          </w:p>
          <w:p w:rsidR="00BF51C8" w:rsidRPr="00F23DBF" w:rsidRDefault="00BF51C8" w:rsidP="00C4279B">
            <w:pPr>
              <w:pStyle w:val="Table"/>
              <w:keepNext w:val="0"/>
              <w:spacing w:before="0"/>
              <w:rPr>
                <w:rFonts w:ascii="Calibri" w:hAnsi="Calibri"/>
                <w:caps w:val="0"/>
                <w:szCs w:val="22"/>
                <w:lang w:val="fr-CH"/>
              </w:rPr>
            </w:pPr>
            <w:r w:rsidRPr="00F23DBF">
              <w:rPr>
                <w:rFonts w:ascii="Calibri" w:hAnsi="Calibri"/>
                <w:caps w:val="0"/>
                <w:szCs w:val="22"/>
                <w:lang w:val="fr-CH"/>
              </w:rPr>
              <w:t>____________</w:t>
            </w:r>
          </w:p>
          <w:p w:rsidR="00BF51C8" w:rsidRPr="003E6056" w:rsidRDefault="00BF51C8" w:rsidP="003E6056">
            <w:pPr>
              <w:pStyle w:val="Headingb"/>
            </w:pPr>
            <w:r w:rsidRPr="003E6056">
              <w:t>Références</w:t>
            </w:r>
          </w:p>
          <w:p w:rsidR="00BF51C8" w:rsidRPr="008B49C1" w:rsidRDefault="00BF51C8" w:rsidP="008B49C1">
            <w:pPr>
              <w:spacing w:after="120"/>
              <w:rPr>
                <w:i/>
                <w:iCs/>
                <w:lang w:val="fr-CH"/>
              </w:rPr>
            </w:pPr>
            <w:r w:rsidRPr="008B49C1">
              <w:rPr>
                <w:i/>
                <w:iCs/>
              </w:rPr>
              <w:t xml:space="preserve">Documents </w:t>
            </w:r>
            <w:hyperlink r:id="rId9" w:history="1">
              <w:r w:rsidRPr="008B49C1">
                <w:rPr>
                  <w:rStyle w:val="Hyperlink"/>
                  <w:rFonts w:cstheme="minorBidi"/>
                  <w:i/>
                  <w:iCs/>
                  <w:szCs w:val="24"/>
                  <w:lang w:val="pt-BR" w:eastAsia="zh-CN"/>
                </w:rPr>
                <w:t>C17/89</w:t>
              </w:r>
            </w:hyperlink>
            <w:r w:rsidRPr="008B49C1">
              <w:rPr>
                <w:rFonts w:cstheme="minorBidi"/>
                <w:i/>
                <w:iCs/>
                <w:szCs w:val="24"/>
                <w:lang w:val="pt-BR" w:eastAsia="zh-CN"/>
              </w:rPr>
              <w:t xml:space="preserve">, </w:t>
            </w:r>
            <w:hyperlink r:id="rId10" w:history="1">
              <w:r w:rsidRPr="008B49C1">
                <w:rPr>
                  <w:rStyle w:val="Hyperlink"/>
                  <w:rFonts w:cs="Times New Roman Bold"/>
                  <w:i/>
                  <w:iCs/>
                  <w:spacing w:val="-4"/>
                  <w:szCs w:val="24"/>
                  <w:lang w:val="pt-BR" w:eastAsia="zh-CN"/>
                </w:rPr>
                <w:t>CWG-FHR 8/28</w:t>
              </w:r>
            </w:hyperlink>
            <w:r w:rsidRPr="008B49C1">
              <w:rPr>
                <w:rStyle w:val="Hyperlink"/>
                <w:rFonts w:cs="Times New Roman Bold"/>
                <w:i/>
                <w:iCs/>
                <w:spacing w:val="-4"/>
                <w:szCs w:val="24"/>
                <w:lang w:val="pt-BR" w:eastAsia="zh-CN"/>
              </w:rPr>
              <w:t xml:space="preserve">, </w:t>
            </w:r>
            <w:hyperlink r:id="rId11" w:history="1">
              <w:r w:rsidRPr="008B49C1">
                <w:rPr>
                  <w:rStyle w:val="Hyperlink"/>
                  <w:i/>
                  <w:iCs/>
                  <w:szCs w:val="24"/>
                  <w:lang w:val="pt-BR"/>
                </w:rPr>
                <w:t>C18/55</w:t>
              </w:r>
            </w:hyperlink>
          </w:p>
        </w:tc>
      </w:tr>
    </w:tbl>
    <w:p w:rsidR="00BF51C8" w:rsidRPr="00F23DBF" w:rsidRDefault="00BF51C8" w:rsidP="00C4279B">
      <w:pPr>
        <w:pStyle w:val="Heading1"/>
        <w:rPr>
          <w:rFonts w:cstheme="minorHAnsi"/>
          <w:color w:val="000000"/>
          <w:shd w:val="clear" w:color="auto" w:fill="FFFFFF"/>
        </w:rPr>
      </w:pPr>
      <w:r w:rsidRPr="00F23DBF">
        <w:t>1</w:t>
      </w:r>
      <w:r w:rsidRPr="00F23DBF">
        <w:tab/>
        <w:t>Considérations générales</w:t>
      </w:r>
    </w:p>
    <w:p w:rsidR="00BF51C8" w:rsidRPr="00F23DBF" w:rsidRDefault="00BF51C8" w:rsidP="00C4279B">
      <w:pPr>
        <w:rPr>
          <w:lang w:val="fr-CH"/>
        </w:rPr>
      </w:pPr>
      <w:r w:rsidRPr="00F23DBF">
        <w:rPr>
          <w:lang w:val="fr-CH"/>
        </w:rPr>
        <w:t>1.1</w:t>
      </w:r>
      <w:r w:rsidRPr="00F23DBF">
        <w:rPr>
          <w:lang w:val="fr-CH"/>
        </w:rPr>
        <w:tab/>
        <w:t>En raison de la complexité croissante du secteur des technologies de l'information et de la communication</w:t>
      </w:r>
      <w:r w:rsidR="00C4279B">
        <w:rPr>
          <w:lang w:val="fr-CH"/>
        </w:rPr>
        <w:t xml:space="preserve"> (TIC)</w:t>
      </w:r>
      <w:r w:rsidRPr="00F23DBF">
        <w:rPr>
          <w:lang w:val="fr-CH"/>
        </w:rPr>
        <w:t>, le nombre total de manifestations organisées par l'Union tout au long de l'année a augmenté. A titre d'exemple, l'UIT a organisé en 2018 des manifestations très diverses, tant à Genève qu'à l'invitation d'Etats Membres de l'UIT, et notamment des conférences, des séminaires, des forums, des colloques et des ateliers qui sont venus s'ajouter aux réunions traditionnelles des commissions d'études.</w:t>
      </w:r>
    </w:p>
    <w:p w:rsidR="00BF51C8" w:rsidRPr="00F23DBF" w:rsidRDefault="00BF51C8" w:rsidP="00C4279B">
      <w:pPr>
        <w:rPr>
          <w:lang w:val="fr-CH"/>
        </w:rPr>
      </w:pPr>
      <w:r w:rsidRPr="00F23DBF">
        <w:rPr>
          <w:lang w:val="fr-CH"/>
        </w:rPr>
        <w:t>1.2</w:t>
      </w:r>
      <w:r w:rsidRPr="00F23DBF">
        <w:rPr>
          <w:lang w:val="fr-CH"/>
        </w:rPr>
        <w:tab/>
        <w:t xml:space="preserve">Le secrétariat de l'UIT poursuit ses efforts en vue d'établir un calendrier coordonné des activités et des manifestations, compte tenu des différents publics auxquels s'adresse chaque manifestation et des thèmes qui y sont traités, dans le cadre du </w:t>
      </w:r>
      <w:r w:rsidRPr="00F23DBF">
        <w:rPr>
          <w:color w:val="000000"/>
          <w:lang w:val="fr-CH"/>
        </w:rPr>
        <w:t>Groupe de coordination intersectorielle (ISC-TF) de l'UIT. Malgré les progrès accomplis ces dernières années, plusieurs Etats Membres de l'UIT ont demandé au secrétariat d'intensifier ses efforts en vue "d'optimiser les manifestations de haut niveau à caractère mondial de l'UIT"</w:t>
      </w:r>
      <w:r w:rsidRPr="00F23DBF">
        <w:rPr>
          <w:lang w:val="fr-CH"/>
        </w:rPr>
        <w:t>, dont le nombre a</w:t>
      </w:r>
      <w:r w:rsidR="004006C1">
        <w:rPr>
          <w:lang w:val="fr-CH"/>
        </w:rPr>
        <w:t xml:space="preserve"> augmenté ces dernières années.</w:t>
      </w:r>
    </w:p>
    <w:p w:rsidR="00BF51C8" w:rsidRPr="00F23DBF" w:rsidRDefault="00BF51C8" w:rsidP="00C4279B">
      <w:pPr>
        <w:rPr>
          <w:lang w:val="fr-CH"/>
        </w:rPr>
      </w:pPr>
      <w:r w:rsidRPr="00F23DBF">
        <w:rPr>
          <w:lang w:val="fr-CH"/>
        </w:rPr>
        <w:lastRenderedPageBreak/>
        <w:t>1.3</w:t>
      </w:r>
      <w:r w:rsidRPr="00F23DBF">
        <w:rPr>
          <w:lang w:val="fr-CH"/>
        </w:rPr>
        <w:tab/>
        <w:t xml:space="preserve">Le présent document fait suite aux discussions qui ont eu lieu </w:t>
      </w:r>
      <w:r w:rsidR="008B49C1">
        <w:rPr>
          <w:lang w:val="fr-CH"/>
        </w:rPr>
        <w:t>lors des sessions de 2017 et de </w:t>
      </w:r>
      <w:r w:rsidRPr="00F23DBF">
        <w:rPr>
          <w:lang w:val="fr-CH"/>
        </w:rPr>
        <w:t xml:space="preserve">2018 du Conseil et </w:t>
      </w:r>
      <w:r>
        <w:rPr>
          <w:lang w:val="fr-CH"/>
        </w:rPr>
        <w:t xml:space="preserve">au sein </w:t>
      </w:r>
      <w:r w:rsidRPr="00F23DBF">
        <w:rPr>
          <w:lang w:val="fr-CH"/>
        </w:rPr>
        <w:t>du GTC-FHR sur cette question et présente des options à la Conférence de plénipotentiaires de 2018 pour examen</w:t>
      </w:r>
      <w:r w:rsidRPr="00F23DBF">
        <w:rPr>
          <w:color w:val="000000"/>
          <w:lang w:val="fr-CH"/>
        </w:rPr>
        <w:t>.</w:t>
      </w:r>
    </w:p>
    <w:p w:rsidR="00BF51C8" w:rsidRPr="00C4279B" w:rsidRDefault="00BF51C8" w:rsidP="00C4279B">
      <w:pPr>
        <w:pStyle w:val="Heading1"/>
      </w:pPr>
      <w:r w:rsidRPr="00C4279B">
        <w:t>2</w:t>
      </w:r>
      <w:r w:rsidRPr="00C4279B">
        <w:tab/>
        <w:t>Considérations</w:t>
      </w:r>
    </w:p>
    <w:p w:rsidR="00BF51C8" w:rsidRPr="00F23DBF" w:rsidRDefault="00BF51C8" w:rsidP="00C4279B">
      <w:pPr>
        <w:rPr>
          <w:color w:val="000000"/>
          <w:lang w:val="fr-CH"/>
        </w:rPr>
      </w:pPr>
      <w:r w:rsidRPr="00F23DBF">
        <w:rPr>
          <w:lang w:val="fr-CH"/>
        </w:rPr>
        <w:t>2.1</w:t>
      </w:r>
      <w:r w:rsidRPr="00F23DBF">
        <w:rPr>
          <w:lang w:val="fr-CH"/>
        </w:rPr>
        <w:tab/>
      </w:r>
      <w:r w:rsidRPr="00F23DBF">
        <w:rPr>
          <w:i/>
          <w:iCs/>
          <w:lang w:val="fr-CH"/>
        </w:rPr>
        <w:t xml:space="preserve">Objet. </w:t>
      </w:r>
      <w:r w:rsidRPr="00F23DBF">
        <w:rPr>
          <w:lang w:val="fr-CH"/>
        </w:rPr>
        <w:t xml:space="preserve">La proposition exposée dans le présent document vise à optimiser les </w:t>
      </w:r>
      <w:r w:rsidRPr="00F23DBF">
        <w:rPr>
          <w:iCs/>
          <w:lang w:val="fr-CH"/>
        </w:rPr>
        <w:t>manifestations</w:t>
      </w:r>
      <w:r w:rsidRPr="00F23DBF">
        <w:rPr>
          <w:lang w:val="fr-CH"/>
        </w:rPr>
        <w:t xml:space="preserve"> de haut niveau à caractère mondial de l'UIT, par exemple </w:t>
      </w:r>
      <w:r w:rsidRPr="00F23DBF">
        <w:rPr>
          <w:iCs/>
          <w:lang w:val="fr-CH"/>
        </w:rPr>
        <w:t xml:space="preserve">ITU Telecom, le Colloque mondial des régulateurs (GSR), </w:t>
      </w:r>
      <w:r w:rsidRPr="00F23DBF">
        <w:rPr>
          <w:color w:val="000000"/>
          <w:lang w:val="fr-CH"/>
        </w:rPr>
        <w:t xml:space="preserve">le Colloque sur les indicateurs des télécommunications/TIC dans le monde, le Forum du SMSI, </w:t>
      </w:r>
      <w:r w:rsidRPr="00F23DBF">
        <w:rPr>
          <w:iCs/>
          <w:lang w:val="fr-CH"/>
        </w:rPr>
        <w:t xml:space="preserve">le </w:t>
      </w:r>
      <w:r w:rsidRPr="00F23DBF">
        <w:rPr>
          <w:color w:val="000000"/>
          <w:lang w:val="fr-CH"/>
        </w:rPr>
        <w:t>Forum mondial des politiques de télécommunication et des technologies de l'information et de la communication (FMPT) et la Conférence multidisciplinaire "Kaléidoscope" de l'UIT, etc.</w:t>
      </w:r>
    </w:p>
    <w:p w:rsidR="00BF51C8" w:rsidRPr="00F23DBF" w:rsidRDefault="00BF51C8" w:rsidP="00C4279B">
      <w:pPr>
        <w:rPr>
          <w:iCs/>
          <w:lang w:val="fr-CH"/>
        </w:rPr>
      </w:pPr>
      <w:r w:rsidRPr="00F23DBF">
        <w:rPr>
          <w:color w:val="000000"/>
          <w:lang w:val="fr-CH"/>
        </w:rPr>
        <w:t>2.2</w:t>
      </w:r>
      <w:r w:rsidRPr="00F23DBF">
        <w:rPr>
          <w:color w:val="000000"/>
          <w:lang w:val="fr-CH"/>
        </w:rPr>
        <w:tab/>
      </w:r>
      <w:r w:rsidRPr="00F23DBF">
        <w:rPr>
          <w:i/>
          <w:iCs/>
          <w:color w:val="000000"/>
          <w:lang w:val="fr-CH"/>
        </w:rPr>
        <w:t>Manifestations exclu</w:t>
      </w:r>
      <w:r w:rsidRPr="0070573D">
        <w:rPr>
          <w:i/>
          <w:iCs/>
          <w:color w:val="000000"/>
          <w:lang w:val="fr-CH"/>
        </w:rPr>
        <w:t>e</w:t>
      </w:r>
      <w:r w:rsidRPr="00F23DBF">
        <w:rPr>
          <w:i/>
          <w:iCs/>
          <w:color w:val="000000"/>
          <w:lang w:val="fr-CH"/>
        </w:rPr>
        <w:t xml:space="preserve">s </w:t>
      </w:r>
      <w:r w:rsidRPr="0070573D">
        <w:rPr>
          <w:i/>
          <w:iCs/>
          <w:color w:val="000000"/>
          <w:lang w:val="fr-CH"/>
        </w:rPr>
        <w:t>de cet</w:t>
      </w:r>
      <w:r w:rsidRPr="00F23DBF">
        <w:rPr>
          <w:i/>
          <w:iCs/>
          <w:color w:val="000000"/>
          <w:lang w:val="fr-CH"/>
        </w:rPr>
        <w:t xml:space="preserve"> exercice</w:t>
      </w:r>
      <w:r w:rsidRPr="000E3FB4">
        <w:rPr>
          <w:color w:val="000000"/>
          <w:lang w:val="fr-CH"/>
        </w:rPr>
        <w:t>.</w:t>
      </w:r>
      <w:r w:rsidRPr="00F23DBF">
        <w:rPr>
          <w:color w:val="000000"/>
          <w:lang w:val="fr-CH"/>
        </w:rPr>
        <w:t xml:space="preserve"> Comme suite aux débats qui ont eu lieu durant la session de 2018 du Conseil, les conférences, assemblées et autres réunions visées dans la Constitution et la Convention de l'UIT, comme la Conférence de plénipotentiaires de l'UIT, le Conseil de l'UIT ou les conférences (mondiales et régionales) et assemblées des Secteurs sont exclues du présent document.</w:t>
      </w:r>
    </w:p>
    <w:p w:rsidR="00BF51C8" w:rsidRPr="00F23DBF" w:rsidRDefault="00BF51C8" w:rsidP="00C4279B">
      <w:pPr>
        <w:rPr>
          <w:lang w:val="fr-CH"/>
        </w:rPr>
      </w:pPr>
      <w:r w:rsidRPr="00F23DBF">
        <w:t>2.3</w:t>
      </w:r>
      <w:r w:rsidRPr="00F23DBF">
        <w:tab/>
      </w:r>
      <w:r w:rsidRPr="00F23DBF">
        <w:rPr>
          <w:i/>
          <w:iCs/>
        </w:rPr>
        <w:t xml:space="preserve">Calendrier. </w:t>
      </w:r>
      <w:r w:rsidRPr="00F23DBF">
        <w:t>La proposition vise à d</w:t>
      </w:r>
      <w:r w:rsidRPr="00F23DBF">
        <w:rPr>
          <w:lang w:val="fr-CH"/>
        </w:rPr>
        <w:t>éfinir un nouveau calendrier débutant en 2020, sachant que l'élaboration du calendrier des activités de l'UIT pour 2019 a déjà commencé.</w:t>
      </w:r>
    </w:p>
    <w:p w:rsidR="00BF51C8" w:rsidRPr="00F23DBF" w:rsidRDefault="00BF51C8" w:rsidP="00C4279B">
      <w:pPr>
        <w:rPr>
          <w:iCs/>
          <w:lang w:val="fr-CH"/>
        </w:rPr>
      </w:pPr>
      <w:r w:rsidRPr="00F23DBF">
        <w:rPr>
          <w:lang w:val="fr-CH"/>
        </w:rPr>
        <w:t>2.4</w:t>
      </w:r>
      <w:r w:rsidRPr="00F23DBF">
        <w:rPr>
          <w:lang w:val="fr-CH"/>
        </w:rPr>
        <w:tab/>
      </w:r>
      <w:r w:rsidRPr="00F23DBF">
        <w:rPr>
          <w:i/>
          <w:iCs/>
          <w:lang w:val="fr-CH"/>
        </w:rPr>
        <w:t>Rationalisation</w:t>
      </w:r>
      <w:r w:rsidRPr="00F23DBF">
        <w:rPr>
          <w:lang w:val="fr-CH"/>
        </w:rPr>
        <w:t xml:space="preserve">. L'exercice de définition d'un nouveau calendrier pour les manifestations </w:t>
      </w:r>
      <w:r>
        <w:rPr>
          <w:lang w:val="fr-CH"/>
        </w:rPr>
        <w:t>à caractère mondial</w:t>
      </w:r>
      <w:r w:rsidRPr="00F23DBF">
        <w:rPr>
          <w:lang w:val="fr-CH"/>
        </w:rPr>
        <w:t xml:space="preserve"> de l'UIT devrait viser à rationaliser le calendrier annuel des activités de l'UIT.</w:t>
      </w:r>
    </w:p>
    <w:p w:rsidR="00BF51C8" w:rsidRPr="00F23DBF" w:rsidRDefault="00BF51C8" w:rsidP="00C4279B">
      <w:pPr>
        <w:rPr>
          <w:iCs/>
          <w:lang w:val="fr-CH"/>
        </w:rPr>
      </w:pPr>
      <w:r w:rsidRPr="00F23DBF">
        <w:rPr>
          <w:color w:val="000000"/>
          <w:lang w:val="fr-CH"/>
        </w:rPr>
        <w:t>2.5</w:t>
      </w:r>
      <w:r w:rsidRPr="00F23DBF">
        <w:rPr>
          <w:color w:val="000000"/>
          <w:lang w:val="fr-CH"/>
        </w:rPr>
        <w:tab/>
      </w:r>
      <w:r w:rsidRPr="00F23DBF">
        <w:rPr>
          <w:i/>
          <w:iCs/>
          <w:color w:val="000000"/>
          <w:lang w:val="fr-CH"/>
        </w:rPr>
        <w:t>Organisation en parallèle de manifestations</w:t>
      </w:r>
      <w:r w:rsidRPr="00F23DBF">
        <w:rPr>
          <w:i/>
          <w:iCs/>
          <w:lang w:val="fr-CH"/>
        </w:rPr>
        <w:t>.</w:t>
      </w:r>
      <w:r w:rsidRPr="00F23DBF">
        <w:rPr>
          <w:lang w:val="fr-CH"/>
        </w:rPr>
        <w:t xml:space="preserve"> Il a été constaté que l'organisation de plusieurs manifestations récentes de l'UIT </w:t>
      </w:r>
      <w:r w:rsidRPr="00F23DBF">
        <w:rPr>
          <w:iCs/>
          <w:lang w:val="fr-CH"/>
        </w:rPr>
        <w:t>en un même lieu et aux mêmes dates avait donné de bons résultats. On citera à titre d'exemple</w:t>
      </w:r>
      <w:r w:rsidRPr="00F23DBF">
        <w:rPr>
          <w:color w:val="000000"/>
          <w:lang w:val="fr-CH"/>
        </w:rPr>
        <w:t xml:space="preserve"> la Conférence multidisciplinaire "Kaléidoscope" de 2016 de l'UIT </w:t>
      </w:r>
      <w:r w:rsidRPr="00F23DBF">
        <w:rPr>
          <w:iCs/>
          <w:lang w:val="fr-CH"/>
        </w:rPr>
        <w:t xml:space="preserve">(qui s'est tenue juste avant ITU Telecom World 2016), le </w:t>
      </w:r>
      <w:r w:rsidRPr="00F23DBF">
        <w:rPr>
          <w:color w:val="000000"/>
          <w:lang w:val="fr-CH"/>
        </w:rPr>
        <w:t>programme Smart ABC</w:t>
      </w:r>
      <w:r w:rsidRPr="00F23DBF">
        <w:rPr>
          <w:iCs/>
          <w:lang w:val="fr-CH"/>
        </w:rPr>
        <w:t xml:space="preserve">, qui a eu lieu à l'occasion d'ITU Telecom World 2017 et 2018, ainsi que </w:t>
      </w:r>
      <w:r w:rsidRPr="00F23DBF">
        <w:rPr>
          <w:color w:val="000000"/>
          <w:lang w:val="fr-CH"/>
        </w:rPr>
        <w:t>la réunion des directeurs techniques organisée par l'UIT-T</w:t>
      </w:r>
      <w:r w:rsidRPr="00F23DBF">
        <w:rPr>
          <w:iCs/>
          <w:lang w:val="fr-CH"/>
        </w:rPr>
        <w:t>. Cette organisation en parallèle permet de différencier clairement les publics, les objectifs principaux et l'ordre du jour de chaque manifestation, tout en optimisant les coûts et les ressources liées à leur organisation.</w:t>
      </w:r>
    </w:p>
    <w:p w:rsidR="00BF51C8" w:rsidRPr="00F23DBF" w:rsidRDefault="00BF51C8" w:rsidP="00C4279B">
      <w:pPr>
        <w:rPr>
          <w:iCs/>
          <w:lang w:val="fr-CH"/>
        </w:rPr>
      </w:pPr>
      <w:r w:rsidRPr="00F23DBF">
        <w:t>2.6</w:t>
      </w:r>
      <w:r w:rsidRPr="00F23DBF">
        <w:tab/>
      </w:r>
      <w:r w:rsidRPr="00F23DBF">
        <w:rPr>
          <w:i/>
          <w:iCs/>
        </w:rPr>
        <w:t xml:space="preserve">Segmentation. </w:t>
      </w:r>
      <w:r w:rsidRPr="00F23DBF">
        <w:rPr>
          <w:lang w:val="fr-CH"/>
        </w:rPr>
        <w:t>Pour optimiser les manifestations, on peut restreindre le public cible de chaque manifestation, en vue de ne proposer aux principaux destinataires participant aux activités de l'UIT qu'une manifestation par an, consacrée à une thématique donnée.</w:t>
      </w:r>
    </w:p>
    <w:p w:rsidR="00BF51C8" w:rsidRPr="00F23DBF" w:rsidRDefault="00BF51C8" w:rsidP="00C4279B">
      <w:pPr>
        <w:rPr>
          <w:iCs/>
          <w:lang w:val="fr-CH"/>
        </w:rPr>
      </w:pPr>
      <w:r w:rsidRPr="00F23DBF">
        <w:rPr>
          <w:lang w:val="fr-CH"/>
        </w:rPr>
        <w:t>2.7</w:t>
      </w:r>
      <w:r w:rsidRPr="00F23DBF">
        <w:rPr>
          <w:lang w:val="fr-CH"/>
        </w:rPr>
        <w:tab/>
      </w:r>
      <w:r w:rsidRPr="00F23DBF">
        <w:rPr>
          <w:i/>
          <w:iCs/>
          <w:lang w:val="fr-CH"/>
        </w:rPr>
        <w:t>Manifestations organisées au siège de l'UIT et manifestations organisées ailleurs.</w:t>
      </w:r>
      <w:r w:rsidRPr="00F23DBF">
        <w:rPr>
          <w:lang w:val="fr-CH"/>
        </w:rPr>
        <w:t xml:space="preserve"> Cette proposition vise à équilibrer le calendrier des manifestations organisées par l'UIT à Genève,</w:t>
      </w:r>
      <w:r w:rsidR="00C4279B">
        <w:rPr>
          <w:iCs/>
          <w:lang w:val="fr-CH"/>
        </w:rPr>
        <w:t xml:space="preserve"> sachant qu'il est</w:t>
      </w:r>
      <w:r w:rsidRPr="00F23DBF">
        <w:rPr>
          <w:iCs/>
          <w:lang w:val="fr-CH"/>
        </w:rPr>
        <w:t xml:space="preserve"> avantageux que des </w:t>
      </w:r>
      <w:r w:rsidRPr="00F23DBF">
        <w:rPr>
          <w:lang w:val="fr-CH"/>
        </w:rPr>
        <w:t>manifestations</w:t>
      </w:r>
      <w:r w:rsidRPr="00F23DBF">
        <w:rPr>
          <w:iCs/>
          <w:lang w:val="fr-CH"/>
        </w:rPr>
        <w:t xml:space="preserve"> de l'UIT soient accueillies par des Etats Membres dans les régions pour faciliter la participation et offrir à l'UIT la possibilité de mieux se faire connaître à travers le monde.</w:t>
      </w:r>
    </w:p>
    <w:p w:rsidR="00BF51C8" w:rsidRPr="00F23DBF" w:rsidRDefault="00BF51C8" w:rsidP="00C4279B">
      <w:pPr>
        <w:rPr>
          <w:iCs/>
          <w:lang w:val="fr-CH"/>
        </w:rPr>
      </w:pPr>
      <w:r w:rsidRPr="00F23DBF">
        <w:rPr>
          <w:lang w:val="fr-CH"/>
        </w:rPr>
        <w:t>2.8</w:t>
      </w:r>
      <w:r w:rsidRPr="00F23DBF">
        <w:rPr>
          <w:lang w:val="fr-CH"/>
        </w:rPr>
        <w:tab/>
        <w:t xml:space="preserve">A la lumière de ces considérations, il est possible de dégager les deux options suivantes, qui seront présentées de façon plus détaillée aux § </w:t>
      </w:r>
      <w:r w:rsidRPr="00F23DBF">
        <w:rPr>
          <w:iCs/>
          <w:lang w:val="fr-CH"/>
        </w:rPr>
        <w:t>3 et 4:</w:t>
      </w:r>
    </w:p>
    <w:p w:rsidR="00BF51C8" w:rsidRPr="00F23DBF" w:rsidRDefault="00BF51C8" w:rsidP="00224E45">
      <w:pPr>
        <w:pStyle w:val="enumlev1"/>
        <w:rPr>
          <w:lang w:val="fr-CH"/>
        </w:rPr>
      </w:pPr>
      <w:r w:rsidRPr="00F23DBF">
        <w:rPr>
          <w:lang w:val="fr-CH"/>
        </w:rPr>
        <w:t>•</w:t>
      </w:r>
      <w:r w:rsidRPr="00F23DBF">
        <w:rPr>
          <w:lang w:val="fr-CH"/>
        </w:rPr>
        <w:tab/>
        <w:t xml:space="preserve">Option 1 </w:t>
      </w:r>
      <w:r w:rsidRPr="00F23DBF">
        <w:t>–</w:t>
      </w:r>
      <w:r w:rsidRPr="00F23DBF">
        <w:rPr>
          <w:lang w:val="fr-CH"/>
        </w:rPr>
        <w:t xml:space="preserve"> Regrouper les manifestations de l'UIT et les concentrer sur deux périodes par an.</w:t>
      </w:r>
    </w:p>
    <w:p w:rsidR="00BF51C8" w:rsidRPr="00F23DBF" w:rsidRDefault="00BF51C8" w:rsidP="00224E45">
      <w:pPr>
        <w:pStyle w:val="enumlev1"/>
        <w:rPr>
          <w:lang w:val="fr-CH"/>
        </w:rPr>
      </w:pPr>
      <w:r w:rsidRPr="00F23DBF">
        <w:t>•</w:t>
      </w:r>
      <w:r w:rsidRPr="00F23DBF">
        <w:tab/>
        <w:t xml:space="preserve">Option 2 – </w:t>
      </w:r>
      <w:r w:rsidRPr="00F23DBF">
        <w:rPr>
          <w:color w:val="000000"/>
          <w:lang w:val="fr-CH"/>
        </w:rPr>
        <w:t xml:space="preserve">Identique à l'Option 1, moyennant une segmentation des manifestations en fonction de thématiques </w:t>
      </w:r>
      <w:r w:rsidRPr="00F23DBF">
        <w:rPr>
          <w:lang w:val="fr-CH"/>
        </w:rPr>
        <w:t>précises.</w:t>
      </w:r>
    </w:p>
    <w:p w:rsidR="00BF51C8" w:rsidRPr="00C4279B" w:rsidRDefault="00BF51C8" w:rsidP="00C4279B">
      <w:pPr>
        <w:pStyle w:val="Heading1"/>
      </w:pPr>
      <w:r w:rsidRPr="00C4279B">
        <w:lastRenderedPageBreak/>
        <w:t>3</w:t>
      </w:r>
      <w:r w:rsidRPr="00C4279B">
        <w:tab/>
        <w:t xml:space="preserve">Option 1 – Regroupement des activités inscrites au programme de travail </w:t>
      </w:r>
      <w:r w:rsidR="00C4279B">
        <w:br/>
      </w:r>
      <w:r w:rsidRPr="00C4279B">
        <w:t xml:space="preserve">de l'UIT </w:t>
      </w:r>
    </w:p>
    <w:p w:rsidR="00BF51C8" w:rsidRPr="00F23DBF" w:rsidRDefault="00BF51C8" w:rsidP="006C5EC8">
      <w:pPr>
        <w:spacing w:after="240"/>
        <w:rPr>
          <w:sz w:val="28"/>
          <w:szCs w:val="22"/>
        </w:rPr>
      </w:pPr>
      <w:r w:rsidRPr="00C4279B">
        <w:t>3.1</w:t>
      </w:r>
      <w:r w:rsidRPr="00F23DBF">
        <w:rPr>
          <w:sz w:val="28"/>
          <w:szCs w:val="22"/>
          <w:lang w:val="fr-CH"/>
        </w:rPr>
        <w:tab/>
      </w:r>
      <w:r w:rsidRPr="00C4279B">
        <w:t>Afin d'optimiser les manifestations de haut niveau à caractère mondial de l'UIT, on pourrait regrouper les activités inscrites au programme de travail sur deux périodes par an: a) Période 1: Organisation à Genève au premier/deuxième trimestre (mars-avril) et b) Période 2: Organisation à l'invitation d'un Etat Membre de l'UIT, au troisième trimestre (septembre). Voir la Figure 1.</w:t>
      </w:r>
    </w:p>
    <w:tbl>
      <w:tblPr>
        <w:tblStyle w:val="TableGrid"/>
        <w:tblW w:w="9776" w:type="dxa"/>
        <w:tblLayout w:type="fixed"/>
        <w:tblLook w:val="04A0" w:firstRow="1" w:lastRow="0" w:firstColumn="1" w:lastColumn="0" w:noHBand="0" w:noVBand="1"/>
      </w:tblPr>
      <w:tblGrid>
        <w:gridCol w:w="562"/>
        <w:gridCol w:w="567"/>
        <w:gridCol w:w="709"/>
        <w:gridCol w:w="783"/>
        <w:gridCol w:w="602"/>
        <w:gridCol w:w="1308"/>
        <w:gridCol w:w="851"/>
        <w:gridCol w:w="604"/>
        <w:gridCol w:w="955"/>
        <w:gridCol w:w="567"/>
        <w:gridCol w:w="1418"/>
        <w:gridCol w:w="850"/>
      </w:tblGrid>
      <w:tr w:rsidR="00BF51C8" w:rsidRPr="0007504F" w:rsidTr="006C5EC8">
        <w:tc>
          <w:tcPr>
            <w:tcW w:w="9776" w:type="dxa"/>
            <w:gridSpan w:val="12"/>
            <w:shd w:val="clear" w:color="auto" w:fill="BFBFBF" w:themeFill="background1" w:themeFillShade="BF"/>
            <w:vAlign w:val="center"/>
          </w:tcPr>
          <w:p w:rsidR="00BF51C8" w:rsidRPr="006C5EC8" w:rsidRDefault="00BF51C8" w:rsidP="00C4279B">
            <w:pPr>
              <w:pStyle w:val="Tablehead"/>
              <w:rPr>
                <w:szCs w:val="22"/>
                <w:lang w:val="fr-CH"/>
              </w:rPr>
            </w:pPr>
            <w:r w:rsidRPr="006C5EC8">
              <w:rPr>
                <w:szCs w:val="22"/>
                <w:lang w:val="fr-CH"/>
              </w:rPr>
              <w:t xml:space="preserve">Manifestations organisées par l'UIT en 2018 </w:t>
            </w:r>
          </w:p>
        </w:tc>
      </w:tr>
      <w:tr w:rsidR="00BF51C8" w:rsidRPr="006C5EC8" w:rsidTr="006C5EC8">
        <w:tc>
          <w:tcPr>
            <w:tcW w:w="562" w:type="dxa"/>
            <w:shd w:val="clear" w:color="auto" w:fill="BFBFBF" w:themeFill="background1" w:themeFillShade="BF"/>
            <w:vAlign w:val="center"/>
          </w:tcPr>
          <w:p w:rsidR="00BF51C8" w:rsidRPr="006C5EC8" w:rsidRDefault="006C5EC8" w:rsidP="00C4279B">
            <w:pPr>
              <w:pStyle w:val="Tabletext"/>
              <w:rPr>
                <w:b/>
                <w:bCs/>
                <w:sz w:val="18"/>
                <w:szCs w:val="18"/>
              </w:rPr>
            </w:pPr>
            <w:r w:rsidRPr="006C5EC8">
              <w:rPr>
                <w:b/>
                <w:bCs/>
                <w:sz w:val="18"/>
                <w:szCs w:val="18"/>
              </w:rPr>
              <w:t>J</w:t>
            </w:r>
            <w:r w:rsidR="00BF51C8" w:rsidRPr="006C5EC8">
              <w:rPr>
                <w:b/>
                <w:bCs/>
                <w:sz w:val="18"/>
                <w:szCs w:val="18"/>
              </w:rPr>
              <w:t>an.</w:t>
            </w:r>
          </w:p>
        </w:tc>
        <w:tc>
          <w:tcPr>
            <w:tcW w:w="567" w:type="dxa"/>
            <w:shd w:val="clear" w:color="auto" w:fill="BFBFBF" w:themeFill="background1" w:themeFillShade="BF"/>
            <w:vAlign w:val="center"/>
          </w:tcPr>
          <w:p w:rsidR="00BF51C8" w:rsidRPr="006C5EC8" w:rsidRDefault="006C5EC8" w:rsidP="00C4279B">
            <w:pPr>
              <w:pStyle w:val="Tabletext"/>
              <w:rPr>
                <w:b/>
                <w:bCs/>
                <w:sz w:val="18"/>
                <w:szCs w:val="18"/>
              </w:rPr>
            </w:pPr>
            <w:r w:rsidRPr="006C5EC8">
              <w:rPr>
                <w:b/>
                <w:bCs/>
                <w:sz w:val="18"/>
                <w:szCs w:val="18"/>
              </w:rPr>
              <w:t>F</w:t>
            </w:r>
            <w:r w:rsidR="00BF51C8" w:rsidRPr="006C5EC8">
              <w:rPr>
                <w:b/>
                <w:bCs/>
                <w:sz w:val="18"/>
                <w:szCs w:val="18"/>
              </w:rPr>
              <w:t>év.</w:t>
            </w:r>
          </w:p>
        </w:tc>
        <w:tc>
          <w:tcPr>
            <w:tcW w:w="709" w:type="dxa"/>
            <w:shd w:val="clear" w:color="auto" w:fill="BFBFBF" w:themeFill="background1" w:themeFillShade="BF"/>
            <w:vAlign w:val="center"/>
          </w:tcPr>
          <w:p w:rsidR="00BF51C8" w:rsidRPr="006C5EC8" w:rsidRDefault="006C5EC8" w:rsidP="00C4279B">
            <w:pPr>
              <w:pStyle w:val="Tabletext"/>
              <w:rPr>
                <w:b/>
                <w:bCs/>
                <w:sz w:val="18"/>
                <w:szCs w:val="18"/>
              </w:rPr>
            </w:pPr>
            <w:r w:rsidRPr="006C5EC8">
              <w:rPr>
                <w:b/>
                <w:bCs/>
                <w:sz w:val="18"/>
                <w:szCs w:val="18"/>
              </w:rPr>
              <w:t>M</w:t>
            </w:r>
            <w:r w:rsidR="00BF51C8" w:rsidRPr="006C5EC8">
              <w:rPr>
                <w:b/>
                <w:bCs/>
                <w:sz w:val="18"/>
                <w:szCs w:val="18"/>
              </w:rPr>
              <w:t>ars</w:t>
            </w:r>
          </w:p>
        </w:tc>
        <w:tc>
          <w:tcPr>
            <w:tcW w:w="783" w:type="dxa"/>
            <w:shd w:val="clear" w:color="auto" w:fill="BFBFBF" w:themeFill="background1" w:themeFillShade="BF"/>
            <w:vAlign w:val="center"/>
          </w:tcPr>
          <w:p w:rsidR="00BF51C8" w:rsidRPr="006C5EC8" w:rsidRDefault="006C5EC8" w:rsidP="00C4279B">
            <w:pPr>
              <w:pStyle w:val="Tabletext"/>
              <w:rPr>
                <w:b/>
                <w:bCs/>
                <w:sz w:val="18"/>
                <w:szCs w:val="18"/>
              </w:rPr>
            </w:pPr>
            <w:r w:rsidRPr="006C5EC8">
              <w:rPr>
                <w:b/>
                <w:bCs/>
                <w:sz w:val="18"/>
                <w:szCs w:val="18"/>
              </w:rPr>
              <w:t>A</w:t>
            </w:r>
            <w:r w:rsidR="00BF51C8" w:rsidRPr="006C5EC8">
              <w:rPr>
                <w:b/>
                <w:bCs/>
                <w:sz w:val="18"/>
                <w:szCs w:val="18"/>
              </w:rPr>
              <w:t>vril</w:t>
            </w:r>
          </w:p>
        </w:tc>
        <w:tc>
          <w:tcPr>
            <w:tcW w:w="602" w:type="dxa"/>
            <w:shd w:val="clear" w:color="auto" w:fill="BFBFBF" w:themeFill="background1" w:themeFillShade="BF"/>
            <w:vAlign w:val="center"/>
          </w:tcPr>
          <w:p w:rsidR="00BF51C8" w:rsidRPr="006C5EC8" w:rsidRDefault="006C5EC8" w:rsidP="00C4279B">
            <w:pPr>
              <w:pStyle w:val="Tabletext"/>
              <w:rPr>
                <w:b/>
                <w:bCs/>
                <w:sz w:val="18"/>
                <w:szCs w:val="18"/>
              </w:rPr>
            </w:pPr>
            <w:r w:rsidRPr="006C5EC8">
              <w:rPr>
                <w:b/>
                <w:bCs/>
                <w:sz w:val="18"/>
                <w:szCs w:val="18"/>
              </w:rPr>
              <w:t>M</w:t>
            </w:r>
            <w:r w:rsidR="00BF51C8" w:rsidRPr="006C5EC8">
              <w:rPr>
                <w:b/>
                <w:bCs/>
                <w:sz w:val="18"/>
                <w:szCs w:val="18"/>
              </w:rPr>
              <w:t>ai</w:t>
            </w:r>
          </w:p>
        </w:tc>
        <w:tc>
          <w:tcPr>
            <w:tcW w:w="1308" w:type="dxa"/>
            <w:shd w:val="clear" w:color="auto" w:fill="BFBFBF" w:themeFill="background1" w:themeFillShade="BF"/>
            <w:vAlign w:val="center"/>
          </w:tcPr>
          <w:p w:rsidR="00BF51C8" w:rsidRPr="006C5EC8" w:rsidRDefault="006C5EC8" w:rsidP="00C4279B">
            <w:pPr>
              <w:pStyle w:val="Tabletext"/>
              <w:rPr>
                <w:b/>
                <w:bCs/>
                <w:sz w:val="18"/>
                <w:szCs w:val="18"/>
              </w:rPr>
            </w:pPr>
            <w:r w:rsidRPr="006C5EC8">
              <w:rPr>
                <w:b/>
                <w:bCs/>
                <w:sz w:val="18"/>
                <w:szCs w:val="18"/>
              </w:rPr>
              <w:t>J</w:t>
            </w:r>
            <w:r w:rsidR="00BF51C8" w:rsidRPr="006C5EC8">
              <w:rPr>
                <w:b/>
                <w:bCs/>
                <w:sz w:val="18"/>
                <w:szCs w:val="18"/>
              </w:rPr>
              <w:t>uin</w:t>
            </w:r>
          </w:p>
        </w:tc>
        <w:tc>
          <w:tcPr>
            <w:tcW w:w="851" w:type="dxa"/>
            <w:shd w:val="clear" w:color="auto" w:fill="BFBFBF" w:themeFill="background1" w:themeFillShade="BF"/>
            <w:vAlign w:val="center"/>
          </w:tcPr>
          <w:p w:rsidR="00BF51C8" w:rsidRPr="006C5EC8" w:rsidRDefault="006C5EC8" w:rsidP="00C4279B">
            <w:pPr>
              <w:pStyle w:val="Tabletext"/>
              <w:rPr>
                <w:b/>
                <w:bCs/>
                <w:sz w:val="18"/>
                <w:szCs w:val="18"/>
              </w:rPr>
            </w:pPr>
            <w:r w:rsidRPr="006C5EC8">
              <w:rPr>
                <w:b/>
                <w:bCs/>
                <w:sz w:val="18"/>
                <w:szCs w:val="18"/>
              </w:rPr>
              <w:t>J</w:t>
            </w:r>
            <w:r w:rsidR="00BF51C8" w:rsidRPr="006C5EC8">
              <w:rPr>
                <w:b/>
                <w:bCs/>
                <w:sz w:val="18"/>
                <w:szCs w:val="18"/>
              </w:rPr>
              <w:t>uil</w:t>
            </w:r>
            <w:r>
              <w:rPr>
                <w:b/>
                <w:bCs/>
                <w:sz w:val="18"/>
                <w:szCs w:val="18"/>
              </w:rPr>
              <w:t>.</w:t>
            </w:r>
          </w:p>
        </w:tc>
        <w:tc>
          <w:tcPr>
            <w:tcW w:w="604" w:type="dxa"/>
            <w:shd w:val="clear" w:color="auto" w:fill="BFBFBF" w:themeFill="background1" w:themeFillShade="BF"/>
            <w:vAlign w:val="center"/>
          </w:tcPr>
          <w:p w:rsidR="00BF51C8" w:rsidRPr="006C5EC8" w:rsidRDefault="006C5EC8" w:rsidP="00C4279B">
            <w:pPr>
              <w:pStyle w:val="Tabletext"/>
              <w:rPr>
                <w:b/>
                <w:bCs/>
                <w:sz w:val="18"/>
                <w:szCs w:val="18"/>
              </w:rPr>
            </w:pPr>
            <w:r w:rsidRPr="006C5EC8">
              <w:rPr>
                <w:b/>
                <w:bCs/>
                <w:sz w:val="18"/>
                <w:szCs w:val="18"/>
              </w:rPr>
              <w:t>A</w:t>
            </w:r>
            <w:r w:rsidR="00BF51C8" w:rsidRPr="006C5EC8">
              <w:rPr>
                <w:b/>
                <w:bCs/>
                <w:sz w:val="18"/>
                <w:szCs w:val="18"/>
              </w:rPr>
              <w:t>oût</w:t>
            </w:r>
          </w:p>
        </w:tc>
        <w:tc>
          <w:tcPr>
            <w:tcW w:w="955" w:type="dxa"/>
            <w:shd w:val="clear" w:color="auto" w:fill="BFBFBF" w:themeFill="background1" w:themeFillShade="BF"/>
            <w:vAlign w:val="center"/>
          </w:tcPr>
          <w:p w:rsidR="00BF51C8" w:rsidRPr="006C5EC8" w:rsidRDefault="006C5EC8" w:rsidP="00C4279B">
            <w:pPr>
              <w:pStyle w:val="Tabletext"/>
              <w:rPr>
                <w:b/>
                <w:bCs/>
                <w:sz w:val="18"/>
                <w:szCs w:val="18"/>
              </w:rPr>
            </w:pPr>
            <w:r w:rsidRPr="006C5EC8">
              <w:rPr>
                <w:b/>
                <w:bCs/>
                <w:sz w:val="18"/>
                <w:szCs w:val="18"/>
              </w:rPr>
              <w:t>S</w:t>
            </w:r>
            <w:r w:rsidR="00BF51C8" w:rsidRPr="006C5EC8">
              <w:rPr>
                <w:b/>
                <w:bCs/>
                <w:sz w:val="18"/>
                <w:szCs w:val="18"/>
              </w:rPr>
              <w:t>ept.</w:t>
            </w:r>
          </w:p>
        </w:tc>
        <w:tc>
          <w:tcPr>
            <w:tcW w:w="567" w:type="dxa"/>
            <w:shd w:val="clear" w:color="auto" w:fill="BFBFBF" w:themeFill="background1" w:themeFillShade="BF"/>
            <w:vAlign w:val="center"/>
          </w:tcPr>
          <w:p w:rsidR="00BF51C8" w:rsidRPr="006C5EC8" w:rsidRDefault="006C5EC8" w:rsidP="00C4279B">
            <w:pPr>
              <w:pStyle w:val="Tabletext"/>
              <w:rPr>
                <w:b/>
                <w:bCs/>
                <w:sz w:val="18"/>
                <w:szCs w:val="18"/>
              </w:rPr>
            </w:pPr>
            <w:r w:rsidRPr="006C5EC8">
              <w:rPr>
                <w:b/>
                <w:bCs/>
                <w:sz w:val="18"/>
                <w:szCs w:val="18"/>
              </w:rPr>
              <w:t>O</w:t>
            </w:r>
            <w:r w:rsidR="00BF51C8" w:rsidRPr="006C5EC8">
              <w:rPr>
                <w:b/>
                <w:bCs/>
                <w:sz w:val="18"/>
                <w:szCs w:val="18"/>
              </w:rPr>
              <w:t>ct.</w:t>
            </w:r>
          </w:p>
        </w:tc>
        <w:tc>
          <w:tcPr>
            <w:tcW w:w="1418" w:type="dxa"/>
            <w:shd w:val="clear" w:color="auto" w:fill="BFBFBF" w:themeFill="background1" w:themeFillShade="BF"/>
            <w:vAlign w:val="center"/>
          </w:tcPr>
          <w:p w:rsidR="00BF51C8" w:rsidRPr="006C5EC8" w:rsidRDefault="006C5EC8" w:rsidP="00C4279B">
            <w:pPr>
              <w:pStyle w:val="Tabletext"/>
              <w:rPr>
                <w:b/>
                <w:bCs/>
                <w:sz w:val="18"/>
                <w:szCs w:val="18"/>
              </w:rPr>
            </w:pPr>
            <w:r w:rsidRPr="006C5EC8">
              <w:rPr>
                <w:b/>
                <w:bCs/>
                <w:sz w:val="18"/>
                <w:szCs w:val="18"/>
              </w:rPr>
              <w:t>N</w:t>
            </w:r>
            <w:r w:rsidR="00BF51C8" w:rsidRPr="006C5EC8">
              <w:rPr>
                <w:b/>
                <w:bCs/>
                <w:sz w:val="18"/>
                <w:szCs w:val="18"/>
              </w:rPr>
              <w:t>ov</w:t>
            </w:r>
            <w:r w:rsidRPr="006C5EC8">
              <w:rPr>
                <w:b/>
                <w:bCs/>
                <w:sz w:val="18"/>
                <w:szCs w:val="18"/>
              </w:rPr>
              <w:t>.</w:t>
            </w:r>
          </w:p>
        </w:tc>
        <w:tc>
          <w:tcPr>
            <w:tcW w:w="850" w:type="dxa"/>
            <w:shd w:val="clear" w:color="auto" w:fill="BFBFBF" w:themeFill="background1" w:themeFillShade="BF"/>
            <w:vAlign w:val="center"/>
          </w:tcPr>
          <w:p w:rsidR="00BF51C8" w:rsidRPr="006C5EC8" w:rsidRDefault="006C5EC8" w:rsidP="006C5EC8">
            <w:pPr>
              <w:pStyle w:val="Tabletext"/>
              <w:rPr>
                <w:b/>
                <w:bCs/>
                <w:sz w:val="18"/>
                <w:szCs w:val="18"/>
              </w:rPr>
            </w:pPr>
            <w:r w:rsidRPr="006C5EC8">
              <w:rPr>
                <w:b/>
                <w:bCs/>
                <w:sz w:val="18"/>
                <w:szCs w:val="18"/>
              </w:rPr>
              <w:t>D</w:t>
            </w:r>
            <w:r w:rsidR="00BF51C8" w:rsidRPr="006C5EC8">
              <w:rPr>
                <w:b/>
                <w:bCs/>
                <w:sz w:val="18"/>
                <w:szCs w:val="18"/>
              </w:rPr>
              <w:t>éc</w:t>
            </w:r>
            <w:r w:rsidRPr="006C5EC8">
              <w:rPr>
                <w:b/>
                <w:bCs/>
                <w:sz w:val="18"/>
                <w:szCs w:val="18"/>
              </w:rPr>
              <w:t>.</w:t>
            </w:r>
          </w:p>
        </w:tc>
      </w:tr>
      <w:tr w:rsidR="00BF51C8" w:rsidRPr="006C5EC8" w:rsidTr="006C5EC8">
        <w:tc>
          <w:tcPr>
            <w:tcW w:w="562" w:type="dxa"/>
            <w:vAlign w:val="center"/>
          </w:tcPr>
          <w:p w:rsidR="00BF51C8" w:rsidRPr="006C5EC8" w:rsidRDefault="00BF51C8" w:rsidP="00C4279B">
            <w:pPr>
              <w:pStyle w:val="Tabletext"/>
              <w:rPr>
                <w:sz w:val="18"/>
                <w:szCs w:val="18"/>
              </w:rPr>
            </w:pPr>
          </w:p>
        </w:tc>
        <w:tc>
          <w:tcPr>
            <w:tcW w:w="567" w:type="dxa"/>
            <w:vAlign w:val="center"/>
          </w:tcPr>
          <w:p w:rsidR="00BF51C8" w:rsidRPr="006C5EC8" w:rsidRDefault="00BF51C8" w:rsidP="00C4279B">
            <w:pPr>
              <w:pStyle w:val="Tabletext"/>
              <w:rPr>
                <w:sz w:val="18"/>
                <w:szCs w:val="18"/>
              </w:rPr>
            </w:pPr>
          </w:p>
        </w:tc>
        <w:tc>
          <w:tcPr>
            <w:tcW w:w="709" w:type="dxa"/>
            <w:shd w:val="clear" w:color="auto" w:fill="D9D9D9" w:themeFill="background1" w:themeFillShade="D9"/>
            <w:vAlign w:val="center"/>
          </w:tcPr>
          <w:p w:rsidR="00BF51C8" w:rsidRPr="006C5EC8" w:rsidRDefault="00BF51C8" w:rsidP="00C4279B">
            <w:pPr>
              <w:pStyle w:val="Tabletext"/>
              <w:rPr>
                <w:sz w:val="18"/>
                <w:szCs w:val="18"/>
                <w:lang w:val="fr-CH"/>
              </w:rPr>
            </w:pPr>
            <w:r w:rsidRPr="006C5EC8">
              <w:rPr>
                <w:sz w:val="18"/>
                <w:szCs w:val="18"/>
                <w:lang w:val="fr-CH"/>
              </w:rPr>
              <w:t>Forum 2018 du SMSI</w:t>
            </w:r>
          </w:p>
        </w:tc>
        <w:tc>
          <w:tcPr>
            <w:tcW w:w="783" w:type="dxa"/>
            <w:shd w:val="clear" w:color="auto" w:fill="D9D9D9" w:themeFill="background1" w:themeFillShade="D9"/>
            <w:vAlign w:val="center"/>
          </w:tcPr>
          <w:p w:rsidR="00BF51C8" w:rsidRPr="006C5EC8" w:rsidRDefault="00BF51C8" w:rsidP="00C4279B">
            <w:pPr>
              <w:pStyle w:val="Tabletext"/>
              <w:rPr>
                <w:sz w:val="18"/>
                <w:szCs w:val="18"/>
              </w:rPr>
            </w:pPr>
          </w:p>
        </w:tc>
        <w:tc>
          <w:tcPr>
            <w:tcW w:w="602" w:type="dxa"/>
            <w:vAlign w:val="center"/>
          </w:tcPr>
          <w:p w:rsidR="00BF51C8" w:rsidRPr="006C5EC8" w:rsidRDefault="00BF51C8" w:rsidP="00C4279B">
            <w:pPr>
              <w:pStyle w:val="Tabletext"/>
              <w:rPr>
                <w:sz w:val="18"/>
                <w:szCs w:val="18"/>
              </w:rPr>
            </w:pPr>
          </w:p>
        </w:tc>
        <w:tc>
          <w:tcPr>
            <w:tcW w:w="1308" w:type="dxa"/>
            <w:shd w:val="clear" w:color="auto" w:fill="D9D9D9" w:themeFill="background1" w:themeFillShade="D9"/>
            <w:vAlign w:val="center"/>
          </w:tcPr>
          <w:p w:rsidR="00BF51C8" w:rsidRPr="006C5EC8" w:rsidRDefault="00BF51C8" w:rsidP="00C4279B">
            <w:pPr>
              <w:pStyle w:val="Tabletext"/>
              <w:rPr>
                <w:sz w:val="18"/>
                <w:szCs w:val="18"/>
                <w:lang w:val="fr-CH"/>
              </w:rPr>
            </w:pPr>
            <w:r w:rsidRPr="006C5EC8">
              <w:rPr>
                <w:sz w:val="18"/>
                <w:szCs w:val="18"/>
                <w:lang w:val="fr-CH"/>
              </w:rPr>
              <w:t>Colloque sur le renforcement des capacités</w:t>
            </w:r>
          </w:p>
        </w:tc>
        <w:tc>
          <w:tcPr>
            <w:tcW w:w="851" w:type="dxa"/>
            <w:shd w:val="clear" w:color="auto" w:fill="D9D9D9" w:themeFill="background1" w:themeFillShade="D9"/>
            <w:vAlign w:val="center"/>
          </w:tcPr>
          <w:p w:rsidR="00BF51C8" w:rsidRPr="006C5EC8" w:rsidRDefault="00BF51C8" w:rsidP="00C4279B">
            <w:pPr>
              <w:pStyle w:val="Tabletext"/>
              <w:rPr>
                <w:sz w:val="18"/>
                <w:szCs w:val="18"/>
              </w:rPr>
            </w:pPr>
            <w:r w:rsidRPr="006C5EC8">
              <w:rPr>
                <w:sz w:val="18"/>
                <w:szCs w:val="18"/>
              </w:rPr>
              <w:t>GSR-18</w:t>
            </w:r>
          </w:p>
        </w:tc>
        <w:tc>
          <w:tcPr>
            <w:tcW w:w="604" w:type="dxa"/>
            <w:vAlign w:val="center"/>
          </w:tcPr>
          <w:p w:rsidR="00BF51C8" w:rsidRPr="006C5EC8" w:rsidRDefault="00BF51C8" w:rsidP="00C4279B">
            <w:pPr>
              <w:pStyle w:val="Tabletext"/>
              <w:rPr>
                <w:sz w:val="18"/>
                <w:szCs w:val="18"/>
              </w:rPr>
            </w:pPr>
          </w:p>
        </w:tc>
        <w:tc>
          <w:tcPr>
            <w:tcW w:w="955" w:type="dxa"/>
            <w:shd w:val="clear" w:color="auto" w:fill="D9D9D9" w:themeFill="background1" w:themeFillShade="D9"/>
            <w:vAlign w:val="center"/>
          </w:tcPr>
          <w:p w:rsidR="00BF51C8" w:rsidRPr="006C5EC8" w:rsidRDefault="00BF51C8" w:rsidP="00C4279B">
            <w:pPr>
              <w:pStyle w:val="Tabletext"/>
              <w:rPr>
                <w:sz w:val="18"/>
                <w:szCs w:val="18"/>
              </w:rPr>
            </w:pPr>
            <w:r w:rsidRPr="006C5EC8">
              <w:rPr>
                <w:sz w:val="18"/>
                <w:szCs w:val="18"/>
              </w:rPr>
              <w:t>ITU Telecom World 2018</w:t>
            </w:r>
          </w:p>
        </w:tc>
        <w:tc>
          <w:tcPr>
            <w:tcW w:w="567" w:type="dxa"/>
            <w:shd w:val="clear" w:color="auto" w:fill="D9D9D9" w:themeFill="background1" w:themeFillShade="D9"/>
            <w:vAlign w:val="center"/>
          </w:tcPr>
          <w:p w:rsidR="00BF51C8" w:rsidRPr="006C5EC8" w:rsidRDefault="00BF51C8" w:rsidP="00C4279B">
            <w:pPr>
              <w:pStyle w:val="Tabletext"/>
              <w:rPr>
                <w:sz w:val="18"/>
                <w:szCs w:val="18"/>
              </w:rPr>
            </w:pPr>
          </w:p>
        </w:tc>
        <w:tc>
          <w:tcPr>
            <w:tcW w:w="1418" w:type="dxa"/>
            <w:shd w:val="clear" w:color="auto" w:fill="D9D9D9" w:themeFill="background1" w:themeFillShade="D9"/>
            <w:vAlign w:val="center"/>
          </w:tcPr>
          <w:p w:rsidR="00BF51C8" w:rsidRPr="006C5EC8" w:rsidRDefault="00BF51C8" w:rsidP="00C4279B">
            <w:pPr>
              <w:pStyle w:val="Tabletext"/>
              <w:rPr>
                <w:sz w:val="18"/>
                <w:szCs w:val="18"/>
              </w:rPr>
            </w:pPr>
            <w:r w:rsidRPr="006C5EC8">
              <w:rPr>
                <w:sz w:val="18"/>
                <w:szCs w:val="18"/>
              </w:rPr>
              <w:t>Conférence "Kaléidoscope"</w:t>
            </w:r>
          </w:p>
        </w:tc>
        <w:tc>
          <w:tcPr>
            <w:tcW w:w="850" w:type="dxa"/>
            <w:shd w:val="clear" w:color="auto" w:fill="D9D9D9" w:themeFill="background1" w:themeFillShade="D9"/>
            <w:vAlign w:val="center"/>
          </w:tcPr>
          <w:p w:rsidR="00BF51C8" w:rsidRPr="006C5EC8" w:rsidRDefault="00BF51C8" w:rsidP="00C4279B">
            <w:pPr>
              <w:pStyle w:val="Tabletext"/>
              <w:rPr>
                <w:sz w:val="18"/>
                <w:szCs w:val="18"/>
              </w:rPr>
            </w:pPr>
            <w:r w:rsidRPr="006C5EC8">
              <w:rPr>
                <w:sz w:val="18"/>
                <w:szCs w:val="18"/>
              </w:rPr>
              <w:t>WTIS/18</w:t>
            </w:r>
          </w:p>
          <w:p w:rsidR="00BF51C8" w:rsidRPr="006C5EC8" w:rsidRDefault="00BF51C8" w:rsidP="00C4279B">
            <w:pPr>
              <w:pStyle w:val="Tabletext"/>
              <w:rPr>
                <w:sz w:val="18"/>
                <w:szCs w:val="18"/>
              </w:rPr>
            </w:pPr>
            <w:r w:rsidRPr="006C5EC8">
              <w:rPr>
                <w:sz w:val="18"/>
                <w:szCs w:val="18"/>
              </w:rPr>
              <w:t>WRS-18</w:t>
            </w:r>
          </w:p>
        </w:tc>
      </w:tr>
    </w:tbl>
    <w:p w:rsidR="00BF51C8" w:rsidRPr="00F23DBF" w:rsidRDefault="008F2FCE" w:rsidP="00C4279B">
      <w:pPr>
        <w:jc w:val="both"/>
        <w:rPr>
          <w:iCs/>
          <w:sz w:val="28"/>
          <w:szCs w:val="28"/>
          <w:lang w:val="en-US"/>
        </w:rPr>
      </w:pPr>
      <w:r w:rsidRPr="00F23DBF">
        <w:rPr>
          <w:iCs/>
          <w:noProof/>
          <w:sz w:val="28"/>
          <w:szCs w:val="28"/>
          <w:lang w:val="fr-CH" w:eastAsia="zh-CN"/>
        </w:rPr>
        <mc:AlternateContent>
          <mc:Choice Requires="wps">
            <w:drawing>
              <wp:anchor distT="0" distB="0" distL="114300" distR="114300" simplePos="0" relativeHeight="251659264" behindDoc="0" locked="0" layoutInCell="1" allowOverlap="1" wp14:anchorId="23C345DD" wp14:editId="155C04EE">
                <wp:simplePos x="0" y="0"/>
                <wp:positionH relativeFrom="column">
                  <wp:posOffset>2957195</wp:posOffset>
                </wp:positionH>
                <wp:positionV relativeFrom="paragraph">
                  <wp:posOffset>81915</wp:posOffset>
                </wp:positionV>
                <wp:extent cx="304800" cy="381000"/>
                <wp:effectExtent l="19050" t="0" r="19050" b="38100"/>
                <wp:wrapThrough wrapText="bothSides">
                  <wp:wrapPolygon edited="0">
                    <wp:start x="2700" y="0"/>
                    <wp:lineTo x="-1350" y="12960"/>
                    <wp:lineTo x="1350" y="17280"/>
                    <wp:lineTo x="6750" y="22680"/>
                    <wp:lineTo x="14850" y="22680"/>
                    <wp:lineTo x="21600" y="17280"/>
                    <wp:lineTo x="21600" y="9720"/>
                    <wp:lineTo x="18900" y="0"/>
                    <wp:lineTo x="2700" y="0"/>
                  </wp:wrapPolygon>
                </wp:wrapThrough>
                <wp:docPr id="2" name="Down Arrow 2"/>
                <wp:cNvGraphicFramePr/>
                <a:graphic xmlns:a="http://schemas.openxmlformats.org/drawingml/2006/main">
                  <a:graphicData uri="http://schemas.microsoft.com/office/word/2010/wordprocessingShape">
                    <wps:wsp>
                      <wps:cNvSpPr/>
                      <wps:spPr>
                        <a:xfrm>
                          <a:off x="0" y="0"/>
                          <a:ext cx="304800" cy="381000"/>
                        </a:xfrm>
                        <a:prstGeom prst="down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1549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32.85pt;margin-top:6.45pt;width:24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5U7ZQIAAB8FAAAOAAAAZHJzL2Uyb0RvYy54bWysVN9P2zAQfp+0/8Hy+0hSCmMVKapATJMQ&#10;IGDi2Tg2jWb7vLPbtPvrd3bStGJoD9NenDvf7y/f+fxiYw1bKwwtuJpXRyVnykloWvda8+9P15/O&#10;OAtRuEYYcKrmWxX4xfzjh/POz9QElmAahYySuDDrfM2XMfpZUQS5VFaEI/DKkVEDWhFJxdeiQdFR&#10;dmuKSVmeFh1g4xGkCoFur3ojn+f8WisZ77QOKjJTc+ot5hPz+ZLOYn4uZq8o/LKVQxviH7qwonVU&#10;dEx1JaJgK2z/SGVbiRBAxyMJtgCtW6nyDDRNVb6Z5nEpvMqzEDjBjzCF/5dW3q7vkbVNzSecOWHp&#10;F11B59gCETo2Sfh0PszI7dHf46AFEtOwG402fWkMtsmYbkdM1SYySZfH5fSsJOQlmY7PqpJkylLs&#10;gz2G+FWBZUmoeUPVc/EMp1jfhNj77/xSQeNYV/PT45M+Weqw7ylLcWtU7/WgNM1GXUxytswqdWmQ&#10;rQXxoflRDb0YR54pRLfGjEHVe0Em7oIG3xSmMtPGwPK9wH210TtXBBfHQNs6wL8H696fIDyYNYkv&#10;0GzpVyL0HA9eXreE6I0I8V4gkZp+Ai1qvKNDGyD8YJA4WwL+eu8++RPXyMpZR0tS8/BzJVBxZr45&#10;YuGXajpNW5WV6cnnCSl4aHk5tLiVvQTCvaInwcssJv9odqJGsM+0z4tUlUzCSapdcxlxp1zGfnnp&#10;RZBqschutElexBv36GVKnlBNZHnaPAv0A60i8fEWdgslZm+I1fumSAeLVQTdZtbtcR3wpi3M5B1e&#10;jLTmh3r22r9r898AAAD//wMAUEsDBBQABgAIAAAAIQA3Zz6Y3wAAAAkBAAAPAAAAZHJzL2Rvd25y&#10;ZXYueG1sTI/BTsMwEETvSPyDtUjcqNPStDTEqVALFRJcWnrg6MTbJMJeR7HbhL9nOcFxZ55mZ/L1&#10;6Ky4YB9aTwqmkwQEUuVNS7WC48fL3QOIEDUZbT2hgm8MsC6ur3KdGT/QHi+HWAsOoZBpBU2MXSZl&#10;qBp0Okx8h8TeyfdORz77WppeDxzurJwlyUI63RJ/aHSHmwarr8PZKfiUr6dyeNvstu97m85pewy7&#10;1bNStzfj0yOIiGP8g+G3PleHgjuV/kwmCKtgvkiXjLIxW4FgIJ3es1AqWLIgi1z+X1D8AAAA//8D&#10;AFBLAQItABQABgAIAAAAIQC2gziS/gAAAOEBAAATAAAAAAAAAAAAAAAAAAAAAABbQ29udGVudF9U&#10;eXBlc10ueG1sUEsBAi0AFAAGAAgAAAAhADj9If/WAAAAlAEAAAsAAAAAAAAAAAAAAAAALwEAAF9y&#10;ZWxzLy5yZWxzUEsBAi0AFAAGAAgAAAAhAJPjlTtlAgAAHwUAAA4AAAAAAAAAAAAAAAAALgIAAGRy&#10;cy9lMm9Eb2MueG1sUEsBAi0AFAAGAAgAAAAhADdnPpjfAAAACQEAAA8AAAAAAAAAAAAAAAAAvwQA&#10;AGRycy9kb3ducmV2LnhtbFBLBQYAAAAABAAEAPMAAADLBQAAAAA=&#10;" adj="12960" fillcolor="white [3201]" strokecolor="black [3200]" strokeweight=".5pt">
                <w10:wrap type="through"/>
              </v:shape>
            </w:pict>
          </mc:Fallback>
        </mc:AlternateContent>
      </w:r>
      <w:r w:rsidR="00512226" w:rsidRPr="00F23DBF">
        <w:rPr>
          <w:iCs/>
          <w:noProof/>
          <w:sz w:val="28"/>
          <w:szCs w:val="28"/>
          <w:lang w:val="fr-CH" w:eastAsia="zh-CN"/>
        </w:rPr>
        <mc:AlternateContent>
          <mc:Choice Requires="wps">
            <w:drawing>
              <wp:anchor distT="0" distB="0" distL="114300" distR="114300" simplePos="0" relativeHeight="251662336" behindDoc="0" locked="0" layoutInCell="1" allowOverlap="1" wp14:anchorId="258AC978" wp14:editId="585FC0CE">
                <wp:simplePos x="0" y="0"/>
                <wp:positionH relativeFrom="column">
                  <wp:posOffset>4812030</wp:posOffset>
                </wp:positionH>
                <wp:positionV relativeFrom="paragraph">
                  <wp:posOffset>928370</wp:posOffset>
                </wp:positionV>
                <wp:extent cx="150495" cy="1754505"/>
                <wp:effectExtent l="0" t="1905" r="19050" b="19050"/>
                <wp:wrapThrough wrapText="bothSides">
                  <wp:wrapPolygon edited="0">
                    <wp:start x="-273" y="11257"/>
                    <wp:lineTo x="-273" y="11492"/>
                    <wp:lineTo x="21600" y="21577"/>
                    <wp:lineTo x="21600" y="0"/>
                    <wp:lineTo x="-273" y="9850"/>
                    <wp:lineTo x="-273" y="10085"/>
                    <wp:lineTo x="-273" y="11257"/>
                  </wp:wrapPolygon>
                </wp:wrapThrough>
                <wp:docPr id="6" name="Left Brace 6"/>
                <wp:cNvGraphicFramePr/>
                <a:graphic xmlns:a="http://schemas.openxmlformats.org/drawingml/2006/main">
                  <a:graphicData uri="http://schemas.microsoft.com/office/word/2010/wordprocessingShape">
                    <wps:wsp>
                      <wps:cNvSpPr/>
                      <wps:spPr>
                        <a:xfrm rot="5400000">
                          <a:off x="0" y="0"/>
                          <a:ext cx="150495" cy="175450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CE7D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378.9pt;margin-top:73.1pt;width:11.85pt;height:138.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FTDZAIAAB4FAAAOAAAAZHJzL2Uyb0RvYy54bWysVN9r2zAQfh/sfxB6X22HuF1DnZK1dAxC&#10;G9aOPiuy1JjJOu2kxMn++p1kOy1dB2PMD+JO991PfeeLy31r2E6hb8BWvDjJOVNWQt3Yp4p/e7j5&#10;8JEzH4SthQGrKn5Qnl/O37+76NxMTWADplbIKIj1s85VfBOCm2WZlxvVCn8CTlkyasBWBFLxKatR&#10;dBS9Ndkkz0+zDrB2CFJ5T7fXvZHPU3ytlQx3WnsVmKk41RbSielcxzObX4jZEwq3aeRQhviHKlrR&#10;WEp6DHUtgmBbbH4L1TYSwYMOJxLaDLRupEo9UDdF/qqb+41wKvVCw/HuOCb//8LK290KWVNX/JQz&#10;K1p6oqXSgX1CIRU7jfPpnJ8R7N6tcNA8ibHZvcaWIdBQy2kevzQCaort04QPxwmrfWCSLosyn56X&#10;nEkyFWfltMzLmCLrY8WYDn34rKBlUai4oWJSLSm02C196PEjjpxjgX1JSQoHo2IkY78qTa3FtMk7&#10;kUpdGWQ7QXSovxdD7oSMLrox5ujUd/NHpwEb3VQi2t86HtEpI9hwdGwbC/hWqWE/lqp7/Nh132ts&#10;ew31gV4yvQYR3Tt509AEl8KHlUDiNF3SnoY7OrSBruIwSJxtAH++dR/xRDWyctbRjlTc/9gKVJyZ&#10;L5ZIeF5Mp3GpkjItzyak4EvL+qXFbtsroLkXqbokRnwwo6gR2kda50XMSiZhJeWuuAw4Kleh3136&#10;IUi1WCQYLZITYWnvnRxfOpLjYf8o0A00CkTAWxj3ScxeEanHxvewsNgG0E1i2fNch3nTEiayDj+M&#10;uOUv9YR6/q3NfwEAAP//AwBQSwMEFAAGAAgAAAAhACROl/7kAAAACwEAAA8AAABkcnMvZG93bnJl&#10;di54bWxMj09Lw0AQxe+C32EZwYvYTaMmNmZT/IOCIEibHjxus9MkJDsbsts29dM7nvQ2M+/x5vfy&#10;5WR7ccDRt44UzGcRCKTKmZZqBZvy9foehA+ajO4doYITelgW52e5zow70goP61ALDiGfaQVNCEMm&#10;pa8atNrP3IDE2s6NVgdex1qaUR853PYyjqJEWt0Sf2j0gM8NVt16bxW8dZ+nK/leprr8mj7wqXq5&#10;7XbfSl1eTI8PIAJO4c8Mv/iMDgUzbd2ejBe9guRmfsdWBXEa88CORZRymS1fFkkMssjl/w7FDwAA&#10;AP//AwBQSwECLQAUAAYACAAAACEAtoM4kv4AAADhAQAAEwAAAAAAAAAAAAAAAAAAAAAAW0NvbnRl&#10;bnRfVHlwZXNdLnhtbFBLAQItABQABgAIAAAAIQA4/SH/1gAAAJQBAAALAAAAAAAAAAAAAAAAAC8B&#10;AABfcmVscy8ucmVsc1BLAQItABQABgAIAAAAIQCB9FTDZAIAAB4FAAAOAAAAAAAAAAAAAAAAAC4C&#10;AABkcnMvZTJvRG9jLnhtbFBLAQItABQABgAIAAAAIQAkTpf+5AAAAAsBAAAPAAAAAAAAAAAAAAAA&#10;AL4EAABkcnMvZG93bnJldi54bWxQSwUGAAAAAAQABADzAAAAzwUAAAAA&#10;" adj="154" strokecolor="black [3040]">
                <w10:wrap type="through"/>
              </v:shape>
            </w:pict>
          </mc:Fallback>
        </mc:AlternateContent>
      </w:r>
      <w:r w:rsidR="00512226" w:rsidRPr="00F23DBF">
        <w:rPr>
          <w:iCs/>
          <w:noProof/>
          <w:sz w:val="28"/>
          <w:szCs w:val="28"/>
          <w:lang w:val="fr-CH" w:eastAsia="zh-CN"/>
        </w:rPr>
        <mc:AlternateContent>
          <mc:Choice Requires="wps">
            <w:drawing>
              <wp:anchor distT="0" distB="0" distL="114300" distR="114300" simplePos="0" relativeHeight="251660288" behindDoc="0" locked="0" layoutInCell="1" allowOverlap="1" wp14:anchorId="74C8DDDE" wp14:editId="58F48528">
                <wp:simplePos x="0" y="0"/>
                <wp:positionH relativeFrom="column">
                  <wp:posOffset>1495425</wp:posOffset>
                </wp:positionH>
                <wp:positionV relativeFrom="paragraph">
                  <wp:posOffset>929640</wp:posOffset>
                </wp:positionV>
                <wp:extent cx="150495" cy="1754505"/>
                <wp:effectExtent l="0" t="1905" r="19050" b="19050"/>
                <wp:wrapThrough wrapText="bothSides">
                  <wp:wrapPolygon edited="0">
                    <wp:start x="-273" y="11257"/>
                    <wp:lineTo x="-273" y="11492"/>
                    <wp:lineTo x="21600" y="21577"/>
                    <wp:lineTo x="21600" y="0"/>
                    <wp:lineTo x="-273" y="9850"/>
                    <wp:lineTo x="-273" y="10085"/>
                    <wp:lineTo x="-273" y="11257"/>
                  </wp:wrapPolygon>
                </wp:wrapThrough>
                <wp:docPr id="4" name="Left Brace 4"/>
                <wp:cNvGraphicFramePr/>
                <a:graphic xmlns:a="http://schemas.openxmlformats.org/drawingml/2006/main">
                  <a:graphicData uri="http://schemas.microsoft.com/office/word/2010/wordprocessingShape">
                    <wps:wsp>
                      <wps:cNvSpPr/>
                      <wps:spPr>
                        <a:xfrm rot="5400000">
                          <a:off x="0" y="0"/>
                          <a:ext cx="150495" cy="175450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CBCE1" id="Left Brace 4" o:spid="_x0000_s1026" type="#_x0000_t87" style="position:absolute;margin-left:117.75pt;margin-top:73.2pt;width:11.85pt;height:138.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RGJYwIAAB4FAAAOAAAAZHJzL2Uyb0RvYy54bWysVN9P2zAQfp+0/8Hy+0iCkjEqUtSBmCZV&#10;UAETz8axaTTH553dpt1fv7OTFMSYNE3Lg3Xn++6nv8vZ+a4zbKvQt2BrXhzlnCkroWntU82/3V99&#10;+MSZD8I2woBVNd8rz8/n79+d9W6mjmENplHIKIj1s97VfB2Cm2WZl2vVCX8ETlkyasBOBFLxKWtQ&#10;9BS9M9lxnn/MesDGIUjlPd1eDkY+T/G1VjLcaO1VYKbmVFtIJ6bzMZ7Z/EzMnlC4dSvHMsQ/VNGJ&#10;1lLSQ6hLEQTbYPtbqK6VCB50OJLQZaB1K1Xqgbop8lfd3K2FU6kXGo53hzH5/xdWXm9XyNqm5iVn&#10;VnT0REulA/uMQipWxvn0zs8IdudWOGqexNjsTmPHEGioVZnHL42AmmK7NOH9YcJqF5iky6LKy9OK&#10;M0mm4qQqq7yKKbIhVozp0IcvCjoWhZobKibVkkKL7dKHAT/hyDkWOJSUpLA3KkYy9lZpai2mTd6J&#10;VOrCINsKokPzvRhzJ2R00a0xB6ehmz86jdjophLR/tbxgE4ZwYaDY9dawLdKDbupVD3gp66HXmPb&#10;j9Ds6SXTaxDRvZNXLU1wKXxYCSRO0yXtabihQxvoaw6jxNka8Odb9xFPVCMrZz3tSM39j41AxZn5&#10;aomEp0VZxqVKSlmdHJOCLy2PLy12010Azb1I1SUx4oOZRI3QPdA6L2JWMgkrKXfNZcBJuQjD7tIP&#10;QarFIsFokZwIS3vn5PTSkRz3uweBbqRRIAJew7RPYvaKSAM2voeFxSaAbhPLnuc6zpuWMJF1/GHE&#10;LX+pJ9Tzb23+CwAA//8DAFBLAwQUAAYACAAAACEAJ9ABIuMAAAALAQAADwAAAGRycy9kb3ducmV2&#10;LnhtbEyPTUvDQBCG74L/YRnBS7EbY9u0MZviBwqCIDYePG6z0yQkOxuy2zb11zue6vGdeXjnmWw9&#10;2k4ccPCNIwW30wgEUulMQ5WCr+LlZgnCB01Gd45QwQk9rPPLi0ynxh3pEw+bUAkuIZ9qBXUIfSql&#10;L2u02k9dj8S7nRusDhyHSppBH7ncdjKOooW0uiG+UOsen2os283eKnhtP04T+VYkuvge3/GxfJ61&#10;ux+lrq/Gh3sQAcdwhuFPn9UhZ6et25PxouMcrWJGFcRJnIBg4m45n4PY8mS1mIHMM/n/h/wXAAD/&#10;/wMAUEsBAi0AFAAGAAgAAAAhALaDOJL+AAAA4QEAABMAAAAAAAAAAAAAAAAAAAAAAFtDb250ZW50&#10;X1R5cGVzXS54bWxQSwECLQAUAAYACAAAACEAOP0h/9YAAACUAQAACwAAAAAAAAAAAAAAAAAvAQAA&#10;X3JlbHMvLnJlbHNQSwECLQAUAAYACAAAACEAebERiWMCAAAeBQAADgAAAAAAAAAAAAAAAAAuAgAA&#10;ZHJzL2Uyb0RvYy54bWxQSwECLQAUAAYACAAAACEAJ9ABIuMAAAALAQAADwAAAAAAAAAAAAAAAAC9&#10;BAAAZHJzL2Rvd25yZXYueG1sUEsFBgAAAAAEAAQA8wAAAM0FAAAAAA==&#10;" adj="154" strokecolor="black [3040]">
                <w10:wrap type="through"/>
              </v:shape>
            </w:pict>
          </mc:Fallback>
        </mc:AlternateContent>
      </w:r>
    </w:p>
    <w:tbl>
      <w:tblPr>
        <w:tblStyle w:val="TableGrid"/>
        <w:tblW w:w="9776" w:type="dxa"/>
        <w:tblLook w:val="04A0" w:firstRow="1" w:lastRow="0" w:firstColumn="1" w:lastColumn="0" w:noHBand="0" w:noVBand="1"/>
      </w:tblPr>
      <w:tblGrid>
        <w:gridCol w:w="552"/>
        <w:gridCol w:w="575"/>
        <w:gridCol w:w="401"/>
        <w:gridCol w:w="779"/>
        <w:gridCol w:w="665"/>
        <w:gridCol w:w="456"/>
        <w:gridCol w:w="632"/>
        <w:gridCol w:w="871"/>
        <w:gridCol w:w="527"/>
        <w:gridCol w:w="662"/>
        <w:gridCol w:w="626"/>
        <w:gridCol w:w="401"/>
        <w:gridCol w:w="673"/>
        <w:gridCol w:w="874"/>
        <w:gridCol w:w="352"/>
        <w:gridCol w:w="730"/>
      </w:tblGrid>
      <w:tr w:rsidR="00BF51C8" w:rsidRPr="0007504F" w:rsidTr="006C5EC8">
        <w:tc>
          <w:tcPr>
            <w:tcW w:w="9776" w:type="dxa"/>
            <w:gridSpan w:val="16"/>
            <w:shd w:val="clear" w:color="auto" w:fill="BFBFBF" w:themeFill="background1" w:themeFillShade="BF"/>
            <w:vAlign w:val="center"/>
          </w:tcPr>
          <w:p w:rsidR="00BF51C8" w:rsidRPr="006C5EC8" w:rsidRDefault="00BF51C8" w:rsidP="00C4279B">
            <w:pPr>
              <w:pStyle w:val="Tablehead"/>
              <w:rPr>
                <w:szCs w:val="22"/>
                <w:lang w:val="fr-CH"/>
              </w:rPr>
            </w:pPr>
            <w:r w:rsidRPr="006C5EC8">
              <w:rPr>
                <w:szCs w:val="22"/>
                <w:lang w:val="fr-CH"/>
              </w:rPr>
              <w:t>Manifestations organisées par l'UIT en 2020</w:t>
            </w:r>
          </w:p>
        </w:tc>
      </w:tr>
      <w:tr w:rsidR="006C5EC8" w:rsidRPr="006C5EC8" w:rsidTr="006C5EC8">
        <w:tc>
          <w:tcPr>
            <w:tcW w:w="552" w:type="dxa"/>
            <w:shd w:val="clear" w:color="auto" w:fill="BFBFBF" w:themeFill="background1" w:themeFillShade="BF"/>
            <w:vAlign w:val="center"/>
          </w:tcPr>
          <w:p w:rsidR="00BF51C8" w:rsidRPr="006C5EC8" w:rsidRDefault="006C5EC8" w:rsidP="00C4279B">
            <w:pPr>
              <w:pStyle w:val="Tabletext"/>
              <w:rPr>
                <w:b/>
                <w:bCs/>
                <w:sz w:val="18"/>
                <w:szCs w:val="18"/>
              </w:rPr>
            </w:pPr>
            <w:r w:rsidRPr="006C5EC8">
              <w:rPr>
                <w:b/>
                <w:bCs/>
                <w:sz w:val="18"/>
                <w:szCs w:val="18"/>
              </w:rPr>
              <w:t>J</w:t>
            </w:r>
            <w:r w:rsidR="00BF51C8" w:rsidRPr="006C5EC8">
              <w:rPr>
                <w:b/>
                <w:bCs/>
                <w:sz w:val="18"/>
                <w:szCs w:val="18"/>
              </w:rPr>
              <w:t>an.</w:t>
            </w:r>
          </w:p>
        </w:tc>
        <w:tc>
          <w:tcPr>
            <w:tcW w:w="575" w:type="dxa"/>
            <w:shd w:val="clear" w:color="auto" w:fill="BFBFBF" w:themeFill="background1" w:themeFillShade="BF"/>
            <w:vAlign w:val="center"/>
          </w:tcPr>
          <w:p w:rsidR="00BF51C8" w:rsidRPr="006C5EC8" w:rsidRDefault="006C5EC8" w:rsidP="00C4279B">
            <w:pPr>
              <w:pStyle w:val="Tabletext"/>
              <w:rPr>
                <w:b/>
                <w:bCs/>
                <w:sz w:val="18"/>
                <w:szCs w:val="18"/>
              </w:rPr>
            </w:pPr>
            <w:r w:rsidRPr="006C5EC8">
              <w:rPr>
                <w:b/>
                <w:bCs/>
                <w:sz w:val="18"/>
                <w:szCs w:val="18"/>
              </w:rPr>
              <w:t>F</w:t>
            </w:r>
            <w:r w:rsidR="00BF51C8" w:rsidRPr="006C5EC8">
              <w:rPr>
                <w:b/>
                <w:bCs/>
                <w:sz w:val="18"/>
                <w:szCs w:val="18"/>
              </w:rPr>
              <w:t>év.</w:t>
            </w:r>
          </w:p>
        </w:tc>
        <w:tc>
          <w:tcPr>
            <w:tcW w:w="1180" w:type="dxa"/>
            <w:gridSpan w:val="2"/>
            <w:shd w:val="clear" w:color="auto" w:fill="BFBFBF" w:themeFill="background1" w:themeFillShade="BF"/>
            <w:vAlign w:val="center"/>
          </w:tcPr>
          <w:p w:rsidR="00BF51C8" w:rsidRPr="006C5EC8" w:rsidRDefault="006C5EC8" w:rsidP="00C4279B">
            <w:pPr>
              <w:pStyle w:val="Tabletext"/>
              <w:rPr>
                <w:b/>
                <w:bCs/>
                <w:sz w:val="18"/>
                <w:szCs w:val="18"/>
              </w:rPr>
            </w:pPr>
            <w:r w:rsidRPr="006C5EC8">
              <w:rPr>
                <w:b/>
                <w:bCs/>
                <w:sz w:val="18"/>
                <w:szCs w:val="18"/>
              </w:rPr>
              <w:t>M</w:t>
            </w:r>
            <w:r w:rsidR="00BF51C8" w:rsidRPr="006C5EC8">
              <w:rPr>
                <w:b/>
                <w:bCs/>
                <w:sz w:val="18"/>
                <w:szCs w:val="18"/>
              </w:rPr>
              <w:t>ars</w:t>
            </w:r>
          </w:p>
        </w:tc>
        <w:tc>
          <w:tcPr>
            <w:tcW w:w="1121" w:type="dxa"/>
            <w:gridSpan w:val="2"/>
            <w:shd w:val="clear" w:color="auto" w:fill="BFBFBF" w:themeFill="background1" w:themeFillShade="BF"/>
            <w:vAlign w:val="center"/>
          </w:tcPr>
          <w:p w:rsidR="00BF51C8" w:rsidRPr="006C5EC8" w:rsidRDefault="006C5EC8" w:rsidP="00C4279B">
            <w:pPr>
              <w:pStyle w:val="Tabletext"/>
              <w:rPr>
                <w:b/>
                <w:bCs/>
                <w:sz w:val="18"/>
                <w:szCs w:val="18"/>
              </w:rPr>
            </w:pPr>
            <w:r w:rsidRPr="006C5EC8">
              <w:rPr>
                <w:b/>
                <w:bCs/>
                <w:sz w:val="18"/>
                <w:szCs w:val="18"/>
              </w:rPr>
              <w:t>A</w:t>
            </w:r>
            <w:r w:rsidR="00BF51C8" w:rsidRPr="006C5EC8">
              <w:rPr>
                <w:b/>
                <w:bCs/>
                <w:sz w:val="18"/>
                <w:szCs w:val="18"/>
              </w:rPr>
              <w:t>vril</w:t>
            </w:r>
          </w:p>
        </w:tc>
        <w:tc>
          <w:tcPr>
            <w:tcW w:w="632" w:type="dxa"/>
            <w:shd w:val="clear" w:color="auto" w:fill="BFBFBF" w:themeFill="background1" w:themeFillShade="BF"/>
            <w:vAlign w:val="center"/>
          </w:tcPr>
          <w:p w:rsidR="00BF51C8" w:rsidRPr="006C5EC8" w:rsidRDefault="006C5EC8" w:rsidP="00C4279B">
            <w:pPr>
              <w:pStyle w:val="Tabletext"/>
              <w:rPr>
                <w:b/>
                <w:bCs/>
                <w:sz w:val="18"/>
                <w:szCs w:val="18"/>
              </w:rPr>
            </w:pPr>
            <w:r w:rsidRPr="006C5EC8">
              <w:rPr>
                <w:b/>
                <w:bCs/>
                <w:sz w:val="18"/>
                <w:szCs w:val="18"/>
              </w:rPr>
              <w:t>M</w:t>
            </w:r>
            <w:r w:rsidR="00BF51C8" w:rsidRPr="006C5EC8">
              <w:rPr>
                <w:b/>
                <w:bCs/>
                <w:sz w:val="18"/>
                <w:szCs w:val="18"/>
              </w:rPr>
              <w:t>ai</w:t>
            </w:r>
          </w:p>
        </w:tc>
        <w:tc>
          <w:tcPr>
            <w:tcW w:w="871" w:type="dxa"/>
            <w:shd w:val="clear" w:color="auto" w:fill="BFBFBF" w:themeFill="background1" w:themeFillShade="BF"/>
            <w:vAlign w:val="center"/>
          </w:tcPr>
          <w:p w:rsidR="00BF51C8" w:rsidRPr="006C5EC8" w:rsidRDefault="006C5EC8" w:rsidP="00C4279B">
            <w:pPr>
              <w:pStyle w:val="Tabletext"/>
              <w:rPr>
                <w:b/>
                <w:bCs/>
                <w:sz w:val="18"/>
                <w:szCs w:val="18"/>
              </w:rPr>
            </w:pPr>
            <w:r w:rsidRPr="006C5EC8">
              <w:rPr>
                <w:b/>
                <w:bCs/>
                <w:sz w:val="18"/>
                <w:szCs w:val="18"/>
              </w:rPr>
              <w:t>J</w:t>
            </w:r>
            <w:r w:rsidR="00BF51C8" w:rsidRPr="006C5EC8">
              <w:rPr>
                <w:b/>
                <w:bCs/>
                <w:sz w:val="18"/>
                <w:szCs w:val="18"/>
              </w:rPr>
              <w:t>uin</w:t>
            </w:r>
          </w:p>
        </w:tc>
        <w:tc>
          <w:tcPr>
            <w:tcW w:w="527" w:type="dxa"/>
            <w:shd w:val="clear" w:color="auto" w:fill="BFBFBF" w:themeFill="background1" w:themeFillShade="BF"/>
            <w:vAlign w:val="center"/>
          </w:tcPr>
          <w:p w:rsidR="00BF51C8" w:rsidRPr="006C5EC8" w:rsidRDefault="006C5EC8" w:rsidP="00C4279B">
            <w:pPr>
              <w:pStyle w:val="Tabletext"/>
              <w:rPr>
                <w:b/>
                <w:bCs/>
                <w:sz w:val="18"/>
                <w:szCs w:val="18"/>
              </w:rPr>
            </w:pPr>
            <w:r w:rsidRPr="006C5EC8">
              <w:rPr>
                <w:b/>
                <w:bCs/>
                <w:sz w:val="18"/>
                <w:szCs w:val="18"/>
              </w:rPr>
              <w:t>J</w:t>
            </w:r>
            <w:r w:rsidR="00BF51C8" w:rsidRPr="006C5EC8">
              <w:rPr>
                <w:b/>
                <w:bCs/>
                <w:sz w:val="18"/>
                <w:szCs w:val="18"/>
              </w:rPr>
              <w:t>uil.</w:t>
            </w:r>
          </w:p>
        </w:tc>
        <w:tc>
          <w:tcPr>
            <w:tcW w:w="662" w:type="dxa"/>
            <w:shd w:val="clear" w:color="auto" w:fill="BFBFBF" w:themeFill="background1" w:themeFillShade="BF"/>
            <w:vAlign w:val="center"/>
          </w:tcPr>
          <w:p w:rsidR="00BF51C8" w:rsidRPr="006C5EC8" w:rsidRDefault="006C5EC8" w:rsidP="00C4279B">
            <w:pPr>
              <w:pStyle w:val="Tabletext"/>
              <w:rPr>
                <w:b/>
                <w:bCs/>
                <w:sz w:val="18"/>
                <w:szCs w:val="18"/>
              </w:rPr>
            </w:pPr>
            <w:r w:rsidRPr="006C5EC8">
              <w:rPr>
                <w:b/>
                <w:bCs/>
                <w:sz w:val="18"/>
                <w:szCs w:val="18"/>
              </w:rPr>
              <w:t>A</w:t>
            </w:r>
            <w:r w:rsidR="00BF51C8" w:rsidRPr="006C5EC8">
              <w:rPr>
                <w:b/>
                <w:bCs/>
                <w:sz w:val="18"/>
                <w:szCs w:val="18"/>
              </w:rPr>
              <w:t>oût</w:t>
            </w:r>
          </w:p>
        </w:tc>
        <w:tc>
          <w:tcPr>
            <w:tcW w:w="626" w:type="dxa"/>
            <w:shd w:val="clear" w:color="auto" w:fill="BFBFBF" w:themeFill="background1" w:themeFillShade="BF"/>
            <w:vAlign w:val="center"/>
          </w:tcPr>
          <w:p w:rsidR="00BF51C8" w:rsidRPr="006C5EC8" w:rsidRDefault="006C5EC8" w:rsidP="00C4279B">
            <w:pPr>
              <w:pStyle w:val="Tabletext"/>
              <w:rPr>
                <w:b/>
                <w:bCs/>
                <w:sz w:val="18"/>
                <w:szCs w:val="18"/>
              </w:rPr>
            </w:pPr>
            <w:r w:rsidRPr="006C5EC8">
              <w:rPr>
                <w:b/>
                <w:bCs/>
                <w:sz w:val="18"/>
                <w:szCs w:val="18"/>
              </w:rPr>
              <w:t>S</w:t>
            </w:r>
            <w:r w:rsidR="00BF51C8" w:rsidRPr="006C5EC8">
              <w:rPr>
                <w:b/>
                <w:bCs/>
                <w:sz w:val="18"/>
                <w:szCs w:val="18"/>
              </w:rPr>
              <w:t>ept</w:t>
            </w:r>
            <w:r w:rsidRPr="006C5EC8">
              <w:rPr>
                <w:b/>
                <w:bCs/>
                <w:sz w:val="18"/>
                <w:szCs w:val="18"/>
              </w:rPr>
              <w:t>.</w:t>
            </w:r>
          </w:p>
        </w:tc>
        <w:tc>
          <w:tcPr>
            <w:tcW w:w="1074" w:type="dxa"/>
            <w:gridSpan w:val="2"/>
            <w:shd w:val="clear" w:color="auto" w:fill="BFBFBF" w:themeFill="background1" w:themeFillShade="BF"/>
            <w:vAlign w:val="center"/>
          </w:tcPr>
          <w:p w:rsidR="00BF51C8" w:rsidRPr="006C5EC8" w:rsidRDefault="006C5EC8" w:rsidP="00C4279B">
            <w:pPr>
              <w:pStyle w:val="Tabletext"/>
              <w:rPr>
                <w:b/>
                <w:bCs/>
                <w:sz w:val="18"/>
                <w:szCs w:val="18"/>
              </w:rPr>
            </w:pPr>
            <w:r w:rsidRPr="006C5EC8">
              <w:rPr>
                <w:b/>
                <w:bCs/>
                <w:sz w:val="18"/>
                <w:szCs w:val="18"/>
              </w:rPr>
              <w:t>O</w:t>
            </w:r>
            <w:r w:rsidR="00BF51C8" w:rsidRPr="006C5EC8">
              <w:rPr>
                <w:b/>
                <w:bCs/>
                <w:sz w:val="18"/>
                <w:szCs w:val="18"/>
              </w:rPr>
              <w:t>ct</w:t>
            </w:r>
            <w:r w:rsidRPr="006C5EC8">
              <w:rPr>
                <w:b/>
                <w:bCs/>
                <w:sz w:val="18"/>
                <w:szCs w:val="18"/>
              </w:rPr>
              <w:t>.</w:t>
            </w:r>
          </w:p>
        </w:tc>
        <w:tc>
          <w:tcPr>
            <w:tcW w:w="1226" w:type="dxa"/>
            <w:gridSpan w:val="2"/>
            <w:shd w:val="clear" w:color="auto" w:fill="BFBFBF" w:themeFill="background1" w:themeFillShade="BF"/>
            <w:vAlign w:val="center"/>
          </w:tcPr>
          <w:p w:rsidR="00BF51C8" w:rsidRPr="006C5EC8" w:rsidRDefault="006C5EC8" w:rsidP="00C4279B">
            <w:pPr>
              <w:pStyle w:val="Tabletext"/>
              <w:rPr>
                <w:b/>
                <w:bCs/>
                <w:sz w:val="18"/>
                <w:szCs w:val="18"/>
              </w:rPr>
            </w:pPr>
            <w:r w:rsidRPr="006C5EC8">
              <w:rPr>
                <w:b/>
                <w:bCs/>
                <w:sz w:val="18"/>
                <w:szCs w:val="18"/>
              </w:rPr>
              <w:t>N</w:t>
            </w:r>
            <w:r w:rsidR="00BF51C8" w:rsidRPr="006C5EC8">
              <w:rPr>
                <w:b/>
                <w:bCs/>
                <w:sz w:val="18"/>
                <w:szCs w:val="18"/>
              </w:rPr>
              <w:t>ov</w:t>
            </w:r>
            <w:r w:rsidRPr="006C5EC8">
              <w:rPr>
                <w:b/>
                <w:bCs/>
                <w:sz w:val="18"/>
                <w:szCs w:val="18"/>
              </w:rPr>
              <w:t>.</w:t>
            </w:r>
          </w:p>
        </w:tc>
        <w:tc>
          <w:tcPr>
            <w:tcW w:w="730" w:type="dxa"/>
            <w:shd w:val="clear" w:color="auto" w:fill="BFBFBF" w:themeFill="background1" w:themeFillShade="BF"/>
            <w:vAlign w:val="center"/>
          </w:tcPr>
          <w:p w:rsidR="00BF51C8" w:rsidRPr="006C5EC8" w:rsidRDefault="006C5EC8" w:rsidP="00C4279B">
            <w:pPr>
              <w:pStyle w:val="Tabletext"/>
              <w:rPr>
                <w:b/>
                <w:bCs/>
                <w:sz w:val="18"/>
                <w:szCs w:val="18"/>
              </w:rPr>
            </w:pPr>
            <w:r w:rsidRPr="006C5EC8">
              <w:rPr>
                <w:b/>
                <w:bCs/>
                <w:sz w:val="18"/>
                <w:szCs w:val="18"/>
              </w:rPr>
              <w:t>Déc</w:t>
            </w:r>
            <w:r w:rsidR="00BF51C8" w:rsidRPr="006C5EC8">
              <w:rPr>
                <w:b/>
                <w:bCs/>
                <w:sz w:val="18"/>
                <w:szCs w:val="18"/>
              </w:rPr>
              <w:t>.</w:t>
            </w:r>
          </w:p>
        </w:tc>
      </w:tr>
      <w:tr w:rsidR="00BF51C8" w:rsidRPr="006C5EC8" w:rsidTr="006C5EC8">
        <w:tc>
          <w:tcPr>
            <w:tcW w:w="552" w:type="dxa"/>
            <w:vAlign w:val="center"/>
          </w:tcPr>
          <w:p w:rsidR="00BF51C8" w:rsidRPr="006C5EC8" w:rsidRDefault="00BF51C8" w:rsidP="00C4279B">
            <w:pPr>
              <w:pStyle w:val="Tabletext"/>
              <w:rPr>
                <w:sz w:val="18"/>
                <w:szCs w:val="18"/>
              </w:rPr>
            </w:pPr>
          </w:p>
        </w:tc>
        <w:tc>
          <w:tcPr>
            <w:tcW w:w="575" w:type="dxa"/>
            <w:vAlign w:val="center"/>
          </w:tcPr>
          <w:p w:rsidR="00BF51C8" w:rsidRPr="006C5EC8" w:rsidRDefault="00BF51C8" w:rsidP="00C4279B">
            <w:pPr>
              <w:pStyle w:val="Tabletext"/>
              <w:rPr>
                <w:sz w:val="18"/>
                <w:szCs w:val="18"/>
              </w:rPr>
            </w:pPr>
          </w:p>
        </w:tc>
        <w:tc>
          <w:tcPr>
            <w:tcW w:w="401" w:type="dxa"/>
            <w:vAlign w:val="center"/>
          </w:tcPr>
          <w:p w:rsidR="00BF51C8" w:rsidRPr="006C5EC8" w:rsidRDefault="00BF51C8" w:rsidP="00C4279B">
            <w:pPr>
              <w:pStyle w:val="Tabletext"/>
              <w:rPr>
                <w:sz w:val="18"/>
                <w:szCs w:val="18"/>
              </w:rPr>
            </w:pPr>
          </w:p>
        </w:tc>
        <w:tc>
          <w:tcPr>
            <w:tcW w:w="1444" w:type="dxa"/>
            <w:gridSpan w:val="2"/>
            <w:shd w:val="clear" w:color="auto" w:fill="D9D9D9" w:themeFill="background1" w:themeFillShade="D9"/>
            <w:vAlign w:val="center"/>
          </w:tcPr>
          <w:p w:rsidR="00BF51C8" w:rsidRPr="006C5EC8" w:rsidRDefault="00BF51C8" w:rsidP="006C5EC8">
            <w:pPr>
              <w:pStyle w:val="Tabletext"/>
              <w:jc w:val="center"/>
              <w:rPr>
                <w:sz w:val="18"/>
                <w:szCs w:val="18"/>
                <w:lang w:val="fr-CH"/>
              </w:rPr>
            </w:pPr>
            <w:r w:rsidRPr="006C5EC8">
              <w:rPr>
                <w:sz w:val="18"/>
                <w:szCs w:val="18"/>
                <w:lang w:val="fr-CH"/>
              </w:rPr>
              <w:t>1</w:t>
            </w:r>
            <w:r w:rsidRPr="006C5EC8">
              <w:rPr>
                <w:sz w:val="18"/>
                <w:szCs w:val="18"/>
              </w:rPr>
              <w:t>ère</w:t>
            </w:r>
            <w:r w:rsidRPr="006C5EC8">
              <w:rPr>
                <w:sz w:val="18"/>
                <w:szCs w:val="18"/>
                <w:lang w:val="fr-CH"/>
              </w:rPr>
              <w:t xml:space="preserve"> période (Genève*)</w:t>
            </w:r>
          </w:p>
        </w:tc>
        <w:tc>
          <w:tcPr>
            <w:tcW w:w="456" w:type="dxa"/>
            <w:vAlign w:val="center"/>
          </w:tcPr>
          <w:p w:rsidR="00BF51C8" w:rsidRPr="006C5EC8" w:rsidRDefault="00BF51C8" w:rsidP="00C4279B">
            <w:pPr>
              <w:pStyle w:val="Tabletext"/>
              <w:rPr>
                <w:sz w:val="18"/>
                <w:szCs w:val="18"/>
                <w:lang w:val="fr-CH"/>
              </w:rPr>
            </w:pPr>
          </w:p>
        </w:tc>
        <w:tc>
          <w:tcPr>
            <w:tcW w:w="632" w:type="dxa"/>
            <w:vAlign w:val="center"/>
          </w:tcPr>
          <w:p w:rsidR="00BF51C8" w:rsidRPr="006C5EC8" w:rsidRDefault="00BF51C8" w:rsidP="00C4279B">
            <w:pPr>
              <w:pStyle w:val="Tabletext"/>
              <w:rPr>
                <w:sz w:val="18"/>
                <w:szCs w:val="18"/>
                <w:lang w:val="fr-CH"/>
              </w:rPr>
            </w:pPr>
          </w:p>
        </w:tc>
        <w:tc>
          <w:tcPr>
            <w:tcW w:w="871" w:type="dxa"/>
            <w:vAlign w:val="center"/>
          </w:tcPr>
          <w:p w:rsidR="00BF51C8" w:rsidRPr="006C5EC8" w:rsidRDefault="00BF51C8" w:rsidP="00C4279B">
            <w:pPr>
              <w:pStyle w:val="Tabletext"/>
              <w:rPr>
                <w:sz w:val="18"/>
                <w:szCs w:val="18"/>
              </w:rPr>
            </w:pPr>
          </w:p>
        </w:tc>
        <w:tc>
          <w:tcPr>
            <w:tcW w:w="527" w:type="dxa"/>
            <w:vAlign w:val="center"/>
          </w:tcPr>
          <w:p w:rsidR="00BF51C8" w:rsidRPr="006C5EC8" w:rsidRDefault="00BF51C8" w:rsidP="00C4279B">
            <w:pPr>
              <w:pStyle w:val="Tabletext"/>
              <w:rPr>
                <w:sz w:val="18"/>
                <w:szCs w:val="18"/>
              </w:rPr>
            </w:pPr>
          </w:p>
        </w:tc>
        <w:tc>
          <w:tcPr>
            <w:tcW w:w="662" w:type="dxa"/>
            <w:vAlign w:val="center"/>
          </w:tcPr>
          <w:p w:rsidR="00BF51C8" w:rsidRPr="006C5EC8" w:rsidRDefault="00BF51C8" w:rsidP="00C4279B">
            <w:pPr>
              <w:pStyle w:val="Tabletext"/>
              <w:rPr>
                <w:sz w:val="18"/>
                <w:szCs w:val="18"/>
              </w:rPr>
            </w:pPr>
          </w:p>
        </w:tc>
        <w:tc>
          <w:tcPr>
            <w:tcW w:w="626" w:type="dxa"/>
            <w:vAlign w:val="center"/>
          </w:tcPr>
          <w:p w:rsidR="00BF51C8" w:rsidRPr="006C5EC8" w:rsidRDefault="00BF51C8" w:rsidP="00C4279B">
            <w:pPr>
              <w:pStyle w:val="Tabletext"/>
              <w:rPr>
                <w:sz w:val="18"/>
                <w:szCs w:val="18"/>
              </w:rPr>
            </w:pPr>
          </w:p>
        </w:tc>
        <w:tc>
          <w:tcPr>
            <w:tcW w:w="401" w:type="dxa"/>
            <w:vAlign w:val="center"/>
          </w:tcPr>
          <w:p w:rsidR="00BF51C8" w:rsidRPr="006C5EC8" w:rsidRDefault="00BF51C8" w:rsidP="00C4279B">
            <w:pPr>
              <w:pStyle w:val="Tabletext"/>
              <w:rPr>
                <w:sz w:val="18"/>
                <w:szCs w:val="18"/>
              </w:rPr>
            </w:pPr>
          </w:p>
        </w:tc>
        <w:tc>
          <w:tcPr>
            <w:tcW w:w="1547" w:type="dxa"/>
            <w:gridSpan w:val="2"/>
            <w:shd w:val="clear" w:color="auto" w:fill="D9D9D9" w:themeFill="background1" w:themeFillShade="D9"/>
            <w:vAlign w:val="center"/>
          </w:tcPr>
          <w:p w:rsidR="00BF51C8" w:rsidRPr="006C5EC8" w:rsidRDefault="00BF51C8" w:rsidP="006C5EC8">
            <w:pPr>
              <w:pStyle w:val="Tabletext"/>
              <w:jc w:val="center"/>
              <w:rPr>
                <w:sz w:val="18"/>
                <w:szCs w:val="18"/>
                <w:lang w:val="fr-CH"/>
              </w:rPr>
            </w:pPr>
            <w:r w:rsidRPr="006C5EC8">
              <w:rPr>
                <w:sz w:val="18"/>
                <w:szCs w:val="18"/>
                <w:lang w:val="fr-CH"/>
              </w:rPr>
              <w:t>2</w:t>
            </w:r>
            <w:r w:rsidRPr="006C5EC8">
              <w:rPr>
                <w:sz w:val="18"/>
                <w:szCs w:val="18"/>
              </w:rPr>
              <w:t>ème</w:t>
            </w:r>
            <w:r w:rsidRPr="006C5EC8">
              <w:rPr>
                <w:sz w:val="18"/>
                <w:szCs w:val="18"/>
                <w:lang w:val="fr-CH"/>
              </w:rPr>
              <w:t xml:space="preserve"> période (ailleurs qu'à Genève)</w:t>
            </w:r>
          </w:p>
        </w:tc>
        <w:tc>
          <w:tcPr>
            <w:tcW w:w="352" w:type="dxa"/>
            <w:vAlign w:val="center"/>
          </w:tcPr>
          <w:p w:rsidR="00BF51C8" w:rsidRPr="006C5EC8" w:rsidRDefault="00BF51C8" w:rsidP="00C4279B">
            <w:pPr>
              <w:pStyle w:val="Tabletext"/>
              <w:rPr>
                <w:sz w:val="18"/>
                <w:szCs w:val="18"/>
                <w:lang w:val="fr-CH"/>
              </w:rPr>
            </w:pPr>
          </w:p>
        </w:tc>
        <w:tc>
          <w:tcPr>
            <w:tcW w:w="730" w:type="dxa"/>
            <w:vAlign w:val="center"/>
          </w:tcPr>
          <w:p w:rsidR="00BF51C8" w:rsidRPr="006C5EC8" w:rsidRDefault="00BF51C8" w:rsidP="00C4279B">
            <w:pPr>
              <w:pStyle w:val="Tabletext"/>
              <w:rPr>
                <w:sz w:val="18"/>
                <w:szCs w:val="18"/>
                <w:lang w:val="fr-CH"/>
              </w:rPr>
            </w:pPr>
          </w:p>
        </w:tc>
      </w:tr>
    </w:tbl>
    <w:tbl>
      <w:tblPr>
        <w:tblStyle w:val="TableGrid"/>
        <w:tblpPr w:leftFromText="180" w:rightFromText="180" w:vertAnchor="text" w:horzAnchor="margin" w:tblpXSpec="right" w:tblpY="433"/>
        <w:tblW w:w="0" w:type="auto"/>
        <w:tblLayout w:type="fixed"/>
        <w:tblLook w:val="04A0" w:firstRow="1" w:lastRow="0" w:firstColumn="1" w:lastColumn="0" w:noHBand="0" w:noVBand="1"/>
      </w:tblPr>
      <w:tblGrid>
        <w:gridCol w:w="1357"/>
        <w:gridCol w:w="1363"/>
        <w:gridCol w:w="1275"/>
      </w:tblGrid>
      <w:tr w:rsidR="00512226" w:rsidRPr="0007504F" w:rsidTr="00512226">
        <w:tc>
          <w:tcPr>
            <w:tcW w:w="1357" w:type="dxa"/>
          </w:tcPr>
          <w:p w:rsidR="00512226" w:rsidRPr="00F23DBF" w:rsidRDefault="00512226" w:rsidP="00512226">
            <w:pPr>
              <w:jc w:val="center"/>
              <w:rPr>
                <w:sz w:val="28"/>
                <w:szCs w:val="22"/>
              </w:rPr>
            </w:pPr>
            <w:r w:rsidRPr="00F23DBF">
              <w:rPr>
                <w:sz w:val="16"/>
                <w:szCs w:val="16"/>
              </w:rPr>
              <w:t>Manifestation 1</w:t>
            </w:r>
          </w:p>
        </w:tc>
        <w:tc>
          <w:tcPr>
            <w:tcW w:w="1363" w:type="dxa"/>
          </w:tcPr>
          <w:p w:rsidR="00512226" w:rsidRPr="00F23DBF" w:rsidRDefault="00512226" w:rsidP="00512226">
            <w:pPr>
              <w:jc w:val="center"/>
              <w:rPr>
                <w:sz w:val="28"/>
                <w:szCs w:val="22"/>
              </w:rPr>
            </w:pPr>
            <w:r w:rsidRPr="00F23DBF">
              <w:rPr>
                <w:sz w:val="16"/>
                <w:szCs w:val="16"/>
              </w:rPr>
              <w:t>Manifestation 2</w:t>
            </w:r>
          </w:p>
        </w:tc>
        <w:tc>
          <w:tcPr>
            <w:tcW w:w="1275" w:type="dxa"/>
          </w:tcPr>
          <w:p w:rsidR="00512226" w:rsidRPr="00F23DBF" w:rsidRDefault="00512226" w:rsidP="00512226">
            <w:pPr>
              <w:jc w:val="center"/>
              <w:rPr>
                <w:sz w:val="28"/>
                <w:szCs w:val="22"/>
              </w:rPr>
            </w:pPr>
            <w:r w:rsidRPr="00F23DBF">
              <w:rPr>
                <w:sz w:val="16"/>
                <w:szCs w:val="16"/>
              </w:rPr>
              <w:t>Manifestation 3</w:t>
            </w:r>
          </w:p>
        </w:tc>
      </w:tr>
    </w:tbl>
    <w:p w:rsidR="00BF51C8" w:rsidRPr="00F23DBF" w:rsidRDefault="00BF51C8" w:rsidP="00C4279B">
      <w:pPr>
        <w:rPr>
          <w:sz w:val="28"/>
          <w:szCs w:val="22"/>
        </w:rPr>
      </w:pPr>
    </w:p>
    <w:tbl>
      <w:tblPr>
        <w:tblStyle w:val="TableGrid"/>
        <w:tblpPr w:leftFromText="180" w:rightFromText="180" w:vertAnchor="text" w:horzAnchor="page" w:tblpX="1658" w:tblpY="-46"/>
        <w:tblW w:w="0" w:type="auto"/>
        <w:tblLayout w:type="fixed"/>
        <w:tblLook w:val="04A0" w:firstRow="1" w:lastRow="0" w:firstColumn="1" w:lastColumn="0" w:noHBand="0" w:noVBand="1"/>
      </w:tblPr>
      <w:tblGrid>
        <w:gridCol w:w="1331"/>
        <w:gridCol w:w="1363"/>
        <w:gridCol w:w="1275"/>
      </w:tblGrid>
      <w:tr w:rsidR="00512226" w:rsidRPr="0007504F" w:rsidTr="00512226">
        <w:tc>
          <w:tcPr>
            <w:tcW w:w="1331" w:type="dxa"/>
          </w:tcPr>
          <w:p w:rsidR="00512226" w:rsidRPr="00F23DBF" w:rsidRDefault="00512226" w:rsidP="00512226">
            <w:pPr>
              <w:jc w:val="center"/>
              <w:rPr>
                <w:sz w:val="28"/>
                <w:szCs w:val="22"/>
              </w:rPr>
            </w:pPr>
            <w:r w:rsidRPr="00F23DBF">
              <w:rPr>
                <w:sz w:val="16"/>
                <w:szCs w:val="16"/>
              </w:rPr>
              <w:t>Manifestation 1</w:t>
            </w:r>
          </w:p>
        </w:tc>
        <w:tc>
          <w:tcPr>
            <w:tcW w:w="1363" w:type="dxa"/>
          </w:tcPr>
          <w:p w:rsidR="00512226" w:rsidRPr="00F23DBF" w:rsidRDefault="00512226" w:rsidP="00512226">
            <w:pPr>
              <w:jc w:val="center"/>
              <w:rPr>
                <w:sz w:val="28"/>
                <w:szCs w:val="22"/>
              </w:rPr>
            </w:pPr>
            <w:r w:rsidRPr="00F23DBF">
              <w:rPr>
                <w:sz w:val="16"/>
                <w:szCs w:val="16"/>
              </w:rPr>
              <w:t>Manifestation 2</w:t>
            </w:r>
          </w:p>
        </w:tc>
        <w:tc>
          <w:tcPr>
            <w:tcW w:w="1275" w:type="dxa"/>
          </w:tcPr>
          <w:p w:rsidR="00512226" w:rsidRPr="00F23DBF" w:rsidRDefault="00512226" w:rsidP="00512226">
            <w:pPr>
              <w:jc w:val="center"/>
              <w:rPr>
                <w:sz w:val="28"/>
                <w:szCs w:val="22"/>
              </w:rPr>
            </w:pPr>
            <w:r w:rsidRPr="00F23DBF">
              <w:rPr>
                <w:sz w:val="16"/>
                <w:szCs w:val="16"/>
              </w:rPr>
              <w:t>Manifestation 3</w:t>
            </w:r>
          </w:p>
        </w:tc>
      </w:tr>
    </w:tbl>
    <w:p w:rsidR="008F2FCE" w:rsidRDefault="008F2FCE" w:rsidP="00C4279B">
      <w:pPr>
        <w:pStyle w:val="Figuretitle"/>
      </w:pPr>
    </w:p>
    <w:p w:rsidR="00C4279B" w:rsidRPr="004006C1" w:rsidRDefault="00BF51C8" w:rsidP="004006C1">
      <w:pPr>
        <w:pStyle w:val="Figuretitle"/>
      </w:pPr>
      <w:r w:rsidRPr="004006C1">
        <w:t>Figure 1 – Regroupement des manifestations de l'UIT (Option 1)</w:t>
      </w:r>
    </w:p>
    <w:p w:rsidR="00BF51C8" w:rsidRPr="00C22E8C" w:rsidRDefault="00BF51C8" w:rsidP="00C4279B">
      <w:pPr>
        <w:rPr>
          <w:sz w:val="20"/>
          <w:lang w:val="fr-CH"/>
        </w:rPr>
      </w:pPr>
      <w:r w:rsidRPr="00C22E8C">
        <w:rPr>
          <w:sz w:val="20"/>
          <w:lang w:val="fr-CH"/>
        </w:rPr>
        <w:t>(*) Note: les manifestations qui auront lieu au cours de cette période devront peut-être se tenir ailleurs qu'à Genève pendant la durée du projet relatif au nouveau bâtiment du siège de l'UIT</w:t>
      </w:r>
    </w:p>
    <w:p w:rsidR="00BF51C8" w:rsidRPr="00F23DBF" w:rsidRDefault="00BF51C8" w:rsidP="006C5EC8">
      <w:pPr>
        <w:rPr>
          <w:lang w:val="fr-CH"/>
        </w:rPr>
      </w:pPr>
      <w:r w:rsidRPr="00F23DBF">
        <w:rPr>
          <w:lang w:val="fr-CH"/>
        </w:rPr>
        <w:t>3.2</w:t>
      </w:r>
      <w:r w:rsidRPr="00F23DBF">
        <w:rPr>
          <w:lang w:val="fr-CH"/>
        </w:rPr>
        <w:tab/>
        <w:t>Le regroupement des manifestations de haut niveau sur deux périodes calendaires par an permettrait de simplifier le programme de travail de l'UIT et offrirait la possibilité de rationaliser les coûts actuels afférents à l'organisation des manifestations, tout en modernisant, re</w:t>
      </w:r>
      <w:r w:rsidR="00C4279B">
        <w:rPr>
          <w:lang w:val="fr-CH"/>
        </w:rPr>
        <w:t xml:space="preserve">structurant et rationalisant le </w:t>
      </w:r>
      <w:r w:rsidRPr="00F23DBF">
        <w:rPr>
          <w:lang w:val="fr-CH"/>
        </w:rPr>
        <w:t xml:space="preserve">fonctionnement du secrétariat qui apporte un appui à l'organisation des manifestations. Cependant, ce regroupement nécessiterait une coordination accrue au niveau interne ainsi qu'une planification plus poussée pour programmer et mettre en </w:t>
      </w:r>
      <w:r w:rsidR="006C5EC8">
        <w:rPr>
          <w:lang w:val="fr-CH"/>
        </w:rPr>
        <w:t>oe</w:t>
      </w:r>
      <w:r w:rsidRPr="00F23DBF">
        <w:rPr>
          <w:lang w:val="fr-CH"/>
        </w:rPr>
        <w:t>uvre chaque manifestation.</w:t>
      </w:r>
    </w:p>
    <w:p w:rsidR="00BF51C8" w:rsidRPr="00F23DBF" w:rsidRDefault="00BF51C8" w:rsidP="00C4279B">
      <w:pPr>
        <w:rPr>
          <w:szCs w:val="22"/>
          <w:lang w:val="fr-CH"/>
        </w:rPr>
      </w:pPr>
      <w:r w:rsidRPr="00F23DBF">
        <w:rPr>
          <w:szCs w:val="22"/>
          <w:lang w:val="fr-CH"/>
        </w:rPr>
        <w:t>3.3</w:t>
      </w:r>
      <w:r w:rsidRPr="00F23DBF">
        <w:rPr>
          <w:szCs w:val="22"/>
          <w:lang w:val="fr-CH"/>
        </w:rPr>
        <w:tab/>
        <w:t>Pour ce qui est de l'organisation de la deuxième période dans les régions, cette option permettrait de moderniser l'organisation de ces manifestations et de réduire leur durée totale.</w:t>
      </w:r>
    </w:p>
    <w:p w:rsidR="006C5EC8" w:rsidRDefault="006C5EC8" w:rsidP="00C4279B">
      <w:pPr>
        <w:pStyle w:val="Heading1"/>
      </w:pPr>
      <w:r>
        <w:br w:type="page"/>
      </w:r>
    </w:p>
    <w:p w:rsidR="00BF51C8" w:rsidRPr="00C4279B" w:rsidRDefault="00BF51C8" w:rsidP="00C4279B">
      <w:pPr>
        <w:pStyle w:val="Heading1"/>
      </w:pPr>
      <w:r w:rsidRPr="00C4279B">
        <w:lastRenderedPageBreak/>
        <w:t>4</w:t>
      </w:r>
      <w:r w:rsidRPr="00C4279B">
        <w:tab/>
        <w:t xml:space="preserve">Option 2 – Segmentation des manifestations de l'UIT </w:t>
      </w:r>
    </w:p>
    <w:p w:rsidR="00BF51C8" w:rsidRPr="00F23DBF" w:rsidRDefault="00BF51C8" w:rsidP="00C4279B">
      <w:pPr>
        <w:rPr>
          <w:iCs/>
          <w:szCs w:val="28"/>
        </w:rPr>
      </w:pPr>
      <w:r w:rsidRPr="00F23DBF">
        <w:t>4.1</w:t>
      </w:r>
      <w:r w:rsidRPr="00F23DBF">
        <w:tab/>
        <w:t xml:space="preserve">La deuxième approche pour optimiser les manifestations de haut niveau à caractère mondial de l'UIT consiste à bien définir la thématique de chaque manifestation et à déterminer un public cible précis, </w:t>
      </w:r>
      <w:r w:rsidRPr="00F23DBF">
        <w:rPr>
          <w:iCs/>
          <w:szCs w:val="28"/>
        </w:rPr>
        <w:t>en fonction de la thématique choisie. L'UIT pourra ainsi procéder à une segmentation plus détaillée des publics dans chacune des catégories de parties prenantes actuelles, de façon à définir des profils spécifiques des participants potentiels, au lieu d'envoyer des invitations générales</w:t>
      </w:r>
      <w:r w:rsidRPr="00F23DBF">
        <w:rPr>
          <w:rStyle w:val="FootnoteReference"/>
          <w:iCs/>
          <w:sz w:val="18"/>
          <w:szCs w:val="28"/>
        </w:rPr>
        <w:footnoteReference w:id="1"/>
      </w:r>
      <w:r w:rsidRPr="00F23DBF">
        <w:rPr>
          <w:iCs/>
          <w:szCs w:val="28"/>
        </w:rPr>
        <w:t xml:space="preserve">. Cela permettra à l'UIT d'élargir le nombre de ses parties prenantes et de mener des activités de promotion mieux ciblées pour chaque manifestation, en fonction de ses objectifs et de sa portée. Il est important </w:t>
      </w:r>
      <w:r w:rsidR="00C4279B">
        <w:rPr>
          <w:iCs/>
          <w:szCs w:val="28"/>
        </w:rPr>
        <w:t>de noter que la segmentation du contenu pour ces</w:t>
      </w:r>
      <w:r w:rsidRPr="00F23DBF">
        <w:rPr>
          <w:iCs/>
          <w:szCs w:val="28"/>
        </w:rPr>
        <w:t xml:space="preserve"> manifestations n'aura pas d'incidence sur les droits de participation des membres de l'UIT à ces manifestations, qui seront toujours définis par les instruments fondamentaux de l'UIT.</w:t>
      </w:r>
    </w:p>
    <w:p w:rsidR="00BF51C8" w:rsidRPr="00F23DBF" w:rsidRDefault="00BF51C8" w:rsidP="00C4279B">
      <w:r w:rsidRPr="00F23DBF">
        <w:t>4.2</w:t>
      </w:r>
      <w:r w:rsidRPr="00F23DBF">
        <w:tab/>
        <w:t xml:space="preserve">Cette approche permettra non seulement de faire en sorte que les manifestations de l'UIT continuent de bénéficier de la participation </w:t>
      </w:r>
      <w:r w:rsidRPr="00F23DBF">
        <w:rPr>
          <w:color w:val="000000"/>
        </w:rPr>
        <w:t>de multiples parties prenantes</w:t>
      </w:r>
      <w:r w:rsidRPr="00F23DBF">
        <w:t>, mais aussi de veiller à ce que chaque manifestation identifie les éléments communs qui unissent les participants issus de diverses institutions et à ce que les invitations s'adressent aux participants présentant le bon profil dans chacun des groupes de parties prenantes principales de l'organisation.</w:t>
      </w:r>
    </w:p>
    <w:p w:rsidR="00BF51C8" w:rsidRPr="00224E45" w:rsidRDefault="00BF51C8" w:rsidP="00224E45">
      <w:r w:rsidRPr="00F23DBF">
        <w:t>4.3</w:t>
      </w:r>
      <w:r w:rsidRPr="00F23DBF">
        <w:tab/>
        <w:t>La segmentation des manifestations de haut niveau passerait également par le renforcement de la coordination assurée en interne pour planifier les manifestations, mais chaque manifestation conserverait ses propres équipes et ses propres ressources actuelles. Le nombre total de manifestations ne s'en trouverait pas réduit, pas plus que les répercussions au niveau des ressources de l'UIT.</w:t>
      </w:r>
    </w:p>
    <w:p w:rsidR="00BF51C8" w:rsidRPr="00224E45" w:rsidRDefault="00BF51C8" w:rsidP="00224E45">
      <w:pPr>
        <w:pStyle w:val="Heading1"/>
      </w:pPr>
      <w:r w:rsidRPr="00224E45">
        <w:t>5</w:t>
      </w:r>
      <w:r w:rsidRPr="00224E45">
        <w:tab/>
        <w:t xml:space="preserve">Mesures à prendre </w:t>
      </w:r>
    </w:p>
    <w:p w:rsidR="00BF51C8" w:rsidRPr="00F23DBF" w:rsidRDefault="00BF51C8" w:rsidP="00C4279B">
      <w:pPr>
        <w:rPr>
          <w:lang w:val="fr-CH"/>
        </w:rPr>
      </w:pPr>
      <w:r w:rsidRPr="00F23DBF">
        <w:rPr>
          <w:lang w:val="fr-CH"/>
        </w:rPr>
        <w:t>5.1</w:t>
      </w:r>
      <w:r w:rsidRPr="00F23DBF">
        <w:rPr>
          <w:lang w:val="fr-CH"/>
        </w:rPr>
        <w:tab/>
        <w:t>L'optimisation des manifestations de haut niveau à caractère mondial de l'UIT dépendra de l'approche qui sera adoptée, compte tenu des options présentées ci-dessus. La Conférence de plénipotentiaires de l'UIT est invitée à poursuivre les discussions</w:t>
      </w:r>
      <w:r w:rsidR="006C5EC8">
        <w:rPr>
          <w:lang w:val="fr-CH"/>
        </w:rPr>
        <w:t xml:space="preserve"> qui ont débuté à la session de </w:t>
      </w:r>
      <w:r w:rsidRPr="00F23DBF">
        <w:rPr>
          <w:lang w:val="fr-CH"/>
        </w:rPr>
        <w:t xml:space="preserve">2018 du Conseil et à fournir des indications supplémentaires au </w:t>
      </w:r>
      <w:r>
        <w:rPr>
          <w:lang w:val="fr-CH"/>
        </w:rPr>
        <w:t>s</w:t>
      </w:r>
      <w:r w:rsidRPr="00F23DBF">
        <w:rPr>
          <w:lang w:val="fr-CH"/>
        </w:rPr>
        <w:t xml:space="preserve">ecrétariat de l'UIT afin de faire progresser l'établissement d'un calendrier optimisé des </w:t>
      </w:r>
      <w:r w:rsidR="00C4279B">
        <w:rPr>
          <w:lang w:val="fr-CH"/>
        </w:rPr>
        <w:t>activité</w:t>
      </w:r>
      <w:r w:rsidRPr="00F23DBF">
        <w:rPr>
          <w:lang w:val="fr-CH"/>
        </w:rPr>
        <w:t>s à compter de 2019.</w:t>
      </w:r>
    </w:p>
    <w:p w:rsidR="00BF51C8" w:rsidRPr="00F23DBF" w:rsidRDefault="00BF51C8" w:rsidP="006C5EC8">
      <w:pPr>
        <w:pStyle w:val="enumlev1"/>
        <w:rPr>
          <w:lang w:val="fr-CH"/>
        </w:rPr>
      </w:pPr>
      <w:r w:rsidRPr="00F23DBF">
        <w:rPr>
          <w:lang w:val="fr-CH"/>
        </w:rPr>
        <w:t>•</w:t>
      </w:r>
      <w:r w:rsidRPr="00F23DBF">
        <w:rPr>
          <w:lang w:val="fr-CH"/>
        </w:rPr>
        <w:tab/>
        <w:t>Novembre 2018-juin 2019</w:t>
      </w:r>
      <w:r w:rsidR="006C5EC8">
        <w:rPr>
          <w:lang w:val="fr-CH"/>
        </w:rPr>
        <w:t xml:space="preserve">. </w:t>
      </w:r>
      <w:bookmarkStart w:id="7" w:name="_GoBack"/>
      <w:bookmarkEnd w:id="7"/>
      <w:r w:rsidRPr="00F23DBF">
        <w:rPr>
          <w:lang w:val="fr-CH"/>
        </w:rPr>
        <w:t>Le secrétariat de l'UIT examinerait le calendrier des manifestations de l'UIT et établirait un nouveau programme pour 2020, compte tenu des décisions que prendra la PP-18.</w:t>
      </w:r>
    </w:p>
    <w:p w:rsidR="00BF51C8" w:rsidRPr="00F23DBF" w:rsidRDefault="00BF51C8" w:rsidP="00224E45">
      <w:pPr>
        <w:pStyle w:val="enumlev1"/>
        <w:rPr>
          <w:lang w:val="fr-CH"/>
        </w:rPr>
      </w:pPr>
      <w:r w:rsidRPr="00F23DBF">
        <w:rPr>
          <w:lang w:val="fr-CH"/>
        </w:rPr>
        <w:t>•</w:t>
      </w:r>
      <w:r w:rsidRPr="00F23DBF">
        <w:rPr>
          <w:lang w:val="fr-CH"/>
        </w:rPr>
        <w:tab/>
        <w:t>A partir de janvier 2019. Le secrétariat de l'UIT enverrait une lettre d'invitation unique à toutes les administrations, pour annoncer le calendrier des manifestations à caractère mondial de l'UIT pour l'année.</w:t>
      </w:r>
    </w:p>
    <w:p w:rsidR="00BF51C8" w:rsidRPr="00F23DBF" w:rsidRDefault="00BF51C8" w:rsidP="00224E45">
      <w:pPr>
        <w:pStyle w:val="enumlev1"/>
        <w:rPr>
          <w:lang w:val="fr-CH"/>
        </w:rPr>
      </w:pPr>
      <w:r w:rsidRPr="00F23DBF">
        <w:rPr>
          <w:lang w:val="fr-CH"/>
        </w:rPr>
        <w:lastRenderedPageBreak/>
        <w:t>•</w:t>
      </w:r>
      <w:r w:rsidRPr="00F23DBF">
        <w:rPr>
          <w:lang w:val="fr-CH"/>
        </w:rPr>
        <w:tab/>
        <w:t xml:space="preserve">Juillet-novembre 2019. Tous les Bureaux adapteraient leurs calendriers et manifestations au nouveau programme élaboré suivant les indications fournies par </w:t>
      </w:r>
      <w:r w:rsidRPr="00F23DBF">
        <w:t>les</w:t>
      </w:r>
      <w:r w:rsidRPr="00F23DBF">
        <w:rPr>
          <w:lang w:val="fr-CH"/>
        </w:rPr>
        <w:t xml:space="preserve"> membres de l'UIT. Le cas échéant, le secrétariat de l'UIT étudierait la possibilité d'introduire des mesures d'efficacité entre les équipes chargées de l'organisation des manifestations. Le Groupe ISC</w:t>
      </w:r>
      <w:r w:rsidRPr="00F23DBF">
        <w:noBreakHyphen/>
      </w:r>
      <w:r w:rsidRPr="00F23DBF">
        <w:rPr>
          <w:lang w:val="fr-CH"/>
        </w:rPr>
        <w:t>TF établirait une équipe pour coordonner</w:t>
      </w:r>
      <w:r w:rsidRPr="00F23DBF">
        <w:rPr>
          <w:color w:val="000000"/>
          <w:lang w:val="fr-CH"/>
        </w:rPr>
        <w:t xml:space="preserve"> le contenu des manifestations de l'UIT, dans un souci</w:t>
      </w:r>
      <w:r w:rsidRPr="00F23DBF">
        <w:rPr>
          <w:lang w:val="fr-CH"/>
        </w:rPr>
        <w:t xml:space="preserve"> d'homogénéité.</w:t>
      </w:r>
    </w:p>
    <w:p w:rsidR="00BF51C8" w:rsidRPr="00F23DBF" w:rsidRDefault="00BF51C8" w:rsidP="00224E45">
      <w:pPr>
        <w:pStyle w:val="enumlev1"/>
        <w:rPr>
          <w:lang w:val="fr-CH"/>
        </w:rPr>
      </w:pPr>
      <w:r w:rsidRPr="00F23DBF">
        <w:rPr>
          <w:lang w:val="fr-CH"/>
        </w:rPr>
        <w:t>•</w:t>
      </w:r>
      <w:r w:rsidRPr="00F23DBF">
        <w:rPr>
          <w:lang w:val="fr-CH"/>
        </w:rPr>
        <w:tab/>
        <w:t>Janvier 2020. Le nouveau calendrier des manifestations de l'UIT entrerait en vigueur.</w:t>
      </w:r>
    </w:p>
    <w:p w:rsidR="006C5EC8" w:rsidRDefault="006C5EC8" w:rsidP="006C5EC8"/>
    <w:p w:rsidR="00BD1614" w:rsidRPr="00C4279B" w:rsidRDefault="006C5EC8" w:rsidP="006C5EC8">
      <w:pPr>
        <w:jc w:val="center"/>
        <w:rPr>
          <w:sz w:val="28"/>
          <w:szCs w:val="22"/>
        </w:rPr>
      </w:pPr>
      <w:r>
        <w:t>______________</w:t>
      </w:r>
    </w:p>
    <w:sectPr w:rsidR="00BD1614" w:rsidRPr="00C4279B" w:rsidSect="003A0B7D">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1C8" w:rsidRDefault="00BF51C8">
      <w:r>
        <w:separator/>
      </w:r>
    </w:p>
  </w:endnote>
  <w:endnote w:type="continuationSeparator" w:id="0">
    <w:p w:rsidR="00BF51C8" w:rsidRDefault="00BF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Pr="003E6056" w:rsidRDefault="003E6056" w:rsidP="003E6056">
    <w:pPr>
      <w:pStyle w:val="Footer"/>
      <w:rPr>
        <w:szCs w:val="16"/>
      </w:rPr>
    </w:pPr>
    <w:r w:rsidRPr="003E6056">
      <w:rPr>
        <w:szCs w:val="16"/>
      </w:rPr>
      <w:fldChar w:fldCharType="begin"/>
    </w:r>
    <w:r w:rsidRPr="003E6056">
      <w:rPr>
        <w:szCs w:val="16"/>
      </w:rPr>
      <w:instrText xml:space="preserve"> FILENAME \p  \* MERGEFORMAT </w:instrText>
    </w:r>
    <w:r w:rsidRPr="003E6056">
      <w:rPr>
        <w:szCs w:val="16"/>
      </w:rPr>
      <w:fldChar w:fldCharType="separate"/>
    </w:r>
    <w:r w:rsidR="00224E45">
      <w:rPr>
        <w:szCs w:val="16"/>
      </w:rPr>
      <w:t>P:\FRA\SG\CONF-SG\PP18\000\038F.docx</w:t>
    </w:r>
    <w:r w:rsidRPr="003E6056">
      <w:rPr>
        <w:szCs w:val="16"/>
      </w:rPr>
      <w:fldChar w:fldCharType="end"/>
    </w:r>
    <w:r>
      <w:rPr>
        <w:szCs w:val="16"/>
      </w:rPr>
      <w:t xml:space="preserve"> (439657</w:t>
    </w:r>
    <w:r w:rsidRPr="003E6056">
      <w:rPr>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1C8" w:rsidRDefault="00BF51C8">
      <w:r>
        <w:t>____________________</w:t>
      </w:r>
    </w:p>
  </w:footnote>
  <w:footnote w:type="continuationSeparator" w:id="0">
    <w:p w:rsidR="00BF51C8" w:rsidRDefault="00BF51C8">
      <w:r>
        <w:continuationSeparator/>
      </w:r>
    </w:p>
  </w:footnote>
  <w:footnote w:id="1">
    <w:p w:rsidR="00BF51C8" w:rsidRPr="00EA1D12" w:rsidRDefault="00BF51C8" w:rsidP="006C5EC8">
      <w:pPr>
        <w:pStyle w:val="FootnoteText"/>
        <w:rPr>
          <w:i/>
          <w:iCs/>
        </w:rPr>
      </w:pPr>
      <w:r w:rsidRPr="00EA1D12">
        <w:rPr>
          <w:rStyle w:val="FootnoteReference"/>
          <w:i/>
          <w:iCs/>
        </w:rPr>
        <w:footnoteRef/>
      </w:r>
      <w:r w:rsidRPr="00EA1D12">
        <w:rPr>
          <w:i/>
          <w:iCs/>
        </w:rPr>
        <w:tab/>
        <w:t>Ainsi, au sein des administrations publiques, les manifestations peuvent s'adresser aux Ministres, aux organismes de régulation, aux radiodiffuseurs ou aux responsables des questions internationales/des affaires étrangères, en fonction du thème sur lequel est véritablement axée la réunion/manifestation. De même, dans le secteur privé, on pourrait différencier les publics selon que les entités s'occupent de politiques publiques, de marketing et de communications, de gestion de la chaîne de l'offre, de recher</w:t>
      </w:r>
      <w:r w:rsidR="006C5EC8">
        <w:rPr>
          <w:i/>
          <w:iCs/>
        </w:rPr>
        <w:t>che-</w:t>
      </w:r>
      <w:r w:rsidRPr="00EA1D12">
        <w:rPr>
          <w:i/>
          <w:iCs/>
        </w:rPr>
        <w:t xml:space="preserve">développement, d'ingénierie, de conception de produits, etc.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6C5EC8">
      <w:rPr>
        <w:noProof/>
      </w:rPr>
      <w:t>5</w:t>
    </w:r>
    <w:r>
      <w:fldChar w:fldCharType="end"/>
    </w:r>
  </w:p>
  <w:p w:rsidR="00BD1614" w:rsidRDefault="00BD1614" w:rsidP="001E2226">
    <w:pPr>
      <w:pStyle w:val="Header"/>
    </w:pPr>
    <w:r>
      <w:t>PP1</w:t>
    </w:r>
    <w:r w:rsidR="001E2226">
      <w:t>8</w:t>
    </w:r>
    <w:r w:rsidR="003E6056">
      <w:t>/38</w:t>
    </w:r>
    <w:r w:rsidR="0041765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D9201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2F2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7EFF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AE7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624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C099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66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889F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2E61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702E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1C8"/>
    <w:rsid w:val="000054D8"/>
    <w:rsid w:val="00060D74"/>
    <w:rsid w:val="00072D5C"/>
    <w:rsid w:val="0008398C"/>
    <w:rsid w:val="00084308"/>
    <w:rsid w:val="000B14B6"/>
    <w:rsid w:val="000C467B"/>
    <w:rsid w:val="000D15FB"/>
    <w:rsid w:val="000F58F7"/>
    <w:rsid w:val="001051E4"/>
    <w:rsid w:val="0011448D"/>
    <w:rsid w:val="001354EA"/>
    <w:rsid w:val="00136FCE"/>
    <w:rsid w:val="00153BA4"/>
    <w:rsid w:val="001941AD"/>
    <w:rsid w:val="001A0682"/>
    <w:rsid w:val="001B4D8D"/>
    <w:rsid w:val="001D31B2"/>
    <w:rsid w:val="001E1B9B"/>
    <w:rsid w:val="001E2226"/>
    <w:rsid w:val="001F6233"/>
    <w:rsid w:val="00224E45"/>
    <w:rsid w:val="002355CD"/>
    <w:rsid w:val="00270B2F"/>
    <w:rsid w:val="002A0E1B"/>
    <w:rsid w:val="002C1059"/>
    <w:rsid w:val="002C2461"/>
    <w:rsid w:val="002C2F9C"/>
    <w:rsid w:val="00322DEA"/>
    <w:rsid w:val="00355FBD"/>
    <w:rsid w:val="00381461"/>
    <w:rsid w:val="003A0B7D"/>
    <w:rsid w:val="003A45C2"/>
    <w:rsid w:val="003C4BE2"/>
    <w:rsid w:val="003D147D"/>
    <w:rsid w:val="003D637A"/>
    <w:rsid w:val="003E6056"/>
    <w:rsid w:val="004006C1"/>
    <w:rsid w:val="00417658"/>
    <w:rsid w:val="00430015"/>
    <w:rsid w:val="004678D0"/>
    <w:rsid w:val="00482954"/>
    <w:rsid w:val="004951C0"/>
    <w:rsid w:val="00512226"/>
    <w:rsid w:val="00524001"/>
    <w:rsid w:val="00564B63"/>
    <w:rsid w:val="00575DC7"/>
    <w:rsid w:val="005836C2"/>
    <w:rsid w:val="005A4EFD"/>
    <w:rsid w:val="005A5ABE"/>
    <w:rsid w:val="005C2ECC"/>
    <w:rsid w:val="005C6744"/>
    <w:rsid w:val="005E419E"/>
    <w:rsid w:val="005F037E"/>
    <w:rsid w:val="005F63BD"/>
    <w:rsid w:val="00611CF1"/>
    <w:rsid w:val="006201D9"/>
    <w:rsid w:val="006277DB"/>
    <w:rsid w:val="00635B7B"/>
    <w:rsid w:val="00655B98"/>
    <w:rsid w:val="006710E6"/>
    <w:rsid w:val="00686973"/>
    <w:rsid w:val="006A2656"/>
    <w:rsid w:val="006A6342"/>
    <w:rsid w:val="006B6C9C"/>
    <w:rsid w:val="006C5EC8"/>
    <w:rsid w:val="006C7AE3"/>
    <w:rsid w:val="006D55E8"/>
    <w:rsid w:val="006E1921"/>
    <w:rsid w:val="006F36F9"/>
    <w:rsid w:val="0070576B"/>
    <w:rsid w:val="00713335"/>
    <w:rsid w:val="00727C2F"/>
    <w:rsid w:val="00735F13"/>
    <w:rsid w:val="007717F2"/>
    <w:rsid w:val="00772E3B"/>
    <w:rsid w:val="0078134C"/>
    <w:rsid w:val="007A5830"/>
    <w:rsid w:val="00801256"/>
    <w:rsid w:val="008703CB"/>
    <w:rsid w:val="008B49C1"/>
    <w:rsid w:val="008B61AF"/>
    <w:rsid w:val="008C33C2"/>
    <w:rsid w:val="008C6137"/>
    <w:rsid w:val="008E2DB4"/>
    <w:rsid w:val="008F2FCE"/>
    <w:rsid w:val="00901DD5"/>
    <w:rsid w:val="0090735B"/>
    <w:rsid w:val="00912D5E"/>
    <w:rsid w:val="00934340"/>
    <w:rsid w:val="00956DC7"/>
    <w:rsid w:val="00966CD3"/>
    <w:rsid w:val="00987A20"/>
    <w:rsid w:val="0099714A"/>
    <w:rsid w:val="009A0E15"/>
    <w:rsid w:val="009D4037"/>
    <w:rsid w:val="009F0592"/>
    <w:rsid w:val="00A20E72"/>
    <w:rsid w:val="00A246DC"/>
    <w:rsid w:val="00A47BAF"/>
    <w:rsid w:val="00A542D3"/>
    <w:rsid w:val="00A5784F"/>
    <w:rsid w:val="00A8436E"/>
    <w:rsid w:val="00A95B66"/>
    <w:rsid w:val="00AE0667"/>
    <w:rsid w:val="00B41E0A"/>
    <w:rsid w:val="00B56DE0"/>
    <w:rsid w:val="00B71F12"/>
    <w:rsid w:val="00B96B1E"/>
    <w:rsid w:val="00BB2A6F"/>
    <w:rsid w:val="00BD1614"/>
    <w:rsid w:val="00BD5DA6"/>
    <w:rsid w:val="00BF51C8"/>
    <w:rsid w:val="00BF7D25"/>
    <w:rsid w:val="00C010C0"/>
    <w:rsid w:val="00C22E8C"/>
    <w:rsid w:val="00C40CB5"/>
    <w:rsid w:val="00C4279B"/>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34BBF"/>
    <w:rsid w:val="00E443FA"/>
    <w:rsid w:val="00E54FCE"/>
    <w:rsid w:val="00E60DA1"/>
    <w:rsid w:val="00E93D35"/>
    <w:rsid w:val="00EA45DB"/>
    <w:rsid w:val="00ED2CD9"/>
    <w:rsid w:val="00F07DA7"/>
    <w:rsid w:val="00F564C1"/>
    <w:rsid w:val="00F77FA2"/>
    <w:rsid w:val="00F8357A"/>
    <w:rsid w:val="00FA1B77"/>
    <w:rsid w:val="00FB4B65"/>
    <w:rsid w:val="00FB5741"/>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50C9E82-45DE-4EC3-8DE6-4953B8DC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Figuretitle">
    <w:name w:val="Figure_title"/>
    <w:basedOn w:val="Tabletitle"/>
    <w:next w:val="Normalaftertitle"/>
    <w:rsid w:val="00BF51C8"/>
    <w:pPr>
      <w:spacing w:before="240" w:after="480"/>
    </w:pPr>
  </w:style>
  <w:style w:type="paragraph" w:customStyle="1" w:styleId="Table">
    <w:name w:val="Table_#"/>
    <w:basedOn w:val="Normal"/>
    <w:next w:val="Normal"/>
    <w:rsid w:val="00BF51C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basedOn w:val="DefaultParagraphFont"/>
    <w:link w:val="FootnoteText"/>
    <w:rsid w:val="00BF51C8"/>
    <w:rPr>
      <w:rFonts w:ascii="Calibri" w:hAnsi="Calibri"/>
      <w:sz w:val="24"/>
      <w:lang w:val="fr-FR" w:eastAsia="en-US"/>
    </w:rPr>
  </w:style>
  <w:style w:type="paragraph" w:styleId="ListParagraph">
    <w:name w:val="List Paragraph"/>
    <w:basedOn w:val="Normal"/>
    <w:uiPriority w:val="34"/>
    <w:qFormat/>
    <w:rsid w:val="00BF51C8"/>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Cs w:val="22"/>
      <w:lang w:val="en-US" w:eastAsia="zh-CN"/>
    </w:rPr>
  </w:style>
  <w:style w:type="table" w:styleId="TableGrid">
    <w:name w:val="Table Grid"/>
    <w:basedOn w:val="TableNormal"/>
    <w:rsid w:val="00BF5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atin14pt">
    <w:name w:val="Normal + (Latin) 14 pt"/>
    <w:aliases w:val="(Complex) 11 pt"/>
    <w:basedOn w:val="Normal"/>
    <w:rsid w:val="00C4279B"/>
    <w:rPr>
      <w:sz w:val="28"/>
      <w:szCs w:val="22"/>
      <w:lang w:val="fr-CH"/>
    </w:rPr>
  </w:style>
  <w:style w:type="paragraph" w:customStyle="1" w:styleId="Figurenumero">
    <w:name w:val="Figure_numero"/>
    <w:basedOn w:val="Figuretitle"/>
    <w:rsid w:val="00C4279B"/>
  </w:style>
  <w:style w:type="paragraph" w:customStyle="1" w:styleId="Title10">
    <w:name w:val="Title1"/>
    <w:basedOn w:val="Title1"/>
    <w:rsid w:val="003E6056"/>
    <w:pPr>
      <w:framePr w:hSpace="180" w:wrap="around" w:hAnchor="margin" w:y="-675"/>
    </w:pPr>
    <w:rPr>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55/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18-CLCWGFHRM8-C-0028/fr" TargetMode="External"/><Relationship Id="rId4" Type="http://schemas.openxmlformats.org/officeDocument/2006/relationships/settings" Target="settings.xml"/><Relationship Id="rId9" Type="http://schemas.openxmlformats.org/officeDocument/2006/relationships/hyperlink" Target="https://www.itu.int/md/S17-CL-C-0089/fr"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onso\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903B0-EF7F-474B-B067-7E09AB48F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PF_PP18.dotx</Template>
  <TotalTime>162</TotalTime>
  <Pages>5</Pages>
  <Words>1543</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10601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Afonso de Castro, Fabio</dc:creator>
  <cp:keywords/>
  <dc:description/>
  <cp:lastModifiedBy>Royer, Veronique</cp:lastModifiedBy>
  <cp:revision>9</cp:revision>
  <cp:lastPrinted>2018-08-02T06:24:00Z</cp:lastPrinted>
  <dcterms:created xsi:type="dcterms:W3CDTF">2018-08-01T09:25:00Z</dcterms:created>
  <dcterms:modified xsi:type="dcterms:W3CDTF">2018-08-02T08:29:00Z</dcterms:modified>
  <cp:category>Conference document</cp:category>
</cp:coreProperties>
</file>