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176135" w14:paraId="47F84CCF" w14:textId="77777777" w:rsidTr="00E26429">
        <w:trPr>
          <w:cantSplit/>
        </w:trPr>
        <w:tc>
          <w:tcPr>
            <w:tcW w:w="6629" w:type="dxa"/>
            <w:vAlign w:val="center"/>
          </w:tcPr>
          <w:p w14:paraId="40F18CA3" w14:textId="77777777" w:rsidR="001A16ED" w:rsidRPr="00176135" w:rsidRDefault="001A16ED" w:rsidP="00467B89">
            <w:pPr>
              <w:spacing w:before="240" w:after="48" w:line="240" w:lineRule="atLeast"/>
              <w:rPr>
                <w:rFonts w:cstheme="minorHAnsi"/>
                <w:b/>
                <w:bCs/>
                <w:position w:val="6"/>
                <w:sz w:val="28"/>
                <w:szCs w:val="28"/>
              </w:rPr>
            </w:pPr>
            <w:bookmarkStart w:id="0" w:name="dpp"/>
            <w:bookmarkEnd w:id="0"/>
            <w:r w:rsidRPr="00176135">
              <w:rPr>
                <w:rFonts w:cs="Times"/>
                <w:b/>
                <w:position w:val="6"/>
                <w:sz w:val="30"/>
                <w:szCs w:val="30"/>
              </w:rPr>
              <w:t>Plenipotentiary Conference (PP-1</w:t>
            </w:r>
            <w:r w:rsidR="004F7925" w:rsidRPr="00176135">
              <w:rPr>
                <w:rFonts w:cs="Times"/>
                <w:b/>
                <w:position w:val="6"/>
                <w:sz w:val="30"/>
                <w:szCs w:val="30"/>
              </w:rPr>
              <w:t>8</w:t>
            </w:r>
            <w:r w:rsidRPr="00176135">
              <w:rPr>
                <w:rFonts w:cs="Times"/>
                <w:b/>
                <w:position w:val="6"/>
                <w:sz w:val="30"/>
                <w:szCs w:val="30"/>
              </w:rPr>
              <w:t>)</w:t>
            </w:r>
            <w:r w:rsidRPr="00176135">
              <w:rPr>
                <w:rFonts w:cs="Times"/>
                <w:b/>
                <w:position w:val="6"/>
                <w:sz w:val="26"/>
                <w:szCs w:val="26"/>
              </w:rPr>
              <w:br/>
            </w:r>
            <w:r w:rsidR="004F7925" w:rsidRPr="00176135">
              <w:rPr>
                <w:b/>
                <w:bCs/>
                <w:position w:val="6"/>
                <w:szCs w:val="24"/>
              </w:rPr>
              <w:t>Dubai</w:t>
            </w:r>
            <w:r w:rsidRPr="00176135">
              <w:rPr>
                <w:b/>
                <w:bCs/>
                <w:position w:val="6"/>
                <w:szCs w:val="24"/>
              </w:rPr>
              <w:t xml:space="preserve">, </w:t>
            </w:r>
            <w:r w:rsidR="004F7925" w:rsidRPr="00176135">
              <w:rPr>
                <w:b/>
                <w:bCs/>
                <w:position w:val="6"/>
                <w:szCs w:val="24"/>
              </w:rPr>
              <w:t>29</w:t>
            </w:r>
            <w:r w:rsidRPr="00176135">
              <w:rPr>
                <w:b/>
                <w:bCs/>
                <w:position w:val="6"/>
                <w:szCs w:val="24"/>
              </w:rPr>
              <w:t xml:space="preserve"> October – </w:t>
            </w:r>
            <w:r w:rsidR="004F7925" w:rsidRPr="00176135">
              <w:rPr>
                <w:b/>
                <w:bCs/>
                <w:position w:val="6"/>
                <w:szCs w:val="24"/>
              </w:rPr>
              <w:t>16</w:t>
            </w:r>
            <w:r w:rsidRPr="00176135">
              <w:rPr>
                <w:b/>
                <w:bCs/>
                <w:position w:val="6"/>
                <w:szCs w:val="24"/>
              </w:rPr>
              <w:t xml:space="preserve"> November 201</w:t>
            </w:r>
            <w:r w:rsidR="004F7925" w:rsidRPr="00176135">
              <w:rPr>
                <w:b/>
                <w:bCs/>
                <w:position w:val="6"/>
                <w:szCs w:val="24"/>
              </w:rPr>
              <w:t>8</w:t>
            </w:r>
          </w:p>
        </w:tc>
        <w:tc>
          <w:tcPr>
            <w:tcW w:w="3402" w:type="dxa"/>
          </w:tcPr>
          <w:p w14:paraId="0DAD2F32" w14:textId="77777777" w:rsidR="001A16ED" w:rsidRPr="00176135" w:rsidRDefault="001A16ED" w:rsidP="00467B89">
            <w:pPr>
              <w:spacing w:line="240" w:lineRule="atLeast"/>
              <w:rPr>
                <w:rFonts w:cstheme="minorHAnsi"/>
              </w:rPr>
            </w:pPr>
            <w:bookmarkStart w:id="1" w:name="ditulogo"/>
            <w:bookmarkEnd w:id="1"/>
            <w:r w:rsidRPr="00176135">
              <w:rPr>
                <w:rFonts w:cstheme="minorHAnsi"/>
                <w:noProof/>
                <w:lang w:val="en-US" w:eastAsia="zh-CN"/>
              </w:rPr>
              <w:drawing>
                <wp:inline distT="0" distB="0" distL="0" distR="0" wp14:anchorId="70ACADCF" wp14:editId="2B94C22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176135" w14:paraId="5E50D8E7" w14:textId="77777777" w:rsidTr="00AB2D04">
        <w:trPr>
          <w:cantSplit/>
        </w:trPr>
        <w:tc>
          <w:tcPr>
            <w:tcW w:w="6629" w:type="dxa"/>
            <w:tcBorders>
              <w:bottom w:val="single" w:sz="12" w:space="0" w:color="auto"/>
            </w:tcBorders>
          </w:tcPr>
          <w:p w14:paraId="1BA76B28" w14:textId="77777777" w:rsidR="001A16ED" w:rsidRPr="00176135" w:rsidRDefault="001A16ED" w:rsidP="00467B89">
            <w:pPr>
              <w:spacing w:before="0"/>
              <w:rPr>
                <w:rFonts w:cstheme="minorHAnsi"/>
                <w:b/>
                <w:smallCaps/>
                <w:szCs w:val="24"/>
              </w:rPr>
            </w:pPr>
            <w:bookmarkStart w:id="2" w:name="dhead"/>
          </w:p>
        </w:tc>
        <w:tc>
          <w:tcPr>
            <w:tcW w:w="3402" w:type="dxa"/>
            <w:tcBorders>
              <w:bottom w:val="single" w:sz="12" w:space="0" w:color="auto"/>
            </w:tcBorders>
          </w:tcPr>
          <w:p w14:paraId="00C69BBA" w14:textId="77777777" w:rsidR="001A16ED" w:rsidRPr="00176135" w:rsidRDefault="001A16ED" w:rsidP="00467B89">
            <w:pPr>
              <w:spacing w:before="0"/>
              <w:rPr>
                <w:rFonts w:cstheme="minorHAnsi"/>
                <w:szCs w:val="24"/>
              </w:rPr>
            </w:pPr>
          </w:p>
        </w:tc>
      </w:tr>
      <w:tr w:rsidR="001A16ED" w:rsidRPr="00176135" w14:paraId="2D989950" w14:textId="77777777" w:rsidTr="00AB2D04">
        <w:trPr>
          <w:cantSplit/>
        </w:trPr>
        <w:tc>
          <w:tcPr>
            <w:tcW w:w="6629" w:type="dxa"/>
            <w:tcBorders>
              <w:top w:val="single" w:sz="12" w:space="0" w:color="auto"/>
            </w:tcBorders>
          </w:tcPr>
          <w:p w14:paraId="5E9E07CF" w14:textId="77777777" w:rsidR="001A16ED" w:rsidRPr="00176135" w:rsidRDefault="001A16ED" w:rsidP="00467B89">
            <w:pPr>
              <w:spacing w:before="0"/>
              <w:rPr>
                <w:rFonts w:cstheme="minorHAnsi"/>
                <w:b/>
                <w:smallCaps/>
                <w:sz w:val="20"/>
              </w:rPr>
            </w:pPr>
          </w:p>
        </w:tc>
        <w:tc>
          <w:tcPr>
            <w:tcW w:w="3402" w:type="dxa"/>
            <w:tcBorders>
              <w:top w:val="single" w:sz="12" w:space="0" w:color="auto"/>
            </w:tcBorders>
          </w:tcPr>
          <w:p w14:paraId="6F9E7919" w14:textId="77777777" w:rsidR="001A16ED" w:rsidRPr="00176135" w:rsidRDefault="001A16ED" w:rsidP="00467B89">
            <w:pPr>
              <w:spacing w:before="0"/>
              <w:rPr>
                <w:rFonts w:cstheme="minorHAnsi"/>
                <w:sz w:val="20"/>
              </w:rPr>
            </w:pPr>
          </w:p>
        </w:tc>
      </w:tr>
      <w:tr w:rsidR="001A16ED" w:rsidRPr="00176135" w14:paraId="562269EB" w14:textId="77777777" w:rsidTr="00AB2D04">
        <w:trPr>
          <w:cantSplit/>
          <w:trHeight w:val="23"/>
        </w:trPr>
        <w:tc>
          <w:tcPr>
            <w:tcW w:w="6629" w:type="dxa"/>
            <w:shd w:val="clear" w:color="auto" w:fill="auto"/>
          </w:tcPr>
          <w:p w14:paraId="523E54D3" w14:textId="77777777" w:rsidR="001A16ED" w:rsidRPr="00176135" w:rsidRDefault="00E26429" w:rsidP="00467B89">
            <w:pPr>
              <w:pStyle w:val="Committee"/>
              <w:spacing w:after="0"/>
            </w:pPr>
            <w:bookmarkStart w:id="3" w:name="dnum" w:colFirst="1" w:colLast="1"/>
            <w:bookmarkStart w:id="4" w:name="dmeeting" w:colFirst="0" w:colLast="0"/>
            <w:bookmarkEnd w:id="2"/>
            <w:r w:rsidRPr="00176135">
              <w:t>PLENARY MEETING</w:t>
            </w:r>
          </w:p>
        </w:tc>
        <w:tc>
          <w:tcPr>
            <w:tcW w:w="3402" w:type="dxa"/>
          </w:tcPr>
          <w:p w14:paraId="3C48F66C" w14:textId="77777777" w:rsidR="001A16ED" w:rsidRPr="00176135" w:rsidRDefault="00E26429" w:rsidP="00467B89">
            <w:pPr>
              <w:tabs>
                <w:tab w:val="left" w:pos="851"/>
              </w:tabs>
              <w:spacing w:before="0"/>
              <w:rPr>
                <w:rFonts w:cstheme="minorHAnsi"/>
                <w:b/>
                <w:szCs w:val="24"/>
              </w:rPr>
            </w:pPr>
            <w:r w:rsidRPr="00176135">
              <w:rPr>
                <w:rFonts w:cstheme="minorHAnsi"/>
                <w:b/>
                <w:szCs w:val="24"/>
              </w:rPr>
              <w:t xml:space="preserve">Document </w:t>
            </w:r>
            <w:r w:rsidR="007408E6" w:rsidRPr="00176135">
              <w:rPr>
                <w:rFonts w:cstheme="minorHAnsi"/>
                <w:b/>
                <w:szCs w:val="24"/>
              </w:rPr>
              <w:t>PP-18/38</w:t>
            </w:r>
            <w:r w:rsidRPr="00176135">
              <w:rPr>
                <w:rFonts w:cstheme="minorHAnsi"/>
                <w:b/>
                <w:szCs w:val="24"/>
              </w:rPr>
              <w:t>-E</w:t>
            </w:r>
          </w:p>
        </w:tc>
      </w:tr>
      <w:tr w:rsidR="001A16ED" w:rsidRPr="00176135" w14:paraId="3B5CFEAE" w14:textId="77777777" w:rsidTr="00AB2D04">
        <w:trPr>
          <w:cantSplit/>
          <w:trHeight w:val="23"/>
        </w:trPr>
        <w:tc>
          <w:tcPr>
            <w:tcW w:w="6629" w:type="dxa"/>
            <w:shd w:val="clear" w:color="auto" w:fill="auto"/>
          </w:tcPr>
          <w:p w14:paraId="014650AA" w14:textId="77777777" w:rsidR="001A16ED" w:rsidRPr="00176135" w:rsidRDefault="001A16ED" w:rsidP="00467B89">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19139A4" w14:textId="3C130B84" w:rsidR="001A16ED" w:rsidRPr="00176135" w:rsidRDefault="00AE0652" w:rsidP="00AE0652">
            <w:pPr>
              <w:spacing w:before="0"/>
              <w:rPr>
                <w:rFonts w:cstheme="minorHAnsi"/>
                <w:szCs w:val="24"/>
              </w:rPr>
            </w:pPr>
            <w:r>
              <w:rPr>
                <w:rFonts w:cstheme="minorHAnsi"/>
                <w:b/>
                <w:szCs w:val="24"/>
              </w:rPr>
              <w:t>25</w:t>
            </w:r>
            <w:r w:rsidR="007408E6" w:rsidRPr="00176135">
              <w:rPr>
                <w:rFonts w:cstheme="minorHAnsi"/>
                <w:b/>
                <w:szCs w:val="24"/>
              </w:rPr>
              <w:t xml:space="preserve"> Ju</w:t>
            </w:r>
            <w:r w:rsidR="00296448">
              <w:rPr>
                <w:rFonts w:cstheme="minorHAnsi"/>
                <w:b/>
                <w:szCs w:val="24"/>
              </w:rPr>
              <w:t>ly</w:t>
            </w:r>
            <w:r w:rsidR="007408E6" w:rsidRPr="00176135">
              <w:rPr>
                <w:rFonts w:cstheme="minorHAnsi"/>
                <w:b/>
                <w:szCs w:val="24"/>
              </w:rPr>
              <w:t xml:space="preserve"> </w:t>
            </w:r>
            <w:r w:rsidR="00E26429" w:rsidRPr="00176135">
              <w:rPr>
                <w:rFonts w:cstheme="minorHAnsi"/>
                <w:b/>
                <w:szCs w:val="24"/>
              </w:rPr>
              <w:t>2018</w:t>
            </w:r>
          </w:p>
        </w:tc>
      </w:tr>
      <w:tr w:rsidR="001A16ED" w:rsidRPr="00176135" w14:paraId="1AA984E7" w14:textId="77777777" w:rsidTr="00AB2D04">
        <w:trPr>
          <w:cantSplit/>
          <w:trHeight w:val="23"/>
        </w:trPr>
        <w:tc>
          <w:tcPr>
            <w:tcW w:w="6629" w:type="dxa"/>
            <w:shd w:val="clear" w:color="auto" w:fill="auto"/>
          </w:tcPr>
          <w:p w14:paraId="79A31DBA" w14:textId="77777777" w:rsidR="001A16ED" w:rsidRPr="00176135" w:rsidRDefault="001A16ED" w:rsidP="00467B89">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01B8693A" w14:textId="77777777" w:rsidR="001A16ED" w:rsidRPr="00176135" w:rsidRDefault="00E26429" w:rsidP="00467B89">
            <w:pPr>
              <w:tabs>
                <w:tab w:val="left" w:pos="993"/>
              </w:tabs>
              <w:spacing w:before="0"/>
              <w:rPr>
                <w:rFonts w:cstheme="minorHAnsi"/>
                <w:b/>
                <w:szCs w:val="24"/>
              </w:rPr>
            </w:pPr>
            <w:r w:rsidRPr="00176135">
              <w:rPr>
                <w:rFonts w:cstheme="minorHAnsi"/>
                <w:b/>
                <w:szCs w:val="24"/>
              </w:rPr>
              <w:t>Original: English</w:t>
            </w:r>
          </w:p>
        </w:tc>
      </w:tr>
      <w:tr w:rsidR="001A16ED" w:rsidRPr="00176135" w14:paraId="15E45995" w14:textId="77777777" w:rsidTr="006A046E">
        <w:trPr>
          <w:cantSplit/>
          <w:trHeight w:val="23"/>
        </w:trPr>
        <w:tc>
          <w:tcPr>
            <w:tcW w:w="10031" w:type="dxa"/>
            <w:gridSpan w:val="2"/>
            <w:shd w:val="clear" w:color="auto" w:fill="auto"/>
          </w:tcPr>
          <w:p w14:paraId="745C598D" w14:textId="77777777" w:rsidR="001A16ED" w:rsidRPr="00176135" w:rsidRDefault="001A16ED" w:rsidP="00467B89">
            <w:pPr>
              <w:tabs>
                <w:tab w:val="left" w:pos="993"/>
              </w:tabs>
              <w:rPr>
                <w:rFonts w:ascii="Verdana" w:hAnsi="Verdana"/>
                <w:b/>
                <w:szCs w:val="24"/>
              </w:rPr>
            </w:pPr>
          </w:p>
        </w:tc>
      </w:tr>
      <w:tr w:rsidR="001A16ED" w:rsidRPr="00176135" w14:paraId="5617814A" w14:textId="77777777" w:rsidTr="006A046E">
        <w:trPr>
          <w:cantSplit/>
          <w:trHeight w:val="23"/>
        </w:trPr>
        <w:tc>
          <w:tcPr>
            <w:tcW w:w="10031" w:type="dxa"/>
            <w:gridSpan w:val="2"/>
            <w:shd w:val="clear" w:color="auto" w:fill="auto"/>
          </w:tcPr>
          <w:p w14:paraId="744D5735" w14:textId="77777777" w:rsidR="001A16ED" w:rsidRPr="00176135" w:rsidRDefault="004D4EC7" w:rsidP="00467B89">
            <w:pPr>
              <w:pStyle w:val="Source"/>
            </w:pPr>
            <w:r w:rsidRPr="00176135">
              <w:t>Report</w:t>
            </w:r>
            <w:r w:rsidR="00732289" w:rsidRPr="00176135">
              <w:t xml:space="preserve"> by the Secretary-General</w:t>
            </w:r>
          </w:p>
        </w:tc>
      </w:tr>
      <w:tr w:rsidR="001A16ED" w:rsidRPr="00176135" w14:paraId="4F2C53A4" w14:textId="77777777" w:rsidTr="006A046E">
        <w:trPr>
          <w:cantSplit/>
          <w:trHeight w:val="23"/>
        </w:trPr>
        <w:tc>
          <w:tcPr>
            <w:tcW w:w="10031" w:type="dxa"/>
            <w:gridSpan w:val="2"/>
            <w:shd w:val="clear" w:color="auto" w:fill="auto"/>
          </w:tcPr>
          <w:tbl>
            <w:tblPr>
              <w:tblpPr w:leftFromText="180" w:rightFromText="180" w:bottomFromText="160" w:horzAnchor="margin" w:tblpY="-675"/>
              <w:tblW w:w="0" w:type="dxa"/>
              <w:tblLayout w:type="fixed"/>
              <w:tblLook w:val="04A0" w:firstRow="1" w:lastRow="0" w:firstColumn="1" w:lastColumn="0" w:noHBand="0" w:noVBand="1"/>
            </w:tblPr>
            <w:tblGrid>
              <w:gridCol w:w="10031"/>
            </w:tblGrid>
            <w:tr w:rsidR="007408E6" w:rsidRPr="00176135" w14:paraId="365953C5" w14:textId="77777777" w:rsidTr="007408E6">
              <w:trPr>
                <w:cantSplit/>
              </w:trPr>
              <w:tc>
                <w:tcPr>
                  <w:tcW w:w="10031" w:type="dxa"/>
                  <w:hideMark/>
                </w:tcPr>
                <w:p w14:paraId="5EC7E998" w14:textId="600B5B5B" w:rsidR="007408E6" w:rsidRPr="00176135" w:rsidRDefault="007408E6" w:rsidP="00467B89">
                  <w:pPr>
                    <w:pStyle w:val="Title1"/>
                    <w:spacing w:line="256" w:lineRule="auto"/>
                  </w:pPr>
                  <w:r w:rsidRPr="00176135">
                    <w:t>Optimization of ITU</w:t>
                  </w:r>
                  <w:r w:rsidR="00295CEA">
                    <w:t>’</w:t>
                  </w:r>
                  <w:r w:rsidRPr="00176135">
                    <w:t>s High-Level Events of a global nature</w:t>
                  </w:r>
                </w:p>
              </w:tc>
            </w:tr>
          </w:tbl>
          <w:p w14:paraId="1BEF8775" w14:textId="77777777" w:rsidR="001A16ED" w:rsidRPr="00176135" w:rsidRDefault="001A16ED" w:rsidP="00467B89">
            <w:pPr>
              <w:pStyle w:val="Title1"/>
            </w:pPr>
          </w:p>
        </w:tc>
      </w:tr>
      <w:bookmarkEnd w:id="7"/>
      <w:bookmarkEnd w:id="8"/>
    </w:tbl>
    <w:p w14:paraId="7291A6FF" w14:textId="77777777" w:rsidR="004D4EC7" w:rsidRPr="00176135" w:rsidRDefault="004D4EC7" w:rsidP="00467B89"/>
    <w:tbl>
      <w:tblPr>
        <w:tblStyle w:val="TableGrid"/>
        <w:tblW w:w="9629"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29"/>
      </w:tblGrid>
      <w:tr w:rsidR="004D4EC7" w:rsidRPr="00176135" w14:paraId="7C70309F" w14:textId="77777777" w:rsidTr="004D4EC7">
        <w:tc>
          <w:tcPr>
            <w:tcW w:w="9629" w:type="dxa"/>
            <w:vAlign w:val="center"/>
          </w:tcPr>
          <w:p w14:paraId="58C07E78" w14:textId="77777777" w:rsidR="007408E6" w:rsidRPr="00176135" w:rsidRDefault="007408E6" w:rsidP="00467B89">
            <w:pPr>
              <w:pStyle w:val="Headingb"/>
              <w:spacing w:line="256" w:lineRule="auto"/>
            </w:pPr>
            <w:r w:rsidRPr="00176135">
              <w:t>Summary</w:t>
            </w:r>
          </w:p>
          <w:p w14:paraId="6BC0A8EB" w14:textId="121EF5E4" w:rsidR="007408E6" w:rsidRPr="00176135" w:rsidRDefault="007408E6" w:rsidP="00467B89">
            <w:pPr>
              <w:spacing w:line="256" w:lineRule="auto"/>
            </w:pPr>
            <w:r w:rsidRPr="00176135">
              <w:t xml:space="preserve">The following document presents options to </w:t>
            </w:r>
            <w:bookmarkStart w:id="9" w:name="_GoBack"/>
            <w:r w:rsidRPr="00176135">
              <w:t>optimize ITU</w:t>
            </w:r>
            <w:r w:rsidR="00295CEA">
              <w:t>’</w:t>
            </w:r>
            <w:r w:rsidRPr="00176135">
              <w:t xml:space="preserve">s high-level events of a global nature </w:t>
            </w:r>
            <w:bookmarkEnd w:id="9"/>
            <w:r w:rsidRPr="00176135">
              <w:t>by 2020, following the considerations made by the 2018 Session of ITU Council.</w:t>
            </w:r>
          </w:p>
          <w:p w14:paraId="591D2BB7" w14:textId="77777777" w:rsidR="007408E6" w:rsidRPr="00176135" w:rsidRDefault="007408E6" w:rsidP="00467B89">
            <w:pPr>
              <w:pStyle w:val="Headingb"/>
              <w:spacing w:line="256" w:lineRule="auto"/>
            </w:pPr>
            <w:r w:rsidRPr="00176135">
              <w:t>Action required</w:t>
            </w:r>
          </w:p>
          <w:p w14:paraId="4F22FE7F" w14:textId="5B9D5D91" w:rsidR="007408E6" w:rsidRPr="00176135" w:rsidRDefault="007408E6" w:rsidP="00EA3F96">
            <w:pPr>
              <w:spacing w:after="120" w:line="256" w:lineRule="auto"/>
            </w:pPr>
            <w:r w:rsidRPr="00176135">
              <w:t xml:space="preserve">The </w:t>
            </w:r>
            <w:r w:rsidR="008942A1">
              <w:t xml:space="preserve">Plenipotentiary </w:t>
            </w:r>
            <w:r w:rsidR="00EA3F96" w:rsidRPr="00176135">
              <w:t>C</w:t>
            </w:r>
            <w:r w:rsidRPr="00176135">
              <w:t xml:space="preserve">onference is invited to </w:t>
            </w:r>
            <w:r w:rsidRPr="00176135">
              <w:rPr>
                <w:b/>
                <w:bCs/>
              </w:rPr>
              <w:t>consider</w:t>
            </w:r>
            <w:r w:rsidRPr="00176135">
              <w:t xml:space="preserve"> this report.</w:t>
            </w:r>
          </w:p>
          <w:p w14:paraId="0C8A2103" w14:textId="77777777" w:rsidR="007408E6" w:rsidRPr="00176135" w:rsidRDefault="007408E6" w:rsidP="00295CEA">
            <w:pPr>
              <w:pStyle w:val="Table"/>
              <w:keepNext w:val="0"/>
              <w:spacing w:before="120" w:line="256" w:lineRule="auto"/>
              <w:rPr>
                <w:rFonts w:ascii="Calibri" w:hAnsi="Calibri"/>
                <w:caps w:val="0"/>
                <w:sz w:val="22"/>
                <w:lang w:val="pt-BR"/>
              </w:rPr>
            </w:pPr>
            <w:r w:rsidRPr="00176135">
              <w:rPr>
                <w:rFonts w:ascii="Calibri" w:hAnsi="Calibri"/>
                <w:caps w:val="0"/>
                <w:sz w:val="22"/>
                <w:lang w:val="pt-BR"/>
              </w:rPr>
              <w:t>____________</w:t>
            </w:r>
          </w:p>
          <w:p w14:paraId="2A211F85" w14:textId="77777777" w:rsidR="007408E6" w:rsidRPr="00176135" w:rsidRDefault="007408E6" w:rsidP="00467B89">
            <w:pPr>
              <w:pStyle w:val="Headingb"/>
              <w:spacing w:line="256" w:lineRule="auto"/>
              <w:rPr>
                <w:lang w:val="pt-BR"/>
              </w:rPr>
            </w:pPr>
            <w:r w:rsidRPr="00176135">
              <w:rPr>
                <w:lang w:val="pt-BR"/>
              </w:rPr>
              <w:t>References</w:t>
            </w:r>
          </w:p>
          <w:p w14:paraId="53C30A55" w14:textId="77777777" w:rsidR="004D4EC7" w:rsidRPr="00176135" w:rsidRDefault="00DD307F" w:rsidP="00467B89">
            <w:hyperlink r:id="rId10" w:history="1">
              <w:r w:rsidR="007408E6" w:rsidRPr="00176135">
                <w:rPr>
                  <w:rStyle w:val="Hyperlink"/>
                  <w:rFonts w:cstheme="minorBidi"/>
                  <w:iCs/>
                  <w:szCs w:val="24"/>
                  <w:lang w:val="pt-BR" w:eastAsia="zh-CN"/>
                </w:rPr>
                <w:t>C17/89</w:t>
              </w:r>
            </w:hyperlink>
            <w:r w:rsidR="007408E6" w:rsidRPr="00176135">
              <w:rPr>
                <w:rFonts w:cstheme="minorBidi"/>
                <w:iCs/>
                <w:szCs w:val="24"/>
                <w:lang w:val="pt-BR" w:eastAsia="zh-CN"/>
              </w:rPr>
              <w:t xml:space="preserve">, </w:t>
            </w:r>
            <w:hyperlink r:id="rId11" w:history="1">
              <w:r w:rsidR="007408E6" w:rsidRPr="00176135">
                <w:rPr>
                  <w:rStyle w:val="Hyperlink"/>
                  <w:rFonts w:cs="Times New Roman Bold"/>
                  <w:spacing w:val="-4"/>
                  <w:lang w:val="pt-BR" w:eastAsia="zh-CN"/>
                </w:rPr>
                <w:t>CWG-FHR 8/28</w:t>
              </w:r>
            </w:hyperlink>
            <w:r w:rsidR="007408E6" w:rsidRPr="00176135">
              <w:t xml:space="preserve">, </w:t>
            </w:r>
            <w:hyperlink r:id="rId12" w:history="1">
              <w:r w:rsidR="007408E6" w:rsidRPr="00176135">
                <w:rPr>
                  <w:rStyle w:val="Hyperlink"/>
                  <w:lang w:val="pt-BR"/>
                </w:rPr>
                <w:t>C18/55</w:t>
              </w:r>
            </w:hyperlink>
          </w:p>
        </w:tc>
      </w:tr>
    </w:tbl>
    <w:p w14:paraId="77064A7B" w14:textId="77777777" w:rsidR="00467B89" w:rsidRPr="00176135" w:rsidRDefault="00467B89" w:rsidP="00467B89">
      <w:pPr>
        <w:pStyle w:val="ListParagraph"/>
        <w:numPr>
          <w:ilvl w:val="0"/>
          <w:numId w:val="2"/>
        </w:numPr>
        <w:tabs>
          <w:tab w:val="clear" w:pos="567"/>
          <w:tab w:val="clear" w:pos="1134"/>
          <w:tab w:val="clear" w:pos="1701"/>
          <w:tab w:val="clear" w:pos="2268"/>
          <w:tab w:val="clear" w:pos="2835"/>
        </w:tabs>
        <w:overflowPunct/>
        <w:autoSpaceDE/>
        <w:autoSpaceDN/>
        <w:adjustRightInd/>
        <w:spacing w:before="360" w:after="120"/>
        <w:ind w:left="709" w:hanging="709"/>
        <w:contextualSpacing w:val="0"/>
        <w:jc w:val="both"/>
        <w:textAlignment w:val="auto"/>
        <w:outlineLvl w:val="0"/>
        <w:rPr>
          <w:rFonts w:asciiTheme="minorHAnsi" w:hAnsiTheme="minorHAnsi" w:cstheme="minorHAnsi"/>
          <w:color w:val="000000"/>
          <w:szCs w:val="24"/>
          <w:shd w:val="clear" w:color="auto" w:fill="FFFFFF"/>
          <w:lang w:eastAsia="zh-CN"/>
        </w:rPr>
      </w:pPr>
      <w:r w:rsidRPr="00176135">
        <w:rPr>
          <w:b/>
          <w:bCs/>
          <w:szCs w:val="24"/>
        </w:rPr>
        <w:t>Background</w:t>
      </w:r>
    </w:p>
    <w:p w14:paraId="4764414D" w14:textId="5057810A" w:rsidR="00467B89" w:rsidRPr="00176135" w:rsidRDefault="00467B89" w:rsidP="00467B89">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rFonts w:cstheme="minorBidi"/>
          <w:iCs/>
          <w:szCs w:val="24"/>
        </w:rPr>
      </w:pPr>
      <w:r w:rsidRPr="00176135">
        <w:rPr>
          <w:iCs/>
          <w:szCs w:val="24"/>
        </w:rPr>
        <w:t>The increasing complexity of the information and communication technology (ICT) sector has led to an increase in the total number of events organized by the Union throughout the year. As a reference, in 2018 ITU organized a broad variety of events, both in Geneva as well as hosted by ITU Member States, including ITU conferences, seminars, forums, symposiums</w:t>
      </w:r>
      <w:r w:rsidR="00295CEA">
        <w:rPr>
          <w:iCs/>
          <w:szCs w:val="24"/>
        </w:rPr>
        <w:t>,</w:t>
      </w:r>
      <w:r w:rsidRPr="00176135">
        <w:rPr>
          <w:iCs/>
          <w:szCs w:val="24"/>
        </w:rPr>
        <w:t xml:space="preserve"> and workshops in addition to the traditional study group meetings.</w:t>
      </w:r>
    </w:p>
    <w:p w14:paraId="6C2A011C" w14:textId="68BD23E8" w:rsidR="00467B89" w:rsidRPr="00176135" w:rsidRDefault="00467B89" w:rsidP="00176135">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iCs/>
          <w:szCs w:val="24"/>
        </w:rPr>
      </w:pPr>
      <w:r w:rsidRPr="00176135">
        <w:rPr>
          <w:iCs/>
          <w:szCs w:val="24"/>
        </w:rPr>
        <w:t>The ITU secretariat continues its efforts to develop a coordinated calendar of activities and events, taking account of the different audiences and topics for each event. This effort is led by the ITU Inter-Sectoral Coordination Task Force (ISC-TF). Despite the progress made in recent years</w:t>
      </w:r>
      <w:r w:rsidR="00295CEA">
        <w:rPr>
          <w:iCs/>
          <w:szCs w:val="24"/>
        </w:rPr>
        <w:t>,</w:t>
      </w:r>
      <w:r w:rsidRPr="00176135">
        <w:rPr>
          <w:iCs/>
          <w:szCs w:val="24"/>
        </w:rPr>
        <w:t xml:space="preserve"> a number of ITU </w:t>
      </w:r>
      <w:r w:rsidR="00EA3F96" w:rsidRPr="00176135">
        <w:rPr>
          <w:iCs/>
          <w:szCs w:val="24"/>
        </w:rPr>
        <w:t xml:space="preserve">Member States </w:t>
      </w:r>
      <w:r w:rsidRPr="00176135">
        <w:rPr>
          <w:iCs/>
          <w:szCs w:val="24"/>
        </w:rPr>
        <w:t xml:space="preserve">have requested the secretariat to make additional efforts to further </w:t>
      </w:r>
      <w:r w:rsidR="00295CEA">
        <w:rPr>
          <w:iCs/>
          <w:szCs w:val="24"/>
        </w:rPr>
        <w:t>“</w:t>
      </w:r>
      <w:r w:rsidRPr="00176135">
        <w:rPr>
          <w:iCs/>
          <w:szCs w:val="24"/>
        </w:rPr>
        <w:t>optimize ITU high-level events of global nature</w:t>
      </w:r>
      <w:r w:rsidR="00295CEA">
        <w:rPr>
          <w:iCs/>
          <w:szCs w:val="24"/>
        </w:rPr>
        <w:t>”</w:t>
      </w:r>
      <w:r w:rsidRPr="00176135">
        <w:rPr>
          <w:iCs/>
          <w:szCs w:val="24"/>
        </w:rPr>
        <w:t xml:space="preserve">, which have grown in number in recent years. </w:t>
      </w:r>
    </w:p>
    <w:p w14:paraId="29B267E7" w14:textId="56E42641" w:rsidR="00EC35FD" w:rsidRPr="008942A1" w:rsidRDefault="00467B89" w:rsidP="007C5EE5">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iCs/>
          <w:szCs w:val="24"/>
        </w:rPr>
      </w:pPr>
      <w:r w:rsidRPr="008942A1">
        <w:rPr>
          <w:iCs/>
          <w:szCs w:val="24"/>
        </w:rPr>
        <w:t xml:space="preserve">This document follows up on the discussion held at the 2017 and 2018 Sessions of </w:t>
      </w:r>
      <w:r w:rsidR="00295CEA">
        <w:rPr>
          <w:iCs/>
          <w:szCs w:val="24"/>
        </w:rPr>
        <w:t xml:space="preserve">the </w:t>
      </w:r>
      <w:r w:rsidRPr="008942A1">
        <w:rPr>
          <w:iCs/>
          <w:szCs w:val="24"/>
        </w:rPr>
        <w:t>Council, as well as on the CWG-FHR on this issue, and presents options for consideration of the 2</w:t>
      </w:r>
      <w:r w:rsidR="008942A1" w:rsidRPr="008942A1">
        <w:rPr>
          <w:iCs/>
          <w:szCs w:val="24"/>
        </w:rPr>
        <w:t>018 Plenipotentiary Conference.</w:t>
      </w:r>
    </w:p>
    <w:p w14:paraId="3C48C037" w14:textId="77777777" w:rsidR="00467B89" w:rsidRPr="00176135" w:rsidRDefault="00467B89" w:rsidP="008942A1">
      <w:pPr>
        <w:pStyle w:val="ListParagraph"/>
        <w:keepNext/>
        <w:keepLines/>
        <w:numPr>
          <w:ilvl w:val="0"/>
          <w:numId w:val="2"/>
        </w:numPr>
        <w:tabs>
          <w:tab w:val="clear" w:pos="567"/>
          <w:tab w:val="clear" w:pos="1134"/>
          <w:tab w:val="clear" w:pos="1701"/>
          <w:tab w:val="clear" w:pos="2268"/>
          <w:tab w:val="clear" w:pos="2835"/>
        </w:tabs>
        <w:overflowPunct/>
        <w:autoSpaceDE/>
        <w:autoSpaceDN/>
        <w:adjustRightInd/>
        <w:spacing w:after="120"/>
        <w:ind w:left="709" w:hanging="709"/>
        <w:contextualSpacing w:val="0"/>
        <w:jc w:val="both"/>
        <w:textAlignment w:val="auto"/>
        <w:outlineLvl w:val="0"/>
        <w:rPr>
          <w:rFonts w:cstheme="minorHAnsi"/>
          <w:color w:val="000000"/>
          <w:szCs w:val="24"/>
          <w:shd w:val="clear" w:color="auto" w:fill="FFFFFF"/>
        </w:rPr>
      </w:pPr>
      <w:r w:rsidRPr="00176135">
        <w:rPr>
          <w:b/>
          <w:bCs/>
          <w:szCs w:val="24"/>
        </w:rPr>
        <w:lastRenderedPageBreak/>
        <w:t>Considerations</w:t>
      </w:r>
    </w:p>
    <w:p w14:paraId="4E02D9C4" w14:textId="77777777" w:rsidR="00C87F2D" w:rsidRPr="00176135" w:rsidRDefault="00467B89" w:rsidP="008942A1">
      <w:pPr>
        <w:pStyle w:val="ListParagraph"/>
        <w:keepNext/>
        <w:keepLines/>
        <w:numPr>
          <w:ilvl w:val="1"/>
          <w:numId w:val="2"/>
        </w:numPr>
        <w:tabs>
          <w:tab w:val="clear" w:pos="567"/>
          <w:tab w:val="clear" w:pos="1134"/>
          <w:tab w:val="clear" w:pos="1701"/>
          <w:tab w:val="clear" w:pos="2268"/>
          <w:tab w:val="clear" w:pos="2835"/>
        </w:tabs>
        <w:overflowPunct/>
        <w:autoSpaceDE/>
        <w:autoSpaceDN/>
        <w:adjustRightInd/>
        <w:spacing w:after="120"/>
        <w:ind w:left="0" w:firstLine="0"/>
        <w:contextualSpacing w:val="0"/>
        <w:jc w:val="both"/>
        <w:textAlignment w:val="auto"/>
        <w:rPr>
          <w:rFonts w:cstheme="minorBidi"/>
          <w:iCs/>
          <w:szCs w:val="24"/>
        </w:rPr>
      </w:pPr>
      <w:r w:rsidRPr="00176135">
        <w:rPr>
          <w:i/>
          <w:iCs/>
          <w:szCs w:val="24"/>
        </w:rPr>
        <w:t xml:space="preserve">Scope. </w:t>
      </w:r>
      <w:r w:rsidRPr="00176135">
        <w:rPr>
          <w:iCs/>
          <w:szCs w:val="24"/>
        </w:rPr>
        <w:t>The scope of the proposal presented in this document is to optimize ITU high-level events of a global nature such as ITU Telecom, Global Symposium for Regulators (GSR), World Telecommunication/ICT Indicators Symposium, WSIS Forum, World Telecommunication/ Information and Communication Technology Policy Forum (WTPF) and ITU Kaleidoscope Academic Conference, etc.</w:t>
      </w:r>
    </w:p>
    <w:p w14:paraId="5E692199" w14:textId="33574AF1" w:rsidR="00467B89" w:rsidRPr="00176135" w:rsidRDefault="00C87F2D" w:rsidP="00176135">
      <w:pPr>
        <w:pStyle w:val="ListParagraph"/>
        <w:numPr>
          <w:ilvl w:val="1"/>
          <w:numId w:val="2"/>
        </w:numPr>
        <w:tabs>
          <w:tab w:val="clear" w:pos="567"/>
          <w:tab w:val="clear" w:pos="1134"/>
          <w:tab w:val="clear" w:pos="1701"/>
          <w:tab w:val="clear" w:pos="2268"/>
          <w:tab w:val="clear" w:pos="2835"/>
        </w:tabs>
        <w:overflowPunct/>
        <w:autoSpaceDE/>
        <w:autoSpaceDN/>
        <w:adjustRightInd/>
        <w:spacing w:after="120"/>
        <w:ind w:left="0" w:firstLine="0"/>
        <w:contextualSpacing w:val="0"/>
        <w:jc w:val="both"/>
        <w:textAlignment w:val="auto"/>
        <w:rPr>
          <w:rFonts w:cstheme="minorBidi"/>
          <w:iCs/>
          <w:szCs w:val="24"/>
        </w:rPr>
      </w:pPr>
      <w:r w:rsidRPr="00176135">
        <w:rPr>
          <w:i/>
          <w:iCs/>
          <w:szCs w:val="24"/>
        </w:rPr>
        <w:t>Events excluded from this exercise</w:t>
      </w:r>
      <w:r w:rsidRPr="00176135">
        <w:rPr>
          <w:szCs w:val="24"/>
        </w:rPr>
        <w:t xml:space="preserve">. Following the discussions held during the 2018 Session of </w:t>
      </w:r>
      <w:r w:rsidR="00295CEA">
        <w:rPr>
          <w:szCs w:val="24"/>
        </w:rPr>
        <w:t xml:space="preserve">the </w:t>
      </w:r>
      <w:r w:rsidRPr="00176135">
        <w:rPr>
          <w:szCs w:val="24"/>
        </w:rPr>
        <w:t xml:space="preserve">Council, the </w:t>
      </w:r>
      <w:r w:rsidR="00EA3F96" w:rsidRPr="00176135">
        <w:rPr>
          <w:szCs w:val="24"/>
        </w:rPr>
        <w:t xml:space="preserve">present document </w:t>
      </w:r>
      <w:r w:rsidRPr="00176135">
        <w:rPr>
          <w:szCs w:val="24"/>
        </w:rPr>
        <w:t xml:space="preserve">excludes the </w:t>
      </w:r>
      <w:r w:rsidR="00EA3F96" w:rsidRPr="00176135">
        <w:rPr>
          <w:szCs w:val="24"/>
        </w:rPr>
        <w:t xml:space="preserve">conferences, assemblies and other meetings referred to in </w:t>
      </w:r>
      <w:r w:rsidRPr="00176135">
        <w:rPr>
          <w:szCs w:val="24"/>
        </w:rPr>
        <w:t xml:space="preserve">the ITU Constitution and Convention, such as </w:t>
      </w:r>
      <w:r w:rsidR="00295CEA">
        <w:rPr>
          <w:szCs w:val="24"/>
        </w:rPr>
        <w:t>the ITU Plenipotentiary C</w:t>
      </w:r>
      <w:r w:rsidR="00EA3F96" w:rsidRPr="00176135">
        <w:rPr>
          <w:szCs w:val="24"/>
        </w:rPr>
        <w:t xml:space="preserve">onference, the </w:t>
      </w:r>
      <w:r w:rsidRPr="00176135">
        <w:rPr>
          <w:szCs w:val="24"/>
        </w:rPr>
        <w:t xml:space="preserve">ITU Council, or the </w:t>
      </w:r>
      <w:r w:rsidR="00467B89" w:rsidRPr="00176135">
        <w:rPr>
          <w:szCs w:val="24"/>
        </w:rPr>
        <w:t>Sector conferences</w:t>
      </w:r>
      <w:r w:rsidR="00EA3F96" w:rsidRPr="00176135">
        <w:rPr>
          <w:szCs w:val="24"/>
        </w:rPr>
        <w:t xml:space="preserve"> (world and regional)</w:t>
      </w:r>
      <w:r w:rsidR="00467B89" w:rsidRPr="00176135">
        <w:rPr>
          <w:szCs w:val="24"/>
        </w:rPr>
        <w:t xml:space="preserve"> and assemblies</w:t>
      </w:r>
      <w:r w:rsidRPr="00176135">
        <w:rPr>
          <w:szCs w:val="24"/>
        </w:rPr>
        <w:t>.</w:t>
      </w:r>
      <w:r w:rsidR="00467B89" w:rsidRPr="00176135">
        <w:rPr>
          <w:iCs/>
          <w:szCs w:val="24"/>
        </w:rPr>
        <w:t xml:space="preserve"> </w:t>
      </w:r>
    </w:p>
    <w:p w14:paraId="023ACBEB" w14:textId="77777777" w:rsidR="00467B89" w:rsidRPr="00176135" w:rsidRDefault="00467B89" w:rsidP="00467B89">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80"/>
        <w:ind w:left="0" w:firstLine="0"/>
        <w:contextualSpacing w:val="0"/>
        <w:jc w:val="both"/>
        <w:textAlignment w:val="auto"/>
        <w:rPr>
          <w:iCs/>
          <w:szCs w:val="24"/>
        </w:rPr>
      </w:pPr>
      <w:r w:rsidRPr="00176135">
        <w:rPr>
          <w:i/>
          <w:iCs/>
          <w:szCs w:val="24"/>
        </w:rPr>
        <w:t xml:space="preserve">Timeline. </w:t>
      </w:r>
      <w:r w:rsidRPr="00176135">
        <w:rPr>
          <w:iCs/>
          <w:szCs w:val="24"/>
        </w:rPr>
        <w:t xml:space="preserve">To define a new schedule starting from 2020, taking into consideration that the development of ITU´s calendar of activities for 2019 has already started. </w:t>
      </w:r>
    </w:p>
    <w:p w14:paraId="24ADA7FA" w14:textId="77777777" w:rsidR="00C87F2D" w:rsidRPr="00176135" w:rsidRDefault="00C87F2D" w:rsidP="00C87F2D">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80"/>
        <w:ind w:left="0" w:firstLine="0"/>
        <w:contextualSpacing w:val="0"/>
        <w:jc w:val="both"/>
        <w:textAlignment w:val="auto"/>
        <w:rPr>
          <w:iCs/>
          <w:szCs w:val="24"/>
        </w:rPr>
      </w:pPr>
      <w:r w:rsidRPr="00176135">
        <w:rPr>
          <w:i/>
          <w:iCs/>
          <w:szCs w:val="24"/>
        </w:rPr>
        <w:t>Rationalization.</w:t>
      </w:r>
      <w:r w:rsidRPr="00176135">
        <w:rPr>
          <w:iCs/>
          <w:szCs w:val="24"/>
        </w:rPr>
        <w:t xml:space="preserve"> The exercise of defining a new schedule for ITU events of global nature should aim at the rationalization of the annual calendar of ITU activities</w:t>
      </w:r>
      <w:r w:rsidR="00EA3F96" w:rsidRPr="00176135">
        <w:rPr>
          <w:iCs/>
          <w:szCs w:val="24"/>
        </w:rPr>
        <w:t>.</w:t>
      </w:r>
    </w:p>
    <w:p w14:paraId="3511DEBE" w14:textId="77777777" w:rsidR="00467B89" w:rsidRPr="00176135" w:rsidRDefault="00467B89" w:rsidP="00467B89">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80"/>
        <w:ind w:left="0" w:firstLine="0"/>
        <w:contextualSpacing w:val="0"/>
        <w:jc w:val="both"/>
        <w:textAlignment w:val="auto"/>
        <w:rPr>
          <w:iCs/>
          <w:szCs w:val="24"/>
        </w:rPr>
      </w:pPr>
      <w:r w:rsidRPr="00176135">
        <w:rPr>
          <w:i/>
          <w:iCs/>
          <w:szCs w:val="24"/>
        </w:rPr>
        <w:t xml:space="preserve">Co-location. </w:t>
      </w:r>
      <w:r w:rsidRPr="00176135">
        <w:rPr>
          <w:iCs/>
          <w:szCs w:val="24"/>
        </w:rPr>
        <w:t xml:space="preserve">Take account of recent positive experiences in collocating several ITU events around the same venue and dates. Examples of this includes the organization of the 2016 ITU Kaleidoscope Academic Conference (hosted back-to-back with ITU Telecom World 2016), as well as the organization of the Smart ABC programme in ITU Telecom World 2017 </w:t>
      </w:r>
      <w:r w:rsidR="00DF408B" w:rsidRPr="00176135">
        <w:rPr>
          <w:iCs/>
          <w:szCs w:val="24"/>
        </w:rPr>
        <w:t xml:space="preserve">and 2018 </w:t>
      </w:r>
      <w:r w:rsidRPr="00176135">
        <w:rPr>
          <w:iCs/>
          <w:szCs w:val="24"/>
        </w:rPr>
        <w:t>and the ITU-T Chief Technology Officers meeting. Such co</w:t>
      </w:r>
      <w:r w:rsidR="00EA3F96" w:rsidRPr="00176135">
        <w:rPr>
          <w:iCs/>
          <w:szCs w:val="24"/>
        </w:rPr>
        <w:t>-</w:t>
      </w:r>
      <w:r w:rsidRPr="00176135">
        <w:rPr>
          <w:iCs/>
          <w:szCs w:val="24"/>
        </w:rPr>
        <w:t>location allows each event to maintain a clear differentiation of audiences, focus, and agenda, while optimizing the cost and resources of organization.</w:t>
      </w:r>
    </w:p>
    <w:p w14:paraId="099ADCFE" w14:textId="77777777" w:rsidR="00467B89" w:rsidRPr="00176135" w:rsidRDefault="00467B89" w:rsidP="00467B89">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80"/>
        <w:ind w:left="0" w:firstLine="0"/>
        <w:contextualSpacing w:val="0"/>
        <w:jc w:val="both"/>
        <w:textAlignment w:val="auto"/>
        <w:rPr>
          <w:iCs/>
          <w:szCs w:val="24"/>
        </w:rPr>
      </w:pPr>
      <w:r w:rsidRPr="00176135">
        <w:rPr>
          <w:i/>
          <w:iCs/>
          <w:szCs w:val="24"/>
        </w:rPr>
        <w:t xml:space="preserve">Segmentation. </w:t>
      </w:r>
      <w:r w:rsidRPr="00176135">
        <w:rPr>
          <w:iCs/>
          <w:szCs w:val="24"/>
        </w:rPr>
        <w:t xml:space="preserve">The optimization of events can be achieved by narrowing the target audience for each event, aimed at offering only one event per year for a particular topic of interest to each of the core audiences involved in ITU´s activities. </w:t>
      </w:r>
    </w:p>
    <w:p w14:paraId="151CB812" w14:textId="0401D857" w:rsidR="00467B89" w:rsidRPr="00176135" w:rsidRDefault="00467B89" w:rsidP="00467B89">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80"/>
        <w:ind w:left="0" w:firstLine="0"/>
        <w:contextualSpacing w:val="0"/>
        <w:jc w:val="both"/>
        <w:textAlignment w:val="auto"/>
        <w:rPr>
          <w:iCs/>
          <w:szCs w:val="24"/>
        </w:rPr>
      </w:pPr>
      <w:r w:rsidRPr="00176135">
        <w:rPr>
          <w:i/>
          <w:iCs/>
          <w:szCs w:val="24"/>
        </w:rPr>
        <w:t>Events at ITU HQ and hosted events.</w:t>
      </w:r>
      <w:r w:rsidRPr="00176135">
        <w:rPr>
          <w:iCs/>
          <w:szCs w:val="24"/>
        </w:rPr>
        <w:t xml:space="preserve"> The proposal aims to balance ITU´s schedule of events in Geneva, with the recogniz</w:t>
      </w:r>
      <w:r w:rsidR="00B501C5">
        <w:rPr>
          <w:iCs/>
          <w:szCs w:val="24"/>
        </w:rPr>
        <w:t>ed</w:t>
      </w:r>
      <w:r w:rsidRPr="00176135">
        <w:rPr>
          <w:iCs/>
          <w:szCs w:val="24"/>
        </w:rPr>
        <w:t xml:space="preserve"> benefits of having ITU events hosted by Member States in the regions so as to facilitate participation and give the opportunity for ITU to become better known around the world. </w:t>
      </w:r>
    </w:p>
    <w:p w14:paraId="09CE3C12" w14:textId="77777777" w:rsidR="00467B89" w:rsidRPr="00176135" w:rsidRDefault="00467B89" w:rsidP="00467B89">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80"/>
        <w:ind w:left="0" w:firstLine="0"/>
        <w:contextualSpacing w:val="0"/>
        <w:jc w:val="both"/>
        <w:textAlignment w:val="auto"/>
        <w:rPr>
          <w:iCs/>
          <w:szCs w:val="24"/>
        </w:rPr>
      </w:pPr>
      <w:r w:rsidRPr="00176135">
        <w:rPr>
          <w:iCs/>
          <w:szCs w:val="24"/>
        </w:rPr>
        <w:t>With these considerations, there appear two options which will be developed in sections 3 and 4.</w:t>
      </w:r>
    </w:p>
    <w:p w14:paraId="47E3347D" w14:textId="55D5414B" w:rsidR="00467B89" w:rsidRPr="00176135" w:rsidRDefault="00467B89" w:rsidP="00DF408B">
      <w:pPr>
        <w:pStyle w:val="ListParagraph"/>
        <w:numPr>
          <w:ilvl w:val="0"/>
          <w:numId w:val="3"/>
        </w:numPr>
        <w:tabs>
          <w:tab w:val="clear" w:pos="567"/>
          <w:tab w:val="clear" w:pos="1134"/>
          <w:tab w:val="clear" w:pos="1701"/>
          <w:tab w:val="clear" w:pos="2268"/>
          <w:tab w:val="clear" w:pos="2835"/>
        </w:tabs>
        <w:overflowPunct/>
        <w:autoSpaceDE/>
        <w:autoSpaceDN/>
        <w:adjustRightInd/>
        <w:spacing w:before="0" w:after="160"/>
        <w:contextualSpacing w:val="0"/>
        <w:jc w:val="both"/>
        <w:textAlignment w:val="auto"/>
        <w:rPr>
          <w:iCs/>
          <w:szCs w:val="24"/>
        </w:rPr>
      </w:pPr>
      <w:r w:rsidRPr="00176135">
        <w:rPr>
          <w:iCs/>
          <w:szCs w:val="24"/>
        </w:rPr>
        <w:t xml:space="preserve">Option 1. Consolidation of ITU events around </w:t>
      </w:r>
      <w:r w:rsidR="00DF408B" w:rsidRPr="00176135">
        <w:rPr>
          <w:iCs/>
          <w:szCs w:val="24"/>
        </w:rPr>
        <w:t>t</w:t>
      </w:r>
      <w:r w:rsidR="00EE2FE6">
        <w:rPr>
          <w:iCs/>
          <w:szCs w:val="24"/>
        </w:rPr>
        <w:t>wo</w:t>
      </w:r>
      <w:r w:rsidRPr="00176135">
        <w:rPr>
          <w:iCs/>
          <w:szCs w:val="24"/>
        </w:rPr>
        <w:t xml:space="preserve"> periods per year. </w:t>
      </w:r>
    </w:p>
    <w:p w14:paraId="726170DB" w14:textId="77777777" w:rsidR="00467B89" w:rsidRPr="00176135" w:rsidRDefault="00467B89" w:rsidP="00467B89">
      <w:pPr>
        <w:pStyle w:val="ListParagraph"/>
        <w:numPr>
          <w:ilvl w:val="0"/>
          <w:numId w:val="3"/>
        </w:numPr>
        <w:tabs>
          <w:tab w:val="clear" w:pos="567"/>
          <w:tab w:val="clear" w:pos="1134"/>
          <w:tab w:val="clear" w:pos="1701"/>
          <w:tab w:val="clear" w:pos="2268"/>
          <w:tab w:val="clear" w:pos="2835"/>
        </w:tabs>
        <w:overflowPunct/>
        <w:autoSpaceDE/>
        <w:autoSpaceDN/>
        <w:adjustRightInd/>
        <w:spacing w:before="0" w:after="160"/>
        <w:contextualSpacing w:val="0"/>
        <w:jc w:val="both"/>
        <w:textAlignment w:val="auto"/>
        <w:rPr>
          <w:iCs/>
          <w:szCs w:val="24"/>
        </w:rPr>
      </w:pPr>
      <w:r w:rsidRPr="00176135">
        <w:rPr>
          <w:iCs/>
          <w:szCs w:val="24"/>
        </w:rPr>
        <w:t>Option 2. As option 1 but to segment the events into topic areas.</w:t>
      </w:r>
    </w:p>
    <w:p w14:paraId="1F336C69" w14:textId="77777777" w:rsidR="00467B89" w:rsidRPr="00176135" w:rsidRDefault="00467B89" w:rsidP="00467B89">
      <w:pPr>
        <w:pStyle w:val="ListParagraph"/>
        <w:numPr>
          <w:ilvl w:val="0"/>
          <w:numId w:val="2"/>
        </w:numPr>
        <w:tabs>
          <w:tab w:val="clear" w:pos="567"/>
          <w:tab w:val="clear" w:pos="1134"/>
          <w:tab w:val="clear" w:pos="1701"/>
          <w:tab w:val="clear" w:pos="2268"/>
          <w:tab w:val="clear" w:pos="2835"/>
        </w:tabs>
        <w:overflowPunct/>
        <w:autoSpaceDE/>
        <w:autoSpaceDN/>
        <w:adjustRightInd/>
        <w:spacing w:before="360" w:after="120"/>
        <w:ind w:left="709" w:hanging="709"/>
        <w:contextualSpacing w:val="0"/>
        <w:jc w:val="both"/>
        <w:textAlignment w:val="auto"/>
        <w:outlineLvl w:val="0"/>
        <w:rPr>
          <w:rFonts w:cstheme="minorHAnsi"/>
          <w:color w:val="000000"/>
          <w:szCs w:val="24"/>
          <w:shd w:val="clear" w:color="auto" w:fill="FFFFFF"/>
        </w:rPr>
      </w:pPr>
      <w:r w:rsidRPr="00176135">
        <w:rPr>
          <w:b/>
          <w:bCs/>
          <w:szCs w:val="24"/>
        </w:rPr>
        <w:t>Option 1. Consolidation of ITU agenda</w:t>
      </w:r>
    </w:p>
    <w:p w14:paraId="12D2AC86" w14:textId="6A405239" w:rsidR="00467B89" w:rsidRPr="00176135" w:rsidRDefault="00467B89" w:rsidP="00296448">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rFonts w:cstheme="minorBidi"/>
          <w:iCs/>
          <w:szCs w:val="24"/>
        </w:rPr>
      </w:pPr>
      <w:r w:rsidRPr="00176135">
        <w:rPr>
          <w:iCs/>
          <w:szCs w:val="24"/>
        </w:rPr>
        <w:t xml:space="preserve">The optimization of ITU high-level events of global nature can be achieved by consolidating the agenda of activities around </w:t>
      </w:r>
      <w:r w:rsidR="00DF408B" w:rsidRPr="00176135">
        <w:rPr>
          <w:iCs/>
          <w:szCs w:val="24"/>
        </w:rPr>
        <w:t>t</w:t>
      </w:r>
      <w:r w:rsidR="00EE2FE6">
        <w:rPr>
          <w:iCs/>
          <w:szCs w:val="24"/>
        </w:rPr>
        <w:t>wo</w:t>
      </w:r>
      <w:r w:rsidRPr="00176135">
        <w:rPr>
          <w:iCs/>
          <w:szCs w:val="24"/>
        </w:rPr>
        <w:t xml:space="preserve"> </w:t>
      </w:r>
      <w:r w:rsidR="00F129AB">
        <w:rPr>
          <w:iCs/>
          <w:szCs w:val="24"/>
        </w:rPr>
        <w:t>perio</w:t>
      </w:r>
      <w:r w:rsidR="00296448">
        <w:rPr>
          <w:iCs/>
          <w:szCs w:val="24"/>
        </w:rPr>
        <w:t>ds</w:t>
      </w:r>
      <w:r w:rsidRPr="00176135">
        <w:rPr>
          <w:iCs/>
          <w:szCs w:val="24"/>
        </w:rPr>
        <w:t xml:space="preserve"> per year: (</w:t>
      </w:r>
      <w:r w:rsidR="00EA3F96" w:rsidRPr="00176135">
        <w:rPr>
          <w:iCs/>
          <w:szCs w:val="24"/>
        </w:rPr>
        <w:t>a</w:t>
      </w:r>
      <w:r w:rsidRPr="00176135">
        <w:rPr>
          <w:iCs/>
          <w:szCs w:val="24"/>
        </w:rPr>
        <w:t xml:space="preserve">) </w:t>
      </w:r>
      <w:r w:rsidRPr="00176135">
        <w:rPr>
          <w:i/>
          <w:iCs/>
          <w:szCs w:val="24"/>
        </w:rPr>
        <w:t>Period 1:</w:t>
      </w:r>
      <w:r w:rsidRPr="00176135">
        <w:rPr>
          <w:iCs/>
          <w:szCs w:val="24"/>
        </w:rPr>
        <w:t xml:space="preserve"> Hosted in Geneva in the first/second quarter (March-April); </w:t>
      </w:r>
      <w:r w:rsidR="00EE2FE6" w:rsidRPr="00176135">
        <w:rPr>
          <w:iCs/>
          <w:szCs w:val="24"/>
        </w:rPr>
        <w:t xml:space="preserve">and </w:t>
      </w:r>
      <w:r w:rsidRPr="00176135">
        <w:rPr>
          <w:iCs/>
          <w:szCs w:val="24"/>
        </w:rPr>
        <w:t xml:space="preserve">(b) </w:t>
      </w:r>
      <w:r w:rsidRPr="00176135">
        <w:rPr>
          <w:i/>
          <w:iCs/>
          <w:szCs w:val="24"/>
        </w:rPr>
        <w:t>Period 2.</w:t>
      </w:r>
      <w:r w:rsidRPr="00176135">
        <w:rPr>
          <w:iCs/>
          <w:szCs w:val="24"/>
        </w:rPr>
        <w:t xml:space="preserve"> Hosted by one ITU Member State, in the </w:t>
      </w:r>
      <w:r w:rsidR="00D734FC">
        <w:rPr>
          <w:iCs/>
          <w:szCs w:val="24"/>
        </w:rPr>
        <w:t xml:space="preserve">third </w:t>
      </w:r>
      <w:r w:rsidR="00DF408B" w:rsidRPr="00176135">
        <w:rPr>
          <w:iCs/>
          <w:szCs w:val="24"/>
        </w:rPr>
        <w:t>quarter (</w:t>
      </w:r>
      <w:r w:rsidR="00D734FC">
        <w:rPr>
          <w:iCs/>
          <w:szCs w:val="24"/>
        </w:rPr>
        <w:t>September</w:t>
      </w:r>
      <w:r w:rsidR="00570812">
        <w:rPr>
          <w:iCs/>
          <w:szCs w:val="24"/>
        </w:rPr>
        <w:t>)</w:t>
      </w:r>
      <w:r w:rsidR="00DF408B" w:rsidRPr="00176135">
        <w:rPr>
          <w:iCs/>
          <w:szCs w:val="24"/>
        </w:rPr>
        <w:t>.</w:t>
      </w:r>
      <w:r w:rsidR="00F129AB">
        <w:rPr>
          <w:iCs/>
          <w:szCs w:val="24"/>
        </w:rPr>
        <w:t xml:space="preserve"> </w:t>
      </w:r>
      <w:r w:rsidRPr="00176135">
        <w:rPr>
          <w:iCs/>
          <w:szCs w:val="24"/>
        </w:rPr>
        <w:t>See figure 1.</w:t>
      </w:r>
    </w:p>
    <w:p w14:paraId="373142E2" w14:textId="77777777" w:rsidR="00467B89" w:rsidRPr="00176135" w:rsidRDefault="00467B89" w:rsidP="00467B89">
      <w:pPr>
        <w:tabs>
          <w:tab w:val="clear" w:pos="567"/>
          <w:tab w:val="left" w:pos="720"/>
        </w:tabs>
        <w:overflowPunct/>
        <w:autoSpaceDE/>
        <w:adjustRightInd/>
        <w:spacing w:before="0" w:after="160" w:line="256" w:lineRule="auto"/>
        <w:rPr>
          <w:rFonts w:asciiTheme="minorHAnsi" w:eastAsiaTheme="minorEastAsia" w:hAnsiTheme="minorHAnsi" w:cstheme="minorBidi"/>
          <w:iCs/>
          <w:szCs w:val="24"/>
          <w:lang w:val="en-US" w:eastAsia="zh-CN"/>
        </w:rPr>
      </w:pPr>
      <w:r w:rsidRPr="00176135">
        <w:rPr>
          <w:iCs/>
          <w:szCs w:val="24"/>
        </w:rPr>
        <w:br w:type="page"/>
      </w:r>
    </w:p>
    <w:p w14:paraId="77DFA666" w14:textId="77777777" w:rsidR="00467B89" w:rsidRPr="00176135" w:rsidRDefault="00467B89" w:rsidP="00467B89">
      <w:pPr>
        <w:pStyle w:val="ListParagraph"/>
        <w:ind w:left="0"/>
        <w:contextualSpacing w:val="0"/>
        <w:jc w:val="both"/>
        <w:rPr>
          <w:rFonts w:asciiTheme="minorHAnsi" w:eastAsiaTheme="minorEastAsia" w:hAnsiTheme="minorHAnsi" w:cstheme="minorBidi"/>
          <w:iCs/>
          <w:szCs w:val="24"/>
          <w:lang w:val="en-US" w:eastAsia="zh-CN"/>
        </w:rPr>
      </w:pPr>
    </w:p>
    <w:tbl>
      <w:tblPr>
        <w:tblStyle w:val="TableGrid"/>
        <w:tblW w:w="0" w:type="auto"/>
        <w:tblLook w:val="04A0" w:firstRow="1" w:lastRow="0" w:firstColumn="1" w:lastColumn="0" w:noHBand="0" w:noVBand="1"/>
      </w:tblPr>
      <w:tblGrid>
        <w:gridCol w:w="681"/>
        <w:gridCol w:w="694"/>
        <w:gridCol w:w="783"/>
        <w:gridCol w:w="777"/>
        <w:gridCol w:w="717"/>
        <w:gridCol w:w="1064"/>
        <w:gridCol w:w="714"/>
        <w:gridCol w:w="701"/>
        <w:gridCol w:w="839"/>
        <w:gridCol w:w="721"/>
        <w:gridCol w:w="1094"/>
        <w:gridCol w:w="844"/>
      </w:tblGrid>
      <w:tr w:rsidR="00467B89" w:rsidRPr="00176135" w14:paraId="3C497CEF" w14:textId="77777777" w:rsidTr="00467B89">
        <w:tc>
          <w:tcPr>
            <w:tcW w:w="9629"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FF9023" w14:textId="77777777" w:rsidR="00467B89" w:rsidRPr="00176135" w:rsidRDefault="00467B89" w:rsidP="00467B89">
            <w:pPr>
              <w:spacing w:before="0"/>
              <w:jc w:val="center"/>
              <w:rPr>
                <w:b/>
                <w:iCs/>
                <w:sz w:val="20"/>
              </w:rPr>
            </w:pPr>
            <w:r w:rsidRPr="00176135">
              <w:rPr>
                <w:b/>
                <w:iCs/>
                <w:sz w:val="20"/>
              </w:rPr>
              <w:t>ITU events in 2018</w:t>
            </w:r>
          </w:p>
        </w:tc>
      </w:tr>
      <w:tr w:rsidR="00467B89" w:rsidRPr="00176135" w14:paraId="2F522140" w14:textId="77777777" w:rsidTr="00467B89">
        <w:tc>
          <w:tcPr>
            <w:tcW w:w="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4ABE14" w14:textId="77777777" w:rsidR="00467B89" w:rsidRPr="00176135" w:rsidRDefault="00467B89" w:rsidP="00467B89">
            <w:pPr>
              <w:spacing w:before="0"/>
              <w:jc w:val="center"/>
              <w:rPr>
                <w:b/>
                <w:iCs/>
                <w:sz w:val="16"/>
                <w:szCs w:val="16"/>
              </w:rPr>
            </w:pPr>
            <w:r w:rsidRPr="00176135">
              <w:rPr>
                <w:b/>
                <w:iCs/>
                <w:sz w:val="16"/>
                <w:szCs w:val="16"/>
              </w:rPr>
              <w:t>Jan</w:t>
            </w:r>
          </w:p>
        </w:tc>
        <w:tc>
          <w:tcPr>
            <w:tcW w:w="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6AFCA0" w14:textId="77777777" w:rsidR="00467B89" w:rsidRPr="00176135" w:rsidRDefault="00467B89" w:rsidP="00467B89">
            <w:pPr>
              <w:spacing w:before="0"/>
              <w:jc w:val="center"/>
              <w:rPr>
                <w:b/>
                <w:iCs/>
                <w:sz w:val="16"/>
                <w:szCs w:val="16"/>
              </w:rPr>
            </w:pPr>
            <w:r w:rsidRPr="00176135">
              <w:rPr>
                <w:b/>
                <w:iCs/>
                <w:sz w:val="16"/>
                <w:szCs w:val="16"/>
              </w:rPr>
              <w:t>Feb</w:t>
            </w:r>
          </w:p>
        </w:tc>
        <w:tc>
          <w:tcPr>
            <w:tcW w:w="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6A6D87" w14:textId="77777777" w:rsidR="00467B89" w:rsidRPr="00176135" w:rsidRDefault="00467B89" w:rsidP="00467B89">
            <w:pPr>
              <w:spacing w:before="0"/>
              <w:jc w:val="center"/>
              <w:rPr>
                <w:b/>
                <w:iCs/>
                <w:sz w:val="16"/>
                <w:szCs w:val="16"/>
              </w:rPr>
            </w:pPr>
            <w:r w:rsidRPr="00176135">
              <w:rPr>
                <w:b/>
                <w:iCs/>
                <w:sz w:val="16"/>
                <w:szCs w:val="16"/>
              </w:rPr>
              <w:t>Mar</w:t>
            </w:r>
          </w:p>
        </w:tc>
        <w:tc>
          <w:tcPr>
            <w:tcW w:w="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F8A0FF" w14:textId="77777777" w:rsidR="00467B89" w:rsidRPr="00176135" w:rsidRDefault="00467B89" w:rsidP="00467B89">
            <w:pPr>
              <w:spacing w:before="0"/>
              <w:jc w:val="center"/>
              <w:rPr>
                <w:b/>
                <w:iCs/>
                <w:sz w:val="16"/>
                <w:szCs w:val="16"/>
              </w:rPr>
            </w:pPr>
            <w:r w:rsidRPr="00176135">
              <w:rPr>
                <w:b/>
                <w:iCs/>
                <w:sz w:val="16"/>
                <w:szCs w:val="16"/>
              </w:rPr>
              <w:t>Apr</w:t>
            </w:r>
          </w:p>
        </w:tc>
        <w:tc>
          <w:tcPr>
            <w:tcW w:w="7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451F05" w14:textId="77777777" w:rsidR="00467B89" w:rsidRPr="00176135" w:rsidRDefault="00467B89" w:rsidP="00467B89">
            <w:pPr>
              <w:spacing w:before="0"/>
              <w:jc w:val="center"/>
              <w:rPr>
                <w:b/>
                <w:iCs/>
                <w:sz w:val="16"/>
                <w:szCs w:val="16"/>
              </w:rPr>
            </w:pPr>
            <w:r w:rsidRPr="00176135">
              <w:rPr>
                <w:b/>
                <w:iCs/>
                <w:sz w:val="16"/>
                <w:szCs w:val="16"/>
              </w:rPr>
              <w:t>May</w:t>
            </w:r>
          </w:p>
        </w:tc>
        <w:tc>
          <w:tcPr>
            <w:tcW w:w="1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C3C81F" w14:textId="77777777" w:rsidR="00467B89" w:rsidRPr="00176135" w:rsidRDefault="00467B89" w:rsidP="00467B89">
            <w:pPr>
              <w:spacing w:before="0"/>
              <w:jc w:val="center"/>
              <w:rPr>
                <w:b/>
                <w:iCs/>
                <w:sz w:val="16"/>
                <w:szCs w:val="16"/>
              </w:rPr>
            </w:pPr>
            <w:r w:rsidRPr="00176135">
              <w:rPr>
                <w:b/>
                <w:iCs/>
                <w:sz w:val="16"/>
                <w:szCs w:val="16"/>
              </w:rPr>
              <w:t>Jun</w:t>
            </w:r>
          </w:p>
        </w:tc>
        <w:tc>
          <w:tcPr>
            <w:tcW w:w="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E14E24" w14:textId="77777777" w:rsidR="00467B89" w:rsidRPr="00176135" w:rsidRDefault="00467B89" w:rsidP="00467B89">
            <w:pPr>
              <w:spacing w:before="0"/>
              <w:jc w:val="center"/>
              <w:rPr>
                <w:b/>
                <w:iCs/>
                <w:sz w:val="16"/>
                <w:szCs w:val="16"/>
              </w:rPr>
            </w:pPr>
            <w:r w:rsidRPr="00176135">
              <w:rPr>
                <w:b/>
                <w:iCs/>
                <w:sz w:val="16"/>
                <w:szCs w:val="16"/>
              </w:rPr>
              <w:t>Jul</w:t>
            </w:r>
          </w:p>
        </w:tc>
        <w:tc>
          <w:tcPr>
            <w:tcW w:w="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7F7EBD" w14:textId="77777777" w:rsidR="00467B89" w:rsidRPr="00176135" w:rsidRDefault="00467B89" w:rsidP="00467B89">
            <w:pPr>
              <w:spacing w:before="0"/>
              <w:jc w:val="center"/>
              <w:rPr>
                <w:b/>
                <w:iCs/>
                <w:sz w:val="16"/>
                <w:szCs w:val="16"/>
              </w:rPr>
            </w:pPr>
            <w:r w:rsidRPr="00176135">
              <w:rPr>
                <w:b/>
                <w:iCs/>
                <w:sz w:val="16"/>
                <w:szCs w:val="16"/>
              </w:rPr>
              <w:t>Aug</w:t>
            </w:r>
          </w:p>
        </w:tc>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2DF353" w14:textId="77777777" w:rsidR="00467B89" w:rsidRPr="00176135" w:rsidRDefault="00467B89" w:rsidP="00467B89">
            <w:pPr>
              <w:spacing w:before="0"/>
              <w:jc w:val="center"/>
              <w:rPr>
                <w:b/>
                <w:iCs/>
                <w:sz w:val="16"/>
                <w:szCs w:val="16"/>
              </w:rPr>
            </w:pPr>
            <w:r w:rsidRPr="00176135">
              <w:rPr>
                <w:b/>
                <w:iCs/>
                <w:sz w:val="16"/>
                <w:szCs w:val="16"/>
              </w:rPr>
              <w:t>Sep</w:t>
            </w:r>
          </w:p>
        </w:tc>
        <w:tc>
          <w:tcPr>
            <w:tcW w:w="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DC88C1" w14:textId="77777777" w:rsidR="00467B89" w:rsidRPr="00176135" w:rsidRDefault="00467B89" w:rsidP="00467B89">
            <w:pPr>
              <w:spacing w:before="0"/>
              <w:jc w:val="center"/>
              <w:rPr>
                <w:b/>
                <w:iCs/>
                <w:sz w:val="16"/>
                <w:szCs w:val="16"/>
              </w:rPr>
            </w:pPr>
            <w:r w:rsidRPr="00176135">
              <w:rPr>
                <w:b/>
                <w:iCs/>
                <w:sz w:val="16"/>
                <w:szCs w:val="16"/>
              </w:rPr>
              <w:t>Oct</w:t>
            </w:r>
          </w:p>
        </w:tc>
        <w:tc>
          <w:tcPr>
            <w:tcW w:w="1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77002D" w14:textId="77777777" w:rsidR="00467B89" w:rsidRPr="00176135" w:rsidRDefault="00467B89" w:rsidP="00467B89">
            <w:pPr>
              <w:spacing w:before="0"/>
              <w:jc w:val="center"/>
              <w:rPr>
                <w:b/>
                <w:iCs/>
                <w:sz w:val="16"/>
                <w:szCs w:val="16"/>
              </w:rPr>
            </w:pPr>
            <w:r w:rsidRPr="00176135">
              <w:rPr>
                <w:b/>
                <w:iCs/>
                <w:sz w:val="16"/>
                <w:szCs w:val="16"/>
              </w:rPr>
              <w:t>Nov</w:t>
            </w:r>
          </w:p>
        </w:tc>
        <w:tc>
          <w:tcPr>
            <w:tcW w:w="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4E6A55" w14:textId="77777777" w:rsidR="00467B89" w:rsidRPr="00176135" w:rsidRDefault="00467B89" w:rsidP="00467B89">
            <w:pPr>
              <w:spacing w:before="0"/>
              <w:jc w:val="center"/>
              <w:rPr>
                <w:b/>
                <w:iCs/>
                <w:sz w:val="16"/>
                <w:szCs w:val="16"/>
              </w:rPr>
            </w:pPr>
            <w:r w:rsidRPr="00176135">
              <w:rPr>
                <w:b/>
                <w:iCs/>
                <w:sz w:val="16"/>
                <w:szCs w:val="16"/>
              </w:rPr>
              <w:t>Dec</w:t>
            </w:r>
          </w:p>
        </w:tc>
      </w:tr>
      <w:tr w:rsidR="00467B89" w:rsidRPr="00176135" w14:paraId="21651233" w14:textId="77777777" w:rsidTr="00F129AB">
        <w:tc>
          <w:tcPr>
            <w:tcW w:w="681" w:type="dxa"/>
            <w:tcBorders>
              <w:top w:val="single" w:sz="4" w:space="0" w:color="auto"/>
              <w:left w:val="single" w:sz="4" w:space="0" w:color="auto"/>
              <w:bottom w:val="single" w:sz="4" w:space="0" w:color="auto"/>
              <w:right w:val="single" w:sz="4" w:space="0" w:color="auto"/>
            </w:tcBorders>
            <w:vAlign w:val="center"/>
          </w:tcPr>
          <w:p w14:paraId="7CD271C2" w14:textId="77777777" w:rsidR="00467B89" w:rsidRPr="00176135" w:rsidRDefault="00467B89" w:rsidP="00467B89">
            <w:pPr>
              <w:spacing w:before="0"/>
              <w:jc w:val="center"/>
              <w:rPr>
                <w:iCs/>
                <w:sz w:val="16"/>
                <w:szCs w:val="16"/>
              </w:rPr>
            </w:pPr>
          </w:p>
        </w:tc>
        <w:tc>
          <w:tcPr>
            <w:tcW w:w="694" w:type="dxa"/>
            <w:tcBorders>
              <w:top w:val="single" w:sz="4" w:space="0" w:color="auto"/>
              <w:left w:val="single" w:sz="4" w:space="0" w:color="auto"/>
              <w:bottom w:val="single" w:sz="4" w:space="0" w:color="auto"/>
              <w:right w:val="single" w:sz="4" w:space="0" w:color="auto"/>
            </w:tcBorders>
            <w:vAlign w:val="center"/>
          </w:tcPr>
          <w:p w14:paraId="306313B1" w14:textId="77777777" w:rsidR="00467B89" w:rsidRPr="00176135" w:rsidRDefault="00467B89" w:rsidP="00467B89">
            <w:pPr>
              <w:spacing w:before="0"/>
              <w:jc w:val="center"/>
              <w:rPr>
                <w:iCs/>
                <w:sz w:val="16"/>
                <w:szCs w:val="16"/>
              </w:rPr>
            </w:pP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F73CA6" w14:textId="77777777" w:rsidR="00467B89" w:rsidRPr="00EE2FE6" w:rsidRDefault="00467B89" w:rsidP="00467B89">
            <w:pPr>
              <w:spacing w:before="0"/>
              <w:jc w:val="center"/>
              <w:rPr>
                <w:iCs/>
                <w:sz w:val="16"/>
                <w:szCs w:val="16"/>
              </w:rPr>
            </w:pPr>
            <w:r w:rsidRPr="00EE2FE6">
              <w:rPr>
                <w:iCs/>
                <w:sz w:val="16"/>
                <w:szCs w:val="16"/>
              </w:rPr>
              <w:t>WSIS Forum-18</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93DC" w14:textId="485AC94B" w:rsidR="00467B89" w:rsidRPr="00EE2FE6" w:rsidRDefault="00467B89" w:rsidP="00467B89">
            <w:pPr>
              <w:spacing w:before="0"/>
              <w:jc w:val="center"/>
              <w:rPr>
                <w:iCs/>
                <w:sz w:val="16"/>
                <w:szCs w:val="16"/>
              </w:rPr>
            </w:pPr>
          </w:p>
        </w:tc>
        <w:tc>
          <w:tcPr>
            <w:tcW w:w="717" w:type="dxa"/>
            <w:tcBorders>
              <w:top w:val="single" w:sz="4" w:space="0" w:color="auto"/>
              <w:left w:val="single" w:sz="4" w:space="0" w:color="auto"/>
              <w:bottom w:val="single" w:sz="4" w:space="0" w:color="auto"/>
              <w:right w:val="single" w:sz="4" w:space="0" w:color="auto"/>
            </w:tcBorders>
            <w:vAlign w:val="center"/>
          </w:tcPr>
          <w:p w14:paraId="5BDB1372" w14:textId="77777777" w:rsidR="00467B89" w:rsidRPr="00EE2FE6" w:rsidRDefault="00467B89" w:rsidP="00467B89">
            <w:pPr>
              <w:spacing w:before="0"/>
              <w:jc w:val="center"/>
              <w:rPr>
                <w:iCs/>
                <w:sz w:val="16"/>
                <w:szCs w:val="16"/>
              </w:rPr>
            </w:pP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85E2EA" w14:textId="77777777" w:rsidR="00467B89" w:rsidRPr="00EE2FE6" w:rsidRDefault="00467B89" w:rsidP="00467B89">
            <w:pPr>
              <w:spacing w:before="0"/>
              <w:jc w:val="center"/>
              <w:rPr>
                <w:iCs/>
                <w:sz w:val="16"/>
                <w:szCs w:val="16"/>
              </w:rPr>
            </w:pPr>
            <w:r w:rsidRPr="00EE2FE6">
              <w:rPr>
                <w:iCs/>
                <w:sz w:val="16"/>
                <w:szCs w:val="16"/>
              </w:rPr>
              <w:t>Capacity Building Symposium</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F176D" w14:textId="77777777" w:rsidR="00467B89" w:rsidRPr="00EE2FE6" w:rsidRDefault="00467B89" w:rsidP="00467B89">
            <w:pPr>
              <w:spacing w:before="0"/>
              <w:jc w:val="center"/>
              <w:rPr>
                <w:iCs/>
                <w:sz w:val="16"/>
                <w:szCs w:val="16"/>
              </w:rPr>
            </w:pPr>
            <w:r w:rsidRPr="00EE2FE6">
              <w:rPr>
                <w:iCs/>
                <w:sz w:val="16"/>
                <w:szCs w:val="16"/>
              </w:rPr>
              <w:t>GSR-18</w:t>
            </w:r>
          </w:p>
        </w:tc>
        <w:tc>
          <w:tcPr>
            <w:tcW w:w="701" w:type="dxa"/>
            <w:tcBorders>
              <w:top w:val="single" w:sz="4" w:space="0" w:color="auto"/>
              <w:left w:val="single" w:sz="4" w:space="0" w:color="auto"/>
              <w:bottom w:val="single" w:sz="4" w:space="0" w:color="auto"/>
              <w:right w:val="single" w:sz="4" w:space="0" w:color="auto"/>
            </w:tcBorders>
            <w:vAlign w:val="center"/>
          </w:tcPr>
          <w:p w14:paraId="6812AA81" w14:textId="77777777" w:rsidR="00467B89" w:rsidRPr="00EE2FE6" w:rsidRDefault="00467B89" w:rsidP="00467B89">
            <w:pPr>
              <w:spacing w:before="0"/>
              <w:jc w:val="center"/>
              <w:rPr>
                <w:iCs/>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40516" w14:textId="77777777" w:rsidR="00467B89" w:rsidRPr="00EE2FE6" w:rsidRDefault="00467B89" w:rsidP="00467B89">
            <w:pPr>
              <w:spacing w:before="0"/>
              <w:jc w:val="center"/>
              <w:rPr>
                <w:iCs/>
                <w:sz w:val="16"/>
                <w:szCs w:val="16"/>
              </w:rPr>
            </w:pPr>
            <w:r w:rsidRPr="00EE2FE6">
              <w:rPr>
                <w:iCs/>
                <w:sz w:val="16"/>
                <w:szCs w:val="16"/>
              </w:rPr>
              <w:t>ITU Telecom World 2018</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3E3D7E4" w14:textId="2F57DA87" w:rsidR="00467B89" w:rsidRPr="00EE2FE6" w:rsidRDefault="00467B89" w:rsidP="00467B89">
            <w:pPr>
              <w:spacing w:before="0"/>
              <w:jc w:val="center"/>
              <w:rPr>
                <w:iCs/>
                <w:sz w:val="16"/>
                <w:szCs w:val="16"/>
              </w:rPr>
            </w:pP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DF077" w14:textId="0B6B4A57" w:rsidR="00AF5B21" w:rsidRPr="00EE2FE6" w:rsidRDefault="00467B89" w:rsidP="00AF5B21">
            <w:pPr>
              <w:spacing w:before="0"/>
              <w:jc w:val="center"/>
              <w:rPr>
                <w:iCs/>
                <w:sz w:val="16"/>
                <w:szCs w:val="16"/>
              </w:rPr>
            </w:pPr>
            <w:r w:rsidRPr="00EE2FE6">
              <w:rPr>
                <w:iCs/>
                <w:sz w:val="16"/>
                <w:szCs w:val="16"/>
              </w:rPr>
              <w:t>Kaleidoscope</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5EC645" w14:textId="77777777" w:rsidR="00467B89" w:rsidRPr="00EE2FE6" w:rsidRDefault="00467B89" w:rsidP="00467B89">
            <w:pPr>
              <w:spacing w:before="0"/>
              <w:jc w:val="center"/>
              <w:rPr>
                <w:iCs/>
                <w:sz w:val="16"/>
                <w:szCs w:val="16"/>
              </w:rPr>
            </w:pPr>
            <w:r w:rsidRPr="00EE2FE6">
              <w:rPr>
                <w:iCs/>
                <w:sz w:val="16"/>
                <w:szCs w:val="16"/>
              </w:rPr>
              <w:t>WTIS/18</w:t>
            </w:r>
          </w:p>
          <w:p w14:paraId="6DE91204" w14:textId="77777777" w:rsidR="00467B89" w:rsidRPr="00176135" w:rsidRDefault="00467B89" w:rsidP="00467B89">
            <w:pPr>
              <w:spacing w:before="0"/>
              <w:jc w:val="center"/>
              <w:rPr>
                <w:iCs/>
                <w:sz w:val="16"/>
                <w:szCs w:val="16"/>
              </w:rPr>
            </w:pPr>
            <w:r w:rsidRPr="00EE2FE6">
              <w:rPr>
                <w:iCs/>
                <w:sz w:val="16"/>
                <w:szCs w:val="16"/>
              </w:rPr>
              <w:t>WRS-18</w:t>
            </w:r>
          </w:p>
        </w:tc>
      </w:tr>
    </w:tbl>
    <w:p w14:paraId="3D77F3FD" w14:textId="77777777" w:rsidR="00467B89" w:rsidRPr="00176135" w:rsidRDefault="00467B89" w:rsidP="00467B89">
      <w:pPr>
        <w:jc w:val="both"/>
        <w:rPr>
          <w:iCs/>
          <w:szCs w:val="24"/>
          <w:lang w:val="en-US"/>
        </w:rPr>
      </w:pPr>
      <w:r w:rsidRPr="00176135">
        <w:rPr>
          <w:noProof/>
          <w:lang w:val="en-US" w:eastAsia="zh-CN"/>
        </w:rPr>
        <mc:AlternateContent>
          <mc:Choice Requires="wps">
            <w:drawing>
              <wp:anchor distT="0" distB="0" distL="114300" distR="114300" simplePos="0" relativeHeight="251658240" behindDoc="0" locked="0" layoutInCell="1" allowOverlap="1" wp14:anchorId="04E93800" wp14:editId="021605B6">
                <wp:simplePos x="0" y="0"/>
                <wp:positionH relativeFrom="column">
                  <wp:posOffset>2957195</wp:posOffset>
                </wp:positionH>
                <wp:positionV relativeFrom="paragraph">
                  <wp:posOffset>81915</wp:posOffset>
                </wp:positionV>
                <wp:extent cx="304800" cy="381000"/>
                <wp:effectExtent l="19050" t="0" r="19050" b="38100"/>
                <wp:wrapThrough wrapText="bothSides">
                  <wp:wrapPolygon edited="0">
                    <wp:start x="2700" y="0"/>
                    <wp:lineTo x="-1350" y="12960"/>
                    <wp:lineTo x="1350" y="17280"/>
                    <wp:lineTo x="6750" y="22680"/>
                    <wp:lineTo x="14850" y="22680"/>
                    <wp:lineTo x="21600" y="17280"/>
                    <wp:lineTo x="21600" y="9720"/>
                    <wp:lineTo x="18900" y="0"/>
                    <wp:lineTo x="2700" y="0"/>
                  </wp:wrapPolygon>
                </wp:wrapThrough>
                <wp:docPr id="2" name="Down Arrow 2"/>
                <wp:cNvGraphicFramePr/>
                <a:graphic xmlns:a="http://schemas.openxmlformats.org/drawingml/2006/main">
                  <a:graphicData uri="http://schemas.microsoft.com/office/word/2010/wordprocessingShape">
                    <wps:wsp>
                      <wps:cNvSpPr/>
                      <wps:spPr>
                        <a:xfrm>
                          <a:off x="0" y="0"/>
                          <a:ext cx="304800" cy="38100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shapetype w14:anchorId="623A9D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32.85pt;margin-top:6.45pt;width:2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" adj="12960" fillcolor="white [3201]" strokecolor="black [3200]" strokeweight=".5pt">
                <w10:wrap type="through"/>
              </v:shape>
            </w:pict>
          </mc:Fallback>
        </mc:AlternateContent>
      </w:r>
    </w:p>
    <w:p w14:paraId="3DD7F2FF" w14:textId="61886BFB" w:rsidR="00467B89" w:rsidRPr="00176135" w:rsidRDefault="00467B89" w:rsidP="00467B89">
      <w:pPr>
        <w:jc w:val="both"/>
        <w:rPr>
          <w:iCs/>
          <w:szCs w:val="24"/>
          <w:lang w:val="en-US"/>
        </w:rPr>
      </w:pPr>
    </w:p>
    <w:tbl>
      <w:tblPr>
        <w:tblStyle w:val="TableGrid"/>
        <w:tblW w:w="0" w:type="auto"/>
        <w:tblLook w:val="04A0" w:firstRow="1" w:lastRow="0" w:firstColumn="1" w:lastColumn="0" w:noHBand="0" w:noVBand="1"/>
      </w:tblPr>
      <w:tblGrid>
        <w:gridCol w:w="732"/>
        <w:gridCol w:w="737"/>
        <w:gridCol w:w="401"/>
        <w:gridCol w:w="401"/>
        <w:gridCol w:w="542"/>
        <w:gridCol w:w="236"/>
        <w:gridCol w:w="748"/>
        <w:gridCol w:w="775"/>
        <w:gridCol w:w="725"/>
        <w:gridCol w:w="742"/>
        <w:gridCol w:w="787"/>
        <w:gridCol w:w="953"/>
        <w:gridCol w:w="1117"/>
        <w:gridCol w:w="739"/>
      </w:tblGrid>
      <w:tr w:rsidR="00467B89" w:rsidRPr="00176135" w14:paraId="1C739E49" w14:textId="77777777" w:rsidTr="00AF5B21">
        <w:tc>
          <w:tcPr>
            <w:tcW w:w="96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92026C" w14:textId="14389F5D" w:rsidR="00467B89" w:rsidRPr="00176135" w:rsidRDefault="00467B89" w:rsidP="00467B89">
            <w:pPr>
              <w:spacing w:before="0"/>
              <w:jc w:val="center"/>
              <w:rPr>
                <w:b/>
                <w:iCs/>
                <w:szCs w:val="24"/>
                <w:lang w:val="en-US"/>
              </w:rPr>
            </w:pPr>
            <w:r w:rsidRPr="00176135">
              <w:rPr>
                <w:b/>
                <w:iCs/>
                <w:szCs w:val="24"/>
              </w:rPr>
              <w:t>ITU events in 2020</w:t>
            </w:r>
          </w:p>
        </w:tc>
      </w:tr>
      <w:tr w:rsidR="00AF5B21" w:rsidRPr="00176135" w14:paraId="72404BF8" w14:textId="77777777" w:rsidTr="00AF5B21">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8C2113" w14:textId="77777777" w:rsidR="00467B89" w:rsidRPr="00176135" w:rsidRDefault="00467B89" w:rsidP="00467B89">
            <w:pPr>
              <w:spacing w:before="0"/>
              <w:jc w:val="center"/>
              <w:rPr>
                <w:b/>
                <w:iCs/>
                <w:sz w:val="16"/>
                <w:szCs w:val="16"/>
              </w:rPr>
            </w:pPr>
            <w:r w:rsidRPr="00176135">
              <w:rPr>
                <w:b/>
                <w:iCs/>
                <w:sz w:val="16"/>
                <w:szCs w:val="16"/>
              </w:rPr>
              <w:t>Jan</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DDA57B" w14:textId="77777777" w:rsidR="00467B89" w:rsidRPr="00176135" w:rsidRDefault="00467B89" w:rsidP="00467B89">
            <w:pPr>
              <w:spacing w:before="0"/>
              <w:jc w:val="center"/>
              <w:rPr>
                <w:b/>
                <w:iCs/>
                <w:sz w:val="16"/>
                <w:szCs w:val="16"/>
              </w:rPr>
            </w:pPr>
            <w:r w:rsidRPr="00176135">
              <w:rPr>
                <w:b/>
                <w:iCs/>
                <w:sz w:val="16"/>
                <w:szCs w:val="16"/>
              </w:rPr>
              <w:t>Feb</w:t>
            </w:r>
          </w:p>
        </w:tc>
        <w:tc>
          <w:tcPr>
            <w:tcW w:w="8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220F6A" w14:textId="77777777" w:rsidR="00467B89" w:rsidRPr="00176135" w:rsidRDefault="00467B89" w:rsidP="00467B89">
            <w:pPr>
              <w:spacing w:before="0"/>
              <w:jc w:val="center"/>
              <w:rPr>
                <w:b/>
                <w:iCs/>
                <w:sz w:val="16"/>
                <w:szCs w:val="16"/>
              </w:rPr>
            </w:pPr>
            <w:r w:rsidRPr="00176135">
              <w:rPr>
                <w:b/>
                <w:iCs/>
                <w:sz w:val="16"/>
                <w:szCs w:val="16"/>
              </w:rPr>
              <w:t>Mar</w:t>
            </w:r>
          </w:p>
        </w:tc>
        <w:tc>
          <w:tcPr>
            <w:tcW w:w="7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B62408" w14:textId="77777777" w:rsidR="00467B89" w:rsidRPr="00176135" w:rsidRDefault="00467B89" w:rsidP="00467B89">
            <w:pPr>
              <w:spacing w:before="0"/>
              <w:jc w:val="center"/>
              <w:rPr>
                <w:b/>
                <w:iCs/>
                <w:sz w:val="16"/>
                <w:szCs w:val="16"/>
              </w:rPr>
            </w:pPr>
            <w:r w:rsidRPr="00176135">
              <w:rPr>
                <w:b/>
                <w:iCs/>
                <w:sz w:val="16"/>
                <w:szCs w:val="16"/>
              </w:rPr>
              <w:t>Apr</w:t>
            </w:r>
          </w:p>
        </w:tc>
        <w:tc>
          <w:tcPr>
            <w:tcW w:w="7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912E88" w14:textId="77777777" w:rsidR="00467B89" w:rsidRPr="00176135" w:rsidRDefault="00467B89" w:rsidP="00467B89">
            <w:pPr>
              <w:spacing w:before="0"/>
              <w:jc w:val="center"/>
              <w:rPr>
                <w:b/>
                <w:iCs/>
                <w:sz w:val="16"/>
                <w:szCs w:val="16"/>
              </w:rPr>
            </w:pPr>
            <w:r w:rsidRPr="00176135">
              <w:rPr>
                <w:b/>
                <w:iCs/>
                <w:sz w:val="16"/>
                <w:szCs w:val="16"/>
              </w:rPr>
              <w:t>May</w:t>
            </w:r>
          </w:p>
        </w:tc>
        <w:tc>
          <w:tcPr>
            <w:tcW w:w="7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B2F956" w14:textId="77777777" w:rsidR="00467B89" w:rsidRPr="00176135" w:rsidRDefault="00467B89" w:rsidP="00467B89">
            <w:pPr>
              <w:spacing w:before="0"/>
              <w:jc w:val="center"/>
              <w:rPr>
                <w:b/>
                <w:iCs/>
                <w:sz w:val="16"/>
                <w:szCs w:val="16"/>
              </w:rPr>
            </w:pPr>
            <w:r w:rsidRPr="00176135">
              <w:rPr>
                <w:b/>
                <w:iCs/>
                <w:sz w:val="16"/>
                <w:szCs w:val="16"/>
              </w:rPr>
              <w:t>Jun</w:t>
            </w:r>
          </w:p>
        </w:tc>
        <w:tc>
          <w:tcPr>
            <w:tcW w:w="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44198" w14:textId="77777777" w:rsidR="00467B89" w:rsidRPr="00176135" w:rsidRDefault="00467B89" w:rsidP="00467B89">
            <w:pPr>
              <w:spacing w:before="0"/>
              <w:jc w:val="center"/>
              <w:rPr>
                <w:b/>
                <w:iCs/>
                <w:sz w:val="16"/>
                <w:szCs w:val="16"/>
              </w:rPr>
            </w:pPr>
            <w:r w:rsidRPr="00176135">
              <w:rPr>
                <w:b/>
                <w:iCs/>
                <w:sz w:val="16"/>
                <w:szCs w:val="16"/>
              </w:rPr>
              <w:t>Jul</w:t>
            </w:r>
          </w:p>
        </w:tc>
        <w:tc>
          <w:tcPr>
            <w:tcW w:w="7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2526AE" w14:textId="75247F43" w:rsidR="00467B89" w:rsidRPr="00176135" w:rsidRDefault="00467B89" w:rsidP="00467B89">
            <w:pPr>
              <w:spacing w:before="0"/>
              <w:jc w:val="center"/>
              <w:rPr>
                <w:b/>
                <w:iCs/>
                <w:sz w:val="16"/>
                <w:szCs w:val="16"/>
              </w:rPr>
            </w:pPr>
            <w:r w:rsidRPr="00176135">
              <w:rPr>
                <w:b/>
                <w:iCs/>
                <w:sz w:val="16"/>
                <w:szCs w:val="16"/>
              </w:rPr>
              <w:t>Aug</w:t>
            </w:r>
          </w:p>
        </w:tc>
        <w:tc>
          <w:tcPr>
            <w:tcW w:w="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49BF78" w14:textId="77777777" w:rsidR="00467B89" w:rsidRPr="00176135" w:rsidRDefault="00467B89" w:rsidP="00467B89">
            <w:pPr>
              <w:spacing w:before="0"/>
              <w:jc w:val="center"/>
              <w:rPr>
                <w:b/>
                <w:iCs/>
                <w:sz w:val="16"/>
                <w:szCs w:val="16"/>
              </w:rPr>
            </w:pPr>
            <w:r w:rsidRPr="00176135">
              <w:rPr>
                <w:b/>
                <w:iCs/>
                <w:sz w:val="16"/>
                <w:szCs w:val="16"/>
              </w:rPr>
              <w:t>Sep</w:t>
            </w:r>
          </w:p>
        </w:tc>
        <w:tc>
          <w:tcPr>
            <w:tcW w:w="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434BC5" w14:textId="77777777" w:rsidR="00467B89" w:rsidRPr="00176135" w:rsidRDefault="00467B89" w:rsidP="00467B89">
            <w:pPr>
              <w:spacing w:before="0"/>
              <w:jc w:val="center"/>
              <w:rPr>
                <w:b/>
                <w:iCs/>
                <w:sz w:val="16"/>
                <w:szCs w:val="16"/>
              </w:rPr>
            </w:pPr>
            <w:r w:rsidRPr="00176135">
              <w:rPr>
                <w:b/>
                <w:iCs/>
                <w:sz w:val="16"/>
                <w:szCs w:val="16"/>
              </w:rPr>
              <w:t>Oct</w:t>
            </w:r>
          </w:p>
        </w:tc>
        <w:tc>
          <w:tcPr>
            <w:tcW w:w="1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BE6AB4" w14:textId="77777777" w:rsidR="00467B89" w:rsidRPr="00176135" w:rsidRDefault="00467B89" w:rsidP="00467B89">
            <w:pPr>
              <w:spacing w:before="0"/>
              <w:jc w:val="center"/>
              <w:rPr>
                <w:b/>
                <w:iCs/>
                <w:sz w:val="16"/>
                <w:szCs w:val="16"/>
              </w:rPr>
            </w:pPr>
            <w:r w:rsidRPr="00176135">
              <w:rPr>
                <w:b/>
                <w:iCs/>
                <w:sz w:val="16"/>
                <w:szCs w:val="16"/>
              </w:rPr>
              <w:t>Nov</w:t>
            </w:r>
          </w:p>
        </w:tc>
        <w:tc>
          <w:tcPr>
            <w:tcW w:w="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1066B0" w14:textId="77777777" w:rsidR="00467B89" w:rsidRPr="00176135" w:rsidRDefault="00467B89" w:rsidP="00467B89">
            <w:pPr>
              <w:spacing w:before="0"/>
              <w:jc w:val="center"/>
              <w:rPr>
                <w:b/>
                <w:iCs/>
                <w:sz w:val="16"/>
                <w:szCs w:val="16"/>
              </w:rPr>
            </w:pPr>
            <w:r w:rsidRPr="00176135">
              <w:rPr>
                <w:b/>
                <w:iCs/>
                <w:sz w:val="16"/>
                <w:szCs w:val="16"/>
              </w:rPr>
              <w:t>Dec</w:t>
            </w:r>
          </w:p>
        </w:tc>
      </w:tr>
      <w:tr w:rsidR="00296448" w:rsidRPr="00176135" w14:paraId="25A39939" w14:textId="77777777" w:rsidTr="00296448">
        <w:tc>
          <w:tcPr>
            <w:tcW w:w="732" w:type="dxa"/>
            <w:tcBorders>
              <w:top w:val="single" w:sz="4" w:space="0" w:color="auto"/>
              <w:left w:val="single" w:sz="4" w:space="0" w:color="auto"/>
              <w:bottom w:val="single" w:sz="4" w:space="0" w:color="auto"/>
              <w:right w:val="single" w:sz="4" w:space="0" w:color="auto"/>
            </w:tcBorders>
            <w:vAlign w:val="center"/>
          </w:tcPr>
          <w:p w14:paraId="27AF67B9" w14:textId="77777777" w:rsidR="00296448" w:rsidRPr="00176135" w:rsidRDefault="00296448" w:rsidP="00467B89">
            <w:pPr>
              <w:spacing w:before="0"/>
              <w:jc w:val="center"/>
              <w:rPr>
                <w:iCs/>
                <w:sz w:val="16"/>
                <w:szCs w:val="16"/>
              </w:rPr>
            </w:pPr>
          </w:p>
        </w:tc>
        <w:tc>
          <w:tcPr>
            <w:tcW w:w="737" w:type="dxa"/>
            <w:tcBorders>
              <w:top w:val="single" w:sz="4" w:space="0" w:color="auto"/>
              <w:left w:val="single" w:sz="4" w:space="0" w:color="auto"/>
              <w:bottom w:val="single" w:sz="4" w:space="0" w:color="auto"/>
              <w:right w:val="single" w:sz="4" w:space="0" w:color="auto"/>
            </w:tcBorders>
            <w:vAlign w:val="center"/>
          </w:tcPr>
          <w:p w14:paraId="0F2AFD26" w14:textId="77777777" w:rsidR="00296448" w:rsidRPr="00176135" w:rsidRDefault="00296448" w:rsidP="00467B89">
            <w:pPr>
              <w:spacing w:before="0"/>
              <w:jc w:val="center"/>
              <w:rPr>
                <w:iCs/>
                <w:sz w:val="16"/>
                <w:szCs w:val="16"/>
              </w:rPr>
            </w:pPr>
          </w:p>
        </w:tc>
        <w:tc>
          <w:tcPr>
            <w:tcW w:w="401" w:type="dxa"/>
            <w:tcBorders>
              <w:top w:val="single" w:sz="4" w:space="0" w:color="auto"/>
              <w:left w:val="single" w:sz="4" w:space="0" w:color="auto"/>
              <w:bottom w:val="single" w:sz="4" w:space="0" w:color="auto"/>
              <w:right w:val="single" w:sz="4" w:space="0" w:color="auto"/>
            </w:tcBorders>
            <w:vAlign w:val="center"/>
          </w:tcPr>
          <w:p w14:paraId="7F3E6594" w14:textId="77777777" w:rsidR="00296448" w:rsidRPr="00176135" w:rsidRDefault="00296448" w:rsidP="00467B89">
            <w:pPr>
              <w:spacing w:before="0"/>
              <w:jc w:val="center"/>
              <w:rPr>
                <w:iCs/>
                <w:sz w:val="16"/>
                <w:szCs w:val="16"/>
              </w:rPr>
            </w:pPr>
          </w:p>
        </w:tc>
        <w:tc>
          <w:tcPr>
            <w:tcW w:w="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BE99C" w14:textId="51E4954D" w:rsidR="00296448" w:rsidRPr="00176135" w:rsidRDefault="00296448" w:rsidP="00296448">
            <w:pPr>
              <w:spacing w:before="0"/>
              <w:jc w:val="center"/>
              <w:rPr>
                <w:iCs/>
                <w:sz w:val="16"/>
                <w:szCs w:val="16"/>
              </w:rPr>
            </w:pPr>
            <w:r w:rsidRPr="00176135">
              <w:rPr>
                <w:iCs/>
                <w:sz w:val="16"/>
                <w:szCs w:val="16"/>
              </w:rPr>
              <w:t>1</w:t>
            </w:r>
            <w:r w:rsidRPr="00176135">
              <w:rPr>
                <w:iCs/>
                <w:sz w:val="16"/>
                <w:szCs w:val="16"/>
                <w:vertAlign w:val="superscript"/>
              </w:rPr>
              <w:t>st</w:t>
            </w:r>
            <w:r w:rsidRPr="00176135">
              <w:rPr>
                <w:iCs/>
                <w:sz w:val="16"/>
                <w:szCs w:val="16"/>
              </w:rPr>
              <w:t xml:space="preserve"> </w:t>
            </w:r>
            <w:r>
              <w:rPr>
                <w:iCs/>
                <w:sz w:val="16"/>
                <w:szCs w:val="16"/>
              </w:rPr>
              <w:t>period</w:t>
            </w:r>
            <w:r w:rsidRPr="00176135">
              <w:rPr>
                <w:iCs/>
                <w:sz w:val="16"/>
                <w:szCs w:val="16"/>
              </w:rPr>
              <w:t xml:space="preserve"> </w:t>
            </w:r>
          </w:p>
          <w:p w14:paraId="04CDCF7B" w14:textId="77777777" w:rsidR="00296448" w:rsidRPr="00176135" w:rsidRDefault="00296448" w:rsidP="00DF408B">
            <w:pPr>
              <w:spacing w:before="0"/>
              <w:jc w:val="center"/>
              <w:rPr>
                <w:iCs/>
                <w:sz w:val="16"/>
                <w:szCs w:val="16"/>
              </w:rPr>
            </w:pPr>
          </w:p>
          <w:p w14:paraId="669D51EF" w14:textId="3126ADB6" w:rsidR="00296448" w:rsidRPr="00176135" w:rsidRDefault="00296448" w:rsidP="00DF408B">
            <w:pPr>
              <w:spacing w:before="0"/>
              <w:jc w:val="center"/>
              <w:rPr>
                <w:iCs/>
                <w:sz w:val="16"/>
                <w:szCs w:val="16"/>
              </w:rPr>
            </w:pPr>
            <w:r w:rsidRPr="00176135">
              <w:rPr>
                <w:iCs/>
                <w:sz w:val="16"/>
                <w:szCs w:val="16"/>
              </w:rPr>
              <w:t xml:space="preserve"> (GVA)( *)</w:t>
            </w:r>
          </w:p>
        </w:tc>
        <w:tc>
          <w:tcPr>
            <w:tcW w:w="236" w:type="dxa"/>
            <w:tcBorders>
              <w:top w:val="single" w:sz="4" w:space="0" w:color="auto"/>
              <w:left w:val="single" w:sz="4" w:space="0" w:color="auto"/>
              <w:bottom w:val="single" w:sz="4" w:space="0" w:color="auto"/>
              <w:right w:val="single" w:sz="4" w:space="0" w:color="auto"/>
            </w:tcBorders>
            <w:vAlign w:val="center"/>
          </w:tcPr>
          <w:p w14:paraId="3C5D3D21" w14:textId="77777777" w:rsidR="00296448" w:rsidRPr="00176135" w:rsidRDefault="00296448" w:rsidP="00467B89">
            <w:pPr>
              <w:spacing w:before="0"/>
              <w:jc w:val="center"/>
              <w:rPr>
                <w:iCs/>
                <w:sz w:val="16"/>
                <w:szCs w:val="16"/>
              </w:rPr>
            </w:pPr>
          </w:p>
        </w:tc>
        <w:tc>
          <w:tcPr>
            <w:tcW w:w="748" w:type="dxa"/>
            <w:tcBorders>
              <w:top w:val="single" w:sz="4" w:space="0" w:color="auto"/>
              <w:left w:val="single" w:sz="4" w:space="0" w:color="auto"/>
              <w:bottom w:val="single" w:sz="4" w:space="0" w:color="auto"/>
              <w:right w:val="single" w:sz="4" w:space="0" w:color="auto"/>
            </w:tcBorders>
            <w:vAlign w:val="center"/>
          </w:tcPr>
          <w:p w14:paraId="5FFEE5C4" w14:textId="77777777" w:rsidR="00296448" w:rsidRPr="00176135" w:rsidRDefault="00296448" w:rsidP="00467B89">
            <w:pPr>
              <w:spacing w:before="0"/>
              <w:jc w:val="center"/>
              <w:rPr>
                <w:iCs/>
                <w:sz w:val="16"/>
                <w:szCs w:val="16"/>
              </w:rPr>
            </w:pPr>
          </w:p>
        </w:tc>
        <w:tc>
          <w:tcPr>
            <w:tcW w:w="775" w:type="dxa"/>
            <w:tcBorders>
              <w:top w:val="single" w:sz="4" w:space="0" w:color="auto"/>
              <w:left w:val="single" w:sz="4" w:space="0" w:color="auto"/>
              <w:bottom w:val="single" w:sz="4" w:space="0" w:color="auto"/>
              <w:right w:val="single" w:sz="4" w:space="0" w:color="auto"/>
            </w:tcBorders>
            <w:vAlign w:val="center"/>
            <w:hideMark/>
          </w:tcPr>
          <w:p w14:paraId="50C174AE" w14:textId="49409DFD" w:rsidR="00296448" w:rsidRPr="00176135" w:rsidRDefault="00296448" w:rsidP="00467B89">
            <w:pPr>
              <w:spacing w:before="0"/>
              <w:jc w:val="center"/>
              <w:rPr>
                <w:iCs/>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14:paraId="28A6274E" w14:textId="77777777" w:rsidR="00296448" w:rsidRPr="00176135" w:rsidRDefault="00296448" w:rsidP="00467B89">
            <w:pPr>
              <w:spacing w:before="0"/>
              <w:jc w:val="center"/>
              <w:rPr>
                <w:iCs/>
                <w:sz w:val="16"/>
                <w:szCs w:val="16"/>
              </w:rPr>
            </w:pPr>
          </w:p>
        </w:tc>
        <w:tc>
          <w:tcPr>
            <w:tcW w:w="742" w:type="dxa"/>
            <w:tcBorders>
              <w:top w:val="single" w:sz="4" w:space="0" w:color="auto"/>
              <w:left w:val="single" w:sz="4" w:space="0" w:color="auto"/>
              <w:bottom w:val="single" w:sz="4" w:space="0" w:color="auto"/>
              <w:right w:val="single" w:sz="4" w:space="0" w:color="auto"/>
            </w:tcBorders>
            <w:vAlign w:val="center"/>
          </w:tcPr>
          <w:p w14:paraId="093EAAFD" w14:textId="77777777" w:rsidR="00296448" w:rsidRPr="00176135" w:rsidRDefault="00296448" w:rsidP="00467B89">
            <w:pPr>
              <w:spacing w:before="0"/>
              <w:jc w:val="center"/>
              <w:rPr>
                <w:iCs/>
                <w:sz w:val="16"/>
                <w:szCs w:val="16"/>
              </w:rPr>
            </w:pP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2629C" w14:textId="4EF9C5C8" w:rsidR="00296448" w:rsidRPr="00176135" w:rsidRDefault="00296448" w:rsidP="00296448">
            <w:pPr>
              <w:spacing w:before="0"/>
              <w:jc w:val="center"/>
              <w:rPr>
                <w:iCs/>
                <w:sz w:val="16"/>
                <w:szCs w:val="16"/>
              </w:rPr>
            </w:pPr>
            <w:r w:rsidRPr="00176135">
              <w:rPr>
                <w:iCs/>
                <w:sz w:val="16"/>
                <w:szCs w:val="16"/>
              </w:rPr>
              <w:t>2</w:t>
            </w:r>
            <w:r w:rsidRPr="00176135">
              <w:rPr>
                <w:iCs/>
                <w:sz w:val="16"/>
                <w:szCs w:val="16"/>
                <w:vertAlign w:val="superscript"/>
              </w:rPr>
              <w:t>nd</w:t>
            </w:r>
            <w:r w:rsidRPr="00176135">
              <w:rPr>
                <w:iCs/>
                <w:sz w:val="16"/>
                <w:szCs w:val="16"/>
              </w:rPr>
              <w:t xml:space="preserve"> </w:t>
            </w:r>
            <w:r>
              <w:rPr>
                <w:iCs/>
                <w:sz w:val="16"/>
                <w:szCs w:val="16"/>
              </w:rPr>
              <w:t>period</w:t>
            </w:r>
            <w:r w:rsidRPr="00176135">
              <w:rPr>
                <w:iCs/>
                <w:sz w:val="16"/>
                <w:szCs w:val="16"/>
              </w:rPr>
              <w:t xml:space="preserve"> (hosted)</w:t>
            </w:r>
          </w:p>
        </w:tc>
        <w:tc>
          <w:tcPr>
            <w:tcW w:w="953" w:type="dxa"/>
            <w:tcBorders>
              <w:top w:val="single" w:sz="4" w:space="0" w:color="auto"/>
              <w:left w:val="single" w:sz="4" w:space="0" w:color="auto"/>
              <w:bottom w:val="single" w:sz="4" w:space="0" w:color="auto"/>
              <w:right w:val="single" w:sz="4" w:space="0" w:color="auto"/>
            </w:tcBorders>
            <w:vAlign w:val="center"/>
          </w:tcPr>
          <w:p w14:paraId="14B93064" w14:textId="65423251" w:rsidR="00296448" w:rsidRPr="00176135" w:rsidRDefault="00296448" w:rsidP="00AF5B21">
            <w:pPr>
              <w:spacing w:before="0"/>
              <w:jc w:val="center"/>
              <w:rPr>
                <w:iCs/>
                <w:sz w:val="16"/>
                <w:szCs w:val="16"/>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F8234A3" w14:textId="2E217964" w:rsidR="00296448" w:rsidRPr="00176135" w:rsidRDefault="00296448" w:rsidP="00467B89">
            <w:pPr>
              <w:spacing w:before="0"/>
              <w:jc w:val="center"/>
              <w:rPr>
                <w:iCs/>
                <w:sz w:val="16"/>
                <w:szCs w:val="16"/>
              </w:rPr>
            </w:pPr>
          </w:p>
        </w:tc>
        <w:tc>
          <w:tcPr>
            <w:tcW w:w="739" w:type="dxa"/>
            <w:tcBorders>
              <w:top w:val="single" w:sz="4" w:space="0" w:color="auto"/>
              <w:left w:val="single" w:sz="4" w:space="0" w:color="auto"/>
              <w:bottom w:val="single" w:sz="4" w:space="0" w:color="auto"/>
              <w:right w:val="single" w:sz="4" w:space="0" w:color="auto"/>
            </w:tcBorders>
            <w:vAlign w:val="center"/>
          </w:tcPr>
          <w:p w14:paraId="612A0F8E" w14:textId="77777777" w:rsidR="00296448" w:rsidRPr="00176135" w:rsidRDefault="00296448" w:rsidP="00467B89">
            <w:pPr>
              <w:spacing w:before="0"/>
              <w:jc w:val="center"/>
              <w:rPr>
                <w:iCs/>
                <w:sz w:val="16"/>
                <w:szCs w:val="16"/>
              </w:rPr>
            </w:pPr>
          </w:p>
        </w:tc>
      </w:tr>
    </w:tbl>
    <w:p w14:paraId="1039E2FF" w14:textId="49A369F4" w:rsidR="00467B89" w:rsidRPr="00176135" w:rsidRDefault="00176135" w:rsidP="00467B89">
      <w:pPr>
        <w:pStyle w:val="ListParagraph"/>
        <w:ind w:left="0"/>
        <w:contextualSpacing w:val="0"/>
        <w:jc w:val="both"/>
        <w:rPr>
          <w:rFonts w:asciiTheme="minorHAnsi" w:eastAsiaTheme="minorEastAsia" w:hAnsiTheme="minorHAnsi"/>
          <w:iCs/>
          <w:szCs w:val="24"/>
          <w:lang w:eastAsia="zh-CN"/>
        </w:rPr>
      </w:pPr>
      <w:r w:rsidRPr="00176135">
        <w:rPr>
          <w:iCs/>
          <w:noProof/>
          <w:szCs w:val="24"/>
          <w:lang w:val="en-US" w:eastAsia="zh-CN"/>
        </w:rPr>
        <mc:AlternateContent>
          <mc:Choice Requires="wpg">
            <w:drawing>
              <wp:anchor distT="0" distB="0" distL="114300" distR="114300" simplePos="0" relativeHeight="251666432" behindDoc="0" locked="0" layoutInCell="1" allowOverlap="1" wp14:anchorId="21E5C2F4" wp14:editId="2D29BBC0">
                <wp:simplePos x="0" y="0"/>
                <wp:positionH relativeFrom="column">
                  <wp:posOffset>668655</wp:posOffset>
                </wp:positionH>
                <wp:positionV relativeFrom="paragraph">
                  <wp:posOffset>81915</wp:posOffset>
                </wp:positionV>
                <wp:extent cx="3676650" cy="457200"/>
                <wp:effectExtent l="0" t="0" r="19050" b="0"/>
                <wp:wrapNone/>
                <wp:docPr id="9" name="Group 9"/>
                <wp:cNvGraphicFramePr/>
                <a:graphic xmlns:a="http://schemas.openxmlformats.org/drawingml/2006/main">
                  <a:graphicData uri="http://schemas.microsoft.com/office/word/2010/wordprocessingGroup">
                    <wpg:wgp>
                      <wpg:cNvGrpSpPr/>
                      <wpg:grpSpPr>
                        <a:xfrm>
                          <a:off x="0" y="0"/>
                          <a:ext cx="3676650" cy="457200"/>
                          <a:chOff x="0" y="1408437"/>
                          <a:chExt cx="3677272" cy="457352"/>
                        </a:xfrm>
                      </wpg:grpSpPr>
                      <wps:wsp>
                        <wps:cNvPr id="7" name="Left Brace 7"/>
                        <wps:cNvSpPr/>
                        <wps:spPr>
                          <a:xfrm rot="5400000">
                            <a:off x="3334689" y="1217620"/>
                            <a:ext cx="151765" cy="53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Left Brace 4"/>
                        <wps:cNvSpPr/>
                        <wps:spPr>
                          <a:xfrm rot="5400000">
                            <a:off x="746635" y="1217620"/>
                            <a:ext cx="151765" cy="53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1560989"/>
                            <a:ext cx="175387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767"/>
                                <w:gridCol w:w="786"/>
                                <w:gridCol w:w="852"/>
                              </w:tblGrid>
                              <w:tr w:rsidR="00467B89" w14:paraId="15B3B6F9" w14:textId="77777777">
                                <w:tc>
                                  <w:tcPr>
                                    <w:tcW w:w="767" w:type="dxa"/>
                                    <w:tcBorders>
                                      <w:top w:val="single" w:sz="4" w:space="0" w:color="auto"/>
                                      <w:left w:val="single" w:sz="4" w:space="0" w:color="auto"/>
                                      <w:bottom w:val="single" w:sz="4" w:space="0" w:color="auto"/>
                                      <w:right w:val="single" w:sz="4" w:space="0" w:color="auto"/>
                                    </w:tcBorders>
                                    <w:vAlign w:val="center"/>
                                    <w:hideMark/>
                                  </w:tcPr>
                                  <w:p w14:paraId="367C0C4F" w14:textId="77777777" w:rsidR="00467B89" w:rsidRDefault="00467B89">
                                    <w:pPr>
                                      <w:spacing w:before="0"/>
                                      <w:jc w:val="center"/>
                                      <w:rPr>
                                        <w:sz w:val="16"/>
                                        <w:szCs w:val="16"/>
                                      </w:rPr>
                                    </w:pPr>
                                    <w:r>
                                      <w:rPr>
                                        <w:sz w:val="16"/>
                                        <w:szCs w:val="16"/>
                                      </w:rPr>
                                      <w:t>Event 1</w:t>
                                    </w:r>
                                  </w:p>
                                </w:tc>
                                <w:tc>
                                  <w:tcPr>
                                    <w:tcW w:w="786" w:type="dxa"/>
                                    <w:tcBorders>
                                      <w:top w:val="single" w:sz="4" w:space="0" w:color="auto"/>
                                      <w:left w:val="single" w:sz="4" w:space="0" w:color="auto"/>
                                      <w:bottom w:val="single" w:sz="4" w:space="0" w:color="auto"/>
                                      <w:right w:val="single" w:sz="4" w:space="0" w:color="auto"/>
                                    </w:tcBorders>
                                    <w:vAlign w:val="center"/>
                                    <w:hideMark/>
                                  </w:tcPr>
                                  <w:p w14:paraId="4FF101BF" w14:textId="77777777" w:rsidR="00467B89" w:rsidRDefault="00467B89">
                                    <w:pPr>
                                      <w:spacing w:before="0"/>
                                      <w:jc w:val="center"/>
                                      <w:rPr>
                                        <w:sz w:val="16"/>
                                        <w:szCs w:val="16"/>
                                      </w:rPr>
                                    </w:pPr>
                                    <w:r>
                                      <w:rPr>
                                        <w:sz w:val="16"/>
                                        <w:szCs w:val="16"/>
                                      </w:rPr>
                                      <w:t>Event 2</w:t>
                                    </w:r>
                                  </w:p>
                                </w:tc>
                                <w:tc>
                                  <w:tcPr>
                                    <w:tcW w:w="852" w:type="dxa"/>
                                    <w:tcBorders>
                                      <w:top w:val="single" w:sz="4" w:space="0" w:color="auto"/>
                                      <w:left w:val="single" w:sz="4" w:space="0" w:color="auto"/>
                                      <w:bottom w:val="single" w:sz="4" w:space="0" w:color="auto"/>
                                      <w:right w:val="single" w:sz="4" w:space="0" w:color="auto"/>
                                    </w:tcBorders>
                                    <w:vAlign w:val="center"/>
                                    <w:hideMark/>
                                  </w:tcPr>
                                  <w:p w14:paraId="6BDCEE6D" w14:textId="77777777" w:rsidR="00467B89" w:rsidRDefault="00467B89">
                                    <w:pPr>
                                      <w:spacing w:before="0"/>
                                      <w:jc w:val="center"/>
                                      <w:rPr>
                                        <w:sz w:val="16"/>
                                        <w:szCs w:val="16"/>
                                      </w:rPr>
                                    </w:pPr>
                                    <w:r>
                                      <w:rPr>
                                        <w:sz w:val="16"/>
                                        <w:szCs w:val="16"/>
                                      </w:rPr>
                                      <w:t>Event 3</w:t>
                                    </w:r>
                                  </w:p>
                                </w:tc>
                              </w:tr>
                            </w:tbl>
                            <w:p w14:paraId="2A7F2D2C" w14:textId="77777777" w:rsidR="00467B89" w:rsidRDefault="00467B89" w:rsidP="0046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E5C2F4" id="Group 9" o:spid="_x0000_s1026" style="position:absolute;left:0;text-align:left;margin-left:52.65pt;margin-top:6.45pt;width:289.5pt;height:36pt;z-index:251666432;mso-width-relative:margin;mso-height-relative:margin" coordorigin=",14084" coordsize="36772,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7" type="#_x0000_t87" style="position:absolute;left:33346;top:12176;width:1518;height:53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Zm8YA&#10;AADaAAAADwAAAGRycy9kb3ducmV2LnhtbESPQWvCQBSE7wX/w/IEb3VjkdZGVwmSYg4topZSb4/s&#10;Mwlm34bs1qT+elco9DjMzDfMYtWbWlyodZVlBZNxBII4t7riQsHn4e1xBsJ5ZI21ZVLwSw5Wy8HD&#10;AmNtO97RZe8LESDsYlRQet/EUrq8JINubBvi4J1sa9AH2RZSt9gFuKnlUxQ9S4MVh4USG1qXlJ/3&#10;P0bB9CvNN5PqfXPMktN3erhu7evHVqnRsE/mIDz1/j/81860ghe4Xwk3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sZm8YAAADaAAAADwAAAAAAAAAAAAAAAACYAgAAZHJz&#10;L2Rvd25yZXYueG1sUEsFBgAAAAAEAAQA9QAAAIsDAAAAAA==&#10;" adj="512" strokecolor="black [3040]"/>
                <v:shape id="Left Brace 4" o:spid="_x0000_s1028" type="#_x0000_t87" style="position:absolute;left:7466;top:12176;width:1518;height:53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H7MUA&#10;AADaAAAADwAAAGRycy9kb3ducmV2LnhtbESPQWvCQBSE74X+h+UJ3uomIkWjmxCKoocWqZFSb4/s&#10;Mwlm34bsVtP++m5B6HGY+WaYVTaYVlypd41lBfEkAkFcWt1wpeBYbJ7mIJxH1thaJgXf5CBLHx9W&#10;mGh743e6HnwlQgm7BBXU3neJlK6syaCb2I44eGfbG/RB9pXUPd5CuWnlNIqepcGGw0KNHb3UVF4O&#10;X0bB7GNdbuPmdXva5efPdfGzt4u3vVLj0ZAvQXga/H/4Tu904ODvSr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YfsxQAAANoAAAAPAAAAAAAAAAAAAAAAAJgCAABkcnMv&#10;ZG93bnJldi54bWxQSwUGAAAAAAQABAD1AAAAigMAAAAA&#10;" adj="512" strokecolor="black [3040]"/>
                <v:shapetype id="_x0000_t202" coordsize="21600,21600" o:spt="202" path="m,l,21600r21600,l21600,xe">
                  <v:stroke joinstyle="miter"/>
                  <v:path gradientshapeok="t" o:connecttype="rect"/>
                </v:shapetype>
                <v:shape id="Text Box 3" o:spid="_x0000_s1029" type="#_x0000_t202" style="position:absolute;top:15609;width:175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tbl>
                        <w:tblPr>
                          <w:tblStyle w:val="TableGrid"/>
                          <w:tblW w:w="0" w:type="auto"/>
                          <w:tblLook w:val="04A0" w:firstRow="1" w:lastRow="0" w:firstColumn="1" w:lastColumn="0" w:noHBand="0" w:noVBand="1"/>
                        </w:tblPr>
                        <w:tblGrid>
                          <w:gridCol w:w="767"/>
                          <w:gridCol w:w="786"/>
                          <w:gridCol w:w="852"/>
                        </w:tblGrid>
                        <w:tr w:rsidR="00467B89" w14:paraId="15B3B6F9" w14:textId="77777777">
                          <w:tc>
                            <w:tcPr>
                              <w:tcW w:w="767" w:type="dxa"/>
                              <w:tcBorders>
                                <w:top w:val="single" w:sz="4" w:space="0" w:color="auto"/>
                                <w:left w:val="single" w:sz="4" w:space="0" w:color="auto"/>
                                <w:bottom w:val="single" w:sz="4" w:space="0" w:color="auto"/>
                                <w:right w:val="single" w:sz="4" w:space="0" w:color="auto"/>
                              </w:tcBorders>
                              <w:vAlign w:val="center"/>
                              <w:hideMark/>
                            </w:tcPr>
                            <w:p w14:paraId="367C0C4F" w14:textId="77777777" w:rsidR="00467B89" w:rsidRDefault="00467B89">
                              <w:pPr>
                                <w:spacing w:before="0"/>
                                <w:jc w:val="center"/>
                                <w:rPr>
                                  <w:sz w:val="16"/>
                                  <w:szCs w:val="16"/>
                                </w:rPr>
                              </w:pPr>
                              <w:r>
                                <w:rPr>
                                  <w:sz w:val="16"/>
                                  <w:szCs w:val="16"/>
                                </w:rPr>
                                <w:t>Event 1</w:t>
                              </w:r>
                            </w:p>
                          </w:tc>
                          <w:tc>
                            <w:tcPr>
                              <w:tcW w:w="786" w:type="dxa"/>
                              <w:tcBorders>
                                <w:top w:val="single" w:sz="4" w:space="0" w:color="auto"/>
                                <w:left w:val="single" w:sz="4" w:space="0" w:color="auto"/>
                                <w:bottom w:val="single" w:sz="4" w:space="0" w:color="auto"/>
                                <w:right w:val="single" w:sz="4" w:space="0" w:color="auto"/>
                              </w:tcBorders>
                              <w:vAlign w:val="center"/>
                              <w:hideMark/>
                            </w:tcPr>
                            <w:p w14:paraId="4FF101BF" w14:textId="77777777" w:rsidR="00467B89" w:rsidRDefault="00467B89">
                              <w:pPr>
                                <w:spacing w:before="0"/>
                                <w:jc w:val="center"/>
                                <w:rPr>
                                  <w:sz w:val="16"/>
                                  <w:szCs w:val="16"/>
                                </w:rPr>
                              </w:pPr>
                              <w:r>
                                <w:rPr>
                                  <w:sz w:val="16"/>
                                  <w:szCs w:val="16"/>
                                </w:rPr>
                                <w:t>Event 2</w:t>
                              </w:r>
                            </w:p>
                          </w:tc>
                          <w:tc>
                            <w:tcPr>
                              <w:tcW w:w="852" w:type="dxa"/>
                              <w:tcBorders>
                                <w:top w:val="single" w:sz="4" w:space="0" w:color="auto"/>
                                <w:left w:val="single" w:sz="4" w:space="0" w:color="auto"/>
                                <w:bottom w:val="single" w:sz="4" w:space="0" w:color="auto"/>
                                <w:right w:val="single" w:sz="4" w:space="0" w:color="auto"/>
                              </w:tcBorders>
                              <w:vAlign w:val="center"/>
                              <w:hideMark/>
                            </w:tcPr>
                            <w:p w14:paraId="6BDCEE6D" w14:textId="77777777" w:rsidR="00467B89" w:rsidRDefault="00467B89">
                              <w:pPr>
                                <w:spacing w:before="0"/>
                                <w:jc w:val="center"/>
                                <w:rPr>
                                  <w:sz w:val="16"/>
                                  <w:szCs w:val="16"/>
                                </w:rPr>
                              </w:pPr>
                              <w:r>
                                <w:rPr>
                                  <w:sz w:val="16"/>
                                  <w:szCs w:val="16"/>
                                </w:rPr>
                                <w:t>Event 3</w:t>
                              </w:r>
                            </w:p>
                          </w:tc>
                        </w:tr>
                      </w:tbl>
                      <w:p w14:paraId="2A7F2D2C" w14:textId="77777777" w:rsidR="00467B89" w:rsidRDefault="00467B89" w:rsidP="00467B89"/>
                    </w:txbxContent>
                  </v:textbox>
                </v:shape>
              </v:group>
            </w:pict>
          </mc:Fallback>
        </mc:AlternateContent>
      </w:r>
      <w:r w:rsidR="002A0A74" w:rsidRPr="00176135">
        <w:rPr>
          <w:noProof/>
          <w:lang w:val="en-US" w:eastAsia="zh-CN"/>
        </w:rPr>
        <mc:AlternateContent>
          <mc:Choice Requires="wps">
            <w:drawing>
              <wp:anchor distT="0" distB="0" distL="114300" distR="114300" simplePos="0" relativeHeight="251668480" behindDoc="0" locked="0" layoutInCell="1" allowOverlap="1" wp14:anchorId="7D9A64FF" wp14:editId="6B03D145">
                <wp:simplePos x="0" y="0"/>
                <wp:positionH relativeFrom="column">
                  <wp:posOffset>3259455</wp:posOffset>
                </wp:positionH>
                <wp:positionV relativeFrom="paragraph">
                  <wp:posOffset>216799</wp:posOffset>
                </wp:positionV>
                <wp:extent cx="1753235" cy="30416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1753235" cy="304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767"/>
                              <w:gridCol w:w="786"/>
                              <w:gridCol w:w="852"/>
                            </w:tblGrid>
                            <w:tr w:rsidR="002A0A74" w14:paraId="7B2F4776" w14:textId="77777777">
                              <w:tc>
                                <w:tcPr>
                                  <w:tcW w:w="767" w:type="dxa"/>
                                  <w:tcBorders>
                                    <w:top w:val="single" w:sz="4" w:space="0" w:color="auto"/>
                                    <w:left w:val="single" w:sz="4" w:space="0" w:color="auto"/>
                                    <w:bottom w:val="single" w:sz="4" w:space="0" w:color="auto"/>
                                    <w:right w:val="single" w:sz="4" w:space="0" w:color="auto"/>
                                  </w:tcBorders>
                                  <w:vAlign w:val="center"/>
                                  <w:hideMark/>
                                </w:tcPr>
                                <w:p w14:paraId="15C266F2" w14:textId="77777777" w:rsidR="002A0A74" w:rsidRDefault="002A0A74">
                                  <w:pPr>
                                    <w:spacing w:before="0"/>
                                    <w:jc w:val="center"/>
                                    <w:rPr>
                                      <w:sz w:val="16"/>
                                      <w:szCs w:val="16"/>
                                    </w:rPr>
                                  </w:pPr>
                                  <w:r>
                                    <w:rPr>
                                      <w:sz w:val="16"/>
                                      <w:szCs w:val="16"/>
                                    </w:rPr>
                                    <w:t>Event 1</w:t>
                                  </w:r>
                                </w:p>
                              </w:tc>
                              <w:tc>
                                <w:tcPr>
                                  <w:tcW w:w="786" w:type="dxa"/>
                                  <w:tcBorders>
                                    <w:top w:val="single" w:sz="4" w:space="0" w:color="auto"/>
                                    <w:left w:val="single" w:sz="4" w:space="0" w:color="auto"/>
                                    <w:bottom w:val="single" w:sz="4" w:space="0" w:color="auto"/>
                                    <w:right w:val="single" w:sz="4" w:space="0" w:color="auto"/>
                                  </w:tcBorders>
                                  <w:vAlign w:val="center"/>
                                  <w:hideMark/>
                                </w:tcPr>
                                <w:p w14:paraId="5DF3FF2B" w14:textId="77777777" w:rsidR="002A0A74" w:rsidRDefault="002A0A74">
                                  <w:pPr>
                                    <w:spacing w:before="0"/>
                                    <w:jc w:val="center"/>
                                    <w:rPr>
                                      <w:sz w:val="16"/>
                                      <w:szCs w:val="16"/>
                                    </w:rPr>
                                  </w:pPr>
                                  <w:r>
                                    <w:rPr>
                                      <w:sz w:val="16"/>
                                      <w:szCs w:val="16"/>
                                    </w:rPr>
                                    <w:t>Event 2</w:t>
                                  </w:r>
                                </w:p>
                              </w:tc>
                              <w:tc>
                                <w:tcPr>
                                  <w:tcW w:w="852" w:type="dxa"/>
                                  <w:tcBorders>
                                    <w:top w:val="single" w:sz="4" w:space="0" w:color="auto"/>
                                    <w:left w:val="single" w:sz="4" w:space="0" w:color="auto"/>
                                    <w:bottom w:val="single" w:sz="4" w:space="0" w:color="auto"/>
                                    <w:right w:val="single" w:sz="4" w:space="0" w:color="auto"/>
                                  </w:tcBorders>
                                  <w:vAlign w:val="center"/>
                                  <w:hideMark/>
                                </w:tcPr>
                                <w:p w14:paraId="749109BB" w14:textId="77777777" w:rsidR="002A0A74" w:rsidRDefault="002A0A74">
                                  <w:pPr>
                                    <w:spacing w:before="0"/>
                                    <w:jc w:val="center"/>
                                    <w:rPr>
                                      <w:sz w:val="16"/>
                                      <w:szCs w:val="16"/>
                                    </w:rPr>
                                  </w:pPr>
                                  <w:r>
                                    <w:rPr>
                                      <w:sz w:val="16"/>
                                      <w:szCs w:val="16"/>
                                    </w:rPr>
                                    <w:t>Event 3</w:t>
                                  </w:r>
                                </w:p>
                              </w:tc>
                            </w:tr>
                          </w:tbl>
                          <w:p w14:paraId="5FD575DF" w14:textId="77777777" w:rsidR="002A0A74" w:rsidRDefault="002A0A74" w:rsidP="002A0A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A64FF" id="Text Box 11" o:spid="_x0000_s1030" type="#_x0000_t202" style="position:absolute;left:0;text-align:left;margin-left:256.65pt;margin-top:17.05pt;width:138.05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" filled="f" stroked="f">
                <v:textbox>
                  <w:txbxContent>
                    <w:tbl>
                      <w:tblPr>
                        <w:tblStyle w:val="TableGrid"/>
                        <w:tblW w:w="0" w:type="auto"/>
                        <w:tblLook w:val="04A0" w:firstRow="1" w:lastRow="0" w:firstColumn="1" w:lastColumn="0" w:noHBand="0" w:noVBand="1"/>
                      </w:tblPr>
                      <w:tblGrid>
                        <w:gridCol w:w="767"/>
                        <w:gridCol w:w="786"/>
                        <w:gridCol w:w="852"/>
                      </w:tblGrid>
                      <w:tr w:rsidR="002A0A74" w14:paraId="7B2F4776" w14:textId="77777777">
                        <w:tc>
                          <w:tcPr>
                            <w:tcW w:w="767" w:type="dxa"/>
                            <w:tcBorders>
                              <w:top w:val="single" w:sz="4" w:space="0" w:color="auto"/>
                              <w:left w:val="single" w:sz="4" w:space="0" w:color="auto"/>
                              <w:bottom w:val="single" w:sz="4" w:space="0" w:color="auto"/>
                              <w:right w:val="single" w:sz="4" w:space="0" w:color="auto"/>
                            </w:tcBorders>
                            <w:vAlign w:val="center"/>
                            <w:hideMark/>
                          </w:tcPr>
                          <w:p w14:paraId="15C266F2" w14:textId="77777777" w:rsidR="002A0A74" w:rsidRDefault="002A0A74">
                            <w:pPr>
                              <w:spacing w:before="0"/>
                              <w:jc w:val="center"/>
                              <w:rPr>
                                <w:sz w:val="16"/>
                                <w:szCs w:val="16"/>
                              </w:rPr>
                            </w:pPr>
                            <w:r>
                              <w:rPr>
                                <w:sz w:val="16"/>
                                <w:szCs w:val="16"/>
                              </w:rPr>
                              <w:t>Event 1</w:t>
                            </w:r>
                          </w:p>
                        </w:tc>
                        <w:tc>
                          <w:tcPr>
                            <w:tcW w:w="786" w:type="dxa"/>
                            <w:tcBorders>
                              <w:top w:val="single" w:sz="4" w:space="0" w:color="auto"/>
                              <w:left w:val="single" w:sz="4" w:space="0" w:color="auto"/>
                              <w:bottom w:val="single" w:sz="4" w:space="0" w:color="auto"/>
                              <w:right w:val="single" w:sz="4" w:space="0" w:color="auto"/>
                            </w:tcBorders>
                            <w:vAlign w:val="center"/>
                            <w:hideMark/>
                          </w:tcPr>
                          <w:p w14:paraId="5DF3FF2B" w14:textId="77777777" w:rsidR="002A0A74" w:rsidRDefault="002A0A74">
                            <w:pPr>
                              <w:spacing w:before="0"/>
                              <w:jc w:val="center"/>
                              <w:rPr>
                                <w:sz w:val="16"/>
                                <w:szCs w:val="16"/>
                              </w:rPr>
                            </w:pPr>
                            <w:r>
                              <w:rPr>
                                <w:sz w:val="16"/>
                                <w:szCs w:val="16"/>
                              </w:rPr>
                              <w:t>Event 2</w:t>
                            </w:r>
                          </w:p>
                        </w:tc>
                        <w:tc>
                          <w:tcPr>
                            <w:tcW w:w="852" w:type="dxa"/>
                            <w:tcBorders>
                              <w:top w:val="single" w:sz="4" w:space="0" w:color="auto"/>
                              <w:left w:val="single" w:sz="4" w:space="0" w:color="auto"/>
                              <w:bottom w:val="single" w:sz="4" w:space="0" w:color="auto"/>
                              <w:right w:val="single" w:sz="4" w:space="0" w:color="auto"/>
                            </w:tcBorders>
                            <w:vAlign w:val="center"/>
                            <w:hideMark/>
                          </w:tcPr>
                          <w:p w14:paraId="749109BB" w14:textId="77777777" w:rsidR="002A0A74" w:rsidRDefault="002A0A74">
                            <w:pPr>
                              <w:spacing w:before="0"/>
                              <w:jc w:val="center"/>
                              <w:rPr>
                                <w:sz w:val="16"/>
                                <w:szCs w:val="16"/>
                              </w:rPr>
                            </w:pPr>
                            <w:r>
                              <w:rPr>
                                <w:sz w:val="16"/>
                                <w:szCs w:val="16"/>
                              </w:rPr>
                              <w:t>Event 3</w:t>
                            </w:r>
                          </w:p>
                        </w:tc>
                      </w:tr>
                    </w:tbl>
                    <w:p w14:paraId="5FD575DF" w14:textId="77777777" w:rsidR="002A0A74" w:rsidRDefault="002A0A74" w:rsidP="002A0A74"/>
                  </w:txbxContent>
                </v:textbox>
              </v:shape>
            </w:pict>
          </mc:Fallback>
        </mc:AlternateContent>
      </w:r>
    </w:p>
    <w:p w14:paraId="17C60876" w14:textId="452D500E" w:rsidR="00467B89" w:rsidRPr="00176135" w:rsidRDefault="00467B89" w:rsidP="00467B89">
      <w:pPr>
        <w:pStyle w:val="ListParagraph"/>
        <w:ind w:left="0"/>
        <w:contextualSpacing w:val="0"/>
        <w:jc w:val="both"/>
        <w:rPr>
          <w:iCs/>
          <w:szCs w:val="24"/>
        </w:rPr>
      </w:pPr>
    </w:p>
    <w:p w14:paraId="233F56B5" w14:textId="77777777" w:rsidR="00467B89" w:rsidRPr="00176135" w:rsidRDefault="00467B89" w:rsidP="00467B89">
      <w:pPr>
        <w:pStyle w:val="ListParagraph"/>
        <w:spacing w:before="240"/>
        <w:ind w:left="0"/>
        <w:contextualSpacing w:val="0"/>
        <w:jc w:val="center"/>
        <w:rPr>
          <w:iCs/>
          <w:sz w:val="18"/>
          <w:szCs w:val="18"/>
        </w:rPr>
      </w:pPr>
      <w:r w:rsidRPr="00176135">
        <w:rPr>
          <w:iCs/>
          <w:sz w:val="18"/>
          <w:szCs w:val="18"/>
        </w:rPr>
        <w:t>Figure 1. Consolidation of ITU events (Option 1)</w:t>
      </w:r>
    </w:p>
    <w:p w14:paraId="4FEE2E4D" w14:textId="37CB97CB" w:rsidR="0005038F" w:rsidRPr="00176135" w:rsidRDefault="00AF5B21" w:rsidP="00296448">
      <w:pPr>
        <w:spacing w:before="240"/>
        <w:rPr>
          <w:iCs/>
          <w:sz w:val="18"/>
          <w:szCs w:val="18"/>
        </w:rPr>
      </w:pPr>
      <w:r w:rsidRPr="00176135">
        <w:rPr>
          <w:iCs/>
          <w:sz w:val="18"/>
          <w:szCs w:val="18"/>
        </w:rPr>
        <w:t xml:space="preserve">(*) Note: Events in this </w:t>
      </w:r>
      <w:r w:rsidR="00296448">
        <w:rPr>
          <w:iCs/>
          <w:sz w:val="18"/>
          <w:szCs w:val="18"/>
        </w:rPr>
        <w:t>period</w:t>
      </w:r>
      <w:r w:rsidR="00296448" w:rsidRPr="00176135">
        <w:rPr>
          <w:iCs/>
          <w:sz w:val="18"/>
          <w:szCs w:val="18"/>
        </w:rPr>
        <w:t xml:space="preserve"> </w:t>
      </w:r>
      <w:r w:rsidRPr="00176135">
        <w:rPr>
          <w:iCs/>
          <w:sz w:val="18"/>
          <w:szCs w:val="18"/>
        </w:rPr>
        <w:t xml:space="preserve">may need to be also hosted away from Geneva during the timeline of the project for the New Building for ITU Headquarters </w:t>
      </w:r>
    </w:p>
    <w:p w14:paraId="5274D896" w14:textId="77777777" w:rsidR="00AF5B21" w:rsidRPr="00176135" w:rsidRDefault="00AF5B21" w:rsidP="00AF5B21">
      <w:pPr>
        <w:pStyle w:val="ListParagraph"/>
        <w:spacing w:before="240"/>
        <w:ind w:left="0"/>
        <w:contextualSpacing w:val="0"/>
        <w:rPr>
          <w:iCs/>
          <w:sz w:val="18"/>
          <w:szCs w:val="18"/>
        </w:rPr>
      </w:pPr>
    </w:p>
    <w:p w14:paraId="7F7323EC" w14:textId="188B187F" w:rsidR="00467B89" w:rsidRPr="00176135" w:rsidRDefault="00467B89" w:rsidP="0005038F">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iCs/>
          <w:szCs w:val="24"/>
        </w:rPr>
      </w:pPr>
      <w:r w:rsidRPr="00176135">
        <w:rPr>
          <w:iCs/>
          <w:szCs w:val="24"/>
        </w:rPr>
        <w:t xml:space="preserve">The consolidation of high-level events around </w:t>
      </w:r>
      <w:r w:rsidR="0005038F" w:rsidRPr="00176135">
        <w:rPr>
          <w:iCs/>
          <w:szCs w:val="24"/>
        </w:rPr>
        <w:t>t</w:t>
      </w:r>
      <w:r w:rsidR="00EE2FE6">
        <w:rPr>
          <w:iCs/>
          <w:szCs w:val="24"/>
        </w:rPr>
        <w:t>wo</w:t>
      </w:r>
      <w:r w:rsidR="0005038F" w:rsidRPr="00176135">
        <w:rPr>
          <w:iCs/>
          <w:szCs w:val="24"/>
        </w:rPr>
        <w:t xml:space="preserve"> </w:t>
      </w:r>
      <w:r w:rsidRPr="00176135">
        <w:rPr>
          <w:iCs/>
          <w:szCs w:val="24"/>
        </w:rPr>
        <w:t xml:space="preserve">calendar periods per year would lead to a simplified ITU agenda. In addition, it would provide an opportunity for </w:t>
      </w:r>
      <w:r w:rsidR="0005038F" w:rsidRPr="00176135">
        <w:rPr>
          <w:iCs/>
          <w:szCs w:val="24"/>
        </w:rPr>
        <w:t xml:space="preserve">rationalizing </w:t>
      </w:r>
      <w:r w:rsidRPr="00176135">
        <w:rPr>
          <w:iCs/>
          <w:szCs w:val="24"/>
        </w:rPr>
        <w:t>the current cost of organizing events, as well as to modernize, restructure and streamline the running of the secretariat which supports organizing events. However, such consolidation would require increased internal coordination and more advanced planning to schedule and implement each event.</w:t>
      </w:r>
    </w:p>
    <w:p w14:paraId="7F3620C6" w14:textId="2B377A22" w:rsidR="00467B89" w:rsidRPr="00176135" w:rsidRDefault="00467B89" w:rsidP="00296448">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iCs/>
          <w:szCs w:val="24"/>
        </w:rPr>
      </w:pPr>
      <w:r w:rsidRPr="00176135">
        <w:rPr>
          <w:iCs/>
          <w:szCs w:val="24"/>
        </w:rPr>
        <w:t xml:space="preserve">With regards to organizing the second </w:t>
      </w:r>
      <w:r w:rsidR="00296448">
        <w:rPr>
          <w:iCs/>
          <w:szCs w:val="24"/>
        </w:rPr>
        <w:t>period</w:t>
      </w:r>
      <w:r w:rsidR="00296448" w:rsidRPr="00176135">
        <w:rPr>
          <w:iCs/>
          <w:szCs w:val="24"/>
        </w:rPr>
        <w:t xml:space="preserve"> </w:t>
      </w:r>
      <w:r w:rsidRPr="00176135">
        <w:rPr>
          <w:iCs/>
          <w:szCs w:val="24"/>
        </w:rPr>
        <w:t>in the regions, this option would provide an opportunity to modernize the organization of these events</w:t>
      </w:r>
      <w:r w:rsidR="000D3461">
        <w:rPr>
          <w:iCs/>
          <w:szCs w:val="24"/>
        </w:rPr>
        <w:t xml:space="preserve"> and</w:t>
      </w:r>
      <w:r w:rsidRPr="00176135">
        <w:rPr>
          <w:iCs/>
          <w:szCs w:val="24"/>
        </w:rPr>
        <w:t xml:space="preserve"> </w:t>
      </w:r>
      <w:r w:rsidR="00990F1C">
        <w:rPr>
          <w:iCs/>
          <w:szCs w:val="24"/>
        </w:rPr>
        <w:t>to reduce</w:t>
      </w:r>
      <w:r w:rsidRPr="00176135">
        <w:rPr>
          <w:iCs/>
          <w:szCs w:val="24"/>
        </w:rPr>
        <w:t xml:space="preserve"> their overall duration</w:t>
      </w:r>
      <w:r w:rsidR="000D3461">
        <w:rPr>
          <w:iCs/>
          <w:szCs w:val="24"/>
        </w:rPr>
        <w:t>.</w:t>
      </w:r>
    </w:p>
    <w:p w14:paraId="034867FC" w14:textId="77777777" w:rsidR="00467B89" w:rsidRPr="00176135" w:rsidRDefault="00467B89" w:rsidP="00467B89">
      <w:pPr>
        <w:pStyle w:val="ListParagraph"/>
        <w:numPr>
          <w:ilvl w:val="0"/>
          <w:numId w:val="2"/>
        </w:numPr>
        <w:tabs>
          <w:tab w:val="clear" w:pos="567"/>
          <w:tab w:val="clear" w:pos="1134"/>
          <w:tab w:val="clear" w:pos="1701"/>
          <w:tab w:val="clear" w:pos="2268"/>
          <w:tab w:val="clear" w:pos="2835"/>
        </w:tabs>
        <w:overflowPunct/>
        <w:autoSpaceDE/>
        <w:autoSpaceDN/>
        <w:adjustRightInd/>
        <w:spacing w:before="360" w:after="120"/>
        <w:ind w:left="709" w:hanging="709"/>
        <w:contextualSpacing w:val="0"/>
        <w:jc w:val="both"/>
        <w:textAlignment w:val="auto"/>
        <w:outlineLvl w:val="0"/>
        <w:rPr>
          <w:rFonts w:cstheme="minorHAnsi"/>
          <w:color w:val="000000"/>
          <w:szCs w:val="24"/>
          <w:shd w:val="clear" w:color="auto" w:fill="FFFFFF"/>
        </w:rPr>
      </w:pPr>
      <w:r w:rsidRPr="00176135">
        <w:rPr>
          <w:b/>
          <w:bCs/>
          <w:szCs w:val="24"/>
        </w:rPr>
        <w:t>Option 2. Segmentation of ITU events</w:t>
      </w:r>
    </w:p>
    <w:p w14:paraId="0BC9EE17" w14:textId="79F083B7" w:rsidR="00467B89" w:rsidRPr="00176135" w:rsidRDefault="00467B89" w:rsidP="00C45FF1">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rFonts w:cstheme="minorBidi"/>
          <w:iCs/>
          <w:szCs w:val="24"/>
        </w:rPr>
      </w:pPr>
      <w:r w:rsidRPr="00176135">
        <w:rPr>
          <w:iCs/>
          <w:szCs w:val="24"/>
        </w:rPr>
        <w:t>The second approach to optimize ITU high-level events of global nature is to refine the focus of each event and identify a specific set of audiences depending on the topic. This will allow ITU to apply more detailed audience segmentation within each of its current stakeholder categories, to identify specific profiles of prospective attendees rather than issue blanket invitations.</w:t>
      </w:r>
      <w:r w:rsidRPr="00176135">
        <w:rPr>
          <w:rStyle w:val="FootnoteReference"/>
          <w:rFonts w:cstheme="minorBidi"/>
          <w:iCs/>
          <w:szCs w:val="24"/>
        </w:rPr>
        <w:footnoteReference w:id="1"/>
      </w:r>
      <w:r w:rsidRPr="00176135">
        <w:rPr>
          <w:iCs/>
          <w:szCs w:val="24"/>
        </w:rPr>
        <w:t xml:space="preserve"> This will allow ITU to broaden its stakeholder base and engage in more targeted outreach for each event depending on the objectives and scope. </w:t>
      </w:r>
      <w:r w:rsidR="006534D3" w:rsidRPr="00176135">
        <w:rPr>
          <w:iCs/>
          <w:szCs w:val="24"/>
        </w:rPr>
        <w:t>It is important to note that the segmentation of content for these events will not affect the rights of participation of ITU Membership at these events, which will still be defined by ITU basic instruments.</w:t>
      </w:r>
    </w:p>
    <w:p w14:paraId="5CBF9D08" w14:textId="0518723B" w:rsidR="00467B89" w:rsidRPr="00176135" w:rsidRDefault="00467B89" w:rsidP="00467B89">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iCs/>
          <w:szCs w:val="24"/>
        </w:rPr>
      </w:pPr>
      <w:r w:rsidRPr="00176135">
        <w:rPr>
          <w:iCs/>
          <w:szCs w:val="24"/>
        </w:rPr>
        <w:t>Such an approach will ensure that ITU events continue to benefit from multi</w:t>
      </w:r>
      <w:r w:rsidR="0005038F" w:rsidRPr="00176135">
        <w:rPr>
          <w:iCs/>
          <w:szCs w:val="24"/>
        </w:rPr>
        <w:t>-</w:t>
      </w:r>
      <w:r w:rsidRPr="00176135">
        <w:rPr>
          <w:iCs/>
          <w:szCs w:val="24"/>
        </w:rPr>
        <w:t>stakeholder participation, but will also ensure that each event identifies the common threads which link participants from different institutional settings, and that invitations are targeted to the right profile of participant from each of the organization</w:t>
      </w:r>
      <w:r w:rsidR="00295CEA">
        <w:rPr>
          <w:iCs/>
          <w:szCs w:val="24"/>
        </w:rPr>
        <w:t>’</w:t>
      </w:r>
      <w:r w:rsidRPr="00176135">
        <w:rPr>
          <w:iCs/>
          <w:szCs w:val="24"/>
        </w:rPr>
        <w:t>s core-stakeholder groups.</w:t>
      </w:r>
    </w:p>
    <w:p w14:paraId="6D22DE3A" w14:textId="518D542B" w:rsidR="00467B89" w:rsidRPr="0007712C" w:rsidRDefault="00467B89" w:rsidP="0007712C">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iCs/>
          <w:szCs w:val="24"/>
        </w:rPr>
      </w:pPr>
      <w:r w:rsidRPr="00176135">
        <w:rPr>
          <w:iCs/>
          <w:szCs w:val="24"/>
        </w:rPr>
        <w:t xml:space="preserve">The segmentation of high-level events would also require strengthening internal coordination to plan events, but each event would keep its current teams and resources. This approach would not reduce the total number of events nor reduce the resource implications for ITU. </w:t>
      </w:r>
    </w:p>
    <w:p w14:paraId="1887B875" w14:textId="77777777" w:rsidR="00467B89" w:rsidRPr="00176135" w:rsidRDefault="00467B89" w:rsidP="00467B89">
      <w:pPr>
        <w:pStyle w:val="ListParagraph"/>
        <w:numPr>
          <w:ilvl w:val="0"/>
          <w:numId w:val="2"/>
        </w:numPr>
        <w:tabs>
          <w:tab w:val="clear" w:pos="567"/>
          <w:tab w:val="clear" w:pos="1134"/>
          <w:tab w:val="clear" w:pos="1701"/>
          <w:tab w:val="clear" w:pos="2268"/>
          <w:tab w:val="clear" w:pos="2835"/>
        </w:tabs>
        <w:overflowPunct/>
        <w:autoSpaceDE/>
        <w:autoSpaceDN/>
        <w:adjustRightInd/>
        <w:spacing w:before="360" w:after="120"/>
        <w:ind w:left="709" w:hanging="709"/>
        <w:contextualSpacing w:val="0"/>
        <w:jc w:val="both"/>
        <w:textAlignment w:val="auto"/>
        <w:outlineLvl w:val="0"/>
        <w:rPr>
          <w:rFonts w:cstheme="minorHAnsi"/>
          <w:color w:val="000000"/>
          <w:szCs w:val="24"/>
          <w:shd w:val="clear" w:color="auto" w:fill="FFFFFF"/>
        </w:rPr>
      </w:pPr>
      <w:r w:rsidRPr="00176135">
        <w:rPr>
          <w:b/>
          <w:bCs/>
          <w:szCs w:val="24"/>
        </w:rPr>
        <w:t>Next steps</w:t>
      </w:r>
    </w:p>
    <w:p w14:paraId="29BC1ED9" w14:textId="05D43B4B" w:rsidR="00467B89" w:rsidRPr="00176135" w:rsidRDefault="00467B89" w:rsidP="00FA17DE">
      <w:pPr>
        <w:pStyle w:val="ListParagraph"/>
        <w:numPr>
          <w:ilvl w:val="1"/>
          <w:numId w:val="2"/>
        </w:numPr>
        <w:tabs>
          <w:tab w:val="clear" w:pos="567"/>
          <w:tab w:val="clear" w:pos="1134"/>
          <w:tab w:val="clear" w:pos="1701"/>
          <w:tab w:val="clear" w:pos="2268"/>
          <w:tab w:val="clear" w:pos="2835"/>
        </w:tabs>
        <w:overflowPunct/>
        <w:autoSpaceDE/>
        <w:autoSpaceDN/>
        <w:adjustRightInd/>
        <w:spacing w:before="0" w:after="160"/>
        <w:ind w:left="0" w:firstLine="0"/>
        <w:contextualSpacing w:val="0"/>
        <w:jc w:val="both"/>
        <w:textAlignment w:val="auto"/>
        <w:rPr>
          <w:rFonts w:cstheme="minorBidi"/>
          <w:iCs/>
          <w:szCs w:val="24"/>
        </w:rPr>
      </w:pPr>
      <w:r w:rsidRPr="00176135">
        <w:rPr>
          <w:iCs/>
          <w:szCs w:val="24"/>
        </w:rPr>
        <w:t xml:space="preserve">The optimization of ITU high-level events of a global nature would depend on the approach adopted, considering the options presented above. </w:t>
      </w:r>
      <w:r w:rsidR="0005038F" w:rsidRPr="00176135">
        <w:rPr>
          <w:iCs/>
          <w:szCs w:val="24"/>
        </w:rPr>
        <w:t>The ITU Plenipotentiary Conference is invited to continue the discussions initiat</w:t>
      </w:r>
      <w:r w:rsidR="00CD773F">
        <w:rPr>
          <w:iCs/>
          <w:szCs w:val="24"/>
        </w:rPr>
        <w:t>ed</w:t>
      </w:r>
      <w:r w:rsidR="0005038F" w:rsidRPr="00176135">
        <w:rPr>
          <w:iCs/>
          <w:szCs w:val="24"/>
        </w:rPr>
        <w:t xml:space="preserve"> at the 2018 Session of Council and provide further guidance to ITU secretariat </w:t>
      </w:r>
      <w:r w:rsidR="00FA17DE" w:rsidRPr="00176135">
        <w:rPr>
          <w:iCs/>
          <w:szCs w:val="24"/>
        </w:rPr>
        <w:t>to advance in the development an optimized calendar of activities starting from 2019</w:t>
      </w:r>
      <w:r w:rsidRPr="00176135">
        <w:rPr>
          <w:iCs/>
          <w:szCs w:val="24"/>
        </w:rPr>
        <w:t>:</w:t>
      </w:r>
    </w:p>
    <w:p w14:paraId="30F8231B" w14:textId="143B6FEC" w:rsidR="00467B89" w:rsidRPr="00176135" w:rsidRDefault="00467B89" w:rsidP="00176135">
      <w:pPr>
        <w:pStyle w:val="ListParagraph"/>
        <w:numPr>
          <w:ilvl w:val="0"/>
          <w:numId w:val="3"/>
        </w:numPr>
        <w:tabs>
          <w:tab w:val="clear" w:pos="567"/>
          <w:tab w:val="clear" w:pos="1134"/>
          <w:tab w:val="clear" w:pos="1701"/>
          <w:tab w:val="clear" w:pos="2268"/>
          <w:tab w:val="clear" w:pos="2835"/>
        </w:tabs>
        <w:overflowPunct/>
        <w:autoSpaceDE/>
        <w:autoSpaceDN/>
        <w:adjustRightInd/>
        <w:spacing w:before="0" w:after="160"/>
        <w:contextualSpacing w:val="0"/>
        <w:jc w:val="both"/>
        <w:textAlignment w:val="auto"/>
        <w:rPr>
          <w:iCs/>
          <w:szCs w:val="24"/>
        </w:rPr>
      </w:pPr>
      <w:r w:rsidRPr="00176135">
        <w:rPr>
          <w:iCs/>
          <w:szCs w:val="24"/>
        </w:rPr>
        <w:t>November 2018-June 2019. ITU secretariat to review ITU schedule of events and produce a new plan for 2020, taking into account the decisions made at PP</w:t>
      </w:r>
      <w:r w:rsidR="00CD773F">
        <w:rPr>
          <w:iCs/>
          <w:szCs w:val="24"/>
        </w:rPr>
        <w:t>-</w:t>
      </w:r>
      <w:r w:rsidRPr="00176135">
        <w:rPr>
          <w:iCs/>
          <w:szCs w:val="24"/>
        </w:rPr>
        <w:t>18.</w:t>
      </w:r>
    </w:p>
    <w:p w14:paraId="3A678618" w14:textId="77777777" w:rsidR="00467B89" w:rsidRPr="00176135" w:rsidRDefault="00467B89" w:rsidP="00467B89">
      <w:pPr>
        <w:pStyle w:val="ListParagraph"/>
        <w:numPr>
          <w:ilvl w:val="0"/>
          <w:numId w:val="3"/>
        </w:numPr>
        <w:tabs>
          <w:tab w:val="clear" w:pos="567"/>
          <w:tab w:val="clear" w:pos="1134"/>
          <w:tab w:val="clear" w:pos="1701"/>
          <w:tab w:val="clear" w:pos="2268"/>
          <w:tab w:val="clear" w:pos="2835"/>
        </w:tabs>
        <w:overflowPunct/>
        <w:autoSpaceDE/>
        <w:autoSpaceDN/>
        <w:adjustRightInd/>
        <w:spacing w:before="0" w:after="160"/>
        <w:contextualSpacing w:val="0"/>
        <w:jc w:val="both"/>
        <w:textAlignment w:val="auto"/>
        <w:rPr>
          <w:iCs/>
          <w:szCs w:val="24"/>
        </w:rPr>
      </w:pPr>
      <w:r w:rsidRPr="00176135">
        <w:rPr>
          <w:iCs/>
          <w:szCs w:val="24"/>
        </w:rPr>
        <w:t>Starting from January 2019. ITU secretariat will issue a single invitation letter to all administrations announcing the calendar of ITU events of global nature for the year.</w:t>
      </w:r>
    </w:p>
    <w:p w14:paraId="309024E8" w14:textId="77777777" w:rsidR="00467B89" w:rsidRPr="00176135" w:rsidRDefault="00467B89" w:rsidP="00467B89">
      <w:pPr>
        <w:pStyle w:val="ListParagraph"/>
        <w:numPr>
          <w:ilvl w:val="0"/>
          <w:numId w:val="3"/>
        </w:numPr>
        <w:tabs>
          <w:tab w:val="clear" w:pos="567"/>
          <w:tab w:val="clear" w:pos="1134"/>
          <w:tab w:val="clear" w:pos="1701"/>
          <w:tab w:val="clear" w:pos="2268"/>
          <w:tab w:val="clear" w:pos="2835"/>
        </w:tabs>
        <w:overflowPunct/>
        <w:autoSpaceDE/>
        <w:autoSpaceDN/>
        <w:adjustRightInd/>
        <w:spacing w:before="0" w:after="160"/>
        <w:contextualSpacing w:val="0"/>
        <w:jc w:val="both"/>
        <w:textAlignment w:val="auto"/>
        <w:rPr>
          <w:iCs/>
          <w:szCs w:val="24"/>
        </w:rPr>
      </w:pPr>
      <w:r w:rsidRPr="00176135">
        <w:rPr>
          <w:iCs/>
          <w:szCs w:val="24"/>
        </w:rPr>
        <w:t>July-November 2019. All bureaux to adjust their calendars and events to the new planning developed as per indications of ITU membership. When necessary, ITU secretariat to explore introducing efficiencies between teams</w:t>
      </w:r>
      <w:r w:rsidR="00FA17DE" w:rsidRPr="00176135">
        <w:rPr>
          <w:iCs/>
          <w:szCs w:val="24"/>
        </w:rPr>
        <w:t xml:space="preserve"> organizing events. The ISC-TF </w:t>
      </w:r>
      <w:r w:rsidRPr="00176135">
        <w:rPr>
          <w:iCs/>
          <w:szCs w:val="24"/>
        </w:rPr>
        <w:t>to establish a team to coordinate content for ITU events to ensure consistency.</w:t>
      </w:r>
    </w:p>
    <w:p w14:paraId="24E4981F" w14:textId="77777777" w:rsidR="0008540E" w:rsidRDefault="00467B89" w:rsidP="00FA17DE">
      <w:pPr>
        <w:pStyle w:val="ListParagraph"/>
        <w:numPr>
          <w:ilvl w:val="0"/>
          <w:numId w:val="3"/>
        </w:numPr>
        <w:tabs>
          <w:tab w:val="clear" w:pos="567"/>
          <w:tab w:val="clear" w:pos="1134"/>
          <w:tab w:val="clear" w:pos="1701"/>
          <w:tab w:val="clear" w:pos="2268"/>
          <w:tab w:val="clear" w:pos="2835"/>
        </w:tabs>
        <w:overflowPunct/>
        <w:autoSpaceDE/>
        <w:autoSpaceDN/>
        <w:adjustRightInd/>
        <w:spacing w:before="0" w:after="160"/>
        <w:contextualSpacing w:val="0"/>
        <w:jc w:val="both"/>
        <w:textAlignment w:val="auto"/>
        <w:rPr>
          <w:iCs/>
          <w:szCs w:val="24"/>
        </w:rPr>
      </w:pPr>
      <w:r w:rsidRPr="00176135">
        <w:rPr>
          <w:iCs/>
          <w:szCs w:val="24"/>
        </w:rPr>
        <w:t xml:space="preserve">January 2020. New calendar of ITU events to enter into force. </w:t>
      </w:r>
    </w:p>
    <w:p w14:paraId="408ADFDB" w14:textId="1B295A2F" w:rsidR="001B7D57" w:rsidRPr="001B7D57" w:rsidRDefault="001B7D57" w:rsidP="001B7D57">
      <w:pPr>
        <w:tabs>
          <w:tab w:val="clear" w:pos="567"/>
          <w:tab w:val="clear" w:pos="1134"/>
          <w:tab w:val="clear" w:pos="1701"/>
          <w:tab w:val="clear" w:pos="2268"/>
          <w:tab w:val="clear" w:pos="2835"/>
        </w:tabs>
        <w:overflowPunct/>
        <w:autoSpaceDE/>
        <w:autoSpaceDN/>
        <w:adjustRightInd/>
        <w:spacing w:before="840"/>
        <w:jc w:val="center"/>
        <w:textAlignment w:val="auto"/>
        <w:rPr>
          <w:iCs/>
          <w:szCs w:val="24"/>
        </w:rPr>
      </w:pPr>
      <w:r>
        <w:rPr>
          <w:iCs/>
          <w:szCs w:val="24"/>
        </w:rPr>
        <w:t>__________________</w:t>
      </w:r>
    </w:p>
    <w:sectPr w:rsidR="001B7D57" w:rsidRPr="001B7D57" w:rsidSect="00361097">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77C5A" w14:textId="77777777" w:rsidR="008902B2" w:rsidRDefault="008902B2">
      <w:r>
        <w:separator/>
      </w:r>
    </w:p>
  </w:endnote>
  <w:endnote w:type="continuationSeparator" w:id="0">
    <w:p w14:paraId="672655D7" w14:textId="77777777" w:rsidR="008902B2" w:rsidRDefault="0089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F591"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0DED6" w14:textId="77777777"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5119448"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14:paraId="2E724E25" w14:textId="77777777"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841C" w14:textId="77777777" w:rsidR="008902B2" w:rsidRDefault="008902B2">
      <w:r>
        <w:t>____________________</w:t>
      </w:r>
    </w:p>
  </w:footnote>
  <w:footnote w:type="continuationSeparator" w:id="0">
    <w:p w14:paraId="35515266" w14:textId="77777777" w:rsidR="008902B2" w:rsidRDefault="008902B2">
      <w:r>
        <w:continuationSeparator/>
      </w:r>
    </w:p>
  </w:footnote>
  <w:footnote w:id="1">
    <w:p w14:paraId="58FD65A0" w14:textId="77777777" w:rsidR="00467B89" w:rsidRDefault="00467B89" w:rsidP="00C4741F">
      <w:pPr>
        <w:pStyle w:val="FootnoteText"/>
        <w:tabs>
          <w:tab w:val="clear" w:pos="256"/>
          <w:tab w:val="clear" w:pos="567"/>
          <w:tab w:val="left" w:pos="0"/>
          <w:tab w:val="left" w:pos="284"/>
        </w:tabs>
        <w:ind w:left="0" w:firstLine="0"/>
        <w:rPr>
          <w:i/>
          <w:iCs/>
          <w:lang w:val="en-US"/>
        </w:rPr>
      </w:pPr>
      <w:r>
        <w:rPr>
          <w:rStyle w:val="FootnoteReference"/>
          <w:i/>
          <w:iCs/>
          <w:sz w:val="8"/>
          <w:szCs w:val="12"/>
        </w:rPr>
        <w:footnoteRef/>
      </w:r>
      <w:r>
        <w:rPr>
          <w:i/>
          <w:iCs/>
          <w:sz w:val="16"/>
          <w:szCs w:val="12"/>
        </w:rPr>
        <w:t xml:space="preserve"> </w:t>
      </w:r>
      <w:r>
        <w:rPr>
          <w:i/>
          <w:iCs/>
          <w:sz w:val="16"/>
          <w:szCs w:val="12"/>
        </w:rPr>
        <w:tab/>
        <w:t>For example, from the public administration side the audience may be Ministers, regulatory agencies, broadcasters, or international / foreign affairs depending on the true focus of the meeting/event. Similarly, the private sector audience could also be differentiated by public policy, marketing and communications, supply chain management, R&amp;D, engineering, product development,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356E" w14:textId="0148F23D" w:rsidR="000507C1" w:rsidRDefault="000507C1" w:rsidP="00CE1B90">
    <w:pPr>
      <w:pStyle w:val="Header"/>
    </w:pPr>
    <w:r>
      <w:fldChar w:fldCharType="begin"/>
    </w:r>
    <w:r>
      <w:instrText xml:space="preserve"> PAGE   \* MERGEFORMAT </w:instrText>
    </w:r>
    <w:r>
      <w:fldChar w:fldCharType="separate"/>
    </w:r>
    <w:r w:rsidR="00DD307F">
      <w:rPr>
        <w:noProof/>
      </w:rPr>
      <w:t>4</w:t>
    </w:r>
    <w:r>
      <w:fldChar w:fldCharType="end"/>
    </w:r>
  </w:p>
  <w:p w14:paraId="261A94EE" w14:textId="77777777" w:rsidR="00CE1B90" w:rsidRDefault="00CE1B90" w:rsidP="00E26429">
    <w:pPr>
      <w:pStyle w:val="Header"/>
    </w:pPr>
    <w:r>
      <w:t>PP1</w:t>
    </w:r>
    <w:r w:rsidR="004F7925">
      <w:t>8</w:t>
    </w:r>
    <w:r w:rsidR="00FC1643">
      <w:t>/38</w:t>
    </w:r>
    <w:r w:rsidR="00E26429">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AA4"/>
    <w:multiLevelType w:val="multilevel"/>
    <w:tmpl w:val="43E62D92"/>
    <w:lvl w:ilvl="0">
      <w:start w:val="1"/>
      <w:numFmt w:val="decimal"/>
      <w:lvlText w:val="%1."/>
      <w:lvlJc w:val="left"/>
      <w:pPr>
        <w:ind w:left="4472" w:hanging="360"/>
      </w:pPr>
      <w:rPr>
        <w:b/>
        <w:bCs/>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7B6733"/>
    <w:multiLevelType w:val="hybridMultilevel"/>
    <w:tmpl w:val="BF2A4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AC29FB"/>
    <w:multiLevelType w:val="hybridMultilevel"/>
    <w:tmpl w:val="FF26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38F"/>
    <w:rsid w:val="000507C1"/>
    <w:rsid w:val="00053B97"/>
    <w:rsid w:val="0007712C"/>
    <w:rsid w:val="00082EB9"/>
    <w:rsid w:val="0008540E"/>
    <w:rsid w:val="00094B4F"/>
    <w:rsid w:val="000A1015"/>
    <w:rsid w:val="000B03F9"/>
    <w:rsid w:val="000B0A77"/>
    <w:rsid w:val="000B0D6C"/>
    <w:rsid w:val="000B5BB9"/>
    <w:rsid w:val="000B7152"/>
    <w:rsid w:val="000C4701"/>
    <w:rsid w:val="000D346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76135"/>
    <w:rsid w:val="00195B70"/>
    <w:rsid w:val="001A0EEB"/>
    <w:rsid w:val="001A16ED"/>
    <w:rsid w:val="001B18AB"/>
    <w:rsid w:val="001B70D1"/>
    <w:rsid w:val="001B7D57"/>
    <w:rsid w:val="001C3804"/>
    <w:rsid w:val="001D3322"/>
    <w:rsid w:val="001E01A5"/>
    <w:rsid w:val="001E18AB"/>
    <w:rsid w:val="001E1C8F"/>
    <w:rsid w:val="002101EF"/>
    <w:rsid w:val="002115E0"/>
    <w:rsid w:val="00215F12"/>
    <w:rsid w:val="00232B31"/>
    <w:rsid w:val="00235A3B"/>
    <w:rsid w:val="00243BE4"/>
    <w:rsid w:val="00257188"/>
    <w:rsid w:val="002578B4"/>
    <w:rsid w:val="00267D12"/>
    <w:rsid w:val="00281792"/>
    <w:rsid w:val="0028799E"/>
    <w:rsid w:val="00295CEA"/>
    <w:rsid w:val="002962A8"/>
    <w:rsid w:val="00296448"/>
    <w:rsid w:val="002A0A74"/>
    <w:rsid w:val="002A56C0"/>
    <w:rsid w:val="002E77F4"/>
    <w:rsid w:val="002F36B9"/>
    <w:rsid w:val="002F49E7"/>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493F"/>
    <w:rsid w:val="00395CE4"/>
    <w:rsid w:val="003A32AD"/>
    <w:rsid w:val="003A3938"/>
    <w:rsid w:val="003A4E67"/>
    <w:rsid w:val="003A5FFB"/>
    <w:rsid w:val="003A7FB6"/>
    <w:rsid w:val="003B3751"/>
    <w:rsid w:val="003F0763"/>
    <w:rsid w:val="003F5771"/>
    <w:rsid w:val="00400EAC"/>
    <w:rsid w:val="004014B0"/>
    <w:rsid w:val="004059B0"/>
    <w:rsid w:val="00426AC1"/>
    <w:rsid w:val="004321DC"/>
    <w:rsid w:val="00435AA4"/>
    <w:rsid w:val="00435EA8"/>
    <w:rsid w:val="004360BB"/>
    <w:rsid w:val="0045533C"/>
    <w:rsid w:val="004606DA"/>
    <w:rsid w:val="00463092"/>
    <w:rsid w:val="004676C0"/>
    <w:rsid w:val="00467B89"/>
    <w:rsid w:val="00473E8F"/>
    <w:rsid w:val="00474E00"/>
    <w:rsid w:val="004835DB"/>
    <w:rsid w:val="00491D2D"/>
    <w:rsid w:val="00494797"/>
    <w:rsid w:val="004B0C10"/>
    <w:rsid w:val="004C19D7"/>
    <w:rsid w:val="004C297B"/>
    <w:rsid w:val="004C73C9"/>
    <w:rsid w:val="004D4EC7"/>
    <w:rsid w:val="004E01FA"/>
    <w:rsid w:val="004E6764"/>
    <w:rsid w:val="004F041D"/>
    <w:rsid w:val="004F1C55"/>
    <w:rsid w:val="004F7925"/>
    <w:rsid w:val="00504FE5"/>
    <w:rsid w:val="00507348"/>
    <w:rsid w:val="00522C97"/>
    <w:rsid w:val="00526660"/>
    <w:rsid w:val="005356FD"/>
    <w:rsid w:val="00547D75"/>
    <w:rsid w:val="00551C8B"/>
    <w:rsid w:val="00554E24"/>
    <w:rsid w:val="00555A0F"/>
    <w:rsid w:val="00567130"/>
    <w:rsid w:val="0057034B"/>
    <w:rsid w:val="00570812"/>
    <w:rsid w:val="00581E8F"/>
    <w:rsid w:val="00586A98"/>
    <w:rsid w:val="005927A4"/>
    <w:rsid w:val="00596B48"/>
    <w:rsid w:val="005B10E8"/>
    <w:rsid w:val="005B5026"/>
    <w:rsid w:val="005B661F"/>
    <w:rsid w:val="005C3315"/>
    <w:rsid w:val="005E1CC3"/>
    <w:rsid w:val="005F05C8"/>
    <w:rsid w:val="00601D17"/>
    <w:rsid w:val="00604079"/>
    <w:rsid w:val="00617BE4"/>
    <w:rsid w:val="00620233"/>
    <w:rsid w:val="006258E4"/>
    <w:rsid w:val="00634327"/>
    <w:rsid w:val="006404B0"/>
    <w:rsid w:val="00650369"/>
    <w:rsid w:val="006534D3"/>
    <w:rsid w:val="0066499C"/>
    <w:rsid w:val="00676E68"/>
    <w:rsid w:val="006953AD"/>
    <w:rsid w:val="006A3120"/>
    <w:rsid w:val="006A7108"/>
    <w:rsid w:val="006B2035"/>
    <w:rsid w:val="006B40DA"/>
    <w:rsid w:val="006C5D5D"/>
    <w:rsid w:val="006E215D"/>
    <w:rsid w:val="006E57C8"/>
    <w:rsid w:val="006E70E1"/>
    <w:rsid w:val="006F1700"/>
    <w:rsid w:val="006F565E"/>
    <w:rsid w:val="00701ABB"/>
    <w:rsid w:val="00711035"/>
    <w:rsid w:val="007130ED"/>
    <w:rsid w:val="007140CF"/>
    <w:rsid w:val="0071582A"/>
    <w:rsid w:val="00722595"/>
    <w:rsid w:val="00732289"/>
    <w:rsid w:val="0073319E"/>
    <w:rsid w:val="00733C8A"/>
    <w:rsid w:val="00737F2E"/>
    <w:rsid w:val="007408E6"/>
    <w:rsid w:val="00745A37"/>
    <w:rsid w:val="00750829"/>
    <w:rsid w:val="007538C9"/>
    <w:rsid w:val="00753F63"/>
    <w:rsid w:val="007542C4"/>
    <w:rsid w:val="00754C0B"/>
    <w:rsid w:val="00755067"/>
    <w:rsid w:val="007561B6"/>
    <w:rsid w:val="007648ED"/>
    <w:rsid w:val="007649DA"/>
    <w:rsid w:val="00765553"/>
    <w:rsid w:val="00777B8B"/>
    <w:rsid w:val="00787CF9"/>
    <w:rsid w:val="00794795"/>
    <w:rsid w:val="007949EA"/>
    <w:rsid w:val="00796849"/>
    <w:rsid w:val="00796DAE"/>
    <w:rsid w:val="007A59C3"/>
    <w:rsid w:val="007B0E06"/>
    <w:rsid w:val="007B30FC"/>
    <w:rsid w:val="007C3643"/>
    <w:rsid w:val="007E00D2"/>
    <w:rsid w:val="007E2AD4"/>
    <w:rsid w:val="007E3469"/>
    <w:rsid w:val="007E6FCB"/>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02B2"/>
    <w:rsid w:val="008942A1"/>
    <w:rsid w:val="00895CE3"/>
    <w:rsid w:val="0089603F"/>
    <w:rsid w:val="00897970"/>
    <w:rsid w:val="008B5A71"/>
    <w:rsid w:val="008D3BE2"/>
    <w:rsid w:val="008D4D98"/>
    <w:rsid w:val="008D68B9"/>
    <w:rsid w:val="008E2A7B"/>
    <w:rsid w:val="008E6E9B"/>
    <w:rsid w:val="008F2C56"/>
    <w:rsid w:val="008F3C99"/>
    <w:rsid w:val="00900D5B"/>
    <w:rsid w:val="009034EA"/>
    <w:rsid w:val="009236FE"/>
    <w:rsid w:val="00940E00"/>
    <w:rsid w:val="00945D4B"/>
    <w:rsid w:val="00950E0F"/>
    <w:rsid w:val="009554E6"/>
    <w:rsid w:val="0096150D"/>
    <w:rsid w:val="009630FA"/>
    <w:rsid w:val="00967103"/>
    <w:rsid w:val="00967670"/>
    <w:rsid w:val="00970996"/>
    <w:rsid w:val="009800CC"/>
    <w:rsid w:val="00990F1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836"/>
    <w:rsid w:val="00AB5C39"/>
    <w:rsid w:val="00AB75A9"/>
    <w:rsid w:val="00AD1C5C"/>
    <w:rsid w:val="00AD566F"/>
    <w:rsid w:val="00AE0652"/>
    <w:rsid w:val="00AF5B21"/>
    <w:rsid w:val="00B156F9"/>
    <w:rsid w:val="00B1733E"/>
    <w:rsid w:val="00B25A86"/>
    <w:rsid w:val="00B304B9"/>
    <w:rsid w:val="00B501C5"/>
    <w:rsid w:val="00B55E1A"/>
    <w:rsid w:val="00B57988"/>
    <w:rsid w:val="00B62032"/>
    <w:rsid w:val="00B65F8C"/>
    <w:rsid w:val="00B7263B"/>
    <w:rsid w:val="00B73F47"/>
    <w:rsid w:val="00B7638A"/>
    <w:rsid w:val="00B80DF9"/>
    <w:rsid w:val="00B8315D"/>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45FF1"/>
    <w:rsid w:val="00C4741F"/>
    <w:rsid w:val="00C51EB9"/>
    <w:rsid w:val="00C56038"/>
    <w:rsid w:val="00C6729F"/>
    <w:rsid w:val="00C72664"/>
    <w:rsid w:val="00C86F24"/>
    <w:rsid w:val="00C87F2D"/>
    <w:rsid w:val="00CA38C9"/>
    <w:rsid w:val="00CB4984"/>
    <w:rsid w:val="00CB5DD7"/>
    <w:rsid w:val="00CB7795"/>
    <w:rsid w:val="00CB77D5"/>
    <w:rsid w:val="00CC14F0"/>
    <w:rsid w:val="00CC46D7"/>
    <w:rsid w:val="00CD773F"/>
    <w:rsid w:val="00CE1B90"/>
    <w:rsid w:val="00CE3B0F"/>
    <w:rsid w:val="00CE40BB"/>
    <w:rsid w:val="00CF1C71"/>
    <w:rsid w:val="00CF510F"/>
    <w:rsid w:val="00D07696"/>
    <w:rsid w:val="00D11956"/>
    <w:rsid w:val="00D15A98"/>
    <w:rsid w:val="00D500DC"/>
    <w:rsid w:val="00D54B39"/>
    <w:rsid w:val="00D64FF3"/>
    <w:rsid w:val="00D657A2"/>
    <w:rsid w:val="00D734FC"/>
    <w:rsid w:val="00D760C8"/>
    <w:rsid w:val="00D83FFD"/>
    <w:rsid w:val="00D8451F"/>
    <w:rsid w:val="00D8617D"/>
    <w:rsid w:val="00D92563"/>
    <w:rsid w:val="00DC7C10"/>
    <w:rsid w:val="00DD26B1"/>
    <w:rsid w:val="00DD307F"/>
    <w:rsid w:val="00DD5177"/>
    <w:rsid w:val="00DD7489"/>
    <w:rsid w:val="00DE16B8"/>
    <w:rsid w:val="00DE20DF"/>
    <w:rsid w:val="00DE4CC2"/>
    <w:rsid w:val="00DF23FC"/>
    <w:rsid w:val="00DF39CD"/>
    <w:rsid w:val="00DF3BBE"/>
    <w:rsid w:val="00DF408B"/>
    <w:rsid w:val="00E0094D"/>
    <w:rsid w:val="00E10A17"/>
    <w:rsid w:val="00E13427"/>
    <w:rsid w:val="00E1374D"/>
    <w:rsid w:val="00E14AF6"/>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A1BAA"/>
    <w:rsid w:val="00EA3F96"/>
    <w:rsid w:val="00EC35FD"/>
    <w:rsid w:val="00ED401C"/>
    <w:rsid w:val="00EE2CBE"/>
    <w:rsid w:val="00EE2FE6"/>
    <w:rsid w:val="00EE333B"/>
    <w:rsid w:val="00EF2642"/>
    <w:rsid w:val="00EF3681"/>
    <w:rsid w:val="00F10790"/>
    <w:rsid w:val="00F10E7C"/>
    <w:rsid w:val="00F129AB"/>
    <w:rsid w:val="00F13C1E"/>
    <w:rsid w:val="00F16F17"/>
    <w:rsid w:val="00F20BC2"/>
    <w:rsid w:val="00F342E4"/>
    <w:rsid w:val="00F35330"/>
    <w:rsid w:val="00F41C91"/>
    <w:rsid w:val="00F433A4"/>
    <w:rsid w:val="00F4421A"/>
    <w:rsid w:val="00F44B1A"/>
    <w:rsid w:val="00F47316"/>
    <w:rsid w:val="00F47723"/>
    <w:rsid w:val="00F55DA5"/>
    <w:rsid w:val="00F94BC2"/>
    <w:rsid w:val="00F95ABE"/>
    <w:rsid w:val="00F9756D"/>
    <w:rsid w:val="00FA17DE"/>
    <w:rsid w:val="00FB5F12"/>
    <w:rsid w:val="00FC1643"/>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6F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4D4EC7"/>
    <w:pPr>
      <w:ind w:left="720"/>
      <w:contextualSpacing/>
    </w:pPr>
  </w:style>
  <w:style w:type="table" w:styleId="TableGrid">
    <w:name w:val="Table Grid"/>
    <w:basedOn w:val="TableNormal"/>
    <w:rsid w:val="004D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7408E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rsid w:val="00467B89"/>
    <w:rPr>
      <w:rFonts w:ascii="Calibri" w:hAnsi="Calibri"/>
      <w:sz w:val="24"/>
      <w:lang w:val="en-GB" w:eastAsia="en-US"/>
    </w:rPr>
  </w:style>
  <w:style w:type="character" w:styleId="CommentReference">
    <w:name w:val="annotation reference"/>
    <w:basedOn w:val="DefaultParagraphFont"/>
    <w:semiHidden/>
    <w:unhideWhenUsed/>
    <w:rsid w:val="00EA3F96"/>
    <w:rPr>
      <w:sz w:val="16"/>
      <w:szCs w:val="16"/>
    </w:rPr>
  </w:style>
  <w:style w:type="paragraph" w:styleId="CommentText">
    <w:name w:val="annotation text"/>
    <w:basedOn w:val="Normal"/>
    <w:link w:val="CommentTextChar"/>
    <w:semiHidden/>
    <w:unhideWhenUsed/>
    <w:rsid w:val="00EA3F96"/>
    <w:rPr>
      <w:sz w:val="20"/>
    </w:rPr>
  </w:style>
  <w:style w:type="character" w:customStyle="1" w:styleId="CommentTextChar">
    <w:name w:val="Comment Text Char"/>
    <w:basedOn w:val="DefaultParagraphFont"/>
    <w:link w:val="CommentText"/>
    <w:semiHidden/>
    <w:rsid w:val="00EA3F96"/>
    <w:rPr>
      <w:rFonts w:ascii="Calibri" w:hAnsi="Calibri"/>
      <w:lang w:val="en-GB" w:eastAsia="en-US"/>
    </w:rPr>
  </w:style>
  <w:style w:type="paragraph" w:styleId="CommentSubject">
    <w:name w:val="annotation subject"/>
    <w:basedOn w:val="CommentText"/>
    <w:next w:val="CommentText"/>
    <w:link w:val="CommentSubjectChar"/>
    <w:semiHidden/>
    <w:unhideWhenUsed/>
    <w:rsid w:val="00EA3F96"/>
    <w:rPr>
      <w:b/>
      <w:bCs/>
    </w:rPr>
  </w:style>
  <w:style w:type="character" w:customStyle="1" w:styleId="CommentSubjectChar">
    <w:name w:val="Comment Subject Char"/>
    <w:basedOn w:val="CommentTextChar"/>
    <w:link w:val="CommentSubject"/>
    <w:semiHidden/>
    <w:rsid w:val="00EA3F96"/>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606734096">
      <w:bodyDiv w:val="1"/>
      <w:marLeft w:val="0"/>
      <w:marRight w:val="0"/>
      <w:marTop w:val="0"/>
      <w:marBottom w:val="0"/>
      <w:divBdr>
        <w:top w:val="none" w:sz="0" w:space="0" w:color="auto"/>
        <w:left w:val="none" w:sz="0" w:space="0" w:color="auto"/>
        <w:bottom w:val="none" w:sz="0" w:space="0" w:color="auto"/>
        <w:right w:val="none" w:sz="0" w:space="0" w:color="auto"/>
      </w:divBdr>
    </w:div>
    <w:div w:id="693002476">
      <w:bodyDiv w:val="1"/>
      <w:marLeft w:val="0"/>
      <w:marRight w:val="0"/>
      <w:marTop w:val="0"/>
      <w:marBottom w:val="0"/>
      <w:divBdr>
        <w:top w:val="none" w:sz="0" w:space="0" w:color="auto"/>
        <w:left w:val="none" w:sz="0" w:space="0" w:color="auto"/>
        <w:bottom w:val="none" w:sz="0" w:space="0" w:color="auto"/>
        <w:right w:val="none" w:sz="0" w:space="0" w:color="auto"/>
      </w:divBdr>
    </w:div>
    <w:div w:id="1338188878">
      <w:bodyDiv w:val="1"/>
      <w:marLeft w:val="0"/>
      <w:marRight w:val="0"/>
      <w:marTop w:val="0"/>
      <w:marBottom w:val="0"/>
      <w:divBdr>
        <w:top w:val="none" w:sz="0" w:space="0" w:color="auto"/>
        <w:left w:val="none" w:sz="0" w:space="0" w:color="auto"/>
        <w:bottom w:val="none" w:sz="0" w:space="0" w:color="auto"/>
        <w:right w:val="none" w:sz="0" w:space="0" w:color="auto"/>
      </w:divBdr>
    </w:div>
    <w:div w:id="20330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md/S18-CL-C-0055/e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tu.int/md/S18-CLCWGFHRM8-C-0028/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tu.int/md/S17-CL-C-0089/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A418-2000-4A16-8A12-6B9E67DF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 by the Secretary-General</vt:lpstr>
    </vt:vector>
  </TitlesOfParts>
  <Manager/>
  <Company/>
  <LinksUpToDate>false</LinksUpToDate>
  <CharactersWithSpaces>8364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of ITU’s high-level events of a global nature </dc:title>
  <dc:subject>Plenipotentiary Conference (PP-18)</dc:subject>
  <dc:creator/>
  <cp:keywords>PP-18, Plenipotentiary</cp:keywords>
  <cp:lastModifiedBy/>
  <cp:revision>1</cp:revision>
  <dcterms:created xsi:type="dcterms:W3CDTF">2018-07-19T07:39:00Z</dcterms:created>
  <dcterms:modified xsi:type="dcterms:W3CDTF">2018-08-03T06:34:00Z</dcterms:modified>
  <cp:category>Conference document</cp:category>
</cp:coreProperties>
</file>