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624EEB" w:rsidTr="00682B62">
        <w:trPr>
          <w:cantSplit/>
        </w:trPr>
        <w:tc>
          <w:tcPr>
            <w:tcW w:w="6911" w:type="dxa"/>
          </w:tcPr>
          <w:p w:rsidR="00255FA1" w:rsidRPr="00624EEB" w:rsidRDefault="00255FA1" w:rsidP="006375E0">
            <w:pPr>
              <w:rPr>
                <w:b/>
                <w:bCs/>
                <w:szCs w:val="22"/>
              </w:rPr>
            </w:pPr>
            <w:bookmarkStart w:id="0" w:name="dbreak"/>
            <w:bookmarkStart w:id="1" w:name="dpp"/>
            <w:bookmarkEnd w:id="0"/>
            <w:bookmarkEnd w:id="1"/>
            <w:r w:rsidRPr="00624EEB">
              <w:rPr>
                <w:rStyle w:val="PageNumber"/>
                <w:rFonts w:cs="Times"/>
                <w:b/>
                <w:sz w:val="30"/>
                <w:szCs w:val="30"/>
              </w:rPr>
              <w:t>Conferencia de Plenipotenciarios (PP-1</w:t>
            </w:r>
            <w:r w:rsidR="00C43474" w:rsidRPr="00624EEB">
              <w:rPr>
                <w:rStyle w:val="PageNumber"/>
                <w:rFonts w:cs="Times"/>
                <w:b/>
                <w:sz w:val="30"/>
                <w:szCs w:val="30"/>
              </w:rPr>
              <w:t>8</w:t>
            </w:r>
            <w:r w:rsidRPr="00624EEB">
              <w:rPr>
                <w:rStyle w:val="PageNumber"/>
                <w:rFonts w:cs="Times"/>
                <w:b/>
                <w:sz w:val="30"/>
                <w:szCs w:val="30"/>
              </w:rPr>
              <w:t>)</w:t>
            </w:r>
            <w:r w:rsidRPr="00624EEB">
              <w:rPr>
                <w:rStyle w:val="PageNumber"/>
                <w:rFonts w:cs="Times"/>
                <w:sz w:val="26"/>
                <w:szCs w:val="26"/>
              </w:rPr>
              <w:br/>
            </w:r>
            <w:r w:rsidR="00C43474" w:rsidRPr="00624EEB">
              <w:rPr>
                <w:rStyle w:val="PageNumber"/>
                <w:b/>
                <w:bCs/>
                <w:szCs w:val="24"/>
              </w:rPr>
              <w:t>Dub</w:t>
            </w:r>
            <w:r w:rsidR="006375E0" w:rsidRPr="00624EEB">
              <w:rPr>
                <w:rStyle w:val="PageNumber"/>
                <w:b/>
                <w:bCs/>
                <w:szCs w:val="24"/>
              </w:rPr>
              <w:t>á</w:t>
            </w:r>
            <w:r w:rsidR="00C43474" w:rsidRPr="00624EEB">
              <w:rPr>
                <w:rStyle w:val="PageNumber"/>
                <w:b/>
                <w:bCs/>
                <w:szCs w:val="24"/>
              </w:rPr>
              <w:t>i</w:t>
            </w:r>
            <w:r w:rsidRPr="00624EEB">
              <w:rPr>
                <w:rStyle w:val="PageNumber"/>
                <w:b/>
                <w:bCs/>
                <w:szCs w:val="24"/>
              </w:rPr>
              <w:t>,</w:t>
            </w:r>
            <w:r w:rsidRPr="00624EEB">
              <w:rPr>
                <w:rStyle w:val="PageNumber"/>
                <w:b/>
                <w:szCs w:val="24"/>
              </w:rPr>
              <w:t xml:space="preserve"> 2</w:t>
            </w:r>
            <w:r w:rsidR="00C43474" w:rsidRPr="00624EEB">
              <w:rPr>
                <w:rStyle w:val="PageNumber"/>
                <w:b/>
                <w:szCs w:val="24"/>
              </w:rPr>
              <w:t>9</w:t>
            </w:r>
            <w:r w:rsidRPr="00624EEB">
              <w:rPr>
                <w:rStyle w:val="PageNumber"/>
                <w:b/>
                <w:szCs w:val="24"/>
              </w:rPr>
              <w:t xml:space="preserve"> de octubre </w:t>
            </w:r>
            <w:r w:rsidR="00491A25" w:rsidRPr="00624EEB">
              <w:rPr>
                <w:rStyle w:val="PageNumber"/>
                <w:b/>
                <w:szCs w:val="24"/>
              </w:rPr>
              <w:t>–</w:t>
            </w:r>
            <w:r w:rsidRPr="00624EEB">
              <w:rPr>
                <w:rStyle w:val="PageNumber"/>
                <w:b/>
                <w:szCs w:val="24"/>
              </w:rPr>
              <w:t xml:space="preserve"> </w:t>
            </w:r>
            <w:r w:rsidR="00C43474" w:rsidRPr="00624EEB">
              <w:rPr>
                <w:rStyle w:val="PageNumber"/>
                <w:b/>
                <w:szCs w:val="24"/>
              </w:rPr>
              <w:t>16</w:t>
            </w:r>
            <w:r w:rsidRPr="00624EEB">
              <w:rPr>
                <w:rStyle w:val="PageNumber"/>
                <w:b/>
                <w:szCs w:val="24"/>
              </w:rPr>
              <w:t xml:space="preserve"> de noviembre de 201</w:t>
            </w:r>
            <w:r w:rsidR="00C43474" w:rsidRPr="00624EEB">
              <w:rPr>
                <w:rStyle w:val="PageNumber"/>
                <w:b/>
                <w:szCs w:val="24"/>
              </w:rPr>
              <w:t>8</w:t>
            </w:r>
          </w:p>
        </w:tc>
        <w:tc>
          <w:tcPr>
            <w:tcW w:w="3120" w:type="dxa"/>
          </w:tcPr>
          <w:p w:rsidR="00255FA1" w:rsidRPr="00624EEB" w:rsidRDefault="00255FA1" w:rsidP="00682B62">
            <w:pPr>
              <w:spacing w:before="0" w:line="240" w:lineRule="atLeast"/>
              <w:rPr>
                <w:rFonts w:cstheme="minorHAnsi"/>
              </w:rPr>
            </w:pPr>
            <w:bookmarkStart w:id="2" w:name="ditulogo"/>
            <w:bookmarkEnd w:id="2"/>
            <w:r w:rsidRPr="00624EEB">
              <w:rPr>
                <w:rFonts w:cstheme="minorHAnsi"/>
                <w:b/>
                <w:bCs/>
                <w:szCs w:val="24"/>
                <w:lang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624EEB" w:rsidTr="00682B62">
        <w:trPr>
          <w:cantSplit/>
        </w:trPr>
        <w:tc>
          <w:tcPr>
            <w:tcW w:w="6911" w:type="dxa"/>
            <w:tcBorders>
              <w:bottom w:val="single" w:sz="12" w:space="0" w:color="auto"/>
            </w:tcBorders>
          </w:tcPr>
          <w:p w:rsidR="00255FA1" w:rsidRPr="00624EEB"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624EEB" w:rsidRDefault="00255FA1" w:rsidP="00930E84">
            <w:pPr>
              <w:spacing w:before="0" w:after="48" w:line="240" w:lineRule="atLeast"/>
              <w:rPr>
                <w:rFonts w:cstheme="minorHAnsi"/>
                <w:b/>
                <w:smallCaps/>
                <w:szCs w:val="24"/>
              </w:rPr>
            </w:pPr>
          </w:p>
        </w:tc>
      </w:tr>
      <w:tr w:rsidR="00255FA1" w:rsidRPr="00624EEB" w:rsidTr="00682B62">
        <w:trPr>
          <w:cantSplit/>
        </w:trPr>
        <w:tc>
          <w:tcPr>
            <w:tcW w:w="6911" w:type="dxa"/>
            <w:tcBorders>
              <w:top w:val="single" w:sz="12" w:space="0" w:color="auto"/>
            </w:tcBorders>
          </w:tcPr>
          <w:p w:rsidR="00255FA1" w:rsidRPr="00624EEB" w:rsidRDefault="00255FA1" w:rsidP="004F4BB1">
            <w:pPr>
              <w:spacing w:before="0"/>
              <w:ind w:firstLine="720"/>
              <w:rPr>
                <w:rFonts w:cstheme="minorHAnsi"/>
                <w:b/>
                <w:smallCaps/>
                <w:szCs w:val="24"/>
              </w:rPr>
            </w:pPr>
          </w:p>
        </w:tc>
        <w:tc>
          <w:tcPr>
            <w:tcW w:w="3120" w:type="dxa"/>
            <w:tcBorders>
              <w:top w:val="single" w:sz="12" w:space="0" w:color="auto"/>
            </w:tcBorders>
          </w:tcPr>
          <w:p w:rsidR="00255FA1" w:rsidRPr="00624EEB" w:rsidRDefault="00255FA1" w:rsidP="004F4BB1">
            <w:pPr>
              <w:spacing w:before="0"/>
              <w:rPr>
                <w:rFonts w:cstheme="minorHAnsi"/>
                <w:szCs w:val="24"/>
              </w:rPr>
            </w:pPr>
          </w:p>
        </w:tc>
      </w:tr>
      <w:tr w:rsidR="00255FA1" w:rsidRPr="00624EEB" w:rsidTr="00682B62">
        <w:trPr>
          <w:cantSplit/>
        </w:trPr>
        <w:tc>
          <w:tcPr>
            <w:tcW w:w="6911" w:type="dxa"/>
          </w:tcPr>
          <w:p w:rsidR="00255FA1" w:rsidRPr="00624EEB" w:rsidRDefault="00006EAE" w:rsidP="004F4BB1">
            <w:pPr>
              <w:pStyle w:val="Committee"/>
              <w:framePr w:hSpace="0" w:wrap="auto" w:hAnchor="text" w:yAlign="inline"/>
              <w:spacing w:after="0" w:line="240" w:lineRule="auto"/>
              <w:rPr>
                <w:lang w:val="es-ES_tradnl"/>
              </w:rPr>
            </w:pPr>
            <w:r w:rsidRPr="00624EEB">
              <w:rPr>
                <w:lang w:val="es-ES_tradnl"/>
              </w:rPr>
              <w:t>SESIÓN PLENARIA</w:t>
            </w:r>
          </w:p>
        </w:tc>
        <w:tc>
          <w:tcPr>
            <w:tcW w:w="3120" w:type="dxa"/>
          </w:tcPr>
          <w:p w:rsidR="00255FA1" w:rsidRPr="00624EEB" w:rsidRDefault="00006EAE" w:rsidP="00D679E1">
            <w:pPr>
              <w:spacing w:before="0"/>
              <w:rPr>
                <w:rFonts w:cstheme="minorHAnsi"/>
                <w:szCs w:val="24"/>
              </w:rPr>
            </w:pPr>
            <w:r w:rsidRPr="00624EEB">
              <w:rPr>
                <w:rFonts w:cstheme="minorHAnsi"/>
                <w:b/>
                <w:szCs w:val="24"/>
              </w:rPr>
              <w:t xml:space="preserve">Documento </w:t>
            </w:r>
            <w:r w:rsidR="00D679E1" w:rsidRPr="00624EEB">
              <w:rPr>
                <w:rFonts w:cstheme="minorHAnsi"/>
                <w:b/>
                <w:szCs w:val="24"/>
              </w:rPr>
              <w:t>35</w:t>
            </w:r>
            <w:r w:rsidRPr="00624EEB">
              <w:rPr>
                <w:rFonts w:cstheme="minorHAnsi"/>
                <w:b/>
                <w:szCs w:val="24"/>
              </w:rPr>
              <w:t>-S</w:t>
            </w:r>
          </w:p>
        </w:tc>
      </w:tr>
      <w:tr w:rsidR="00255FA1" w:rsidRPr="00624EEB" w:rsidTr="00682B62">
        <w:trPr>
          <w:cantSplit/>
        </w:trPr>
        <w:tc>
          <w:tcPr>
            <w:tcW w:w="6911" w:type="dxa"/>
          </w:tcPr>
          <w:p w:rsidR="00255FA1" w:rsidRPr="00624EEB" w:rsidRDefault="00255FA1" w:rsidP="004F4BB1">
            <w:pPr>
              <w:spacing w:before="0"/>
              <w:rPr>
                <w:rFonts w:cstheme="minorHAnsi"/>
                <w:b/>
                <w:szCs w:val="24"/>
              </w:rPr>
            </w:pPr>
          </w:p>
        </w:tc>
        <w:tc>
          <w:tcPr>
            <w:tcW w:w="3120" w:type="dxa"/>
          </w:tcPr>
          <w:p w:rsidR="00255FA1" w:rsidRPr="00624EEB" w:rsidRDefault="00D679E1" w:rsidP="00D679E1">
            <w:pPr>
              <w:spacing w:before="0"/>
              <w:rPr>
                <w:rFonts w:cstheme="minorHAnsi"/>
                <w:b/>
                <w:szCs w:val="24"/>
              </w:rPr>
            </w:pPr>
            <w:r w:rsidRPr="00624EEB">
              <w:rPr>
                <w:rStyle w:val="PageNumber"/>
                <w:b/>
                <w:szCs w:val="24"/>
              </w:rPr>
              <w:t>29</w:t>
            </w:r>
            <w:r w:rsidR="00006EAE" w:rsidRPr="00624EEB">
              <w:rPr>
                <w:rStyle w:val="PageNumber"/>
                <w:b/>
                <w:szCs w:val="24"/>
              </w:rPr>
              <w:t xml:space="preserve"> de </w:t>
            </w:r>
            <w:r w:rsidRPr="00624EEB">
              <w:rPr>
                <w:rStyle w:val="PageNumber"/>
                <w:b/>
                <w:szCs w:val="24"/>
              </w:rPr>
              <w:t>junio</w:t>
            </w:r>
            <w:r w:rsidR="00006EAE" w:rsidRPr="00624EEB">
              <w:rPr>
                <w:rStyle w:val="PageNumber"/>
                <w:b/>
                <w:szCs w:val="24"/>
              </w:rPr>
              <w:t xml:space="preserve"> </w:t>
            </w:r>
            <w:r w:rsidR="00006EAE" w:rsidRPr="00624EEB">
              <w:rPr>
                <w:rFonts w:cstheme="minorHAnsi"/>
                <w:b/>
                <w:szCs w:val="24"/>
              </w:rPr>
              <w:t>de 2018</w:t>
            </w:r>
          </w:p>
        </w:tc>
      </w:tr>
      <w:tr w:rsidR="00255FA1" w:rsidRPr="00624EEB" w:rsidTr="00682B62">
        <w:trPr>
          <w:cantSplit/>
        </w:trPr>
        <w:tc>
          <w:tcPr>
            <w:tcW w:w="6911" w:type="dxa"/>
          </w:tcPr>
          <w:p w:rsidR="00255FA1" w:rsidRPr="00624EEB" w:rsidRDefault="00255FA1" w:rsidP="004F4BB1">
            <w:pPr>
              <w:spacing w:before="0"/>
              <w:rPr>
                <w:rFonts w:cstheme="minorHAnsi"/>
                <w:b/>
                <w:smallCaps/>
                <w:szCs w:val="24"/>
              </w:rPr>
            </w:pPr>
          </w:p>
        </w:tc>
        <w:tc>
          <w:tcPr>
            <w:tcW w:w="3120" w:type="dxa"/>
          </w:tcPr>
          <w:p w:rsidR="00255FA1" w:rsidRPr="00624EEB" w:rsidRDefault="00006EAE" w:rsidP="004F4BB1">
            <w:pPr>
              <w:spacing w:before="0"/>
              <w:rPr>
                <w:rFonts w:cstheme="minorHAnsi"/>
                <w:b/>
                <w:szCs w:val="24"/>
              </w:rPr>
            </w:pPr>
            <w:r w:rsidRPr="00624EEB">
              <w:rPr>
                <w:rFonts w:cstheme="minorHAnsi"/>
                <w:b/>
                <w:szCs w:val="24"/>
              </w:rPr>
              <w:t>Original: inglés</w:t>
            </w:r>
          </w:p>
        </w:tc>
      </w:tr>
      <w:tr w:rsidR="00255FA1" w:rsidRPr="00624EEB" w:rsidTr="00682B62">
        <w:trPr>
          <w:cantSplit/>
        </w:trPr>
        <w:tc>
          <w:tcPr>
            <w:tcW w:w="10031" w:type="dxa"/>
            <w:gridSpan w:val="2"/>
          </w:tcPr>
          <w:p w:rsidR="00255FA1" w:rsidRPr="00624EEB" w:rsidRDefault="00255FA1" w:rsidP="00682B62">
            <w:pPr>
              <w:spacing w:before="0" w:line="240" w:lineRule="atLeast"/>
              <w:rPr>
                <w:rFonts w:cstheme="minorHAnsi"/>
                <w:b/>
                <w:szCs w:val="24"/>
              </w:rPr>
            </w:pPr>
          </w:p>
        </w:tc>
      </w:tr>
      <w:tr w:rsidR="00255FA1" w:rsidRPr="00624EEB" w:rsidTr="00682B62">
        <w:trPr>
          <w:cantSplit/>
        </w:trPr>
        <w:tc>
          <w:tcPr>
            <w:tcW w:w="10031" w:type="dxa"/>
            <w:gridSpan w:val="2"/>
          </w:tcPr>
          <w:p w:rsidR="00255FA1" w:rsidRPr="00624EEB" w:rsidRDefault="00D679E1" w:rsidP="00682B62">
            <w:pPr>
              <w:pStyle w:val="Source"/>
            </w:pPr>
            <w:bookmarkStart w:id="4" w:name="dsource" w:colFirst="0" w:colLast="0"/>
            <w:bookmarkEnd w:id="3"/>
            <w:r w:rsidRPr="00624EEB">
              <w:t>Informe del Consejo</w:t>
            </w:r>
          </w:p>
        </w:tc>
      </w:tr>
      <w:tr w:rsidR="00255FA1" w:rsidRPr="00624EEB" w:rsidTr="00682B62">
        <w:trPr>
          <w:cantSplit/>
        </w:trPr>
        <w:tc>
          <w:tcPr>
            <w:tcW w:w="10031" w:type="dxa"/>
            <w:gridSpan w:val="2"/>
          </w:tcPr>
          <w:p w:rsidR="00255FA1" w:rsidRPr="00624EEB" w:rsidRDefault="006114F7" w:rsidP="00682B62">
            <w:pPr>
              <w:pStyle w:val="Title1"/>
            </w:pPr>
            <w:bookmarkStart w:id="5" w:name="dtitle1" w:colFirst="0" w:colLast="0"/>
            <w:bookmarkEnd w:id="4"/>
            <w:r w:rsidRPr="00624EEB">
              <w:t>puntos de vista del consejo respecto de</w:t>
            </w:r>
            <w:r w:rsidR="00D679E1" w:rsidRPr="00624EEB">
              <w:t xml:space="preserve"> UNA POLÍTICA PÚBLICA INTERNACIONAL DE ACCESO A INTERNET PARA PERSONAS CON </w:t>
            </w:r>
            <w:r w:rsidR="00157E52" w:rsidRPr="00624EEB">
              <w:br/>
            </w:r>
            <w:r w:rsidR="00D679E1" w:rsidRPr="00624EEB">
              <w:t>DISCAPACIDAD Y NECESIDADES ESPECÍFICAS</w:t>
            </w:r>
          </w:p>
        </w:tc>
      </w:tr>
      <w:tr w:rsidR="00255FA1" w:rsidRPr="00624EEB" w:rsidTr="00682B62">
        <w:trPr>
          <w:cantSplit/>
        </w:trPr>
        <w:tc>
          <w:tcPr>
            <w:tcW w:w="10031" w:type="dxa"/>
            <w:gridSpan w:val="2"/>
          </w:tcPr>
          <w:p w:rsidR="00255FA1" w:rsidRPr="00624EEB" w:rsidRDefault="00255FA1" w:rsidP="00682B62">
            <w:pPr>
              <w:pStyle w:val="Title2"/>
            </w:pPr>
            <w:bookmarkStart w:id="6" w:name="dtitle2" w:colFirst="0" w:colLast="0"/>
            <w:bookmarkEnd w:id="5"/>
          </w:p>
        </w:tc>
      </w:tr>
      <w:tr w:rsidR="00255FA1" w:rsidRPr="00624EEB" w:rsidTr="00682B62">
        <w:trPr>
          <w:cantSplit/>
        </w:trPr>
        <w:tc>
          <w:tcPr>
            <w:tcW w:w="10031" w:type="dxa"/>
            <w:gridSpan w:val="2"/>
          </w:tcPr>
          <w:p w:rsidR="00255FA1" w:rsidRPr="00624EEB" w:rsidRDefault="00255FA1" w:rsidP="00682B62">
            <w:pPr>
              <w:pStyle w:val="Agendaitem"/>
            </w:pPr>
            <w:bookmarkStart w:id="7" w:name="dtitle3" w:colFirst="0" w:colLast="0"/>
            <w:bookmarkEnd w:id="6"/>
          </w:p>
        </w:tc>
      </w:tr>
      <w:bookmarkEnd w:id="7"/>
    </w:tbl>
    <w:p w:rsidR="00D679E1" w:rsidRPr="00624EEB" w:rsidRDefault="00D679E1" w:rsidP="00157E52">
      <w:pPr>
        <w:spacing w:before="640"/>
      </w:pPr>
    </w:p>
    <w:tbl>
      <w:tblPr>
        <w:tblStyle w:val="TableGrid"/>
        <w:tblW w:w="0" w:type="auto"/>
        <w:jc w:val="center"/>
        <w:tblLook w:val="04A0" w:firstRow="1" w:lastRow="0" w:firstColumn="1" w:lastColumn="0" w:noHBand="0" w:noVBand="1"/>
      </w:tblPr>
      <w:tblGrid>
        <w:gridCol w:w="9629"/>
      </w:tblGrid>
      <w:tr w:rsidR="00D679E1" w:rsidRPr="00624EEB" w:rsidTr="00DE580F">
        <w:trPr>
          <w:jc w:val="center"/>
        </w:trPr>
        <w:tc>
          <w:tcPr>
            <w:tcW w:w="9629" w:type="dxa"/>
          </w:tcPr>
          <w:p w:rsidR="00D679E1" w:rsidRPr="00624EEB" w:rsidRDefault="00D679E1" w:rsidP="006114F7">
            <w:r w:rsidRPr="00624EEB">
              <w:t>Dur</w:t>
            </w:r>
            <w:r w:rsidR="006114F7" w:rsidRPr="00624EEB">
              <w:t xml:space="preserve">ante la reunión de 2018 del Consejo, el Presidente del GTC-Internet presentó el </w:t>
            </w:r>
            <w:hyperlink r:id="rId8" w:history="1">
              <w:r w:rsidR="006114F7" w:rsidRPr="00624EEB">
                <w:rPr>
                  <w:rStyle w:val="Hyperlink"/>
                </w:rPr>
                <w:t>Documento</w:t>
              </w:r>
              <w:r w:rsidRPr="00624EEB">
                <w:rPr>
                  <w:rStyle w:val="Hyperlink"/>
                </w:rPr>
                <w:t> C18/54</w:t>
              </w:r>
            </w:hyperlink>
            <w:r w:rsidRPr="00624EEB">
              <w:t xml:space="preserve"> </w:t>
            </w:r>
            <w:r w:rsidR="006114F7" w:rsidRPr="00624EEB">
              <w:t>y recordó la discusión de un proyecto de Resolución sobre el acceso a Internet para las personas con discapacidad y necesidades específicas durante las reuniones del Consejo de 2017 y 2</w:t>
            </w:r>
            <w:r w:rsidR="00157E52" w:rsidRPr="00624EEB">
              <w:t>018.</w:t>
            </w:r>
          </w:p>
          <w:p w:rsidR="00D679E1" w:rsidRPr="00624EEB" w:rsidRDefault="006114F7" w:rsidP="006114F7">
            <w:pPr>
              <w:spacing w:after="120"/>
            </w:pPr>
            <w:r w:rsidRPr="00624EEB">
              <w:t>A solicitud del Consejo, se adjunta en el Anexo un extracto del Resumen de los debates de la tercera Sesión Plenaria de la reunión de 2018 del Consejo, en el que se incluyen los puntos de vista expresados durante los debates.</w:t>
            </w:r>
          </w:p>
        </w:tc>
      </w:tr>
    </w:tbl>
    <w:p w:rsidR="00504FD4" w:rsidRPr="00624EEB" w:rsidRDefault="00D679E1" w:rsidP="00157E52">
      <w:pPr>
        <w:spacing w:before="2040"/>
      </w:pPr>
      <w:r w:rsidRPr="00624EEB">
        <w:rPr>
          <w:b/>
          <w:bCs/>
        </w:rPr>
        <w:t>Anexo</w:t>
      </w:r>
      <w:r w:rsidRPr="00624EEB">
        <w:t>: 1</w:t>
      </w:r>
    </w:p>
    <w:p w:rsidR="00255FA1" w:rsidRPr="00624EEB" w:rsidRDefault="00255FA1" w:rsidP="00D679E1">
      <w:r w:rsidRPr="00624EEB">
        <w:br w:type="page"/>
      </w:r>
    </w:p>
    <w:p w:rsidR="00D679E1" w:rsidRPr="00624EEB" w:rsidRDefault="00D679E1" w:rsidP="00D679E1">
      <w:pPr>
        <w:pStyle w:val="AnnexNo"/>
      </w:pPr>
      <w:r w:rsidRPr="00624EEB">
        <w:lastRenderedPageBreak/>
        <w:t>ANEXo</w:t>
      </w:r>
    </w:p>
    <w:p w:rsidR="00D679E1" w:rsidRPr="00624EEB" w:rsidRDefault="006114F7" w:rsidP="006114F7">
      <w:pPr>
        <w:pStyle w:val="Annextitle"/>
      </w:pPr>
      <w:r w:rsidRPr="00624EEB">
        <w:t>Extracto</w:t>
      </w:r>
      <w:r w:rsidR="00D679E1" w:rsidRPr="00624EEB">
        <w:t xml:space="preserve"> </w:t>
      </w:r>
      <w:r w:rsidRPr="00624EEB">
        <w:t>del</w:t>
      </w:r>
      <w:r w:rsidR="00D679E1" w:rsidRPr="00624EEB">
        <w:t xml:space="preserve"> </w:t>
      </w:r>
      <w:r w:rsidRPr="00624EEB">
        <w:t>Documento</w:t>
      </w:r>
      <w:r w:rsidR="00D679E1" w:rsidRPr="00624EEB">
        <w:t xml:space="preserve"> C18/106 – Resumen de los debates de la </w:t>
      </w:r>
      <w:r w:rsidR="00D679E1" w:rsidRPr="00624EEB">
        <w:br/>
        <w:t xml:space="preserve">tercera Sesión Plenaria </w:t>
      </w:r>
      <w:r w:rsidRPr="00624EEB">
        <w:t>de</w:t>
      </w:r>
      <w:r w:rsidR="005A0DDC" w:rsidRPr="00624EEB">
        <w:t xml:space="preserve"> la reunión de 2018 del Consejo</w:t>
      </w:r>
    </w:p>
    <w:tbl>
      <w:tblPr>
        <w:tblW w:w="10173" w:type="dxa"/>
        <w:tblLayout w:type="fixed"/>
        <w:tblLook w:val="0000" w:firstRow="0" w:lastRow="0" w:firstColumn="0" w:lastColumn="0" w:noHBand="0" w:noVBand="0"/>
      </w:tblPr>
      <w:tblGrid>
        <w:gridCol w:w="6912"/>
        <w:gridCol w:w="3261"/>
      </w:tblGrid>
      <w:tr w:rsidR="00D679E1" w:rsidRPr="00624EEB" w:rsidTr="00D679E1">
        <w:trPr>
          <w:cantSplit/>
        </w:trPr>
        <w:tc>
          <w:tcPr>
            <w:tcW w:w="6912" w:type="dxa"/>
          </w:tcPr>
          <w:p w:rsidR="00D679E1" w:rsidRPr="00624EEB" w:rsidRDefault="00D679E1" w:rsidP="00D679E1">
            <w:pPr>
              <w:spacing w:before="360"/>
              <w:rPr>
                <w:szCs w:val="24"/>
              </w:rPr>
            </w:pPr>
            <w:bookmarkStart w:id="8" w:name="dc06"/>
            <w:bookmarkStart w:id="9" w:name="dbluepink" w:colFirst="0" w:colLast="0"/>
            <w:bookmarkEnd w:id="8"/>
            <w:r w:rsidRPr="00624EEB">
              <w:rPr>
                <w:b/>
                <w:bCs/>
                <w:sz w:val="30"/>
                <w:szCs w:val="30"/>
              </w:rPr>
              <w:t>Consejo 2018</w:t>
            </w:r>
            <w:r w:rsidRPr="00624EEB">
              <w:rPr>
                <w:b/>
                <w:bCs/>
                <w:sz w:val="26"/>
                <w:szCs w:val="26"/>
              </w:rPr>
              <w:br/>
            </w:r>
            <w:r w:rsidRPr="00624EEB">
              <w:rPr>
                <w:b/>
                <w:bCs/>
                <w:szCs w:val="24"/>
              </w:rPr>
              <w:t>Ginebra, 17-27 de abril de 2018</w:t>
            </w:r>
          </w:p>
        </w:tc>
        <w:tc>
          <w:tcPr>
            <w:tcW w:w="3261" w:type="dxa"/>
          </w:tcPr>
          <w:p w:rsidR="00D679E1" w:rsidRPr="00624EEB" w:rsidRDefault="00D679E1" w:rsidP="00D679E1">
            <w:pPr>
              <w:spacing w:before="0"/>
              <w:jc w:val="right"/>
              <w:rPr>
                <w:szCs w:val="24"/>
              </w:rPr>
            </w:pPr>
            <w:r w:rsidRPr="00624EEB">
              <w:rPr>
                <w:rFonts w:cstheme="minorHAnsi"/>
                <w:b/>
                <w:bCs/>
                <w:szCs w:val="24"/>
                <w:lang w:eastAsia="zh-CN"/>
              </w:rPr>
              <w:drawing>
                <wp:inline distT="0" distB="0" distL="0" distR="0" wp14:anchorId="2321F0D1" wp14:editId="68203F71">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D679E1" w:rsidRPr="00624EEB" w:rsidTr="00D679E1">
        <w:trPr>
          <w:cantSplit/>
          <w:trHeight w:val="20"/>
        </w:trPr>
        <w:tc>
          <w:tcPr>
            <w:tcW w:w="10173" w:type="dxa"/>
            <w:gridSpan w:val="2"/>
            <w:tcBorders>
              <w:bottom w:val="single" w:sz="12" w:space="0" w:color="auto"/>
            </w:tcBorders>
          </w:tcPr>
          <w:p w:rsidR="00D679E1" w:rsidRPr="00624EEB" w:rsidRDefault="00D679E1" w:rsidP="00D679E1">
            <w:pPr>
              <w:spacing w:before="0"/>
              <w:rPr>
                <w:b/>
                <w:bCs/>
                <w:szCs w:val="24"/>
              </w:rPr>
            </w:pPr>
          </w:p>
        </w:tc>
      </w:tr>
      <w:tr w:rsidR="00D679E1" w:rsidRPr="00624EEB" w:rsidTr="00D679E1">
        <w:trPr>
          <w:cantSplit/>
          <w:trHeight w:val="20"/>
        </w:trPr>
        <w:tc>
          <w:tcPr>
            <w:tcW w:w="6912" w:type="dxa"/>
            <w:tcBorders>
              <w:top w:val="single" w:sz="12" w:space="0" w:color="auto"/>
            </w:tcBorders>
          </w:tcPr>
          <w:p w:rsidR="00D679E1" w:rsidRPr="00624EEB" w:rsidRDefault="00D679E1" w:rsidP="00D679E1">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D679E1" w:rsidRPr="00624EEB" w:rsidRDefault="00D679E1" w:rsidP="00D679E1">
            <w:pPr>
              <w:spacing w:before="0"/>
              <w:rPr>
                <w:b/>
                <w:bCs/>
                <w:szCs w:val="24"/>
              </w:rPr>
            </w:pPr>
          </w:p>
        </w:tc>
      </w:tr>
      <w:tr w:rsidR="00D679E1" w:rsidRPr="00624EEB" w:rsidTr="00D679E1">
        <w:trPr>
          <w:cantSplit/>
          <w:trHeight w:val="20"/>
        </w:trPr>
        <w:tc>
          <w:tcPr>
            <w:tcW w:w="6912" w:type="dxa"/>
            <w:shd w:val="clear" w:color="auto" w:fill="auto"/>
          </w:tcPr>
          <w:p w:rsidR="00D679E1" w:rsidRPr="00624EEB" w:rsidRDefault="00D679E1" w:rsidP="00D679E1">
            <w:pPr>
              <w:tabs>
                <w:tab w:val="clear" w:pos="2268"/>
                <w:tab w:val="left" w:pos="1560"/>
                <w:tab w:val="left" w:pos="2269"/>
                <w:tab w:val="left" w:pos="3544"/>
                <w:tab w:val="left" w:pos="3969"/>
              </w:tabs>
              <w:spacing w:before="0" w:line="240" w:lineRule="atLeast"/>
              <w:rPr>
                <w:rFonts w:cs="Times"/>
                <w:b/>
                <w:szCs w:val="24"/>
              </w:rPr>
            </w:pPr>
            <w:bookmarkStart w:id="10" w:name="dnum" w:colFirst="1" w:colLast="1"/>
            <w:bookmarkStart w:id="11" w:name="dmeeting" w:colFirst="0" w:colLast="0"/>
          </w:p>
        </w:tc>
        <w:tc>
          <w:tcPr>
            <w:tcW w:w="3261" w:type="dxa"/>
          </w:tcPr>
          <w:p w:rsidR="00D679E1" w:rsidRPr="00624EEB" w:rsidRDefault="00D679E1" w:rsidP="00D679E1">
            <w:pPr>
              <w:spacing w:before="0"/>
              <w:rPr>
                <w:b/>
                <w:bCs/>
                <w:szCs w:val="24"/>
              </w:rPr>
            </w:pPr>
            <w:r w:rsidRPr="00624EEB">
              <w:rPr>
                <w:b/>
                <w:bCs/>
                <w:szCs w:val="24"/>
              </w:rPr>
              <w:t>Documento C18/106-S</w:t>
            </w:r>
          </w:p>
        </w:tc>
      </w:tr>
      <w:tr w:rsidR="00D679E1" w:rsidRPr="00624EEB" w:rsidTr="00D679E1">
        <w:trPr>
          <w:cantSplit/>
          <w:trHeight w:val="20"/>
        </w:trPr>
        <w:tc>
          <w:tcPr>
            <w:tcW w:w="6912" w:type="dxa"/>
            <w:shd w:val="clear" w:color="auto" w:fill="auto"/>
          </w:tcPr>
          <w:p w:rsidR="00D679E1" w:rsidRPr="00624EEB" w:rsidRDefault="00D679E1" w:rsidP="00D679E1">
            <w:pPr>
              <w:shd w:val="solid" w:color="FFFFFF" w:fill="FFFFFF"/>
              <w:spacing w:before="0"/>
              <w:rPr>
                <w:smallCaps/>
                <w:szCs w:val="24"/>
              </w:rPr>
            </w:pPr>
            <w:bookmarkStart w:id="12" w:name="ddate" w:colFirst="1" w:colLast="1"/>
            <w:bookmarkEnd w:id="10"/>
            <w:bookmarkEnd w:id="11"/>
          </w:p>
        </w:tc>
        <w:tc>
          <w:tcPr>
            <w:tcW w:w="3261" w:type="dxa"/>
          </w:tcPr>
          <w:p w:rsidR="00D679E1" w:rsidRPr="00624EEB" w:rsidRDefault="00D679E1" w:rsidP="00D679E1">
            <w:pPr>
              <w:spacing w:before="0"/>
              <w:rPr>
                <w:b/>
                <w:bCs/>
                <w:szCs w:val="24"/>
              </w:rPr>
            </w:pPr>
            <w:r w:rsidRPr="00624EEB">
              <w:rPr>
                <w:b/>
                <w:bCs/>
                <w:szCs w:val="24"/>
              </w:rPr>
              <w:t>19 de abril de 2018</w:t>
            </w:r>
          </w:p>
        </w:tc>
      </w:tr>
      <w:tr w:rsidR="00D679E1" w:rsidRPr="00624EEB" w:rsidTr="00D679E1">
        <w:trPr>
          <w:cantSplit/>
          <w:trHeight w:val="20"/>
        </w:trPr>
        <w:tc>
          <w:tcPr>
            <w:tcW w:w="6912" w:type="dxa"/>
            <w:shd w:val="clear" w:color="auto" w:fill="auto"/>
          </w:tcPr>
          <w:p w:rsidR="00D679E1" w:rsidRPr="00624EEB" w:rsidRDefault="00D679E1" w:rsidP="00D679E1">
            <w:pPr>
              <w:shd w:val="solid" w:color="FFFFFF" w:fill="FFFFFF"/>
              <w:spacing w:before="0"/>
              <w:rPr>
                <w:smallCaps/>
                <w:szCs w:val="24"/>
              </w:rPr>
            </w:pPr>
            <w:bookmarkStart w:id="13" w:name="dorlang" w:colFirst="1" w:colLast="1"/>
            <w:bookmarkEnd w:id="12"/>
          </w:p>
        </w:tc>
        <w:tc>
          <w:tcPr>
            <w:tcW w:w="3261" w:type="dxa"/>
          </w:tcPr>
          <w:p w:rsidR="00D679E1" w:rsidRPr="00624EEB" w:rsidRDefault="00D679E1" w:rsidP="00D679E1">
            <w:pPr>
              <w:spacing w:before="0"/>
              <w:rPr>
                <w:b/>
                <w:bCs/>
                <w:szCs w:val="24"/>
              </w:rPr>
            </w:pPr>
            <w:r w:rsidRPr="00624EEB">
              <w:rPr>
                <w:b/>
                <w:bCs/>
                <w:szCs w:val="24"/>
              </w:rPr>
              <w:t>Original: inglés</w:t>
            </w:r>
          </w:p>
        </w:tc>
      </w:tr>
      <w:bookmarkEnd w:id="9"/>
      <w:bookmarkEnd w:id="13"/>
      <w:tr w:rsidR="00D679E1" w:rsidRPr="00624EEB" w:rsidTr="00D679E1">
        <w:trPr>
          <w:cantSplit/>
        </w:trPr>
        <w:tc>
          <w:tcPr>
            <w:tcW w:w="10173" w:type="dxa"/>
            <w:gridSpan w:val="2"/>
          </w:tcPr>
          <w:p w:rsidR="00D679E1" w:rsidRPr="00624EEB" w:rsidRDefault="00D679E1" w:rsidP="00D679E1">
            <w:pPr>
              <w:pStyle w:val="Source"/>
            </w:pPr>
          </w:p>
        </w:tc>
      </w:tr>
      <w:tr w:rsidR="00D679E1" w:rsidRPr="00624EEB" w:rsidTr="00D679E1">
        <w:trPr>
          <w:cantSplit/>
        </w:trPr>
        <w:tc>
          <w:tcPr>
            <w:tcW w:w="10173" w:type="dxa"/>
            <w:gridSpan w:val="2"/>
          </w:tcPr>
          <w:p w:rsidR="00D679E1" w:rsidRPr="00624EEB" w:rsidRDefault="00D679E1" w:rsidP="00D679E1">
            <w:pPr>
              <w:pStyle w:val="Title1"/>
            </w:pPr>
            <w:r w:rsidRPr="00624EEB">
              <w:t xml:space="preserve">RESUMEN DE LOS DEBATES </w:t>
            </w:r>
          </w:p>
          <w:p w:rsidR="00D679E1" w:rsidRPr="00624EEB" w:rsidRDefault="00D679E1" w:rsidP="00D679E1">
            <w:pPr>
              <w:pStyle w:val="Title1"/>
            </w:pPr>
            <w:r w:rsidRPr="00624EEB">
              <w:t xml:space="preserve">DE LA </w:t>
            </w:r>
          </w:p>
          <w:p w:rsidR="00D679E1" w:rsidRPr="00624EEB" w:rsidRDefault="00D679E1" w:rsidP="00D679E1">
            <w:pPr>
              <w:pStyle w:val="Title1"/>
            </w:pPr>
            <w:r w:rsidRPr="00624EEB">
              <w:t>TERCERA SESIÓN PLENARIA</w:t>
            </w:r>
          </w:p>
        </w:tc>
      </w:tr>
      <w:tr w:rsidR="00D679E1" w:rsidRPr="00624EEB" w:rsidTr="00D679E1">
        <w:trPr>
          <w:cantSplit/>
        </w:trPr>
        <w:tc>
          <w:tcPr>
            <w:tcW w:w="10173" w:type="dxa"/>
            <w:gridSpan w:val="2"/>
          </w:tcPr>
          <w:p w:rsidR="00D679E1" w:rsidRPr="00624EEB" w:rsidRDefault="00D679E1" w:rsidP="00D679E1">
            <w:pPr>
              <w:pStyle w:val="Title1"/>
            </w:pPr>
            <w:r w:rsidRPr="00624EEB">
              <w:rPr>
                <w:caps w:val="0"/>
                <w:sz w:val="24"/>
                <w:szCs w:val="24"/>
              </w:rPr>
              <w:t>Jueves 19 de abril de 2018, de las 09.30 a las 12.25 horas</w:t>
            </w:r>
          </w:p>
        </w:tc>
      </w:tr>
      <w:tr w:rsidR="00D679E1" w:rsidRPr="00624EEB" w:rsidTr="00D679E1">
        <w:trPr>
          <w:cantSplit/>
        </w:trPr>
        <w:tc>
          <w:tcPr>
            <w:tcW w:w="10173" w:type="dxa"/>
            <w:gridSpan w:val="2"/>
          </w:tcPr>
          <w:p w:rsidR="00D679E1" w:rsidRPr="00624EEB" w:rsidRDefault="00D679E1" w:rsidP="00D679E1">
            <w:pPr>
              <w:pStyle w:val="Title1"/>
            </w:pPr>
            <w:r w:rsidRPr="00624EEB">
              <w:rPr>
                <w:b/>
                <w:bCs/>
                <w:caps w:val="0"/>
                <w:sz w:val="24"/>
                <w:szCs w:val="24"/>
              </w:rPr>
              <w:t>Presidente</w:t>
            </w:r>
            <w:r w:rsidRPr="00624EEB">
              <w:rPr>
                <w:caps w:val="0"/>
                <w:sz w:val="24"/>
                <w:szCs w:val="24"/>
              </w:rPr>
              <w:t>: Sr. R. ISMAILOV (Federación de Rusia)</w:t>
            </w:r>
          </w:p>
        </w:tc>
      </w:tr>
    </w:tbl>
    <w:p w:rsidR="00D679E1" w:rsidRPr="00624EEB" w:rsidRDefault="00D679E1" w:rsidP="00DD4812"/>
    <w:tbl>
      <w:tblPr>
        <w:tblW w:w="5221" w:type="pct"/>
        <w:tblLook w:val="0000" w:firstRow="0" w:lastRow="0" w:firstColumn="0" w:lastColumn="0" w:noHBand="0" w:noVBand="0"/>
      </w:tblPr>
      <w:tblGrid>
        <w:gridCol w:w="506"/>
        <w:gridCol w:w="7579"/>
        <w:gridCol w:w="1986"/>
      </w:tblGrid>
      <w:tr w:rsidR="00D679E1" w:rsidRPr="00624EEB" w:rsidTr="00DE580F">
        <w:tc>
          <w:tcPr>
            <w:tcW w:w="251" w:type="pct"/>
          </w:tcPr>
          <w:p w:rsidR="00D679E1" w:rsidRPr="00624EEB" w:rsidRDefault="00D679E1" w:rsidP="00DE580F">
            <w:pPr>
              <w:pStyle w:val="toc0"/>
              <w:spacing w:after="120"/>
            </w:pPr>
            <w:r w:rsidRPr="00624EEB">
              <w:rPr>
                <w:b w:val="0"/>
              </w:rPr>
              <w:br w:type="page"/>
            </w:r>
            <w:r w:rsidRPr="00624EEB">
              <w:rPr>
                <w:b w:val="0"/>
              </w:rPr>
              <w:br w:type="page"/>
            </w:r>
          </w:p>
        </w:tc>
        <w:tc>
          <w:tcPr>
            <w:tcW w:w="3763" w:type="pct"/>
          </w:tcPr>
          <w:p w:rsidR="00D679E1" w:rsidRPr="00624EEB" w:rsidRDefault="00D679E1" w:rsidP="00DE580F">
            <w:pPr>
              <w:pStyle w:val="toc0"/>
              <w:spacing w:after="120"/>
            </w:pPr>
            <w:r w:rsidRPr="00624EEB">
              <w:t>Asuntos tratados</w:t>
            </w:r>
          </w:p>
        </w:tc>
        <w:tc>
          <w:tcPr>
            <w:tcW w:w="986" w:type="pct"/>
          </w:tcPr>
          <w:p w:rsidR="00D679E1" w:rsidRPr="00624EEB" w:rsidRDefault="00D679E1" w:rsidP="00DE580F">
            <w:pPr>
              <w:pStyle w:val="toc0"/>
              <w:spacing w:after="120"/>
              <w:jc w:val="center"/>
            </w:pPr>
            <w:r w:rsidRPr="00624EEB">
              <w:t>Documentos</w:t>
            </w:r>
          </w:p>
        </w:tc>
      </w:tr>
      <w:tr w:rsidR="00D679E1" w:rsidRPr="00624EEB" w:rsidTr="00DE580F">
        <w:tc>
          <w:tcPr>
            <w:tcW w:w="251" w:type="pct"/>
          </w:tcPr>
          <w:p w:rsidR="00D679E1" w:rsidRPr="00624EEB" w:rsidRDefault="00D679E1" w:rsidP="00DE580F">
            <w:r w:rsidRPr="00624EEB">
              <w:t>1</w:t>
            </w:r>
          </w:p>
        </w:tc>
        <w:tc>
          <w:tcPr>
            <w:tcW w:w="3763" w:type="pct"/>
          </w:tcPr>
          <w:p w:rsidR="00D679E1" w:rsidRPr="00624EEB" w:rsidRDefault="00D679E1" w:rsidP="00DE580F">
            <w:r w:rsidRPr="00624EEB">
              <w:t>Informe sobre la Conferencia Mundial de Desarrollo de las Telecomunicaciones (CMDT-17)</w:t>
            </w:r>
          </w:p>
        </w:tc>
        <w:tc>
          <w:tcPr>
            <w:tcW w:w="986" w:type="pct"/>
          </w:tcPr>
          <w:p w:rsidR="00D679E1" w:rsidRPr="00624EEB" w:rsidRDefault="00624EEB" w:rsidP="00DE580F">
            <w:pPr>
              <w:jc w:val="center"/>
            </w:pPr>
            <w:hyperlink r:id="rId9" w:history="1">
              <w:r w:rsidR="00D679E1" w:rsidRPr="00624EEB">
                <w:rPr>
                  <w:rStyle w:val="Hyperlink"/>
                </w:rPr>
                <w:t>C18/10</w:t>
              </w:r>
            </w:hyperlink>
          </w:p>
        </w:tc>
      </w:tr>
      <w:tr w:rsidR="00D679E1" w:rsidRPr="00624EEB" w:rsidTr="00DE580F">
        <w:tc>
          <w:tcPr>
            <w:tcW w:w="251" w:type="pct"/>
          </w:tcPr>
          <w:p w:rsidR="00D679E1" w:rsidRPr="00624EEB" w:rsidRDefault="00D679E1" w:rsidP="00DE580F">
            <w:r w:rsidRPr="00624EEB">
              <w:t>2</w:t>
            </w:r>
          </w:p>
        </w:tc>
        <w:tc>
          <w:tcPr>
            <w:tcW w:w="3763" w:type="pct"/>
          </w:tcPr>
          <w:p w:rsidR="00D679E1" w:rsidRPr="00624EEB" w:rsidRDefault="00D679E1" w:rsidP="00DE580F">
            <w:r w:rsidRPr="00624EEB">
              <w:t>Actividades en el ámbito de Internet</w:t>
            </w:r>
          </w:p>
        </w:tc>
        <w:tc>
          <w:tcPr>
            <w:tcW w:w="986" w:type="pct"/>
          </w:tcPr>
          <w:p w:rsidR="00D679E1" w:rsidRPr="00624EEB" w:rsidRDefault="00624EEB" w:rsidP="00DE580F">
            <w:pPr>
              <w:jc w:val="center"/>
            </w:pPr>
            <w:hyperlink r:id="rId10" w:history="1">
              <w:r w:rsidR="00D679E1" w:rsidRPr="00624EEB">
                <w:rPr>
                  <w:rStyle w:val="Hyperlink"/>
                </w:rPr>
                <w:t>C18/33</w:t>
              </w:r>
            </w:hyperlink>
          </w:p>
        </w:tc>
      </w:tr>
      <w:tr w:rsidR="00D679E1" w:rsidRPr="00624EEB" w:rsidTr="00DE580F">
        <w:tc>
          <w:tcPr>
            <w:tcW w:w="251" w:type="pct"/>
          </w:tcPr>
          <w:p w:rsidR="00D679E1" w:rsidRPr="00624EEB" w:rsidRDefault="00D679E1" w:rsidP="00DE580F">
            <w:r w:rsidRPr="00624EEB">
              <w:t>3</w:t>
            </w:r>
          </w:p>
        </w:tc>
        <w:tc>
          <w:tcPr>
            <w:tcW w:w="3763" w:type="pct"/>
          </w:tcPr>
          <w:p w:rsidR="00D679E1" w:rsidRPr="00624EEB" w:rsidRDefault="00D679E1" w:rsidP="00DE580F">
            <w:r w:rsidRPr="00624EEB">
              <w:rPr>
                <w:rFonts w:asciiTheme="minorHAnsi" w:hAnsiTheme="minorHAnsi" w:cstheme="minorHAnsi"/>
                <w:bCs/>
                <w:szCs w:val="24"/>
              </w:rPr>
              <w:t>Informe del Presidente del Grupo de Trabajo del Consejo sobre cuestiones de política pública internacional relacionadas con Internet (GTC-Internet)</w:t>
            </w:r>
          </w:p>
        </w:tc>
        <w:tc>
          <w:tcPr>
            <w:tcW w:w="986" w:type="pct"/>
          </w:tcPr>
          <w:p w:rsidR="00D679E1" w:rsidRPr="00624EEB" w:rsidRDefault="00624EEB" w:rsidP="00DE580F">
            <w:pPr>
              <w:jc w:val="center"/>
            </w:pPr>
            <w:hyperlink r:id="rId11" w:history="1">
              <w:r w:rsidR="00D679E1" w:rsidRPr="00624EEB">
                <w:rPr>
                  <w:rStyle w:val="Hyperlink"/>
                </w:rPr>
                <w:t>C18/51</w:t>
              </w:r>
            </w:hyperlink>
            <w:r w:rsidR="00D679E1" w:rsidRPr="00624EEB">
              <w:t xml:space="preserve">, </w:t>
            </w:r>
            <w:hyperlink r:id="rId12" w:history="1">
              <w:r w:rsidR="00D679E1" w:rsidRPr="00624EEB">
                <w:rPr>
                  <w:rStyle w:val="Hyperlink"/>
                </w:rPr>
                <w:t>C18/54</w:t>
              </w:r>
            </w:hyperlink>
            <w:r w:rsidR="00D679E1" w:rsidRPr="00624EEB">
              <w:t xml:space="preserve">, </w:t>
            </w:r>
            <w:hyperlink r:id="rId13" w:history="1">
              <w:r w:rsidR="00D679E1" w:rsidRPr="00624EEB">
                <w:rPr>
                  <w:rStyle w:val="Hyperlink"/>
                </w:rPr>
                <w:t>C18/93</w:t>
              </w:r>
            </w:hyperlink>
            <w:r w:rsidR="00D679E1" w:rsidRPr="00624EEB">
              <w:t xml:space="preserve">, </w:t>
            </w:r>
            <w:hyperlink r:id="rId14" w:history="1">
              <w:r w:rsidR="00D679E1" w:rsidRPr="00624EEB">
                <w:rPr>
                  <w:rStyle w:val="Hyperlink"/>
                </w:rPr>
                <w:t>C18/94</w:t>
              </w:r>
            </w:hyperlink>
          </w:p>
        </w:tc>
      </w:tr>
      <w:tr w:rsidR="00D679E1" w:rsidRPr="00624EEB" w:rsidTr="00DE580F">
        <w:tc>
          <w:tcPr>
            <w:tcW w:w="251" w:type="pct"/>
          </w:tcPr>
          <w:p w:rsidR="00D679E1" w:rsidRPr="00624EEB" w:rsidRDefault="00D679E1" w:rsidP="00DE580F">
            <w:r w:rsidRPr="00624EEB">
              <w:t>4</w:t>
            </w:r>
          </w:p>
        </w:tc>
        <w:tc>
          <w:tcPr>
            <w:tcW w:w="3763" w:type="pct"/>
          </w:tcPr>
          <w:p w:rsidR="00D679E1" w:rsidRPr="00624EEB" w:rsidRDefault="00D679E1" w:rsidP="00DE580F">
            <w:pPr>
              <w:rPr>
                <w:rFonts w:asciiTheme="minorHAnsi" w:hAnsiTheme="minorHAnsi" w:cstheme="minorHAnsi"/>
                <w:bCs/>
                <w:szCs w:val="24"/>
              </w:rPr>
            </w:pPr>
            <w:r w:rsidRPr="00624EEB">
              <w:rPr>
                <w:rFonts w:asciiTheme="minorHAnsi" w:hAnsiTheme="minorHAnsi" w:cstheme="minorHAnsi"/>
                <w:bCs/>
                <w:szCs w:val="24"/>
              </w:rPr>
              <w:t>Actividades de la UIT sobre el fortalecimiento de su papel en la creación de confianza y seguridad en la utilización de las TIC</w:t>
            </w:r>
          </w:p>
        </w:tc>
        <w:tc>
          <w:tcPr>
            <w:tcW w:w="986" w:type="pct"/>
          </w:tcPr>
          <w:p w:rsidR="00D679E1" w:rsidRPr="00624EEB" w:rsidRDefault="00624EEB" w:rsidP="00DE580F">
            <w:pPr>
              <w:jc w:val="center"/>
            </w:pPr>
            <w:hyperlink r:id="rId15" w:history="1">
              <w:r w:rsidR="00D679E1" w:rsidRPr="00624EEB">
                <w:rPr>
                  <w:rStyle w:val="Hyperlink"/>
                </w:rPr>
                <w:t>C18/18</w:t>
              </w:r>
            </w:hyperlink>
            <w:r w:rsidR="00D679E1" w:rsidRPr="00624EEB">
              <w:t xml:space="preserve">, </w:t>
            </w:r>
            <w:hyperlink r:id="rId16" w:history="1">
              <w:r w:rsidR="00D679E1" w:rsidRPr="00624EEB">
                <w:rPr>
                  <w:rStyle w:val="Hyperlink"/>
                </w:rPr>
                <w:t>C18/76</w:t>
              </w:r>
            </w:hyperlink>
          </w:p>
        </w:tc>
      </w:tr>
      <w:tr w:rsidR="00D679E1" w:rsidRPr="00624EEB" w:rsidTr="00DE580F">
        <w:tc>
          <w:tcPr>
            <w:tcW w:w="251" w:type="pct"/>
          </w:tcPr>
          <w:p w:rsidR="00D679E1" w:rsidRPr="00624EEB" w:rsidRDefault="00D679E1" w:rsidP="00DE580F">
            <w:r w:rsidRPr="00624EEB">
              <w:t>5</w:t>
            </w:r>
          </w:p>
        </w:tc>
        <w:tc>
          <w:tcPr>
            <w:tcW w:w="3763" w:type="pct"/>
          </w:tcPr>
          <w:p w:rsidR="00D679E1" w:rsidRPr="00624EEB" w:rsidRDefault="00D679E1" w:rsidP="00DE580F">
            <w:pPr>
              <w:rPr>
                <w:rFonts w:asciiTheme="minorHAnsi" w:hAnsiTheme="minorHAnsi" w:cstheme="minorHAnsi"/>
                <w:bCs/>
                <w:szCs w:val="24"/>
              </w:rPr>
            </w:pPr>
            <w:r w:rsidRPr="00624EEB">
              <w:rPr>
                <w:rFonts w:asciiTheme="minorHAnsi" w:hAnsiTheme="minorHAnsi" w:cstheme="minorHAnsi"/>
                <w:bCs/>
                <w:szCs w:val="24"/>
              </w:rPr>
              <w:t xml:space="preserve">Informes del Presidente del Grupo de Trabajo del Consejo sobre la Protección de la Infancia en Línea (GTC-PIeL) </w:t>
            </w:r>
          </w:p>
        </w:tc>
        <w:tc>
          <w:tcPr>
            <w:tcW w:w="986" w:type="pct"/>
          </w:tcPr>
          <w:p w:rsidR="00D679E1" w:rsidRPr="00624EEB" w:rsidRDefault="00624EEB" w:rsidP="00DE580F">
            <w:pPr>
              <w:jc w:val="center"/>
            </w:pPr>
            <w:hyperlink r:id="rId17" w:history="1">
              <w:r w:rsidR="00D679E1" w:rsidRPr="00624EEB">
                <w:rPr>
                  <w:rStyle w:val="Hyperlink"/>
                </w:rPr>
                <w:t>C18/15</w:t>
              </w:r>
            </w:hyperlink>
            <w:r w:rsidR="00D679E1" w:rsidRPr="00624EEB">
              <w:t xml:space="preserve">, </w:t>
            </w:r>
            <w:hyperlink r:id="rId18" w:history="1">
              <w:r w:rsidR="00D679E1" w:rsidRPr="00624EEB">
                <w:rPr>
                  <w:rStyle w:val="Hyperlink"/>
                </w:rPr>
                <w:t>C18/62</w:t>
              </w:r>
            </w:hyperlink>
          </w:p>
        </w:tc>
      </w:tr>
      <w:tr w:rsidR="00D679E1" w:rsidRPr="00624EEB" w:rsidTr="00DE580F">
        <w:tc>
          <w:tcPr>
            <w:tcW w:w="251" w:type="pct"/>
          </w:tcPr>
          <w:p w:rsidR="00D679E1" w:rsidRPr="00624EEB" w:rsidRDefault="00D679E1" w:rsidP="00DE580F">
            <w:r w:rsidRPr="00624EEB">
              <w:t>6</w:t>
            </w:r>
          </w:p>
        </w:tc>
        <w:tc>
          <w:tcPr>
            <w:tcW w:w="3763" w:type="pct"/>
          </w:tcPr>
          <w:p w:rsidR="00D679E1" w:rsidRPr="00624EEB" w:rsidRDefault="00D679E1" w:rsidP="00DE580F">
            <w:pPr>
              <w:rPr>
                <w:rFonts w:asciiTheme="minorHAnsi" w:hAnsiTheme="minorHAnsi" w:cstheme="minorHAnsi"/>
                <w:bCs/>
                <w:szCs w:val="24"/>
              </w:rPr>
            </w:pPr>
            <w:r w:rsidRPr="00624EEB">
              <w:rPr>
                <w:rFonts w:asciiTheme="minorHAnsi" w:hAnsiTheme="minorHAnsi" w:cstheme="minorHAnsi"/>
                <w:bCs/>
                <w:szCs w:val="24"/>
              </w:rPr>
              <w:t>Declaraciones y anuncios de los consejeros</w:t>
            </w:r>
          </w:p>
        </w:tc>
        <w:tc>
          <w:tcPr>
            <w:tcW w:w="986" w:type="pct"/>
          </w:tcPr>
          <w:p w:rsidR="00D679E1" w:rsidRPr="00624EEB" w:rsidRDefault="00D679E1" w:rsidP="00DE580F">
            <w:pPr>
              <w:jc w:val="center"/>
            </w:pPr>
            <w:r w:rsidRPr="00624EEB">
              <w:t>–</w:t>
            </w:r>
          </w:p>
        </w:tc>
      </w:tr>
    </w:tbl>
    <w:p w:rsidR="00DD4812" w:rsidRPr="00624EEB" w:rsidRDefault="00D679E1" w:rsidP="00DD4812">
      <w:bookmarkStart w:id="14" w:name="dstart"/>
      <w:bookmarkEnd w:id="14"/>
      <w:r w:rsidRPr="00624EEB">
        <w:br w:type="page"/>
      </w:r>
    </w:p>
    <w:p w:rsidR="00DD4812" w:rsidRPr="00624EEB" w:rsidRDefault="00DD4812" w:rsidP="00DD4812">
      <w:r w:rsidRPr="00624EEB">
        <w:lastRenderedPageBreak/>
        <w:t>...</w:t>
      </w:r>
    </w:p>
    <w:p w:rsidR="00D679E1" w:rsidRPr="00624EEB" w:rsidRDefault="00D679E1" w:rsidP="00D679E1">
      <w:pPr>
        <w:pStyle w:val="Heading1"/>
      </w:pPr>
      <w:r w:rsidRPr="00624EEB">
        <w:t>3</w:t>
      </w:r>
      <w:r w:rsidRPr="00624EEB">
        <w:tab/>
        <w:t>Informe del Presidente del Grupo de Trabajo del Consejo sobre cuestiones de política pública internacional relacionadas con Internet (GTC-Internet) (Documentos</w:t>
      </w:r>
      <w:r w:rsidRPr="00624EEB">
        <w:rPr>
          <w:bCs/>
        </w:rPr>
        <w:t xml:space="preserve"> </w:t>
      </w:r>
      <w:hyperlink r:id="rId19" w:history="1">
        <w:r w:rsidRPr="00624EEB">
          <w:rPr>
            <w:rStyle w:val="Hyperlink"/>
            <w:bCs/>
          </w:rPr>
          <w:t>C18/51</w:t>
        </w:r>
      </w:hyperlink>
      <w:r w:rsidRPr="00624EEB">
        <w:t xml:space="preserve">, </w:t>
      </w:r>
      <w:hyperlink r:id="rId20" w:history="1">
        <w:r w:rsidRPr="00624EEB">
          <w:rPr>
            <w:rStyle w:val="Hyperlink"/>
            <w:bCs/>
          </w:rPr>
          <w:t>C18/54</w:t>
        </w:r>
      </w:hyperlink>
      <w:r w:rsidRPr="00624EEB">
        <w:t xml:space="preserve">, </w:t>
      </w:r>
      <w:hyperlink r:id="rId21" w:history="1">
        <w:r w:rsidRPr="00624EEB">
          <w:rPr>
            <w:rStyle w:val="Hyperlink"/>
            <w:bCs/>
          </w:rPr>
          <w:t>C18/93</w:t>
        </w:r>
      </w:hyperlink>
      <w:r w:rsidRPr="00624EEB">
        <w:t xml:space="preserve"> y </w:t>
      </w:r>
      <w:hyperlink r:id="rId22" w:history="1">
        <w:r w:rsidRPr="00624EEB">
          <w:rPr>
            <w:rStyle w:val="Hyperlink"/>
            <w:bCs/>
          </w:rPr>
          <w:t>C18/94</w:t>
        </w:r>
      </w:hyperlink>
      <w:r w:rsidRPr="00624EEB">
        <w:t>)</w:t>
      </w:r>
    </w:p>
    <w:p w:rsidR="00D679E1" w:rsidRPr="00624EEB" w:rsidRDefault="00D679E1" w:rsidP="00D679E1">
      <w:r w:rsidRPr="00624EEB">
        <w:t>3.1</w:t>
      </w:r>
      <w:r w:rsidRPr="00624EEB">
        <w:tab/>
        <w:t>El Presidente del GTC-Internet presenta el Documento C18/51, que contiene su informe sobre las actividades del Grupo, incluidos los principales resultados de la 10ª y 11ª reuniones del GTC Internet. Informa al Consejo que el GTC también celebró dos rondas de consultas públicas en línea y presenciales sobre las consideraciones de política pública para los OTT y sobre el tema Colmar la brecha digital. Las respuestas recibidas de las distintas regiones abarcaban un gran número de medidas y puntos de vista y mostraron distintas opiniones respecto de las preguntas de las consultas.</w:t>
      </w:r>
    </w:p>
    <w:p w:rsidR="00D679E1" w:rsidRPr="00624EEB" w:rsidRDefault="00D679E1" w:rsidP="00D679E1">
      <w:r w:rsidRPr="00624EEB">
        <w:t>3.2</w:t>
      </w:r>
      <w:r w:rsidRPr="00624EEB">
        <w:tab/>
        <w:t xml:space="preserve">Se </w:t>
      </w:r>
      <w:r w:rsidRPr="00624EEB">
        <w:rPr>
          <w:b/>
          <w:bCs/>
        </w:rPr>
        <w:t>toma nota</w:t>
      </w:r>
      <w:r w:rsidRPr="00624EEB">
        <w:t xml:space="preserve"> del Documento C18/51.</w:t>
      </w:r>
    </w:p>
    <w:p w:rsidR="00D679E1" w:rsidRPr="00624EEB" w:rsidRDefault="00D679E1" w:rsidP="00D679E1">
      <w:r w:rsidRPr="00624EEB">
        <w:t>3.3</w:t>
      </w:r>
      <w:r w:rsidRPr="00624EEB">
        <w:tab/>
        <w:t>El Presidente del GTC-Internet presenta el Documento C18/54 y recuerda el debate sobre un proyecto de Resolución sobre el acceso a Internet para las personas con discapacidad y necesidades especiales propuesto por la Administración de Arabia Saudita. Se habían manifestado opiniones divergentes y el Consejo de 2017, debido a la falta de tiempo para el debate y del alcance de la propuesta, decidió remitirla al Consejo de 2018. Puede que el Consejo desee comunicar sus opiniones sobre la propuesta a la PP-18.</w:t>
      </w:r>
    </w:p>
    <w:p w:rsidR="00D679E1" w:rsidRPr="00624EEB" w:rsidRDefault="00D679E1" w:rsidP="00D679E1">
      <w:r w:rsidRPr="00624EEB">
        <w:t>3.4</w:t>
      </w:r>
      <w:r w:rsidRPr="00624EEB">
        <w:tab/>
        <w:t>Varios consejeros manifiestan su apoyo al proyecto de Resolución, que trata de un tema particularmente amplio e importante. Sin embargo, dos consejeros no consideran que sea necesaria una nueva Resolución del Consejo sobre este asunto, pues muchos de sus aspectos ya están contemplados en la Resolución 175 (Rev. Busán</w:t>
      </w:r>
      <w:bookmarkStart w:id="15" w:name="_GoBack"/>
      <w:bookmarkEnd w:id="15"/>
      <w:r w:rsidRPr="00624EEB">
        <w:t>, 2014). Sería más adecuado que la PP-18 revisase esa Resolución.</w:t>
      </w:r>
    </w:p>
    <w:p w:rsidR="00D679E1" w:rsidRPr="00624EEB" w:rsidRDefault="00D679E1" w:rsidP="00D679E1">
      <w:r w:rsidRPr="00624EEB">
        <w:t>3.5</w:t>
      </w:r>
      <w:r w:rsidRPr="00624EEB">
        <w:tab/>
        <w:t xml:space="preserve">El Consejo </w:t>
      </w:r>
      <w:r w:rsidRPr="00624EEB">
        <w:rPr>
          <w:b/>
        </w:rPr>
        <w:t>acuerda</w:t>
      </w:r>
      <w:r w:rsidRPr="00624EEB">
        <w:t xml:space="preserve"> tomar nota del Documento C18/54 y transmitir las opiniones expresadas al respecto a la PP-18.</w:t>
      </w:r>
    </w:p>
    <w:p w:rsidR="00D679E1" w:rsidRPr="00624EEB" w:rsidRDefault="00D679E1" w:rsidP="00D679E1">
      <w:r w:rsidRPr="00624EEB">
        <w:t>3.6</w:t>
      </w:r>
      <w:r w:rsidRPr="00624EEB">
        <w:tab/>
        <w:t>El consejero de Brasil presenta los Documentos C18/93 y C18/94, donde se presentan contribuciones de su país. En el primer documento se presenta una propuesta para que las reuniones anuales del Consejo decidan los temas para las consultas abiertas del GTC-Internet, motivada por el deseo de utilizar más eficientemente el tiempo consagrado a las reuniones del GTC-Internet y que el proceso decisorio sea más inclusivo y esté mejor fundamentado, dado que la participación en el Consejo es mucho mayor que en el GTC-Internet. En el segundo documento se presenta una propuesta para abrir la participación en el GTC-Internet a los Miembros de Sector de la UIT.</w:t>
      </w:r>
    </w:p>
    <w:p w:rsidR="00D679E1" w:rsidRPr="00624EEB" w:rsidRDefault="00D679E1" w:rsidP="00D679E1">
      <w:r w:rsidRPr="00624EEB">
        <w:lastRenderedPageBreak/>
        <w:t>3.7</w:t>
      </w:r>
      <w:r w:rsidRPr="00624EEB">
        <w:tab/>
        <w:t>Se expresan opiniones divergentes sobre la propuesta del Documento C18/93. Varios consejeros opinan que corresponde al GTC-Internet conservar la autoridad sobre los temas que ha de discutir, mientras que otros, reconociendo la validez del argumento de que la participación en el Consejo es</w:t>
      </w:r>
      <w:r w:rsidRPr="00624EEB">
        <w:rPr>
          <w:spacing w:val="4"/>
        </w:rPr>
        <w:t xml:space="preserve"> </w:t>
      </w:r>
      <w:r w:rsidRPr="00624EEB">
        <w:rPr>
          <w:i/>
          <w:spacing w:val="4"/>
        </w:rPr>
        <w:t>de facto</w:t>
      </w:r>
      <w:r w:rsidRPr="00624EEB">
        <w:rPr>
          <w:spacing w:val="4"/>
        </w:rPr>
        <w:t xml:space="preserve"> superior a la del GTC-Internet, opinan lo contrario. Un consejero sugiere que el Consejo decida a partir de una breve lista de temas preparada por el GTC</w:t>
      </w:r>
      <w:r w:rsidR="00DB2C08" w:rsidRPr="00624EEB">
        <w:t>-Internet.</w:t>
      </w:r>
    </w:p>
    <w:p w:rsidR="005A0DDC" w:rsidRPr="00624EEB" w:rsidRDefault="005A0DDC" w:rsidP="00D679E1">
      <w:r w:rsidRPr="00624EEB">
        <w:br w:type="page"/>
      </w:r>
    </w:p>
    <w:p w:rsidR="00D679E1" w:rsidRPr="00624EEB" w:rsidRDefault="00D679E1" w:rsidP="00D679E1">
      <w:r w:rsidRPr="00624EEB">
        <w:t>3.8</w:t>
      </w:r>
      <w:r w:rsidRPr="00624EEB">
        <w:tab/>
        <w:t>Aunque la propuesta del Documento C18/94 recibió apoyos, se formularon varias sugerencias sobre la amplitud de la participación de los Miembros de Sector. Un consejero dijo estar en desacuerdo con la propuesta en su totalidad al considerar que ya se ofrece a las partes interesadas suficientes oportunidades para participar en las reuniones del GTC-Internet a través de las delegaciones de los Estados Miembros y en las consultas abiertas en línea. Otro consejero considera que este tema queda fuera del ámbito de competencia del Consejo y que debería abordarse en la Conferencia de Plenipotenciarios.</w:t>
      </w:r>
    </w:p>
    <w:p w:rsidR="00D679E1" w:rsidRPr="00624EEB" w:rsidRDefault="00D679E1" w:rsidP="00D679E1">
      <w:r w:rsidRPr="00624EEB">
        <w:t>3.9</w:t>
      </w:r>
      <w:r w:rsidRPr="00624EEB">
        <w:tab/>
        <w:t>El Presidente entiende que el Consejo desea tomar nota de los Documentos C18/93 y C18/94 e invitar a los Estados Miembros a considerar los temas planteados en esas contribuciones en su debate sobre la Resolución 102 (Rev. Busán, 2014) en la PP-18.</w:t>
      </w:r>
    </w:p>
    <w:p w:rsidR="00D679E1" w:rsidRPr="00624EEB" w:rsidRDefault="00D679E1" w:rsidP="00D679E1">
      <w:r w:rsidRPr="00624EEB">
        <w:t>3.10</w:t>
      </w:r>
      <w:r w:rsidRPr="00624EEB">
        <w:tab/>
        <w:t>Así se</w:t>
      </w:r>
      <w:r w:rsidRPr="00624EEB">
        <w:rPr>
          <w:b/>
        </w:rPr>
        <w:t xml:space="preserve"> acuerda</w:t>
      </w:r>
      <w:r w:rsidRPr="00624EEB">
        <w:t>.</w:t>
      </w:r>
    </w:p>
    <w:p w:rsidR="00D679E1" w:rsidRPr="00624EEB" w:rsidRDefault="00D679E1" w:rsidP="005A0DDC">
      <w:pPr>
        <w:tabs>
          <w:tab w:val="clear" w:pos="567"/>
          <w:tab w:val="clear" w:pos="1134"/>
          <w:tab w:val="clear" w:pos="1701"/>
          <w:tab w:val="clear" w:pos="2268"/>
          <w:tab w:val="clear" w:pos="2835"/>
          <w:tab w:val="left" w:pos="6521"/>
        </w:tabs>
        <w:snapToGrid w:val="0"/>
        <w:spacing w:before="840" w:after="120"/>
        <w:rPr>
          <w:szCs w:val="24"/>
        </w:rPr>
      </w:pPr>
      <w:r w:rsidRPr="00624EEB">
        <w:rPr>
          <w:szCs w:val="24"/>
        </w:rPr>
        <w:t>El Secretario General:</w:t>
      </w:r>
      <w:r w:rsidRPr="00624EEB">
        <w:rPr>
          <w:szCs w:val="24"/>
        </w:rPr>
        <w:tab/>
        <w:t>El Presidente:</w:t>
      </w:r>
    </w:p>
    <w:p w:rsidR="00D679E1" w:rsidRPr="00624EEB" w:rsidRDefault="00D679E1" w:rsidP="00DD4812">
      <w:pPr>
        <w:tabs>
          <w:tab w:val="clear" w:pos="567"/>
          <w:tab w:val="clear" w:pos="1134"/>
          <w:tab w:val="clear" w:pos="1701"/>
          <w:tab w:val="clear" w:pos="2268"/>
          <w:tab w:val="clear" w:pos="2835"/>
          <w:tab w:val="left" w:pos="6521"/>
        </w:tabs>
        <w:snapToGrid w:val="0"/>
        <w:spacing w:after="120"/>
      </w:pPr>
      <w:r w:rsidRPr="00624EEB">
        <w:rPr>
          <w:szCs w:val="24"/>
        </w:rPr>
        <w:t>H. ZHAO</w:t>
      </w:r>
      <w:r w:rsidRPr="00624EEB">
        <w:rPr>
          <w:szCs w:val="24"/>
        </w:rPr>
        <w:tab/>
        <w:t>R. ISMAILOV</w:t>
      </w:r>
    </w:p>
    <w:sectPr w:rsidR="00D679E1" w:rsidRPr="00624EEB" w:rsidSect="00A70E95">
      <w:headerReference w:type="default" r:id="rId23"/>
      <w:footerReference w:type="default" r:id="rId24"/>
      <w:footerReference w:type="first" r:id="rId2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2B9" w:rsidRDefault="00DC02B9">
      <w:r>
        <w:separator/>
      </w:r>
    </w:p>
  </w:endnote>
  <w:endnote w:type="continuationSeparator" w:id="0">
    <w:p w:rsidR="00DC02B9" w:rsidRDefault="00DC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13" w:rsidRDefault="00680813" w:rsidP="00680813">
    <w:pPr>
      <w:pStyle w:val="Footer"/>
      <w:rPr>
        <w:lang w:val="en-GB"/>
      </w:rPr>
    </w:pPr>
    <w:r>
      <w:fldChar w:fldCharType="begin"/>
    </w:r>
    <w:r w:rsidRPr="00D679E1">
      <w:rPr>
        <w:lang w:val="en-GB"/>
      </w:rPr>
      <w:instrText xml:space="preserve"> FILENAME \p  \* MERGEFORMAT </w:instrText>
    </w:r>
    <w:r>
      <w:fldChar w:fldCharType="separate"/>
    </w:r>
    <w:r>
      <w:rPr>
        <w:lang w:val="en-GB"/>
      </w:rPr>
      <w:t>P:\ESP\SG\CONF-SG\PP18\000\035S.docx</w:t>
    </w:r>
    <w:r>
      <w:fldChar w:fldCharType="end"/>
    </w:r>
    <w:r w:rsidRPr="00D679E1">
      <w:rPr>
        <w:lang w:val="en-GB"/>
      </w:rPr>
      <w:t xml:space="preserve"> (</w:t>
    </w:r>
    <w:r>
      <w:rPr>
        <w:lang w:val="en-GB"/>
      </w:rPr>
      <w:t>438609</w:t>
    </w:r>
    <w:r w:rsidRPr="00D679E1">
      <w:rPr>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Pr="00006EAE" w:rsidRDefault="004B07DB" w:rsidP="00006EA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2B9" w:rsidRDefault="00DC02B9">
      <w:r>
        <w:t>____________________</w:t>
      </w:r>
    </w:p>
  </w:footnote>
  <w:footnote w:type="continuationSeparator" w:id="0">
    <w:p w:rsidR="00DC02B9" w:rsidRDefault="00DC0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624EEB">
      <w:rPr>
        <w:noProof/>
      </w:rPr>
      <w:t>4</w:t>
    </w:r>
    <w:r>
      <w:fldChar w:fldCharType="end"/>
    </w:r>
  </w:p>
  <w:p w:rsidR="00255FA1" w:rsidRDefault="00255FA1" w:rsidP="00D679E1">
    <w:pPr>
      <w:pStyle w:val="Header"/>
    </w:pPr>
    <w:r>
      <w:rPr>
        <w:lang w:val="en-US"/>
      </w:rPr>
      <w:t>PP1</w:t>
    </w:r>
    <w:r w:rsidR="00C43474">
      <w:rPr>
        <w:lang w:val="en-US"/>
      </w:rPr>
      <w:t>8</w:t>
    </w:r>
    <w:r w:rsidR="00006EAE">
      <w:t>/</w:t>
    </w:r>
    <w:r w:rsidR="00D679E1">
      <w:t>35</w:t>
    </w:r>
    <w:r w:rsidR="00006EAE">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B9"/>
    <w:rsid w:val="0000188C"/>
    <w:rsid w:val="00006EAE"/>
    <w:rsid w:val="000863AB"/>
    <w:rsid w:val="000A1523"/>
    <w:rsid w:val="000B1752"/>
    <w:rsid w:val="000E6757"/>
    <w:rsid w:val="0010546D"/>
    <w:rsid w:val="00135F93"/>
    <w:rsid w:val="00157E52"/>
    <w:rsid w:val="001632E3"/>
    <w:rsid w:val="001729A9"/>
    <w:rsid w:val="001D4983"/>
    <w:rsid w:val="001D6EC3"/>
    <w:rsid w:val="001D787B"/>
    <w:rsid w:val="001E3D06"/>
    <w:rsid w:val="001E7005"/>
    <w:rsid w:val="00225F6B"/>
    <w:rsid w:val="00237C17"/>
    <w:rsid w:val="00242376"/>
    <w:rsid w:val="00255FA1"/>
    <w:rsid w:val="00262FF4"/>
    <w:rsid w:val="002C6527"/>
    <w:rsid w:val="002D1C2C"/>
    <w:rsid w:val="002E44FC"/>
    <w:rsid w:val="003707E5"/>
    <w:rsid w:val="00391611"/>
    <w:rsid w:val="003D0027"/>
    <w:rsid w:val="003E6E73"/>
    <w:rsid w:val="00484B72"/>
    <w:rsid w:val="00491A25"/>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5F7F"/>
    <w:rsid w:val="00567ED5"/>
    <w:rsid w:val="005A0DDC"/>
    <w:rsid w:val="005D1164"/>
    <w:rsid w:val="005D6488"/>
    <w:rsid w:val="005F6278"/>
    <w:rsid w:val="00601280"/>
    <w:rsid w:val="006114F7"/>
    <w:rsid w:val="00624EEB"/>
    <w:rsid w:val="006375E0"/>
    <w:rsid w:val="00641DBD"/>
    <w:rsid w:val="006455D2"/>
    <w:rsid w:val="006537F3"/>
    <w:rsid w:val="00680813"/>
    <w:rsid w:val="006B5512"/>
    <w:rsid w:val="006C190D"/>
    <w:rsid w:val="00720686"/>
    <w:rsid w:val="00737EFF"/>
    <w:rsid w:val="00750806"/>
    <w:rsid w:val="00760873"/>
    <w:rsid w:val="007875D2"/>
    <w:rsid w:val="007F6EBC"/>
    <w:rsid w:val="00882773"/>
    <w:rsid w:val="008B4706"/>
    <w:rsid w:val="008B6676"/>
    <w:rsid w:val="008E51C5"/>
    <w:rsid w:val="008F7109"/>
    <w:rsid w:val="009107B0"/>
    <w:rsid w:val="009220DE"/>
    <w:rsid w:val="00930E84"/>
    <w:rsid w:val="0099270D"/>
    <w:rsid w:val="0099551E"/>
    <w:rsid w:val="009A1A86"/>
    <w:rsid w:val="009E0C42"/>
    <w:rsid w:val="00A70E95"/>
    <w:rsid w:val="00AA1F73"/>
    <w:rsid w:val="00AB34CA"/>
    <w:rsid w:val="00AD400E"/>
    <w:rsid w:val="00AF0DC5"/>
    <w:rsid w:val="00B501AB"/>
    <w:rsid w:val="00B73978"/>
    <w:rsid w:val="00B77C4D"/>
    <w:rsid w:val="00BB13FE"/>
    <w:rsid w:val="00BC7EE2"/>
    <w:rsid w:val="00BF5475"/>
    <w:rsid w:val="00C02F5E"/>
    <w:rsid w:val="00C42D2D"/>
    <w:rsid w:val="00C43474"/>
    <w:rsid w:val="00C61A48"/>
    <w:rsid w:val="00C64338"/>
    <w:rsid w:val="00C80F8F"/>
    <w:rsid w:val="00C84355"/>
    <w:rsid w:val="00CA3051"/>
    <w:rsid w:val="00CD20D9"/>
    <w:rsid w:val="00CD701A"/>
    <w:rsid w:val="00D05AAE"/>
    <w:rsid w:val="00D05E6B"/>
    <w:rsid w:val="00D254A6"/>
    <w:rsid w:val="00D42B55"/>
    <w:rsid w:val="00D57D70"/>
    <w:rsid w:val="00D679E1"/>
    <w:rsid w:val="00D85542"/>
    <w:rsid w:val="00DB2C08"/>
    <w:rsid w:val="00DC02B9"/>
    <w:rsid w:val="00DD4812"/>
    <w:rsid w:val="00E05D81"/>
    <w:rsid w:val="00E53DFC"/>
    <w:rsid w:val="00E66FC3"/>
    <w:rsid w:val="00E677DD"/>
    <w:rsid w:val="00E77F17"/>
    <w:rsid w:val="00E921EC"/>
    <w:rsid w:val="00EB23D0"/>
    <w:rsid w:val="00EC395A"/>
    <w:rsid w:val="00F01632"/>
    <w:rsid w:val="00F04858"/>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aliases w:val="超级链接,Style 58,超?级链"/>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table" w:styleId="TableGrid">
    <w:name w:val="Table Grid"/>
    <w:basedOn w:val="TableNormal"/>
    <w:rsid w:val="00D679E1"/>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D679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054/es" TargetMode="External"/><Relationship Id="rId13" Type="http://schemas.openxmlformats.org/officeDocument/2006/relationships/hyperlink" Target="https://www.itu.int/md/S18-CL-C-0093/es" TargetMode="External"/><Relationship Id="rId18" Type="http://schemas.openxmlformats.org/officeDocument/2006/relationships/hyperlink" Target="https://www.itu.int/md/S18-CL-C-0062/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tu.int/md/S18-CL-C-0093/es" TargetMode="External"/><Relationship Id="rId7" Type="http://schemas.openxmlformats.org/officeDocument/2006/relationships/image" Target="media/image1.jpeg"/><Relationship Id="rId12" Type="http://schemas.openxmlformats.org/officeDocument/2006/relationships/hyperlink" Target="https://www.itu.int/md/S18-CL-C-0054/es" TargetMode="External"/><Relationship Id="rId17" Type="http://schemas.openxmlformats.org/officeDocument/2006/relationships/hyperlink" Target="https://www.itu.int/md/S18-CL-C-0015/e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md/S18-CL-C-0076/es" TargetMode="External"/><Relationship Id="rId20" Type="http://schemas.openxmlformats.org/officeDocument/2006/relationships/hyperlink" Target="https://www.itu.int/md/S18-CL-C-0054/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18-CL-C-0051/e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md/S18-CL-C-0018/es" TargetMode="External"/><Relationship Id="rId23" Type="http://schemas.openxmlformats.org/officeDocument/2006/relationships/header" Target="header1.xml"/><Relationship Id="rId10" Type="http://schemas.openxmlformats.org/officeDocument/2006/relationships/hyperlink" Target="https://www.itu.int/md/S18-CL-C-0033/es" TargetMode="External"/><Relationship Id="rId19" Type="http://schemas.openxmlformats.org/officeDocument/2006/relationships/hyperlink" Target="https://www.itu.int/md/S18-CL-C-0051en" TargetMode="External"/><Relationship Id="rId4" Type="http://schemas.openxmlformats.org/officeDocument/2006/relationships/webSettings" Target="webSettings.xml"/><Relationship Id="rId9" Type="http://schemas.openxmlformats.org/officeDocument/2006/relationships/hyperlink" Target="https://www.itu.int/md/S18-CL-C-0010/es" TargetMode="External"/><Relationship Id="rId14" Type="http://schemas.openxmlformats.org/officeDocument/2006/relationships/hyperlink" Target="https://www.itu.int/md/S18-CL-C-0094/es" TargetMode="External"/><Relationship Id="rId22" Type="http://schemas.openxmlformats.org/officeDocument/2006/relationships/hyperlink" Target="https://www.itu.int/md/S18-CL-C-0094/e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C7D09-1868-44F1-ACF0-3E8B6B096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PS_PP18.dotx</Template>
  <TotalTime>0</TotalTime>
  <Pages>4</Pages>
  <Words>926</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6718</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
  <cp:keywords/>
  <dc:description/>
  <cp:lastModifiedBy/>
  <cp:revision>1</cp:revision>
  <dcterms:created xsi:type="dcterms:W3CDTF">2018-07-18T09:15:00Z</dcterms:created>
  <dcterms:modified xsi:type="dcterms:W3CDTF">2018-07-18T09:19:00Z</dcterms:modified>
  <cp:category>Conference document</cp:category>
</cp:coreProperties>
</file>